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E4717C4">
      <w:pPr>
        <w:shd w:val="clear" w:color="auto" w:fill="auto"/>
        <w:spacing w:line="360" w:lineRule="auto"/>
        <w:jc w:val="center"/>
        <w:rPr>
          <w:rFonts w:hint="eastAsia" w:ascii="方正小标宋简体" w:hAnsi="宋体" w:eastAsia="方正小标宋简体"/>
          <w:color w:val="auto"/>
          <w:sz w:val="52"/>
          <w:szCs w:val="52"/>
          <w:highlight w:val="none"/>
        </w:rPr>
      </w:pPr>
      <w:bookmarkStart w:id="0" w:name="OLE_LINK15"/>
      <w:bookmarkStart w:id="1" w:name="OLE_LINK11"/>
      <w:bookmarkStart w:id="2" w:name="OLE_LINK7"/>
      <w:bookmarkStart w:id="3" w:name="OLE_LINK10"/>
      <w:bookmarkStart w:id="4" w:name="OLE_LINK8"/>
      <w:r>
        <w:rPr>
          <w:rFonts w:hint="eastAsia" w:hAnsi="宋体"/>
          <w:color w:val="auto"/>
          <w:highlight w:val="none"/>
        </w:rPr>
        <w:drawing>
          <wp:inline distT="0" distB="0" distL="114300" distR="114300">
            <wp:extent cx="1302385" cy="1319530"/>
            <wp:effectExtent l="0" t="0" r="12065" b="13970"/>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17"/>
                    <a:stretch>
                      <a:fillRect/>
                    </a:stretch>
                  </pic:blipFill>
                  <pic:spPr>
                    <a:xfrm>
                      <a:off x="0" y="0"/>
                      <a:ext cx="1302385" cy="1319530"/>
                    </a:xfrm>
                    <a:prstGeom prst="rect">
                      <a:avLst/>
                    </a:prstGeom>
                    <a:noFill/>
                    <a:ln>
                      <a:noFill/>
                    </a:ln>
                  </pic:spPr>
                </pic:pic>
              </a:graphicData>
            </a:graphic>
          </wp:inline>
        </w:drawing>
      </w:r>
    </w:p>
    <w:p w14:paraId="33ACAC55">
      <w:pPr>
        <w:shd w:val="clear" w:color="auto" w:fill="auto"/>
        <w:spacing w:line="240" w:lineRule="auto"/>
        <w:jc w:val="center"/>
        <w:rPr>
          <w:rFonts w:hint="eastAsia" w:ascii="仿宋_GB2312" w:hAnsi="宋体" w:eastAsia="仿宋_GB2312"/>
          <w:b/>
          <w:color w:val="auto"/>
          <w:sz w:val="48"/>
          <w:szCs w:val="48"/>
          <w:highlight w:val="none"/>
          <w:lang w:eastAsia="zh-CN"/>
        </w:rPr>
      </w:pPr>
    </w:p>
    <w:p w14:paraId="21A86019">
      <w:pPr>
        <w:shd w:val="clear" w:color="auto" w:fill="auto"/>
        <w:snapToGrid w:val="0"/>
        <w:spacing w:before="165" w:beforeLines="50" w:line="240" w:lineRule="auto"/>
        <w:jc w:val="center"/>
        <w:rPr>
          <w:rFonts w:hint="eastAsia" w:ascii="华文新魏" w:hAnsi="宋体" w:eastAsia="华文新魏"/>
          <w:color w:val="auto"/>
          <w:sz w:val="120"/>
          <w:szCs w:val="120"/>
          <w:highlight w:val="none"/>
        </w:rPr>
      </w:pPr>
      <w:r>
        <w:rPr>
          <w:rFonts w:hint="eastAsia" w:ascii="华文新魏" w:hAnsi="宋体" w:eastAsia="华文新魏"/>
          <w:color w:val="auto"/>
          <w:sz w:val="120"/>
          <w:szCs w:val="120"/>
          <w:highlight w:val="none"/>
        </w:rPr>
        <w:t>招标文件</w:t>
      </w:r>
    </w:p>
    <w:p w14:paraId="20763C2F">
      <w:pPr>
        <w:shd w:val="clear" w:color="auto" w:fill="auto"/>
        <w:snapToGrid w:val="0"/>
        <w:spacing w:before="165" w:beforeLines="50" w:line="240" w:lineRule="auto"/>
        <w:jc w:val="center"/>
        <w:rPr>
          <w:rFonts w:hint="eastAsia" w:ascii="仿宋_GB2312" w:hAnsi="宋体" w:eastAsia="仿宋_GB2312"/>
          <w:b/>
          <w:color w:val="auto"/>
          <w:sz w:val="48"/>
          <w:szCs w:val="48"/>
          <w:highlight w:val="none"/>
        </w:rPr>
      </w:pPr>
      <w:r>
        <w:rPr>
          <w:rFonts w:hint="eastAsia" w:ascii="仿宋_GB2312" w:hAnsi="宋体" w:eastAsia="仿宋_GB2312"/>
          <w:b/>
          <w:color w:val="auto"/>
          <w:sz w:val="48"/>
          <w:szCs w:val="48"/>
          <w:highlight w:val="none"/>
        </w:rPr>
        <w:t>（全流程电子化采购）</w:t>
      </w:r>
    </w:p>
    <w:p w14:paraId="2C0BA9ED">
      <w:pPr>
        <w:pStyle w:val="20"/>
        <w:shd w:val="clear" w:color="auto" w:fill="auto"/>
        <w:snapToGrid w:val="0"/>
        <w:spacing w:line="360" w:lineRule="auto"/>
        <w:rPr>
          <w:rFonts w:hint="eastAsia" w:ascii="仿宋_GB2312" w:hAnsi="宋体" w:eastAsia="仿宋_GB2312"/>
          <w:b/>
          <w:bCs/>
          <w:color w:val="auto"/>
          <w:w w:val="95"/>
          <w:sz w:val="30"/>
          <w:szCs w:val="30"/>
          <w:highlight w:val="none"/>
          <w:lang w:eastAsia="zh-CN"/>
        </w:rPr>
      </w:pPr>
    </w:p>
    <w:p w14:paraId="529F67C2">
      <w:pPr>
        <w:pStyle w:val="20"/>
        <w:shd w:val="clear" w:color="auto" w:fill="auto"/>
        <w:snapToGrid w:val="0"/>
        <w:spacing w:line="360" w:lineRule="auto"/>
        <w:ind w:firstLine="572" w:firstLineChars="200"/>
        <w:rPr>
          <w:rFonts w:hint="eastAsia" w:ascii="仿宋_GB2312" w:hAnsi="宋体" w:eastAsia="仿宋_GB2312"/>
          <w:b/>
          <w:bCs/>
          <w:color w:val="auto"/>
          <w:w w:val="95"/>
          <w:sz w:val="30"/>
          <w:szCs w:val="30"/>
          <w:highlight w:val="none"/>
        </w:rPr>
      </w:pPr>
    </w:p>
    <w:p w14:paraId="615B7805">
      <w:pPr>
        <w:pStyle w:val="20"/>
        <w:shd w:val="clear" w:color="auto" w:fill="auto"/>
        <w:snapToGrid w:val="0"/>
        <w:spacing w:line="360" w:lineRule="auto"/>
        <w:ind w:firstLine="572" w:firstLineChars="200"/>
        <w:rPr>
          <w:rFonts w:hint="eastAsia" w:ascii="仿宋_GB2312" w:hAnsi="宋体" w:eastAsia="仿宋_GB2312"/>
          <w:b/>
          <w:bCs/>
          <w:color w:val="auto"/>
          <w:w w:val="95"/>
          <w:sz w:val="30"/>
          <w:szCs w:val="30"/>
          <w:highlight w:val="none"/>
          <w:lang w:val="en-US" w:eastAsia="zh-CN"/>
        </w:rPr>
      </w:pPr>
      <w:r>
        <w:rPr>
          <w:rFonts w:hint="eastAsia" w:ascii="仿宋_GB2312" w:hAnsi="宋体" w:eastAsia="仿宋_GB2312"/>
          <w:b/>
          <w:bCs/>
          <w:color w:val="auto"/>
          <w:w w:val="95"/>
          <w:sz w:val="30"/>
          <w:szCs w:val="30"/>
          <w:highlight w:val="none"/>
          <w:lang w:val="en-US" w:eastAsia="zh-CN"/>
        </w:rPr>
        <w:t>项目名称：</w:t>
      </w:r>
      <w:r>
        <w:rPr>
          <w:rFonts w:hint="eastAsia" w:ascii="仿宋_GB2312" w:hAnsi="宋体" w:eastAsia="仿宋_GB2312"/>
          <w:b/>
          <w:bCs/>
          <w:color w:val="auto"/>
          <w:w w:val="95"/>
          <w:sz w:val="30"/>
          <w:szCs w:val="30"/>
          <w:highlight w:val="none"/>
          <w:lang w:val="en-US" w:eastAsia="zh-CN"/>
        </w:rPr>
        <w:t>医用氧气采购项目</w:t>
      </w:r>
    </w:p>
    <w:p w14:paraId="08B6D00A">
      <w:pPr>
        <w:pStyle w:val="20"/>
        <w:shd w:val="clear" w:color="auto" w:fill="auto"/>
        <w:snapToGrid w:val="0"/>
        <w:spacing w:line="360" w:lineRule="auto"/>
        <w:ind w:firstLine="572" w:firstLineChars="200"/>
        <w:rPr>
          <w:rFonts w:hint="eastAsia" w:ascii="仿宋_GB2312" w:hAnsi="宋体" w:eastAsia="仿宋_GB2312"/>
          <w:b/>
          <w:bCs/>
          <w:color w:val="auto"/>
          <w:w w:val="95"/>
          <w:sz w:val="30"/>
          <w:szCs w:val="30"/>
          <w:highlight w:val="none"/>
          <w:lang w:val="en-US" w:eastAsia="zh-CN"/>
        </w:rPr>
      </w:pPr>
      <w:r>
        <w:rPr>
          <w:rFonts w:hint="eastAsia" w:ascii="仿宋_GB2312" w:hAnsi="宋体" w:eastAsia="仿宋_GB2312"/>
          <w:b/>
          <w:bCs/>
          <w:color w:val="auto"/>
          <w:w w:val="95"/>
          <w:sz w:val="30"/>
          <w:szCs w:val="30"/>
          <w:highlight w:val="none"/>
          <w:lang w:val="en-US" w:eastAsia="zh-CN"/>
        </w:rPr>
        <w:t>项目编号：GXZC2026-G3-001949-JGJD</w:t>
      </w:r>
    </w:p>
    <w:p w14:paraId="684324ED">
      <w:pPr>
        <w:pStyle w:val="20"/>
        <w:shd w:val="clear" w:color="auto" w:fill="auto"/>
        <w:snapToGrid w:val="0"/>
        <w:spacing w:line="360" w:lineRule="auto"/>
        <w:ind w:firstLine="572" w:firstLineChars="200"/>
        <w:rPr>
          <w:rFonts w:hint="eastAsia" w:ascii="仿宋_GB2312" w:hAnsi="宋体" w:eastAsia="仿宋_GB2312"/>
          <w:b/>
          <w:bCs/>
          <w:color w:val="auto"/>
          <w:w w:val="95"/>
          <w:sz w:val="30"/>
          <w:szCs w:val="30"/>
          <w:highlight w:val="none"/>
          <w:lang w:val="en-US" w:eastAsia="zh-CN"/>
        </w:rPr>
      </w:pPr>
      <w:r>
        <w:rPr>
          <w:rFonts w:hint="eastAsia" w:ascii="仿宋_GB2312" w:hAnsi="宋体" w:eastAsia="仿宋_GB2312"/>
          <w:b/>
          <w:bCs/>
          <w:color w:val="auto"/>
          <w:w w:val="95"/>
          <w:sz w:val="30"/>
          <w:szCs w:val="30"/>
          <w:highlight w:val="none"/>
          <w:lang w:val="en-US" w:eastAsia="zh-CN"/>
        </w:rPr>
        <w:t>采购人：广西壮族自治区江滨医院</w:t>
      </w:r>
    </w:p>
    <w:p w14:paraId="00F53708">
      <w:pPr>
        <w:pStyle w:val="20"/>
        <w:shd w:val="clear" w:color="auto" w:fill="auto"/>
        <w:snapToGrid w:val="0"/>
        <w:spacing w:line="360" w:lineRule="auto"/>
        <w:ind w:firstLine="572" w:firstLineChars="200"/>
        <w:rPr>
          <w:rFonts w:hint="eastAsia" w:ascii="仿宋_GB2312" w:hAnsi="宋体" w:eastAsia="仿宋_GB2312"/>
          <w:b/>
          <w:bCs/>
          <w:color w:val="auto"/>
          <w:w w:val="95"/>
          <w:sz w:val="30"/>
          <w:szCs w:val="30"/>
          <w:highlight w:val="none"/>
          <w:lang w:val="en-US" w:eastAsia="zh-CN"/>
        </w:rPr>
      </w:pPr>
      <w:r>
        <w:rPr>
          <w:rFonts w:hint="eastAsia" w:ascii="仿宋_GB2312" w:hAnsi="宋体" w:eastAsia="仿宋_GB2312"/>
          <w:b/>
          <w:bCs/>
          <w:color w:val="auto"/>
          <w:w w:val="95"/>
          <w:sz w:val="30"/>
          <w:szCs w:val="30"/>
          <w:highlight w:val="none"/>
          <w:lang w:val="en-US" w:eastAsia="zh-CN"/>
        </w:rPr>
        <w:t>采购代理机构：广西建设工程机电设备招标中心有限公司</w:t>
      </w:r>
    </w:p>
    <w:p w14:paraId="0DDFB858">
      <w:pPr>
        <w:pStyle w:val="20"/>
        <w:shd w:val="clear" w:color="auto" w:fill="auto"/>
        <w:snapToGrid w:val="0"/>
        <w:spacing w:line="360" w:lineRule="auto"/>
        <w:ind w:firstLine="572" w:firstLineChars="200"/>
        <w:rPr>
          <w:rFonts w:hint="eastAsia" w:ascii="仿宋_GB2312" w:hAnsi="宋体" w:eastAsia="仿宋_GB2312"/>
          <w:b/>
          <w:bCs/>
          <w:color w:val="auto"/>
          <w:w w:val="95"/>
          <w:sz w:val="30"/>
          <w:szCs w:val="30"/>
          <w:highlight w:val="none"/>
          <w:lang w:val="en-US" w:eastAsia="zh-CN"/>
        </w:rPr>
      </w:pPr>
    </w:p>
    <w:p w14:paraId="4D639652">
      <w:pPr>
        <w:pStyle w:val="20"/>
        <w:shd w:val="clear" w:color="auto" w:fill="auto"/>
        <w:snapToGrid w:val="0"/>
        <w:spacing w:line="360" w:lineRule="auto"/>
        <w:ind w:firstLine="572" w:firstLineChars="200"/>
        <w:jc w:val="center"/>
        <w:rPr>
          <w:rFonts w:hint="eastAsia" w:ascii="仿宋_GB2312" w:hAnsi="宋体" w:eastAsia="仿宋_GB2312"/>
          <w:b/>
          <w:bCs/>
          <w:color w:val="auto"/>
          <w:w w:val="95"/>
          <w:sz w:val="30"/>
          <w:szCs w:val="30"/>
          <w:highlight w:val="none"/>
          <w:lang w:val="en-US" w:eastAsia="zh-CN"/>
        </w:rPr>
      </w:pPr>
      <w:r>
        <w:rPr>
          <w:rFonts w:hint="eastAsia" w:ascii="仿宋_GB2312" w:hAnsi="宋体" w:eastAsia="仿宋_GB2312"/>
          <w:b/>
          <w:bCs/>
          <w:color w:val="auto"/>
          <w:w w:val="95"/>
          <w:sz w:val="30"/>
          <w:szCs w:val="30"/>
          <w:highlight w:val="none"/>
          <w:lang w:val="en-US" w:eastAsia="zh-CN"/>
        </w:rPr>
        <w:t>202</w:t>
      </w:r>
      <w:r>
        <w:rPr>
          <w:rFonts w:hint="eastAsia" w:ascii="仿宋_GB2312" w:hAnsi="宋体" w:eastAsia="仿宋_GB2312"/>
          <w:b/>
          <w:bCs/>
          <w:color w:val="auto"/>
          <w:w w:val="95"/>
          <w:sz w:val="30"/>
          <w:szCs w:val="30"/>
          <w:highlight w:val="none"/>
          <w:lang w:val="en-US" w:eastAsia="zh-CN"/>
        </w:rPr>
        <w:t>6年</w:t>
      </w:r>
      <w:r>
        <w:rPr>
          <w:rFonts w:hint="eastAsia" w:ascii="仿宋_GB2312" w:hAnsi="宋体" w:eastAsia="仿宋_GB2312"/>
          <w:b/>
          <w:bCs/>
          <w:color w:val="auto"/>
          <w:w w:val="95"/>
          <w:sz w:val="30"/>
          <w:szCs w:val="30"/>
          <w:highlight w:val="none"/>
          <w:lang w:val="en-US" w:eastAsia="zh-CN"/>
        </w:rPr>
        <w:t>7月</w:t>
      </w:r>
      <w:r>
        <w:rPr>
          <w:rFonts w:hint="eastAsia" w:ascii="仿宋_GB2312" w:hAnsi="宋体" w:eastAsia="仿宋_GB2312"/>
          <w:b/>
          <w:bCs/>
          <w:color w:val="auto"/>
          <w:w w:val="95"/>
          <w:sz w:val="30"/>
          <w:szCs w:val="30"/>
          <w:highlight w:val="none"/>
          <w:lang w:val="en-US" w:eastAsia="zh-CN"/>
        </w:rPr>
        <w:t>9日</w:t>
      </w:r>
    </w:p>
    <w:p w14:paraId="01C6F2B8">
      <w:pPr>
        <w:pStyle w:val="15"/>
        <w:shd w:val="clear" w:color="auto" w:fill="auto"/>
        <w:kinsoku w:val="0"/>
        <w:overflowPunct w:val="0"/>
        <w:rPr>
          <w:rFonts w:hint="eastAsia"/>
          <w:color w:val="auto"/>
          <w:sz w:val="40"/>
          <w:highlight w:val="none"/>
        </w:rPr>
      </w:pPr>
    </w:p>
    <w:p w14:paraId="6C41B507">
      <w:pPr>
        <w:jc w:val="center"/>
        <w:rPr>
          <w:rFonts w:hint="eastAsia" w:ascii="宋体" w:hAnsi="宋体" w:cs="宋体"/>
          <w:b/>
          <w:bCs/>
          <w:color w:val="auto"/>
          <w:sz w:val="48"/>
          <w:szCs w:val="48"/>
          <w:highlight w:val="none"/>
        </w:rPr>
      </w:pPr>
    </w:p>
    <w:p w14:paraId="1481E3AF">
      <w:pPr>
        <w:jc w:val="center"/>
        <w:rPr>
          <w:rFonts w:hint="eastAsia" w:ascii="宋体" w:hAnsi="宋体" w:cs="宋体"/>
          <w:b/>
          <w:bCs/>
          <w:color w:val="auto"/>
          <w:sz w:val="48"/>
          <w:szCs w:val="48"/>
          <w:highlight w:val="none"/>
        </w:rPr>
      </w:pPr>
    </w:p>
    <w:p w14:paraId="7B001412">
      <w:pPr>
        <w:jc w:val="center"/>
        <w:rPr>
          <w:rFonts w:hint="eastAsia" w:ascii="宋体" w:hAnsi="宋体" w:cs="宋体"/>
          <w:b/>
          <w:bCs/>
          <w:color w:val="auto"/>
          <w:sz w:val="48"/>
          <w:szCs w:val="48"/>
          <w:highlight w:val="none"/>
        </w:rPr>
      </w:pPr>
    </w:p>
    <w:bookmarkEnd w:id="0"/>
    <w:p w14:paraId="7DEB1FA0">
      <w:pPr>
        <w:pStyle w:val="20"/>
        <w:spacing w:before="120" w:after="120" w:line="360" w:lineRule="auto"/>
        <w:jc w:val="center"/>
        <w:rPr>
          <w:rFonts w:hint="eastAsia" w:hAnsi="宋体" w:cs="宋体"/>
          <w:b/>
          <w:color w:val="auto"/>
          <w:sz w:val="44"/>
          <w:szCs w:val="44"/>
          <w:highlight w:val="none"/>
        </w:rPr>
        <w:sectPr>
          <w:footerReference r:id="rId6" w:type="first"/>
          <w:headerReference r:id="rId3" w:type="default"/>
          <w:footerReference r:id="rId4" w:type="default"/>
          <w:footerReference r:id="rId5" w:type="even"/>
          <w:pgSz w:w="11906" w:h="16838"/>
          <w:pgMar w:top="1440" w:right="1757" w:bottom="1440" w:left="1803" w:header="850" w:footer="850" w:gutter="0"/>
          <w:pgNumType w:start="0"/>
          <w:cols w:space="720" w:num="1"/>
          <w:titlePg/>
          <w:docGrid w:linePitch="312" w:charSpace="0"/>
        </w:sectPr>
      </w:pPr>
    </w:p>
    <w:p w14:paraId="52A8DFF0">
      <w:pPr>
        <w:pStyle w:val="20"/>
        <w:keepNext w:val="0"/>
        <w:keepLines w:val="0"/>
        <w:pageBreakBefore w:val="0"/>
        <w:widowControl w:val="0"/>
        <w:kinsoku/>
        <w:wordWrap/>
        <w:overflowPunct/>
        <w:topLinePunct w:val="0"/>
        <w:autoSpaceDE/>
        <w:autoSpaceDN/>
        <w:bidi w:val="0"/>
        <w:adjustRightInd/>
        <w:spacing w:before="120" w:after="120" w:line="360" w:lineRule="auto"/>
        <w:jc w:val="center"/>
        <w:textAlignment w:val="auto"/>
        <w:rPr>
          <w:rFonts w:hint="eastAsia" w:hAnsi="宋体" w:cs="宋体"/>
          <w:b/>
          <w:color w:val="auto"/>
          <w:sz w:val="44"/>
          <w:szCs w:val="44"/>
          <w:highlight w:val="none"/>
        </w:rPr>
      </w:pPr>
      <w:r>
        <w:rPr>
          <w:rFonts w:hint="eastAsia" w:hAnsi="宋体" w:cs="宋体"/>
          <w:b/>
          <w:color w:val="auto"/>
          <w:sz w:val="44"/>
          <w:szCs w:val="44"/>
          <w:highlight w:val="none"/>
        </w:rPr>
        <w:t>目  录</w:t>
      </w:r>
    </w:p>
    <w:p w14:paraId="623A064F">
      <w:pPr>
        <w:pStyle w:val="27"/>
        <w:tabs>
          <w:tab w:val="right" w:leader="dot" w:pos="8306"/>
        </w:tabs>
        <w:rPr>
          <w:color w:val="auto"/>
          <w:highlight w:val="none"/>
        </w:rPr>
      </w:pPr>
      <w:bookmarkStart w:id="5" w:name="OLE_LINK6"/>
      <w:bookmarkStart w:id="6" w:name="OLE_LINK9"/>
      <w:r>
        <w:rPr>
          <w:rFonts w:hint="eastAsia" w:cs="宋体"/>
          <w:b w:val="0"/>
          <w:bCs w:val="0"/>
          <w:color w:val="auto"/>
          <w:highlight w:val="none"/>
        </w:rPr>
        <w:fldChar w:fldCharType="begin"/>
      </w:r>
      <w:r>
        <w:rPr>
          <w:rFonts w:hint="eastAsia" w:cs="宋体"/>
          <w:b w:val="0"/>
          <w:bCs w:val="0"/>
          <w:color w:val="auto"/>
          <w:highlight w:val="none"/>
        </w:rPr>
        <w:instrText xml:space="preserve">TOC \o "1-3" \h \u </w:instrText>
      </w:r>
      <w:r>
        <w:rPr>
          <w:rFonts w:hint="eastAsia" w:cs="宋体"/>
          <w:b w:val="0"/>
          <w:bCs w:val="0"/>
          <w:color w:val="auto"/>
          <w:highlight w:val="none"/>
        </w:rPr>
        <w:fldChar w:fldCharType="separate"/>
      </w: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_Toc1035 </w:instrText>
      </w:r>
      <w:r>
        <w:rPr>
          <w:rFonts w:hint="eastAsia" w:ascii="宋体" w:hAnsi="宋体" w:cs="宋体"/>
          <w:color w:val="auto"/>
          <w:highlight w:val="none"/>
        </w:rPr>
        <w:fldChar w:fldCharType="separate"/>
      </w:r>
      <w:r>
        <w:rPr>
          <w:rFonts w:hint="eastAsia" w:ascii="宋体" w:hAnsi="宋体" w:cs="宋体"/>
          <w:color w:val="auto"/>
          <w:highlight w:val="none"/>
        </w:rPr>
        <w:t>第一章  招标公告</w:t>
      </w:r>
      <w:r>
        <w:rPr>
          <w:color w:val="auto"/>
          <w:highlight w:val="none"/>
        </w:rPr>
        <w:tab/>
      </w:r>
      <w:r>
        <w:rPr>
          <w:color w:val="auto"/>
          <w:highlight w:val="none"/>
        </w:rPr>
        <w:fldChar w:fldCharType="begin"/>
      </w:r>
      <w:r>
        <w:rPr>
          <w:color w:val="auto"/>
          <w:highlight w:val="none"/>
        </w:rPr>
        <w:instrText xml:space="preserve"> PAGEREF _Toc1035 \h </w:instrText>
      </w:r>
      <w:r>
        <w:rPr>
          <w:color w:val="auto"/>
          <w:highlight w:val="none"/>
        </w:rPr>
        <w:fldChar w:fldCharType="separate"/>
      </w:r>
      <w:r>
        <w:rPr>
          <w:color w:val="auto"/>
          <w:highlight w:val="none"/>
        </w:rPr>
        <w:t>2</w:t>
      </w:r>
      <w:r>
        <w:rPr>
          <w:color w:val="auto"/>
          <w:highlight w:val="none"/>
        </w:rPr>
        <w:fldChar w:fldCharType="end"/>
      </w:r>
      <w:r>
        <w:rPr>
          <w:rFonts w:hint="eastAsia" w:ascii="宋体" w:hAnsi="宋体" w:cs="宋体"/>
          <w:color w:val="auto"/>
          <w:highlight w:val="none"/>
        </w:rPr>
        <w:fldChar w:fldCharType="end"/>
      </w:r>
    </w:p>
    <w:p w14:paraId="1BF21958">
      <w:pPr>
        <w:pStyle w:val="27"/>
        <w:tabs>
          <w:tab w:val="right" w:leader="dot" w:pos="8306"/>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_Toc14264 </w:instrText>
      </w:r>
      <w:r>
        <w:rPr>
          <w:rFonts w:hint="eastAsia" w:ascii="宋体" w:hAnsi="宋体" w:cs="宋体"/>
          <w:color w:val="auto"/>
          <w:highlight w:val="none"/>
        </w:rPr>
        <w:fldChar w:fldCharType="separate"/>
      </w:r>
      <w:r>
        <w:rPr>
          <w:rFonts w:hint="eastAsia" w:ascii="宋体" w:hAnsi="宋体" w:cs="宋体"/>
          <w:color w:val="auto"/>
          <w:highlight w:val="none"/>
        </w:rPr>
        <w:t>第二章  采购需求</w:t>
      </w:r>
      <w:r>
        <w:rPr>
          <w:color w:val="auto"/>
          <w:highlight w:val="none"/>
        </w:rPr>
        <w:tab/>
      </w:r>
      <w:r>
        <w:rPr>
          <w:color w:val="auto"/>
          <w:highlight w:val="none"/>
        </w:rPr>
        <w:fldChar w:fldCharType="begin"/>
      </w:r>
      <w:r>
        <w:rPr>
          <w:color w:val="auto"/>
          <w:highlight w:val="none"/>
        </w:rPr>
        <w:instrText xml:space="preserve"> PAGEREF _Toc14264 \h </w:instrText>
      </w:r>
      <w:r>
        <w:rPr>
          <w:color w:val="auto"/>
          <w:highlight w:val="none"/>
        </w:rPr>
        <w:fldChar w:fldCharType="separate"/>
      </w:r>
      <w:r>
        <w:rPr>
          <w:color w:val="auto"/>
          <w:highlight w:val="none"/>
        </w:rPr>
        <w:t>6</w:t>
      </w:r>
      <w:r>
        <w:rPr>
          <w:color w:val="auto"/>
          <w:highlight w:val="none"/>
        </w:rPr>
        <w:fldChar w:fldCharType="end"/>
      </w:r>
      <w:r>
        <w:rPr>
          <w:rFonts w:hint="eastAsia" w:ascii="宋体" w:hAnsi="宋体" w:cs="宋体"/>
          <w:color w:val="auto"/>
          <w:highlight w:val="none"/>
        </w:rPr>
        <w:fldChar w:fldCharType="end"/>
      </w:r>
    </w:p>
    <w:p w14:paraId="23E9DE3E">
      <w:pPr>
        <w:pStyle w:val="27"/>
        <w:tabs>
          <w:tab w:val="right" w:leader="dot" w:pos="8306"/>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_Toc13025 </w:instrText>
      </w:r>
      <w:r>
        <w:rPr>
          <w:rFonts w:hint="eastAsia" w:ascii="宋体" w:hAnsi="宋体" w:cs="宋体"/>
          <w:color w:val="auto"/>
          <w:highlight w:val="none"/>
        </w:rPr>
        <w:fldChar w:fldCharType="separate"/>
      </w:r>
      <w:r>
        <w:rPr>
          <w:rFonts w:hint="eastAsia" w:ascii="宋体" w:hAnsi="宋体" w:cs="宋体"/>
          <w:color w:val="auto"/>
          <w:highlight w:val="none"/>
        </w:rPr>
        <w:t>第三章  投标人须知</w:t>
      </w:r>
      <w:r>
        <w:rPr>
          <w:color w:val="auto"/>
          <w:highlight w:val="none"/>
        </w:rPr>
        <w:tab/>
      </w:r>
      <w:r>
        <w:rPr>
          <w:color w:val="auto"/>
          <w:highlight w:val="none"/>
        </w:rPr>
        <w:fldChar w:fldCharType="begin"/>
      </w:r>
      <w:r>
        <w:rPr>
          <w:color w:val="auto"/>
          <w:highlight w:val="none"/>
        </w:rPr>
        <w:instrText xml:space="preserve"> PAGEREF _Toc13025 \h </w:instrText>
      </w:r>
      <w:r>
        <w:rPr>
          <w:color w:val="auto"/>
          <w:highlight w:val="none"/>
        </w:rPr>
        <w:fldChar w:fldCharType="separate"/>
      </w:r>
      <w:r>
        <w:rPr>
          <w:color w:val="auto"/>
          <w:highlight w:val="none"/>
        </w:rPr>
        <w:t>17</w:t>
      </w:r>
      <w:r>
        <w:rPr>
          <w:color w:val="auto"/>
          <w:highlight w:val="none"/>
        </w:rPr>
        <w:fldChar w:fldCharType="end"/>
      </w:r>
      <w:r>
        <w:rPr>
          <w:rFonts w:hint="eastAsia" w:ascii="宋体" w:hAnsi="宋体" w:cs="宋体"/>
          <w:color w:val="auto"/>
          <w:highlight w:val="none"/>
        </w:rPr>
        <w:fldChar w:fldCharType="end"/>
      </w:r>
    </w:p>
    <w:p w14:paraId="18F1892C">
      <w:pPr>
        <w:pStyle w:val="27"/>
        <w:tabs>
          <w:tab w:val="right" w:leader="dot" w:pos="8306"/>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_Toc13694 </w:instrText>
      </w:r>
      <w:r>
        <w:rPr>
          <w:rFonts w:hint="eastAsia" w:ascii="宋体" w:hAnsi="宋体" w:cs="宋体"/>
          <w:color w:val="auto"/>
          <w:highlight w:val="none"/>
        </w:rPr>
        <w:fldChar w:fldCharType="separate"/>
      </w:r>
      <w:r>
        <w:rPr>
          <w:rFonts w:hint="eastAsia" w:ascii="宋体" w:hAnsi="宋体" w:cs="宋体"/>
          <w:color w:val="auto"/>
          <w:highlight w:val="none"/>
        </w:rPr>
        <w:t>第四章  评标方法及评标标准</w:t>
      </w:r>
      <w:r>
        <w:rPr>
          <w:color w:val="auto"/>
          <w:highlight w:val="none"/>
        </w:rPr>
        <w:tab/>
      </w:r>
      <w:r>
        <w:rPr>
          <w:color w:val="auto"/>
          <w:highlight w:val="none"/>
        </w:rPr>
        <w:fldChar w:fldCharType="begin"/>
      </w:r>
      <w:r>
        <w:rPr>
          <w:color w:val="auto"/>
          <w:highlight w:val="none"/>
        </w:rPr>
        <w:instrText xml:space="preserve"> PAGEREF _Toc13694 \h </w:instrText>
      </w:r>
      <w:r>
        <w:rPr>
          <w:color w:val="auto"/>
          <w:highlight w:val="none"/>
        </w:rPr>
        <w:fldChar w:fldCharType="separate"/>
      </w:r>
      <w:r>
        <w:rPr>
          <w:color w:val="auto"/>
          <w:highlight w:val="none"/>
        </w:rPr>
        <w:t>40</w:t>
      </w:r>
      <w:r>
        <w:rPr>
          <w:color w:val="auto"/>
          <w:highlight w:val="none"/>
        </w:rPr>
        <w:fldChar w:fldCharType="end"/>
      </w:r>
      <w:r>
        <w:rPr>
          <w:rFonts w:hint="eastAsia" w:ascii="宋体" w:hAnsi="宋体" w:cs="宋体"/>
          <w:color w:val="auto"/>
          <w:highlight w:val="none"/>
        </w:rPr>
        <w:fldChar w:fldCharType="end"/>
      </w:r>
    </w:p>
    <w:p w14:paraId="643B99E5">
      <w:pPr>
        <w:pStyle w:val="27"/>
        <w:tabs>
          <w:tab w:val="right" w:leader="dot" w:pos="8306"/>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_Toc12821 </w:instrText>
      </w:r>
      <w:r>
        <w:rPr>
          <w:rFonts w:hint="eastAsia" w:ascii="宋体" w:hAnsi="宋体" w:cs="宋体"/>
          <w:color w:val="auto"/>
          <w:highlight w:val="none"/>
        </w:rPr>
        <w:fldChar w:fldCharType="separate"/>
      </w:r>
      <w:r>
        <w:rPr>
          <w:rFonts w:hint="eastAsia" w:ascii="宋体" w:hAnsi="宋体" w:cs="宋体"/>
          <w:color w:val="auto"/>
          <w:highlight w:val="none"/>
        </w:rPr>
        <w:t>第五章  拟签订的合同文本</w:t>
      </w:r>
      <w:r>
        <w:rPr>
          <w:color w:val="auto"/>
          <w:highlight w:val="none"/>
        </w:rPr>
        <w:tab/>
      </w:r>
      <w:r>
        <w:rPr>
          <w:color w:val="auto"/>
          <w:highlight w:val="none"/>
        </w:rPr>
        <w:fldChar w:fldCharType="begin"/>
      </w:r>
      <w:r>
        <w:rPr>
          <w:color w:val="auto"/>
          <w:highlight w:val="none"/>
        </w:rPr>
        <w:instrText xml:space="preserve"> PAGEREF _Toc12821 \h </w:instrText>
      </w:r>
      <w:r>
        <w:rPr>
          <w:color w:val="auto"/>
          <w:highlight w:val="none"/>
        </w:rPr>
        <w:fldChar w:fldCharType="separate"/>
      </w:r>
      <w:r>
        <w:rPr>
          <w:color w:val="auto"/>
          <w:highlight w:val="none"/>
        </w:rPr>
        <w:t>49</w:t>
      </w:r>
      <w:r>
        <w:rPr>
          <w:color w:val="auto"/>
          <w:highlight w:val="none"/>
        </w:rPr>
        <w:fldChar w:fldCharType="end"/>
      </w:r>
      <w:r>
        <w:rPr>
          <w:rFonts w:hint="eastAsia" w:ascii="宋体" w:hAnsi="宋体" w:cs="宋体"/>
          <w:color w:val="auto"/>
          <w:highlight w:val="none"/>
        </w:rPr>
        <w:fldChar w:fldCharType="end"/>
      </w:r>
    </w:p>
    <w:p w14:paraId="361FE539">
      <w:pPr>
        <w:pStyle w:val="27"/>
        <w:tabs>
          <w:tab w:val="right" w:leader="dot" w:pos="8306"/>
        </w:tabs>
        <w:rPr>
          <w:color w:val="auto"/>
          <w:highlight w:val="none"/>
        </w:rPr>
      </w:pPr>
      <w:r>
        <w:rPr>
          <w:rFonts w:hint="eastAsia" w:ascii="宋体" w:hAnsi="宋体" w:cs="宋体"/>
          <w:color w:val="auto"/>
          <w:highlight w:val="none"/>
        </w:rPr>
        <w:fldChar w:fldCharType="begin"/>
      </w:r>
      <w:r>
        <w:rPr>
          <w:rFonts w:hint="eastAsia" w:ascii="宋体" w:hAnsi="宋体" w:cs="宋体"/>
          <w:color w:val="auto"/>
          <w:highlight w:val="none"/>
        </w:rPr>
        <w:instrText xml:space="preserve"> HYPERLINK \l _Toc2821 </w:instrText>
      </w:r>
      <w:r>
        <w:rPr>
          <w:rFonts w:hint="eastAsia" w:ascii="宋体" w:hAnsi="宋体" w:cs="宋体"/>
          <w:color w:val="auto"/>
          <w:highlight w:val="none"/>
        </w:rPr>
        <w:fldChar w:fldCharType="separate"/>
      </w:r>
      <w:r>
        <w:rPr>
          <w:rFonts w:hint="eastAsia" w:ascii="宋体" w:hAnsi="宋体" w:cs="宋体"/>
          <w:color w:val="auto"/>
          <w:highlight w:val="none"/>
        </w:rPr>
        <w:t>第六章　投标文件格式</w:t>
      </w:r>
      <w:r>
        <w:rPr>
          <w:color w:val="auto"/>
          <w:highlight w:val="none"/>
        </w:rPr>
        <w:tab/>
      </w:r>
      <w:r>
        <w:rPr>
          <w:color w:val="auto"/>
          <w:highlight w:val="none"/>
        </w:rPr>
        <w:fldChar w:fldCharType="begin"/>
      </w:r>
      <w:r>
        <w:rPr>
          <w:color w:val="auto"/>
          <w:highlight w:val="none"/>
        </w:rPr>
        <w:instrText xml:space="preserve"> PAGEREF _Toc2821 \h </w:instrText>
      </w:r>
      <w:r>
        <w:rPr>
          <w:color w:val="auto"/>
          <w:highlight w:val="none"/>
        </w:rPr>
        <w:fldChar w:fldCharType="separate"/>
      </w:r>
      <w:r>
        <w:rPr>
          <w:color w:val="auto"/>
          <w:highlight w:val="none"/>
        </w:rPr>
        <w:t>59</w:t>
      </w:r>
      <w:r>
        <w:rPr>
          <w:color w:val="auto"/>
          <w:highlight w:val="none"/>
        </w:rPr>
        <w:fldChar w:fldCharType="end"/>
      </w:r>
      <w:r>
        <w:rPr>
          <w:rFonts w:hint="eastAsia" w:ascii="宋体" w:hAnsi="宋体" w:cs="宋体"/>
          <w:color w:val="auto"/>
          <w:highlight w:val="none"/>
        </w:rPr>
        <w:fldChar w:fldCharType="end"/>
      </w:r>
    </w:p>
    <w:p w14:paraId="6C380F4D">
      <w:pPr>
        <w:pStyle w:val="31"/>
        <w:tabs>
          <w:tab w:val="right" w:leader="dot" w:pos="8306"/>
        </w:tabs>
        <w:rPr>
          <w:color w:val="auto"/>
          <w:highlight w:val="none"/>
        </w:rPr>
      </w:pPr>
    </w:p>
    <w:p w14:paraId="731F2725">
      <w:pPr>
        <w:pStyle w:val="2"/>
        <w:keepNext w:val="0"/>
        <w:keepLines w:val="0"/>
        <w:pageBreakBefore w:val="0"/>
        <w:tabs>
          <w:tab w:val="left" w:pos="0"/>
          <w:tab w:val="left" w:pos="3165"/>
          <w:tab w:val="center" w:pos="4153"/>
        </w:tabs>
        <w:kinsoku/>
        <w:overflowPunct/>
        <w:topLinePunct w:val="0"/>
        <w:autoSpaceDE w:val="0"/>
        <w:autoSpaceDN w:val="0"/>
        <w:bidi w:val="0"/>
        <w:adjustRightInd w:val="0"/>
        <w:spacing w:before="0" w:after="0" w:line="240" w:lineRule="auto"/>
        <w:jc w:val="center"/>
        <w:textAlignment w:val="auto"/>
        <w:rPr>
          <w:rFonts w:hint="eastAsia" w:ascii="宋体" w:hAnsi="宋体" w:cs="宋体"/>
          <w:color w:val="auto"/>
          <w:highlight w:val="none"/>
        </w:rPr>
      </w:pPr>
      <w:r>
        <w:rPr>
          <w:rFonts w:hint="eastAsia" w:ascii="宋体" w:hAnsi="宋体" w:cs="宋体"/>
          <w:color w:val="auto"/>
          <w:highlight w:val="none"/>
        </w:rPr>
        <w:fldChar w:fldCharType="end"/>
      </w:r>
      <w:bookmarkEnd w:id="5"/>
      <w:bookmarkEnd w:id="6"/>
      <w:bookmarkStart w:id="7" w:name="_Toc254970630"/>
      <w:bookmarkStart w:id="8" w:name="_Toc254970489"/>
      <w:bookmarkStart w:id="9" w:name="_Toc1035"/>
      <w:bookmarkStart w:id="10" w:name="_Toc21030"/>
      <w:bookmarkStart w:id="11" w:name="_Toc16993"/>
      <w:bookmarkStart w:id="12" w:name="_Toc5452"/>
    </w:p>
    <w:p w14:paraId="39AADB00">
      <w:pPr>
        <w:rPr>
          <w:rFonts w:hint="eastAsia" w:ascii="宋体" w:hAnsi="宋体" w:cs="宋体"/>
          <w:color w:val="auto"/>
          <w:highlight w:val="none"/>
        </w:rPr>
      </w:pPr>
      <w:r>
        <w:rPr>
          <w:rFonts w:hint="eastAsia" w:ascii="宋体" w:hAnsi="宋体" w:cs="宋体"/>
          <w:color w:val="auto"/>
          <w:highlight w:val="none"/>
        </w:rPr>
        <w:br w:type="page"/>
      </w:r>
    </w:p>
    <w:p w14:paraId="167E7602">
      <w:pPr>
        <w:pStyle w:val="2"/>
        <w:keepNext w:val="0"/>
        <w:keepLines w:val="0"/>
        <w:pageBreakBefore w:val="0"/>
        <w:tabs>
          <w:tab w:val="left" w:pos="0"/>
          <w:tab w:val="left" w:pos="3165"/>
          <w:tab w:val="center" w:pos="4153"/>
        </w:tabs>
        <w:kinsoku/>
        <w:overflowPunct/>
        <w:topLinePunct w:val="0"/>
        <w:autoSpaceDE w:val="0"/>
        <w:autoSpaceDN w:val="0"/>
        <w:bidi w:val="0"/>
        <w:adjustRightInd w:val="0"/>
        <w:spacing w:before="0" w:after="0" w:line="240" w:lineRule="auto"/>
        <w:jc w:val="center"/>
        <w:textAlignment w:val="auto"/>
        <w:rPr>
          <w:rFonts w:hint="eastAsia" w:ascii="宋体" w:hAnsi="宋体" w:cs="宋体"/>
          <w:color w:val="auto"/>
          <w:highlight w:val="none"/>
        </w:rPr>
      </w:pPr>
      <w:r>
        <w:rPr>
          <w:rFonts w:hint="eastAsia" w:ascii="宋体" w:hAnsi="宋体" w:cs="宋体"/>
          <w:color w:val="auto"/>
          <w:highlight w:val="none"/>
        </w:rPr>
        <w:t>第一章</w:t>
      </w:r>
      <w:bookmarkEnd w:id="7"/>
      <w:bookmarkEnd w:id="8"/>
      <w:bookmarkStart w:id="13" w:name="_Toc35393789"/>
      <w:bookmarkStart w:id="14" w:name="_Toc28359001"/>
      <w:r>
        <w:rPr>
          <w:rFonts w:hint="eastAsia" w:ascii="宋体" w:hAnsi="宋体" w:cs="宋体"/>
          <w:color w:val="auto"/>
          <w:highlight w:val="none"/>
        </w:rPr>
        <w:t xml:space="preserve">  招标公告</w:t>
      </w:r>
      <w:bookmarkEnd w:id="9"/>
      <w:bookmarkEnd w:id="10"/>
      <w:bookmarkEnd w:id="11"/>
      <w:bookmarkEnd w:id="12"/>
      <w:bookmarkEnd w:id="13"/>
      <w:bookmarkEnd w:id="14"/>
    </w:p>
    <w:p w14:paraId="6205A746">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bidi w:val="0"/>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项目概况</w:t>
      </w:r>
    </w:p>
    <w:p w14:paraId="1CD40BF4">
      <w:pPr>
        <w:keepNext w:val="0"/>
        <w:keepLines w:val="0"/>
        <w:pageBreakBefore w:val="0"/>
        <w:pBdr>
          <w:top w:val="single" w:color="auto" w:sz="4" w:space="1"/>
          <w:left w:val="single" w:color="auto" w:sz="4" w:space="4"/>
          <w:bottom w:val="single" w:color="auto" w:sz="4" w:space="1"/>
          <w:right w:val="single" w:color="auto" w:sz="4" w:space="4"/>
        </w:pBdr>
        <w:kinsoku/>
        <w:wordWrap w:val="0"/>
        <w:overflowPunct/>
        <w:topLinePunct w:val="0"/>
        <w:bidi w:val="0"/>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u w:val="single"/>
          <w:lang w:eastAsia="zh-CN"/>
        </w:rPr>
        <w:t>医用氧气采购项目</w:t>
      </w:r>
      <w:r>
        <w:rPr>
          <w:rFonts w:hint="eastAsia" w:ascii="宋体" w:hAnsi="宋体" w:cs="宋体"/>
          <w:color w:val="auto"/>
          <w:szCs w:val="21"/>
          <w:highlight w:val="none"/>
        </w:rPr>
        <w:t>招标项目的潜在投标人应在广西政府采购云平台（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）获取招标文件，并于</w:t>
      </w:r>
      <w:r>
        <w:rPr>
          <w:rFonts w:hint="eastAsia" w:ascii="宋体" w:hAnsi="宋体" w:eastAsia="宋体" w:cs="Times New Roman"/>
          <w:color w:val="auto"/>
          <w:szCs w:val="21"/>
          <w:highlight w:val="none"/>
          <w:u w:val="single"/>
          <w:lang w:eastAsia="zh-CN"/>
        </w:rPr>
        <w:t>2026年</w:t>
      </w:r>
      <w:r>
        <w:rPr>
          <w:rFonts w:hint="eastAsia" w:ascii="宋体" w:hAnsi="宋体" w:cs="Times New Roman"/>
          <w:color w:val="auto"/>
          <w:szCs w:val="21"/>
          <w:highlight w:val="none"/>
          <w:u w:val="single"/>
          <w:lang w:val="en-US" w:eastAsia="zh-CN"/>
        </w:rPr>
        <w:t>7</w:t>
      </w:r>
      <w:r>
        <w:rPr>
          <w:rFonts w:hint="eastAsia" w:ascii="宋体" w:hAnsi="宋体" w:eastAsia="宋体" w:cs="Times New Roman"/>
          <w:color w:val="auto"/>
          <w:szCs w:val="21"/>
          <w:highlight w:val="none"/>
          <w:u w:val="single"/>
          <w:lang w:eastAsia="zh-CN"/>
        </w:rPr>
        <w:t>月</w:t>
      </w:r>
      <w:r>
        <w:rPr>
          <w:rFonts w:hint="eastAsia" w:ascii="宋体" w:hAnsi="宋体" w:cs="Times New Roman"/>
          <w:color w:val="auto"/>
          <w:szCs w:val="21"/>
          <w:highlight w:val="none"/>
          <w:u w:val="single"/>
          <w:lang w:val="en-US" w:eastAsia="zh-CN"/>
        </w:rPr>
        <w:t>30</w:t>
      </w:r>
      <w:r>
        <w:rPr>
          <w:rFonts w:hint="eastAsia" w:ascii="宋体" w:hAnsi="宋体" w:eastAsia="宋体" w:cs="Times New Roman"/>
          <w:color w:val="auto"/>
          <w:szCs w:val="21"/>
          <w:highlight w:val="none"/>
          <w:u w:val="single"/>
          <w:lang w:eastAsia="zh-CN"/>
        </w:rPr>
        <w:t>日</w:t>
      </w:r>
      <w:r>
        <w:rPr>
          <w:rFonts w:hint="eastAsia" w:ascii="宋体" w:hAnsi="宋体" w:cs="宋体"/>
          <w:bCs/>
          <w:color w:val="auto"/>
          <w:szCs w:val="21"/>
          <w:highlight w:val="none"/>
          <w:u w:val="single"/>
        </w:rPr>
        <w:t>9时30分（</w:t>
      </w:r>
      <w:r>
        <w:rPr>
          <w:rFonts w:hint="eastAsia" w:ascii="宋体" w:hAnsi="宋体" w:cs="宋体"/>
          <w:bCs/>
          <w:color w:val="auto"/>
          <w:szCs w:val="21"/>
          <w:highlight w:val="none"/>
        </w:rPr>
        <w:t>北京时间）前递交投标文件</w:t>
      </w:r>
      <w:r>
        <w:rPr>
          <w:rFonts w:hint="eastAsia" w:ascii="宋体" w:hAnsi="宋体" w:cs="宋体"/>
          <w:color w:val="auto"/>
          <w:szCs w:val="21"/>
          <w:highlight w:val="none"/>
        </w:rPr>
        <w:t>。</w:t>
      </w:r>
    </w:p>
    <w:p w14:paraId="7A7F9499">
      <w:pPr>
        <w:keepNext w:val="0"/>
        <w:keepLines w:val="0"/>
        <w:pageBreakBefore w:val="0"/>
        <w:kinsoku/>
        <w:overflowPunct/>
        <w:topLinePunct w:val="0"/>
        <w:bidi w:val="0"/>
        <w:spacing w:line="360" w:lineRule="auto"/>
        <w:textAlignment w:val="auto"/>
        <w:rPr>
          <w:rFonts w:hint="eastAsia" w:ascii="宋体" w:hAnsi="宋体" w:cs="宋体"/>
          <w:b/>
          <w:bCs/>
          <w:color w:val="auto"/>
          <w:sz w:val="24"/>
          <w:highlight w:val="none"/>
        </w:rPr>
      </w:pPr>
      <w:bookmarkStart w:id="15" w:name="_Toc28359079"/>
      <w:bookmarkStart w:id="16" w:name="_Toc35393621"/>
      <w:bookmarkStart w:id="17" w:name="_Toc28359002"/>
      <w:bookmarkStart w:id="18" w:name="_Toc35393790"/>
      <w:bookmarkStart w:id="19" w:name="_Hlk24379207"/>
      <w:r>
        <w:rPr>
          <w:rFonts w:hint="eastAsia" w:ascii="宋体" w:hAnsi="宋体" w:cs="宋体"/>
          <w:b/>
          <w:bCs/>
          <w:color w:val="auto"/>
          <w:sz w:val="24"/>
          <w:highlight w:val="none"/>
        </w:rPr>
        <w:t>一、项目基本情况</w:t>
      </w:r>
      <w:bookmarkEnd w:id="15"/>
      <w:bookmarkEnd w:id="16"/>
      <w:bookmarkEnd w:id="17"/>
      <w:bookmarkEnd w:id="18"/>
    </w:p>
    <w:bookmarkEnd w:id="19"/>
    <w:p w14:paraId="01A9FC79">
      <w:pPr>
        <w:keepNext w:val="0"/>
        <w:keepLines w:val="0"/>
        <w:pageBreakBefore w:val="0"/>
        <w:kinsoku/>
        <w:overflowPunct/>
        <w:topLinePunct w:val="0"/>
        <w:bidi w:val="0"/>
        <w:spacing w:line="360" w:lineRule="auto"/>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项目编号：</w:t>
      </w:r>
      <w:r>
        <w:rPr>
          <w:rFonts w:hint="eastAsia" w:ascii="宋体" w:hAnsi="宋体" w:cs="宋体"/>
          <w:color w:val="auto"/>
          <w:szCs w:val="21"/>
          <w:highlight w:val="none"/>
          <w:lang w:val="en-US" w:eastAsia="zh-CN"/>
        </w:rPr>
        <w:t>GXZC2026-G3-001949-JGJD</w:t>
      </w:r>
    </w:p>
    <w:p w14:paraId="3F748BA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宋体"/>
          <w:color w:val="auto"/>
          <w:highlight w:val="none"/>
          <w:lang w:eastAsia="zh-CN"/>
        </w:rPr>
      </w:pPr>
      <w:r>
        <w:rPr>
          <w:rFonts w:hint="eastAsia" w:ascii="宋体" w:hAnsi="宋体" w:cs="宋体"/>
          <w:color w:val="auto"/>
          <w:szCs w:val="21"/>
          <w:highlight w:val="none"/>
        </w:rPr>
        <w:t>项目名称：</w:t>
      </w:r>
      <w:r>
        <w:rPr>
          <w:rFonts w:hint="eastAsia" w:ascii="宋体" w:hAnsi="宋体" w:cs="宋体"/>
          <w:color w:val="auto"/>
          <w:highlight w:val="none"/>
          <w:lang w:eastAsia="zh-CN"/>
        </w:rPr>
        <w:t>医用氧气采购项目</w:t>
      </w:r>
    </w:p>
    <w:p w14:paraId="6388B35F">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宋体"/>
          <w:color w:val="auto"/>
          <w:szCs w:val="21"/>
          <w:highlight w:val="none"/>
          <w:u w:val="single"/>
          <w:lang w:eastAsia="zh-CN"/>
        </w:rPr>
      </w:pPr>
      <w:r>
        <w:rPr>
          <w:rFonts w:hint="eastAsia" w:ascii="宋体" w:hAnsi="宋体" w:cs="宋体"/>
          <w:color w:val="auto"/>
          <w:highlight w:val="none"/>
        </w:rPr>
        <w:t>预算总金额（元）</w:t>
      </w:r>
      <w:r>
        <w:rPr>
          <w:rFonts w:hint="eastAsia" w:ascii="宋体" w:hAnsi="宋体" w:cs="宋体"/>
          <w:color w:val="auto"/>
          <w:szCs w:val="21"/>
          <w:highlight w:val="none"/>
        </w:rPr>
        <w:t>：</w:t>
      </w:r>
      <w:r>
        <w:rPr>
          <w:rFonts w:hint="eastAsia" w:ascii="宋体" w:hAnsi="宋体" w:cs="宋体"/>
          <w:color w:val="auto"/>
          <w:szCs w:val="21"/>
          <w:highlight w:val="none"/>
          <w:lang w:val="en-US" w:eastAsia="zh-CN"/>
        </w:rPr>
        <w:t>6688550</w:t>
      </w:r>
    </w:p>
    <w:p w14:paraId="1901B210">
      <w:pPr>
        <w:keepNext w:val="0"/>
        <w:keepLines w:val="0"/>
        <w:pageBreakBefore w:val="0"/>
        <w:kinsoku/>
        <w:overflowPunct/>
        <w:topLinePunct w:val="0"/>
        <w:bidi w:val="0"/>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采购需求：</w:t>
      </w:r>
    </w:p>
    <w:p w14:paraId="7F9CAFD6">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标项名称：</w:t>
      </w:r>
      <w:r>
        <w:rPr>
          <w:rFonts w:hint="eastAsia" w:ascii="宋体" w:hAnsi="宋体" w:cs="宋体"/>
          <w:color w:val="auto"/>
          <w:szCs w:val="21"/>
          <w:highlight w:val="none"/>
          <w:lang w:eastAsia="zh-CN"/>
        </w:rPr>
        <w:t>医用氧气采购项目</w:t>
      </w:r>
    </w:p>
    <w:p w14:paraId="629C2DC5">
      <w:pPr>
        <w:keepNext w:val="0"/>
        <w:keepLines w:val="0"/>
        <w:pageBreakBefore w:val="0"/>
        <w:kinsoku/>
        <w:overflowPunct/>
        <w:topLinePunct w:val="0"/>
        <w:bidi w:val="0"/>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数量：1</w:t>
      </w:r>
    </w:p>
    <w:p w14:paraId="5F313838">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预算金额（元）：</w:t>
      </w:r>
      <w:r>
        <w:rPr>
          <w:rFonts w:hint="eastAsia" w:ascii="宋体" w:hAnsi="宋体" w:cs="宋体"/>
          <w:color w:val="auto"/>
          <w:szCs w:val="21"/>
          <w:highlight w:val="none"/>
          <w:lang w:val="en-US" w:eastAsia="zh-CN"/>
        </w:rPr>
        <w:t>6688550</w:t>
      </w:r>
      <w:r>
        <w:rPr>
          <w:rFonts w:hint="eastAsia" w:ascii="宋体" w:hAnsi="宋体" w:cs="宋体"/>
          <w:color w:val="auto"/>
          <w:szCs w:val="21"/>
          <w:highlight w:val="none"/>
          <w:lang w:eastAsia="zh-CN"/>
        </w:rPr>
        <w:t>.00</w:t>
      </w:r>
    </w:p>
    <w:p w14:paraId="51F3EFB5">
      <w:pPr>
        <w:keepNext w:val="0"/>
        <w:keepLines w:val="0"/>
        <w:pageBreakBefore w:val="0"/>
        <w:kinsoku/>
        <w:overflowPunct/>
        <w:topLinePunct w:val="0"/>
        <w:bidi w:val="0"/>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简要规格描述或项目基本概况介绍、用途：</w:t>
      </w:r>
      <w:bookmarkStart w:id="20" w:name="_Hlk199265269"/>
      <w:r>
        <w:rPr>
          <w:rFonts w:hint="eastAsia" w:ascii="宋体" w:hAnsi="宋体" w:eastAsia="宋体" w:cs="宋体"/>
          <w:color w:val="auto"/>
          <w:szCs w:val="21"/>
          <w:highlight w:val="none"/>
          <w:lang w:val="en-US" w:eastAsia="zh-CN"/>
        </w:rPr>
        <w:t>本项目为2年期医用气体采购，其中主要货物品医用液态氧的预估总采购量为3800吨。结算适用固定单价，以实际签收的合格数量据实结算······</w:t>
      </w:r>
      <w:bookmarkEnd w:id="20"/>
      <w:r>
        <w:rPr>
          <w:rFonts w:hint="eastAsia" w:ascii="宋体" w:hAnsi="宋体" w:cs="宋体"/>
          <w:color w:val="auto"/>
          <w:szCs w:val="21"/>
          <w:highlight w:val="none"/>
          <w:lang w:val="en-US" w:eastAsia="zh-CN"/>
        </w:rPr>
        <w:t>具体</w:t>
      </w:r>
      <w:r>
        <w:rPr>
          <w:rFonts w:hint="eastAsia" w:ascii="宋体" w:hAnsi="宋体" w:cs="宋体"/>
          <w:color w:val="auto"/>
          <w:szCs w:val="21"/>
          <w:highlight w:val="none"/>
        </w:rPr>
        <w:t>详见招标文件第二章采购需求。</w:t>
      </w:r>
    </w:p>
    <w:p w14:paraId="703FB220">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最高限价（如有）：</w:t>
      </w:r>
      <w:r>
        <w:rPr>
          <w:rFonts w:hint="eastAsia" w:ascii="宋体" w:hAnsi="宋体" w:cs="宋体"/>
          <w:color w:val="auto"/>
          <w:szCs w:val="21"/>
          <w:highlight w:val="none"/>
          <w:lang w:val="en-US" w:eastAsia="zh-CN"/>
        </w:rPr>
        <w:t>6688550</w:t>
      </w:r>
    </w:p>
    <w:p w14:paraId="55AB6F42">
      <w:pPr>
        <w:keepNext w:val="0"/>
        <w:keepLines w:val="0"/>
        <w:pageBreakBefore w:val="0"/>
        <w:kinsoku/>
        <w:overflowPunct/>
        <w:topLinePunct w:val="0"/>
        <w:bidi w:val="0"/>
        <w:spacing w:line="360" w:lineRule="auto"/>
        <w:ind w:firstLine="420" w:firstLineChars="200"/>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合同履约期限：</w:t>
      </w:r>
      <w:r>
        <w:rPr>
          <w:rFonts w:hint="eastAsia" w:ascii="宋体" w:hAnsi="宋体" w:eastAsia="宋体" w:cs="宋体"/>
          <w:color w:val="auto"/>
          <w:szCs w:val="21"/>
          <w:highlight w:val="none"/>
        </w:rPr>
        <w:t>合同签订之日</w:t>
      </w:r>
      <w:r>
        <w:rPr>
          <w:rFonts w:hint="eastAsia" w:ascii="宋体" w:hAnsi="宋体" w:eastAsia="宋体" w:cs="宋体"/>
          <w:color w:val="auto"/>
          <w:szCs w:val="21"/>
          <w:highlight w:val="none"/>
          <w:lang w:val="en-US" w:eastAsia="zh-CN"/>
        </w:rPr>
        <w:t>起2年</w:t>
      </w:r>
      <w:r>
        <w:rPr>
          <w:rFonts w:hint="eastAsia" w:ascii="宋体" w:hAnsi="宋体" w:eastAsia="宋体" w:cs="宋体"/>
          <w:color w:val="auto"/>
          <w:szCs w:val="21"/>
          <w:highlight w:val="none"/>
        </w:rPr>
        <w:t>。</w:t>
      </w:r>
    </w:p>
    <w:p w14:paraId="6C738189">
      <w:pPr>
        <w:keepNext w:val="0"/>
        <w:keepLines w:val="0"/>
        <w:pageBreakBefore w:val="0"/>
        <w:kinsoku/>
        <w:overflowPunct/>
        <w:topLinePunct w:val="0"/>
        <w:bidi w:val="0"/>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本标项</w:t>
      </w:r>
      <w:r>
        <w:rPr>
          <w:rFonts w:hint="eastAsia" w:ascii="宋体" w:hAnsi="宋体" w:cs="宋体"/>
          <w:color w:val="auto"/>
          <w:szCs w:val="21"/>
          <w:highlight w:val="none"/>
          <w:lang w:eastAsia="zh-CN"/>
        </w:rPr>
        <w:t>不</w:t>
      </w:r>
      <w:r>
        <w:rPr>
          <w:rFonts w:hint="eastAsia" w:ascii="宋体" w:hAnsi="宋体" w:cs="宋体"/>
          <w:color w:val="auto"/>
          <w:szCs w:val="21"/>
          <w:highlight w:val="none"/>
        </w:rPr>
        <w:t>接受联合体投标。</w:t>
      </w:r>
    </w:p>
    <w:p w14:paraId="5BCD858D">
      <w:pPr>
        <w:keepNext w:val="0"/>
        <w:keepLines w:val="0"/>
        <w:pageBreakBefore w:val="0"/>
        <w:kinsoku/>
        <w:overflowPunct/>
        <w:topLinePunct w:val="0"/>
        <w:bidi w:val="0"/>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备注：无</w:t>
      </w:r>
    </w:p>
    <w:p w14:paraId="5AAAD72B">
      <w:pPr>
        <w:keepNext w:val="0"/>
        <w:keepLines w:val="0"/>
        <w:pageBreakBefore w:val="0"/>
        <w:kinsoku/>
        <w:overflowPunct/>
        <w:topLinePunct w:val="0"/>
        <w:bidi w:val="0"/>
        <w:spacing w:line="360" w:lineRule="auto"/>
        <w:textAlignment w:val="auto"/>
        <w:rPr>
          <w:rFonts w:hint="eastAsia" w:ascii="宋体" w:hAnsi="宋体" w:cs="宋体"/>
          <w:b/>
          <w:bCs/>
          <w:color w:val="auto"/>
          <w:sz w:val="24"/>
          <w:highlight w:val="none"/>
        </w:rPr>
      </w:pPr>
      <w:bookmarkStart w:id="21" w:name="_Toc28359003"/>
      <w:bookmarkStart w:id="22" w:name="_Toc35393622"/>
      <w:bookmarkStart w:id="23" w:name="_Toc28359080"/>
      <w:bookmarkStart w:id="24" w:name="_Toc35393791"/>
      <w:r>
        <w:rPr>
          <w:rFonts w:hint="eastAsia" w:ascii="宋体" w:hAnsi="宋体" w:cs="宋体"/>
          <w:b/>
          <w:bCs/>
          <w:color w:val="auto"/>
          <w:sz w:val="24"/>
          <w:highlight w:val="none"/>
        </w:rPr>
        <w:t>二、申请人的资格要求：</w:t>
      </w:r>
      <w:bookmarkEnd w:id="21"/>
      <w:bookmarkEnd w:id="22"/>
      <w:bookmarkEnd w:id="23"/>
      <w:bookmarkEnd w:id="24"/>
    </w:p>
    <w:p w14:paraId="595EC684">
      <w:pPr>
        <w:keepNext w:val="0"/>
        <w:keepLines w:val="0"/>
        <w:pageBreakBefore w:val="0"/>
        <w:kinsoku/>
        <w:overflowPunct/>
        <w:topLinePunct w:val="0"/>
        <w:bidi w:val="0"/>
        <w:spacing w:line="360" w:lineRule="auto"/>
        <w:ind w:firstLine="420" w:firstLineChars="200"/>
        <w:textAlignment w:val="auto"/>
        <w:rPr>
          <w:rFonts w:hint="eastAsia" w:ascii="宋体" w:hAnsi="宋体" w:cs="宋体"/>
          <w:color w:val="auto"/>
          <w:szCs w:val="21"/>
          <w:highlight w:val="none"/>
        </w:rPr>
      </w:pPr>
      <w:bookmarkStart w:id="25" w:name="_Hlk51746371"/>
      <w:bookmarkStart w:id="26" w:name="_Toc28359004"/>
      <w:bookmarkStart w:id="27" w:name="_Toc35393623"/>
      <w:bookmarkStart w:id="28" w:name="_Toc28359081"/>
      <w:bookmarkStart w:id="29" w:name="_Toc35393792"/>
      <w:r>
        <w:rPr>
          <w:rFonts w:hint="eastAsia" w:ascii="宋体" w:hAnsi="宋体" w:cs="宋体"/>
          <w:color w:val="auto"/>
          <w:szCs w:val="21"/>
          <w:highlight w:val="none"/>
        </w:rPr>
        <w:t>1.满足《中华人民共和国政府采购法》第二十二条规定；</w:t>
      </w:r>
    </w:p>
    <w:p w14:paraId="7B4015C4">
      <w:pPr>
        <w:keepNext w:val="0"/>
        <w:keepLines w:val="0"/>
        <w:pageBreakBefore w:val="0"/>
        <w:kinsoku/>
        <w:overflowPunct/>
        <w:topLinePunct w:val="0"/>
        <w:bidi w:val="0"/>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2.落实政府采购政策需满足的资格要求：本项目非专门面向中小企业采购的项目；</w:t>
      </w:r>
    </w:p>
    <w:p w14:paraId="4AC85790">
      <w:pPr>
        <w:keepNext w:val="0"/>
        <w:keepLines w:val="0"/>
        <w:pageBreakBefore w:val="0"/>
        <w:kinsoku/>
        <w:overflowPunct/>
        <w:topLinePunct w:val="0"/>
        <w:bidi w:val="0"/>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3.本项目的特定资格要求：</w:t>
      </w:r>
    </w:p>
    <w:p w14:paraId="37A05C1E">
      <w:pPr>
        <w:keepNext w:val="0"/>
        <w:keepLines w:val="0"/>
        <w:pageBreakBefore w:val="0"/>
        <w:shd w:val="clear" w:color="auto" w:fill="auto"/>
        <w:kinsoku/>
        <w:overflowPunct/>
        <w:autoSpaceDE/>
        <w:autoSpaceDN/>
        <w:bidi w:val="0"/>
        <w:adjustRightInd/>
        <w:snapToGrid/>
        <w:spacing w:line="360" w:lineRule="auto"/>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①供应商须具备有效的《药品生产许可证》或《药品经营许可证》；</w:t>
      </w:r>
    </w:p>
    <w:p w14:paraId="45AB04B5">
      <w:pPr>
        <w:keepNext w:val="0"/>
        <w:keepLines w:val="0"/>
        <w:pageBreakBefore w:val="0"/>
        <w:shd w:val="clear" w:color="auto" w:fill="auto"/>
        <w:kinsoku/>
        <w:overflowPunct/>
        <w:autoSpaceDE/>
        <w:autoSpaceDN/>
        <w:bidi w:val="0"/>
        <w:adjustRightInd/>
        <w:snapToGrid/>
        <w:spacing w:line="360" w:lineRule="auto"/>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②供应商须提供有效、含“氧”的《药品注册证书》或《药品再注册批准通知书》；</w:t>
      </w:r>
    </w:p>
    <w:p w14:paraId="390E52F5">
      <w:pPr>
        <w:keepNext w:val="0"/>
        <w:keepLines w:val="0"/>
        <w:pageBreakBefore w:val="0"/>
        <w:shd w:val="clear" w:color="auto" w:fill="auto"/>
        <w:kinsoku/>
        <w:overflowPunct/>
        <w:autoSpaceDE/>
        <w:autoSpaceDN/>
        <w:bidi w:val="0"/>
        <w:adjustRightInd/>
        <w:snapToGrid/>
        <w:spacing w:line="360" w:lineRule="auto"/>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③供应商须具备有效的《危险化学品经营许可证》或《安全生产许可证》；</w:t>
      </w:r>
    </w:p>
    <w:p w14:paraId="4FBD306C">
      <w:pPr>
        <w:keepNext w:val="0"/>
        <w:keepLines w:val="0"/>
        <w:pageBreakBefore w:val="0"/>
        <w:shd w:val="clear" w:color="auto" w:fill="auto"/>
        <w:kinsoku/>
        <w:overflowPunct/>
        <w:autoSpaceDE/>
        <w:autoSpaceDN/>
        <w:bidi w:val="0"/>
        <w:adjustRightInd/>
        <w:snapToGrid/>
        <w:spacing w:line="360" w:lineRule="auto"/>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④供应商或其委托的运输单位具备有效的《道路运输经营许可证》（经营范围含危险货物运输 2 类 2 项）；</w:t>
      </w:r>
    </w:p>
    <w:p w14:paraId="5E45B817">
      <w:pPr>
        <w:keepNext w:val="0"/>
        <w:keepLines w:val="0"/>
        <w:pageBreakBefore w:val="0"/>
        <w:shd w:val="clear" w:color="auto" w:fill="auto"/>
        <w:kinsoku/>
        <w:overflowPunct/>
        <w:autoSpaceDE/>
        <w:autoSpaceDN/>
        <w:bidi w:val="0"/>
        <w:adjustRightInd/>
        <w:snapToGrid/>
        <w:spacing w:line="360" w:lineRule="auto"/>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⑤供应商具有有效的《特种设备检验检测机构核准证（气瓶检验机构）》以及气瓶充装许可证；</w:t>
      </w:r>
    </w:p>
    <w:p w14:paraId="658225F6">
      <w:pPr>
        <w:keepNext w:val="0"/>
        <w:keepLines w:val="0"/>
        <w:pageBreakBefore w:val="0"/>
        <w:shd w:val="clear" w:color="auto" w:fill="auto"/>
        <w:kinsoku/>
        <w:overflowPunct/>
        <w:autoSpaceDE/>
        <w:autoSpaceDN/>
        <w:bidi w:val="0"/>
        <w:adjustRightInd/>
        <w:snapToGrid/>
        <w:spacing w:line="360" w:lineRule="auto"/>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⑥所投产品生产厂商须具备有效的移动式压力容器充装许可证（许可范围含液氧）。</w:t>
      </w:r>
    </w:p>
    <w:p w14:paraId="2F1991BD">
      <w:pPr>
        <w:keepNext w:val="0"/>
        <w:keepLines w:val="0"/>
        <w:pageBreakBefore w:val="0"/>
        <w:shd w:val="clear" w:color="auto" w:fill="auto"/>
        <w:kinsoku/>
        <w:overflowPunct/>
        <w:autoSpaceDE/>
        <w:autoSpaceDN/>
        <w:bidi w:val="0"/>
        <w:adjustRightInd/>
        <w:snapToGrid/>
        <w:spacing w:line="360" w:lineRule="auto"/>
        <w:ind w:firstLine="420" w:firstLineChars="200"/>
        <w:textAlignment w:val="auto"/>
        <w:rPr>
          <w:rFonts w:hint="eastAsia" w:ascii="宋体" w:hAnsi="宋体" w:eastAsia="宋体" w:cs="Times New Roman"/>
          <w:color w:val="auto"/>
          <w:szCs w:val="21"/>
          <w:highlight w:val="none"/>
        </w:rPr>
      </w:pPr>
      <w:r>
        <w:rPr>
          <w:rFonts w:hint="eastAsia" w:ascii="宋体" w:hAnsi="宋体" w:eastAsia="宋体" w:cs="Times New Roman"/>
          <w:color w:val="auto"/>
          <w:szCs w:val="21"/>
          <w:highlight w:val="none"/>
        </w:rPr>
        <w:t>4.本项目的特定条件：</w:t>
      </w:r>
      <w:r>
        <w:rPr>
          <w:rFonts w:hint="eastAsia" w:ascii="宋体" w:hAnsi="宋体" w:eastAsia="宋体" w:cs="Times New Roman"/>
          <w:color w:val="auto"/>
          <w:szCs w:val="21"/>
          <w:highlight w:val="none"/>
          <w:lang w:val="en-US" w:eastAsia="zh-CN"/>
        </w:rPr>
        <w:t>无</w:t>
      </w:r>
    </w:p>
    <w:bookmarkEnd w:id="25"/>
    <w:p w14:paraId="5EC32119">
      <w:pPr>
        <w:keepNext w:val="0"/>
        <w:keepLines w:val="0"/>
        <w:pageBreakBefore w:val="0"/>
        <w:kinsoku/>
        <w:overflowPunct/>
        <w:topLinePunct w:val="0"/>
        <w:bidi w:val="0"/>
        <w:spacing w:line="360" w:lineRule="auto"/>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三、获取招标文件</w:t>
      </w:r>
      <w:bookmarkEnd w:id="26"/>
      <w:bookmarkEnd w:id="27"/>
      <w:bookmarkEnd w:id="28"/>
      <w:bookmarkEnd w:id="29"/>
    </w:p>
    <w:p w14:paraId="39E62744">
      <w:pPr>
        <w:keepNext w:val="0"/>
        <w:keepLines w:val="0"/>
        <w:pageBreakBefore w:val="0"/>
        <w:kinsoku/>
        <w:overflowPunct/>
        <w:topLinePunct w:val="0"/>
        <w:bidi w:val="0"/>
        <w:spacing w:line="360" w:lineRule="auto"/>
        <w:ind w:firstLine="54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1.时间：</w:t>
      </w:r>
      <w:r>
        <w:rPr>
          <w:rFonts w:hint="eastAsia" w:ascii="宋体" w:hAnsi="宋体" w:eastAsia="宋体" w:cs="Times New Roman"/>
          <w:color w:val="auto"/>
          <w:szCs w:val="21"/>
          <w:highlight w:val="none"/>
          <w:lang w:eastAsia="zh-CN"/>
        </w:rPr>
        <w:t>2026年</w:t>
      </w: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lang w:eastAsia="zh-CN"/>
        </w:rPr>
        <w:t>月</w:t>
      </w:r>
      <w:r>
        <w:rPr>
          <w:rFonts w:hint="eastAsia" w:ascii="宋体" w:hAnsi="宋体" w:cs="Times New Roman"/>
          <w:color w:val="auto"/>
          <w:szCs w:val="21"/>
          <w:highlight w:val="none"/>
          <w:lang w:val="en-US" w:eastAsia="zh-CN"/>
        </w:rPr>
        <w:t>9</w:t>
      </w:r>
      <w:r>
        <w:rPr>
          <w:rFonts w:hint="eastAsia" w:ascii="宋体" w:hAnsi="宋体" w:eastAsia="宋体" w:cs="Times New Roman"/>
          <w:color w:val="auto"/>
          <w:szCs w:val="21"/>
          <w:highlight w:val="none"/>
          <w:lang w:eastAsia="zh-CN"/>
        </w:rPr>
        <w:t>日</w:t>
      </w:r>
      <w:r>
        <w:rPr>
          <w:rFonts w:hint="eastAsia" w:ascii="宋体" w:hAnsi="宋体" w:cs="宋体"/>
          <w:bCs/>
          <w:color w:val="auto"/>
          <w:kern w:val="0"/>
          <w:szCs w:val="21"/>
          <w:highlight w:val="none"/>
        </w:rPr>
        <w:t>至</w:t>
      </w:r>
      <w:r>
        <w:rPr>
          <w:rFonts w:hint="eastAsia" w:ascii="宋体" w:hAnsi="宋体" w:eastAsia="宋体" w:cs="Times New Roman"/>
          <w:color w:val="auto"/>
          <w:szCs w:val="21"/>
          <w:highlight w:val="none"/>
          <w:lang w:eastAsia="zh-CN"/>
        </w:rPr>
        <w:t>2026年</w:t>
      </w: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lang w:eastAsia="zh-CN"/>
        </w:rPr>
        <w:t>月</w:t>
      </w:r>
      <w:r>
        <w:rPr>
          <w:rFonts w:hint="eastAsia" w:ascii="宋体" w:hAnsi="宋体" w:cs="Times New Roman"/>
          <w:color w:val="auto"/>
          <w:szCs w:val="21"/>
          <w:highlight w:val="none"/>
          <w:lang w:val="en-US" w:eastAsia="zh-CN"/>
        </w:rPr>
        <w:t>16</w:t>
      </w:r>
      <w:r>
        <w:rPr>
          <w:rFonts w:hint="eastAsia" w:ascii="宋体" w:hAnsi="宋体" w:eastAsia="宋体" w:cs="Times New Roman"/>
          <w:color w:val="auto"/>
          <w:szCs w:val="21"/>
          <w:highlight w:val="none"/>
          <w:lang w:eastAsia="zh-CN"/>
        </w:rPr>
        <w:t>日</w:t>
      </w:r>
      <w:r>
        <w:rPr>
          <w:rFonts w:hint="eastAsia" w:ascii="宋体" w:hAnsi="宋体" w:cs="宋体"/>
          <w:bCs/>
          <w:color w:val="auto"/>
          <w:kern w:val="0"/>
          <w:szCs w:val="21"/>
          <w:highlight w:val="none"/>
        </w:rPr>
        <w:t>，每天上午00:00至12:00，下午12:00至23:59（北京时间，法定节假日除外）</w:t>
      </w:r>
    </w:p>
    <w:p w14:paraId="3BE2BE09">
      <w:pPr>
        <w:keepNext w:val="0"/>
        <w:keepLines w:val="0"/>
        <w:pageBreakBefore w:val="0"/>
        <w:kinsoku/>
        <w:overflowPunct/>
        <w:topLinePunct w:val="0"/>
        <w:bidi w:val="0"/>
        <w:spacing w:line="360" w:lineRule="auto"/>
        <w:ind w:firstLine="540"/>
        <w:textAlignment w:val="auto"/>
        <w:rPr>
          <w:rFonts w:hint="eastAsia" w:ascii="宋体" w:hAnsi="宋体" w:cs="宋体"/>
          <w:color w:val="auto"/>
          <w:szCs w:val="21"/>
          <w:highlight w:val="none"/>
        </w:rPr>
      </w:pPr>
      <w:r>
        <w:rPr>
          <w:rFonts w:hint="eastAsia" w:ascii="宋体" w:hAnsi="宋体" w:cs="宋体"/>
          <w:bCs/>
          <w:color w:val="auto"/>
          <w:kern w:val="0"/>
          <w:szCs w:val="21"/>
          <w:highlight w:val="none"/>
        </w:rPr>
        <w:t>2.地点：</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p>
    <w:p w14:paraId="17AC2045">
      <w:pPr>
        <w:keepNext w:val="0"/>
        <w:keepLines w:val="0"/>
        <w:pageBreakBefore w:val="0"/>
        <w:kinsoku/>
        <w:wordWrap w:val="0"/>
        <w:overflowPunct/>
        <w:topLinePunct w:val="0"/>
        <w:bidi w:val="0"/>
        <w:spacing w:line="360" w:lineRule="auto"/>
        <w:ind w:firstLine="539"/>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3.方式：网上下载。本项目不提供纸质文件，潜在供应商需在</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w:t>
      </w:r>
      <w:r>
        <w:rPr>
          <w:rFonts w:hint="eastAsia" w:ascii="宋体" w:hAnsi="宋体" w:cs="宋体"/>
          <w:bCs/>
          <w:color w:val="auto"/>
          <w:kern w:val="0"/>
          <w:szCs w:val="21"/>
          <w:highlight w:val="none"/>
        </w:rPr>
        <w:t>-进入“项目采购”应用，在获取采购文件菜单中选择项目，获取招标文件。</w:t>
      </w:r>
      <w:r>
        <w:rPr>
          <w:rFonts w:hint="eastAsia" w:ascii="宋体" w:hAnsi="宋体" w:cs="宋体"/>
          <w:color w:val="auto"/>
          <w:szCs w:val="21"/>
          <w:highlight w:val="none"/>
        </w:rPr>
        <w:t>电子投标文件制作需要基于广西政府采购云平台获取的招标文件编制，</w:t>
      </w:r>
      <w:r>
        <w:rPr>
          <w:rFonts w:hint="eastAsia" w:ascii="宋体" w:hAnsi="宋体" w:cs="宋体"/>
          <w:bCs/>
          <w:color w:val="auto"/>
          <w:kern w:val="0"/>
          <w:szCs w:val="21"/>
          <w:highlight w:val="none"/>
        </w:rPr>
        <w:t>通过其他方式获取招标文件的，将有可能导致供应商无法在</w:t>
      </w:r>
      <w:r>
        <w:rPr>
          <w:rFonts w:hint="eastAsia" w:ascii="宋体" w:hAnsi="宋体" w:cs="宋体"/>
          <w:color w:val="auto"/>
          <w:szCs w:val="21"/>
          <w:highlight w:val="none"/>
        </w:rPr>
        <w:t>广西政府采购云平台</w:t>
      </w:r>
      <w:r>
        <w:rPr>
          <w:rFonts w:hint="eastAsia" w:ascii="宋体" w:hAnsi="宋体" w:cs="宋体"/>
          <w:bCs/>
          <w:color w:val="auto"/>
          <w:kern w:val="0"/>
          <w:szCs w:val="21"/>
          <w:highlight w:val="none"/>
        </w:rPr>
        <w:t>编制及上传投标文件。</w:t>
      </w:r>
    </w:p>
    <w:p w14:paraId="3BAB7263">
      <w:pPr>
        <w:keepNext w:val="0"/>
        <w:keepLines w:val="0"/>
        <w:pageBreakBefore w:val="0"/>
        <w:kinsoku/>
        <w:overflowPunct/>
        <w:topLinePunct w:val="0"/>
        <w:bidi w:val="0"/>
        <w:spacing w:line="360" w:lineRule="auto"/>
        <w:ind w:firstLine="540"/>
        <w:textAlignment w:val="auto"/>
        <w:rPr>
          <w:rFonts w:hint="eastAsia" w:ascii="宋体" w:hAnsi="宋体" w:cs="宋体"/>
          <w:color w:val="auto"/>
          <w:szCs w:val="21"/>
          <w:highlight w:val="none"/>
        </w:rPr>
      </w:pPr>
      <w:r>
        <w:rPr>
          <w:rFonts w:hint="eastAsia" w:ascii="宋体" w:hAnsi="宋体" w:cs="宋体"/>
          <w:bCs/>
          <w:color w:val="auto"/>
          <w:kern w:val="0"/>
          <w:szCs w:val="21"/>
          <w:highlight w:val="none"/>
        </w:rPr>
        <w:t>4.售价（元）：</w:t>
      </w:r>
      <w:r>
        <w:rPr>
          <w:rFonts w:hint="eastAsia" w:ascii="宋体" w:hAnsi="宋体" w:cs="宋体"/>
          <w:color w:val="auto"/>
          <w:szCs w:val="21"/>
          <w:highlight w:val="none"/>
        </w:rPr>
        <w:t>0</w:t>
      </w:r>
    </w:p>
    <w:p w14:paraId="79D24C61">
      <w:pPr>
        <w:keepNext w:val="0"/>
        <w:keepLines w:val="0"/>
        <w:pageBreakBefore w:val="0"/>
        <w:kinsoku/>
        <w:overflowPunct/>
        <w:topLinePunct w:val="0"/>
        <w:bidi w:val="0"/>
        <w:spacing w:line="360" w:lineRule="auto"/>
        <w:textAlignment w:val="auto"/>
        <w:rPr>
          <w:rFonts w:hint="eastAsia" w:ascii="宋体" w:hAnsi="宋体" w:cs="宋体"/>
          <w:b/>
          <w:bCs/>
          <w:color w:val="auto"/>
          <w:sz w:val="24"/>
          <w:highlight w:val="none"/>
        </w:rPr>
      </w:pPr>
      <w:bookmarkStart w:id="30" w:name="_Toc28359082"/>
      <w:bookmarkStart w:id="31" w:name="_Toc28359005"/>
      <w:bookmarkStart w:id="32" w:name="_Toc35393793"/>
      <w:bookmarkStart w:id="33" w:name="_Toc35393624"/>
      <w:r>
        <w:rPr>
          <w:rFonts w:hint="eastAsia" w:ascii="宋体" w:hAnsi="宋体" w:cs="宋体"/>
          <w:b/>
          <w:bCs/>
          <w:color w:val="auto"/>
          <w:sz w:val="24"/>
          <w:highlight w:val="none"/>
        </w:rPr>
        <w:t>四、提交投标文件</w:t>
      </w:r>
      <w:bookmarkEnd w:id="30"/>
      <w:bookmarkEnd w:id="31"/>
      <w:r>
        <w:rPr>
          <w:rFonts w:hint="eastAsia" w:ascii="宋体" w:hAnsi="宋体" w:cs="宋体"/>
          <w:b/>
          <w:bCs/>
          <w:color w:val="auto"/>
          <w:sz w:val="24"/>
          <w:highlight w:val="none"/>
        </w:rPr>
        <w:t>截止时间、开标时间和地点</w:t>
      </w:r>
      <w:bookmarkEnd w:id="32"/>
      <w:bookmarkEnd w:id="33"/>
    </w:p>
    <w:p w14:paraId="6CECA957">
      <w:pPr>
        <w:keepNext w:val="0"/>
        <w:keepLines w:val="0"/>
        <w:pageBreakBefore w:val="0"/>
        <w:kinsoku/>
        <w:overflowPunct/>
        <w:topLinePunct w:val="0"/>
        <w:bidi w:val="0"/>
        <w:spacing w:line="360" w:lineRule="auto"/>
        <w:ind w:firstLine="420" w:firstLineChars="200"/>
        <w:textAlignment w:val="auto"/>
        <w:rPr>
          <w:rFonts w:hint="eastAsia" w:ascii="宋体" w:hAnsi="宋体" w:cs="宋体"/>
          <w:bCs/>
          <w:color w:val="auto"/>
          <w:kern w:val="0"/>
          <w:szCs w:val="21"/>
          <w:highlight w:val="none"/>
        </w:rPr>
      </w:pPr>
      <w:bookmarkStart w:id="34" w:name="_Toc28359084"/>
      <w:bookmarkStart w:id="35" w:name="_Toc35393625"/>
      <w:bookmarkStart w:id="36" w:name="_Toc35393794"/>
      <w:bookmarkStart w:id="37" w:name="_Toc28359007"/>
      <w:r>
        <w:rPr>
          <w:rFonts w:hint="eastAsia" w:ascii="宋体" w:hAnsi="宋体" w:cs="宋体"/>
          <w:bCs/>
          <w:color w:val="auto"/>
          <w:kern w:val="0"/>
          <w:szCs w:val="21"/>
          <w:highlight w:val="none"/>
        </w:rPr>
        <w:t>1.提交投标文件截止时间：</w:t>
      </w:r>
      <w:r>
        <w:rPr>
          <w:rFonts w:hint="eastAsia" w:ascii="宋体" w:hAnsi="宋体" w:eastAsia="宋体" w:cs="Times New Roman"/>
          <w:color w:val="auto"/>
          <w:szCs w:val="21"/>
          <w:highlight w:val="none"/>
          <w:lang w:eastAsia="zh-CN"/>
        </w:rPr>
        <w:t>2026年</w:t>
      </w: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lang w:eastAsia="zh-CN"/>
        </w:rPr>
        <w:t>月</w:t>
      </w:r>
      <w:r>
        <w:rPr>
          <w:rFonts w:hint="eastAsia" w:ascii="宋体" w:hAnsi="宋体" w:cs="Times New Roman"/>
          <w:color w:val="auto"/>
          <w:szCs w:val="21"/>
          <w:highlight w:val="none"/>
          <w:lang w:val="en-US" w:eastAsia="zh-CN"/>
        </w:rPr>
        <w:t>30</w:t>
      </w:r>
      <w:r>
        <w:rPr>
          <w:rFonts w:hint="eastAsia" w:ascii="宋体" w:hAnsi="宋体" w:eastAsia="宋体" w:cs="Times New Roman"/>
          <w:color w:val="auto"/>
          <w:szCs w:val="21"/>
          <w:highlight w:val="none"/>
          <w:lang w:eastAsia="zh-CN"/>
        </w:rPr>
        <w:t>日</w:t>
      </w:r>
      <w:r>
        <w:rPr>
          <w:rFonts w:hint="eastAsia" w:ascii="宋体" w:hAnsi="宋体" w:cs="宋体"/>
          <w:bCs/>
          <w:color w:val="auto"/>
          <w:kern w:val="0"/>
          <w:szCs w:val="21"/>
          <w:highlight w:val="none"/>
        </w:rPr>
        <w:t>9时30分（北京时间）</w:t>
      </w:r>
    </w:p>
    <w:p w14:paraId="61935A90">
      <w:pPr>
        <w:keepNext w:val="0"/>
        <w:keepLines w:val="0"/>
        <w:pageBreakBefore w:val="0"/>
        <w:kinsoku/>
        <w:overflowPunct/>
        <w:topLinePunct w:val="0"/>
        <w:bidi w:val="0"/>
        <w:spacing w:line="360" w:lineRule="auto"/>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2.投标地点（网址）：广西政府采购云平台（https://www.gcy.zfcg.gxzf.gov.cn/）</w:t>
      </w:r>
    </w:p>
    <w:p w14:paraId="3A72A3ED">
      <w:pPr>
        <w:keepNext w:val="0"/>
        <w:keepLines w:val="0"/>
        <w:pageBreakBefore w:val="0"/>
        <w:kinsoku/>
        <w:overflowPunct/>
        <w:topLinePunct w:val="0"/>
        <w:bidi w:val="0"/>
        <w:spacing w:line="360" w:lineRule="auto"/>
        <w:ind w:firstLine="420" w:firstLineChars="200"/>
        <w:textAlignment w:val="auto"/>
        <w:rPr>
          <w:rFonts w:hint="eastAsia" w:ascii="宋体" w:hAnsi="宋体" w:cs="宋体"/>
          <w:bCs/>
          <w:color w:val="auto"/>
          <w:szCs w:val="21"/>
          <w:highlight w:val="none"/>
        </w:rPr>
      </w:pPr>
      <w:r>
        <w:rPr>
          <w:rFonts w:hint="eastAsia" w:ascii="宋体" w:hAnsi="宋体" w:cs="宋体"/>
          <w:bCs/>
          <w:color w:val="auto"/>
          <w:szCs w:val="21"/>
          <w:highlight w:val="none"/>
        </w:rPr>
        <w:t>3.开标时间：</w:t>
      </w:r>
      <w:r>
        <w:rPr>
          <w:rFonts w:hint="eastAsia" w:ascii="宋体" w:hAnsi="宋体" w:eastAsia="宋体" w:cs="Times New Roman"/>
          <w:color w:val="auto"/>
          <w:szCs w:val="21"/>
          <w:highlight w:val="none"/>
          <w:lang w:eastAsia="zh-CN"/>
        </w:rPr>
        <w:t>2026年</w:t>
      </w:r>
      <w:r>
        <w:rPr>
          <w:rFonts w:hint="eastAsia" w:ascii="宋体" w:hAnsi="宋体" w:cs="Times New Roman"/>
          <w:color w:val="auto"/>
          <w:szCs w:val="21"/>
          <w:highlight w:val="none"/>
          <w:lang w:val="en-US" w:eastAsia="zh-CN"/>
        </w:rPr>
        <w:t>7</w:t>
      </w:r>
      <w:r>
        <w:rPr>
          <w:rFonts w:hint="eastAsia" w:ascii="宋体" w:hAnsi="宋体" w:eastAsia="宋体" w:cs="Times New Roman"/>
          <w:color w:val="auto"/>
          <w:szCs w:val="21"/>
          <w:highlight w:val="none"/>
          <w:lang w:eastAsia="zh-CN"/>
        </w:rPr>
        <w:t>月</w:t>
      </w:r>
      <w:r>
        <w:rPr>
          <w:rFonts w:hint="eastAsia" w:ascii="宋体" w:hAnsi="宋体" w:cs="Times New Roman"/>
          <w:color w:val="auto"/>
          <w:szCs w:val="21"/>
          <w:highlight w:val="none"/>
          <w:lang w:val="en-US" w:eastAsia="zh-CN"/>
        </w:rPr>
        <w:t>30</w:t>
      </w:r>
      <w:r>
        <w:rPr>
          <w:rFonts w:hint="eastAsia" w:ascii="宋体" w:hAnsi="宋体" w:eastAsia="宋体" w:cs="Times New Roman"/>
          <w:color w:val="auto"/>
          <w:szCs w:val="21"/>
          <w:highlight w:val="none"/>
          <w:lang w:eastAsia="zh-CN"/>
        </w:rPr>
        <w:t>日</w:t>
      </w:r>
      <w:r>
        <w:rPr>
          <w:rFonts w:hint="eastAsia" w:ascii="宋体" w:hAnsi="宋体" w:cs="宋体"/>
          <w:bCs/>
          <w:color w:val="auto"/>
          <w:szCs w:val="21"/>
          <w:highlight w:val="none"/>
        </w:rPr>
        <w:t>9时30分</w:t>
      </w:r>
    </w:p>
    <w:p w14:paraId="1E035D62">
      <w:pPr>
        <w:keepNext w:val="0"/>
        <w:keepLines w:val="0"/>
        <w:pageBreakBefore w:val="0"/>
        <w:kinsoku/>
        <w:overflowPunct/>
        <w:topLinePunct w:val="0"/>
        <w:bidi w:val="0"/>
        <w:spacing w:line="360" w:lineRule="auto"/>
        <w:ind w:firstLine="420" w:firstLineChars="200"/>
        <w:textAlignment w:val="auto"/>
        <w:rPr>
          <w:rFonts w:hint="eastAsia" w:ascii="宋体" w:hAnsi="宋体" w:cs="宋体"/>
          <w:color w:val="auto"/>
          <w:szCs w:val="21"/>
          <w:highlight w:val="none"/>
        </w:rPr>
      </w:pPr>
      <w:r>
        <w:rPr>
          <w:rFonts w:hint="eastAsia" w:ascii="宋体" w:hAnsi="宋体" w:cs="宋体"/>
          <w:bCs/>
          <w:color w:val="auto"/>
          <w:szCs w:val="21"/>
          <w:highlight w:val="none"/>
        </w:rPr>
        <w:t>4.开标地点：广西政府采购云平台电子开标大厅开标。</w:t>
      </w:r>
    </w:p>
    <w:p w14:paraId="4CF12A88">
      <w:pPr>
        <w:keepNext w:val="0"/>
        <w:keepLines w:val="0"/>
        <w:pageBreakBefore w:val="0"/>
        <w:kinsoku/>
        <w:overflowPunct/>
        <w:topLinePunct w:val="0"/>
        <w:bidi w:val="0"/>
        <w:spacing w:line="360" w:lineRule="auto"/>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五、公告期限</w:t>
      </w:r>
      <w:bookmarkEnd w:id="34"/>
      <w:bookmarkEnd w:id="35"/>
      <w:bookmarkEnd w:id="36"/>
      <w:bookmarkEnd w:id="37"/>
    </w:p>
    <w:p w14:paraId="0BEE10BC">
      <w:pPr>
        <w:keepNext w:val="0"/>
        <w:keepLines w:val="0"/>
        <w:pageBreakBefore w:val="0"/>
        <w:kinsoku/>
        <w:overflowPunct/>
        <w:topLinePunct w:val="0"/>
        <w:bidi w:val="0"/>
        <w:spacing w:line="360" w:lineRule="auto"/>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自本公告发布之日起5个工作日。</w:t>
      </w:r>
    </w:p>
    <w:p w14:paraId="4A8DEE3F">
      <w:pPr>
        <w:keepNext w:val="0"/>
        <w:keepLines w:val="0"/>
        <w:pageBreakBefore w:val="0"/>
        <w:kinsoku/>
        <w:overflowPunct/>
        <w:topLinePunct w:val="0"/>
        <w:bidi w:val="0"/>
        <w:spacing w:line="360" w:lineRule="auto"/>
        <w:textAlignment w:val="auto"/>
        <w:rPr>
          <w:rFonts w:hint="eastAsia" w:ascii="宋体" w:hAnsi="宋体" w:cs="宋体"/>
          <w:b/>
          <w:bCs/>
          <w:color w:val="auto"/>
          <w:sz w:val="24"/>
          <w:highlight w:val="none"/>
        </w:rPr>
      </w:pPr>
      <w:bookmarkStart w:id="38" w:name="_Toc35393795"/>
      <w:bookmarkStart w:id="39" w:name="_Toc35393626"/>
      <w:r>
        <w:rPr>
          <w:rFonts w:hint="eastAsia" w:ascii="宋体" w:hAnsi="宋体" w:cs="宋体"/>
          <w:b/>
          <w:bCs/>
          <w:color w:val="auto"/>
          <w:sz w:val="24"/>
          <w:highlight w:val="none"/>
        </w:rPr>
        <w:t>六、其他补充事宜</w:t>
      </w:r>
      <w:bookmarkEnd w:id="38"/>
      <w:bookmarkEnd w:id="39"/>
    </w:p>
    <w:p w14:paraId="66FF03E8">
      <w:pPr>
        <w:keepNext w:val="0"/>
        <w:keepLines w:val="0"/>
        <w:pageBreakBefore w:val="0"/>
        <w:kinsoku/>
        <w:overflowPunct/>
        <w:topLinePunct w:val="0"/>
        <w:bidi w:val="0"/>
        <w:spacing w:line="360" w:lineRule="auto"/>
        <w:ind w:firstLine="420" w:firstLineChars="200"/>
        <w:textAlignment w:val="auto"/>
        <w:rPr>
          <w:rFonts w:hint="eastAsia" w:ascii="宋体" w:hAnsi="宋体" w:cs="宋体"/>
          <w:color w:val="auto"/>
          <w:kern w:val="0"/>
          <w:szCs w:val="21"/>
          <w:highlight w:val="none"/>
        </w:rPr>
      </w:pPr>
      <w:bookmarkStart w:id="40" w:name="_Hlk37429595"/>
      <w:bookmarkStart w:id="41" w:name="_Hlk37429585"/>
      <w:bookmarkStart w:id="42" w:name="_Toc28359085"/>
      <w:bookmarkStart w:id="43" w:name="_Toc28359008"/>
      <w:bookmarkStart w:id="44" w:name="_Toc35393796"/>
      <w:bookmarkStart w:id="45" w:name="_Toc35393627"/>
      <w:r>
        <w:rPr>
          <w:rFonts w:hint="eastAsia" w:ascii="宋体" w:hAnsi="宋体" w:cs="宋体"/>
          <w:color w:val="auto"/>
          <w:kern w:val="0"/>
          <w:szCs w:val="21"/>
          <w:highlight w:val="none"/>
        </w:rPr>
        <w:t>1.投标保证金（人民币）：</w:t>
      </w:r>
      <w:r>
        <w:rPr>
          <w:rFonts w:hint="eastAsia" w:ascii="宋体" w:hAnsi="宋体" w:cs="宋体"/>
          <w:color w:val="auto"/>
          <w:kern w:val="0"/>
          <w:szCs w:val="21"/>
          <w:highlight w:val="none"/>
          <w:lang w:val="en-US" w:eastAsia="zh-CN"/>
        </w:rPr>
        <w:t>66000</w:t>
      </w:r>
      <w:r>
        <w:rPr>
          <w:rFonts w:hint="eastAsia" w:ascii="宋体" w:hAnsi="宋体" w:cs="宋体"/>
          <w:color w:val="auto"/>
          <w:kern w:val="0"/>
          <w:szCs w:val="21"/>
          <w:highlight w:val="none"/>
        </w:rPr>
        <w:t>元。</w:t>
      </w:r>
    </w:p>
    <w:p w14:paraId="2DABCF5B">
      <w:pPr>
        <w:keepNext w:val="0"/>
        <w:keepLines w:val="0"/>
        <w:pageBreakBefore w:val="0"/>
        <w:kinsoku/>
        <w:overflowPunct/>
        <w:topLinePunct w:val="0"/>
        <w:bidi w:val="0"/>
        <w:spacing w:line="360" w:lineRule="auto"/>
        <w:ind w:firstLine="420" w:firstLineChars="20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投标保证金的缴纳方式：以银行转账、支票、汇票、本票或者金融机构、担保机构出具的保函等非现金形式提交。采用银行转账方式的，在投标截止时间前交至采购代理机构指定账户并且到账。汇款时投标人的汇款单据应注明“</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项目编号）</w:t>
      </w:r>
      <w:r>
        <w:rPr>
          <w:rFonts w:hint="eastAsia" w:ascii="宋体" w:hAnsi="宋体" w:cs="宋体"/>
          <w:color w:val="auto"/>
          <w:kern w:val="0"/>
          <w:szCs w:val="21"/>
          <w:highlight w:val="none"/>
        </w:rPr>
        <w:t>投标保证金”。</w:t>
      </w:r>
    </w:p>
    <w:p w14:paraId="71D8EC7E">
      <w:pPr>
        <w:shd w:val="clear" w:color="auto" w:fill="auto"/>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2</w:t>
      </w:r>
      <w:r>
        <w:rPr>
          <w:rFonts w:hint="eastAsia" w:ascii="宋体" w:hAnsi="宋体" w:cs="宋体"/>
          <w:color w:val="auto"/>
          <w:kern w:val="0"/>
          <w:szCs w:val="21"/>
          <w:highlight w:val="none"/>
        </w:rPr>
        <w:t>、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51B65828">
      <w:pPr>
        <w:shd w:val="clear" w:color="auto" w:fill="auto"/>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rPr>
        <w:t>、根据财政部《关于在政府采购活动中查询及使用信用记录有关问题的通知》（财库〔2016〕125号）的规定，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5EAE38C4">
      <w:pPr>
        <w:shd w:val="clear" w:color="auto" w:fill="auto"/>
        <w:spacing w:line="360" w:lineRule="auto"/>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、网上查询地址：http://www.ccgp.gov.cn(中国政府采购网)，http://zfcg.gxzf.gov.cn(广西政府采购网)，http://gxggzy.gxzf.gov.cn/（广西壮族自治区公共资源交易中心）http://www.guangxibid.com.cn/（广西招标网）</w:t>
      </w:r>
      <w:r>
        <w:rPr>
          <w:rFonts w:hint="eastAsia" w:ascii="宋体" w:hAnsi="宋体" w:cs="宋体"/>
          <w:color w:val="auto"/>
          <w:kern w:val="0"/>
          <w:szCs w:val="21"/>
          <w:highlight w:val="none"/>
          <w:lang w:eastAsia="zh-CN"/>
        </w:rPr>
        <w:t>。</w:t>
      </w:r>
    </w:p>
    <w:p w14:paraId="3A07DA6D">
      <w:pPr>
        <w:shd w:val="clear" w:color="auto" w:fill="auto"/>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、本项目需要落实的政府采购政策：</w:t>
      </w:r>
    </w:p>
    <w:p w14:paraId="31FC0AC7">
      <w:pPr>
        <w:shd w:val="clear" w:color="auto" w:fill="auto"/>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（1）政府采购促进中小企业发展。</w:t>
      </w:r>
    </w:p>
    <w:p w14:paraId="2E35F4E2">
      <w:pPr>
        <w:shd w:val="clear" w:color="auto" w:fill="auto"/>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（2）政府采购支持采用本国产品的政策。</w:t>
      </w:r>
    </w:p>
    <w:p w14:paraId="56EB587C">
      <w:pPr>
        <w:shd w:val="clear" w:color="auto" w:fill="auto"/>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lang w:val="en-US" w:eastAsia="zh-CN"/>
        </w:rPr>
        <w:t>3</w:t>
      </w:r>
      <w:r>
        <w:rPr>
          <w:rFonts w:hint="eastAsia" w:ascii="宋体" w:hAnsi="宋体" w:cs="宋体"/>
          <w:color w:val="auto"/>
          <w:kern w:val="0"/>
          <w:szCs w:val="21"/>
          <w:highlight w:val="none"/>
          <w:lang w:eastAsia="zh-CN"/>
        </w:rPr>
        <w:t>）</w:t>
      </w:r>
      <w:r>
        <w:rPr>
          <w:rFonts w:hint="eastAsia" w:ascii="宋体" w:hAnsi="宋体" w:cs="宋体"/>
          <w:color w:val="auto"/>
          <w:kern w:val="0"/>
          <w:szCs w:val="21"/>
          <w:highlight w:val="none"/>
        </w:rPr>
        <w:t>国务院办公厅关于在政府采购中实施本国产品标准及相关政策的通知</w:t>
      </w:r>
    </w:p>
    <w:p w14:paraId="6657CD88">
      <w:pPr>
        <w:shd w:val="clear" w:color="auto" w:fill="auto"/>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4</w:t>
      </w:r>
      <w:r>
        <w:rPr>
          <w:rFonts w:hint="eastAsia" w:ascii="宋体" w:hAnsi="宋体" w:cs="宋体"/>
          <w:color w:val="auto"/>
          <w:kern w:val="0"/>
          <w:szCs w:val="21"/>
          <w:highlight w:val="none"/>
        </w:rPr>
        <w:t>）强制采购节能产品；优先采购节能产品、环境标志产品。</w:t>
      </w:r>
    </w:p>
    <w:p w14:paraId="728FE5DA">
      <w:pPr>
        <w:shd w:val="clear" w:color="auto" w:fill="auto"/>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5</w:t>
      </w:r>
      <w:r>
        <w:rPr>
          <w:rFonts w:hint="eastAsia" w:ascii="宋体" w:hAnsi="宋体" w:cs="宋体"/>
          <w:color w:val="auto"/>
          <w:kern w:val="0"/>
          <w:szCs w:val="21"/>
          <w:highlight w:val="none"/>
        </w:rPr>
        <w:t>）政府采购促进残疾人就业政策。</w:t>
      </w:r>
    </w:p>
    <w:p w14:paraId="1F031A03">
      <w:pPr>
        <w:shd w:val="clear" w:color="auto" w:fill="auto"/>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6</w:t>
      </w:r>
      <w:r>
        <w:rPr>
          <w:rFonts w:hint="eastAsia" w:ascii="宋体" w:hAnsi="宋体" w:cs="宋体"/>
          <w:color w:val="auto"/>
          <w:kern w:val="0"/>
          <w:szCs w:val="21"/>
          <w:highlight w:val="none"/>
        </w:rPr>
        <w:t>）政府采购支持监狱企业发展。</w:t>
      </w:r>
    </w:p>
    <w:p w14:paraId="46D217B0">
      <w:pPr>
        <w:shd w:val="clear" w:color="auto" w:fill="auto"/>
        <w:spacing w:line="360" w:lineRule="auto"/>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w:t>
      </w:r>
      <w:r>
        <w:rPr>
          <w:rFonts w:hint="eastAsia" w:ascii="宋体" w:hAnsi="宋体" w:cs="宋体"/>
          <w:color w:val="auto"/>
          <w:kern w:val="0"/>
          <w:szCs w:val="21"/>
          <w:highlight w:val="none"/>
          <w:lang w:val="en-US" w:eastAsia="zh-CN"/>
        </w:rPr>
        <w:t>7</w:t>
      </w:r>
      <w:r>
        <w:rPr>
          <w:rFonts w:hint="eastAsia" w:ascii="宋体" w:hAnsi="宋体" w:cs="宋体"/>
          <w:color w:val="auto"/>
          <w:kern w:val="0"/>
          <w:szCs w:val="21"/>
          <w:highlight w:val="none"/>
        </w:rPr>
        <w:t>）扶持不发达地区和少数民族地区政策</w:t>
      </w:r>
    </w:p>
    <w:p w14:paraId="7DDEF7A4">
      <w:pPr>
        <w:widowControl/>
        <w:shd w:val="clear" w:color="auto" w:fill="auto"/>
        <w:spacing w:line="360" w:lineRule="auto"/>
        <w:ind w:firstLine="420" w:firstLineChars="200"/>
        <w:rPr>
          <w:rFonts w:hint="eastAsia" w:ascii="宋体" w:hAnsi="宋体" w:cs="宋体"/>
          <w:color w:val="auto"/>
          <w:szCs w:val="21"/>
          <w:highlight w:val="none"/>
          <w:lang w:bidi="ar"/>
        </w:rPr>
      </w:pPr>
      <w:r>
        <w:rPr>
          <w:rFonts w:hint="eastAsia" w:ascii="宋体" w:hAnsi="宋体" w:cs="宋体"/>
          <w:color w:val="auto"/>
          <w:szCs w:val="21"/>
          <w:highlight w:val="none"/>
          <w:lang w:val="en-US" w:eastAsia="zh-CN" w:bidi="ar"/>
        </w:rPr>
        <w:t>6</w:t>
      </w:r>
      <w:r>
        <w:rPr>
          <w:rFonts w:hint="eastAsia" w:ascii="宋体" w:hAnsi="宋体" w:cs="宋体"/>
          <w:color w:val="auto"/>
          <w:szCs w:val="21"/>
          <w:highlight w:val="none"/>
          <w:lang w:bidi="ar"/>
        </w:rPr>
        <w:t>、投标注意事项：</w:t>
      </w:r>
    </w:p>
    <w:p w14:paraId="71A43A66">
      <w:pPr>
        <w:widowControl/>
        <w:shd w:val="clear" w:color="auto" w:fill="auto"/>
        <w:spacing w:line="360" w:lineRule="auto"/>
        <w:ind w:firstLine="420" w:firstLineChars="200"/>
        <w:jc w:val="left"/>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（1）本项目为全流程电子化采购项目，通过“</w:t>
      </w:r>
      <w:r>
        <w:rPr>
          <w:rFonts w:hint="eastAsia" w:eastAsia="宋体" w:cs="宋体"/>
          <w:color w:val="auto"/>
          <w:sz w:val="21"/>
          <w:szCs w:val="21"/>
          <w:highlight w:val="none"/>
          <w:shd w:val="clear" w:color="auto" w:fill="auto"/>
        </w:rPr>
        <w:t>广西政府采购云平台（https://www.gcy.zfcg.gxzf.gov.cn/）</w:t>
      </w:r>
      <w:r>
        <w:rPr>
          <w:rFonts w:hint="eastAsia" w:ascii="宋体" w:hAnsi="宋体" w:eastAsia="宋体" w:cs="宋体"/>
          <w:color w:val="auto"/>
          <w:szCs w:val="21"/>
          <w:highlight w:val="none"/>
          <w:shd w:val="clear" w:color="auto" w:fill="auto"/>
        </w:rPr>
        <w:t>”实行在线电子投标，投标人</w:t>
      </w:r>
      <w:r>
        <w:rPr>
          <w:rFonts w:hint="eastAsia" w:ascii="宋体" w:hAnsi="宋体" w:eastAsia="宋体" w:cs="宋体"/>
          <w:color w:val="auto"/>
          <w:szCs w:val="21"/>
          <w:highlight w:val="none"/>
          <w:shd w:val="clear" w:color="auto" w:fill="auto"/>
          <w:lang w:val="en-US" w:eastAsia="zh-CN"/>
        </w:rPr>
        <w:t>需</w:t>
      </w:r>
      <w:r>
        <w:rPr>
          <w:rFonts w:hint="eastAsia" w:ascii="宋体" w:hAnsi="宋体" w:eastAsia="宋体" w:cs="宋体"/>
          <w:bCs/>
          <w:color w:val="auto"/>
          <w:kern w:val="0"/>
          <w:szCs w:val="21"/>
          <w:highlight w:val="none"/>
          <w:shd w:val="clear" w:color="auto" w:fill="auto"/>
        </w:rPr>
        <w:t>下载使用新版客户端，新版客户端下载路径：广西政府采购网（访问地址http://zfcg.gxzf.gov.cn/）—办事服务—下载专区</w:t>
      </w:r>
      <w:r>
        <w:rPr>
          <w:rFonts w:hint="eastAsia" w:ascii="宋体" w:hAnsi="宋体" w:eastAsia="宋体" w:cs="宋体"/>
          <w:color w:val="auto"/>
          <w:szCs w:val="21"/>
          <w:highlight w:val="none"/>
          <w:shd w:val="clear" w:color="auto" w:fill="auto"/>
        </w:rPr>
        <w:t>，并按照本项目招标文件和“</w:t>
      </w:r>
      <w:r>
        <w:rPr>
          <w:rFonts w:hint="eastAsia" w:eastAsia="宋体" w:cs="宋体"/>
          <w:color w:val="auto"/>
          <w:sz w:val="21"/>
          <w:szCs w:val="21"/>
          <w:highlight w:val="none"/>
          <w:shd w:val="clear" w:color="auto" w:fill="auto"/>
        </w:rPr>
        <w:t>广西政府采购云平台</w:t>
      </w:r>
      <w:r>
        <w:rPr>
          <w:rFonts w:hint="eastAsia" w:ascii="宋体" w:hAnsi="宋体" w:eastAsia="宋体" w:cs="宋体"/>
          <w:color w:val="auto"/>
          <w:szCs w:val="21"/>
          <w:highlight w:val="none"/>
          <w:shd w:val="clear" w:color="auto" w:fill="auto"/>
        </w:rPr>
        <w:t>”的要求编制、加密后在投标截止时间前通过网络上传至“</w:t>
      </w:r>
      <w:r>
        <w:rPr>
          <w:rFonts w:hint="eastAsia" w:eastAsia="宋体" w:cs="宋体"/>
          <w:color w:val="auto"/>
          <w:sz w:val="21"/>
          <w:szCs w:val="21"/>
          <w:highlight w:val="none"/>
          <w:shd w:val="clear" w:color="auto" w:fill="auto"/>
        </w:rPr>
        <w:t>广西政府采购云平台</w:t>
      </w:r>
      <w:r>
        <w:rPr>
          <w:rFonts w:hint="eastAsia" w:ascii="宋体" w:hAnsi="宋体" w:eastAsia="宋体" w:cs="宋体"/>
          <w:color w:val="auto"/>
          <w:szCs w:val="21"/>
          <w:highlight w:val="none"/>
          <w:shd w:val="clear" w:color="auto" w:fill="auto"/>
        </w:rPr>
        <w:t>”，</w:t>
      </w:r>
      <w:r>
        <w:rPr>
          <w:rFonts w:hint="eastAsia" w:ascii="宋体" w:hAnsi="宋体" w:eastAsia="宋体" w:cs="宋体"/>
          <w:b/>
          <w:color w:val="auto"/>
          <w:szCs w:val="21"/>
          <w:highlight w:val="none"/>
          <w:shd w:val="clear" w:color="auto" w:fill="auto"/>
        </w:rPr>
        <w:t>投标人在“广西政府采购云平台”提交电子投标文件时，请填写参加远程开标活动经办人联系方式。</w:t>
      </w:r>
      <w:r>
        <w:rPr>
          <w:rFonts w:hint="eastAsia" w:ascii="宋体" w:hAnsi="宋体" w:eastAsia="宋体" w:cs="宋体"/>
          <w:color w:val="auto"/>
          <w:szCs w:val="21"/>
          <w:highlight w:val="none"/>
          <w:shd w:val="clear" w:color="auto" w:fill="auto"/>
        </w:rPr>
        <w:t>投标人登录“</w:t>
      </w:r>
      <w:r>
        <w:rPr>
          <w:rFonts w:hint="eastAsia" w:eastAsia="宋体" w:cs="宋体"/>
          <w:color w:val="auto"/>
          <w:sz w:val="21"/>
          <w:szCs w:val="21"/>
          <w:highlight w:val="none"/>
          <w:shd w:val="clear" w:color="auto" w:fill="auto"/>
        </w:rPr>
        <w:t>广西政府采购云平台</w:t>
      </w:r>
      <w:r>
        <w:rPr>
          <w:rFonts w:hint="eastAsia" w:ascii="宋体" w:hAnsi="宋体" w:eastAsia="宋体" w:cs="宋体"/>
          <w:color w:val="auto"/>
          <w:szCs w:val="21"/>
          <w:highlight w:val="none"/>
          <w:shd w:val="clear" w:color="auto" w:fill="auto"/>
        </w:rPr>
        <w:t>”，依次进入“服务中心-项目采购-操作流程-电子招投标-</w:t>
      </w:r>
      <w:r>
        <w:rPr>
          <w:rFonts w:hint="eastAsia" w:ascii="宋体" w:hAnsi="宋体" w:eastAsia="宋体" w:cs="宋体"/>
          <w:color w:val="auto"/>
          <w:highlight w:val="none"/>
          <w:shd w:val="clear" w:color="auto" w:fill="auto"/>
        </w:rPr>
        <w:t>政府采购项目电子交易管理操作指南-供应商</w:t>
      </w:r>
      <w:r>
        <w:rPr>
          <w:rFonts w:hint="eastAsia" w:ascii="宋体" w:hAnsi="宋体" w:eastAsia="宋体" w:cs="宋体"/>
          <w:color w:val="auto"/>
          <w:szCs w:val="21"/>
          <w:highlight w:val="none"/>
          <w:shd w:val="clear" w:color="auto" w:fill="auto"/>
        </w:rPr>
        <w:t>”查看电子投标具体操作流程。</w:t>
      </w:r>
    </w:p>
    <w:p w14:paraId="729FE8B2">
      <w:pPr>
        <w:widowControl/>
        <w:shd w:val="clear" w:color="auto" w:fill="auto"/>
        <w:spacing w:line="360" w:lineRule="auto"/>
        <w:ind w:firstLine="420" w:firstLineChars="200"/>
        <w:jc w:val="left"/>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2）未进行网上注册并办理数字证书（CA认证）的投标人将无法参与本项目政府采购活动，投标人应当在投标截止时间前，完成电子交易平台上的CA数字证书办理及投标文件的提交（投标人可登录“广西政府采购网”，依次进入“办事服务-下载专区”或者登录</w:t>
      </w:r>
      <w:r>
        <w:rPr>
          <w:rFonts w:hint="eastAsia" w:ascii="宋体" w:hAnsi="宋体" w:eastAsia="宋体" w:cs="宋体"/>
          <w:color w:val="auto"/>
          <w:kern w:val="0"/>
          <w:szCs w:val="21"/>
          <w:highlight w:val="none"/>
          <w:shd w:val="clear" w:color="auto" w:fill="auto"/>
        </w:rPr>
        <w:t>“</w:t>
      </w:r>
      <w:r>
        <w:rPr>
          <w:rFonts w:hint="eastAsia" w:eastAsia="宋体" w:cs="宋体"/>
          <w:color w:val="auto"/>
          <w:sz w:val="21"/>
          <w:szCs w:val="21"/>
          <w:highlight w:val="none"/>
          <w:shd w:val="clear" w:color="auto" w:fill="auto"/>
        </w:rPr>
        <w:t>广西政府采购云平台</w:t>
      </w:r>
      <w:r>
        <w:rPr>
          <w:rFonts w:hint="eastAsia" w:ascii="宋体" w:hAnsi="宋体" w:eastAsia="宋体" w:cs="宋体"/>
          <w:color w:val="auto"/>
          <w:kern w:val="0"/>
          <w:szCs w:val="21"/>
          <w:highlight w:val="none"/>
          <w:shd w:val="clear" w:color="auto" w:fill="auto"/>
        </w:rPr>
        <w:t>”，</w:t>
      </w:r>
      <w:r>
        <w:rPr>
          <w:rFonts w:hint="eastAsia" w:ascii="宋体" w:hAnsi="宋体" w:eastAsia="宋体" w:cs="宋体"/>
          <w:color w:val="auto"/>
          <w:szCs w:val="21"/>
          <w:highlight w:val="none"/>
          <w:shd w:val="clear" w:color="auto" w:fill="auto"/>
        </w:rPr>
        <w:t>依次进入“服务中心-入驻与配置”中查看CA数字证书办理操作流程。</w:t>
      </w:r>
      <w:r>
        <w:rPr>
          <w:rFonts w:hint="eastAsia" w:ascii="宋体" w:hAnsi="宋体" w:eastAsia="宋体" w:cs="宋体"/>
          <w:bCs/>
          <w:color w:val="auto"/>
          <w:kern w:val="0"/>
          <w:szCs w:val="21"/>
          <w:highlight w:val="none"/>
          <w:shd w:val="clear" w:color="auto" w:fill="auto"/>
        </w:rPr>
        <w:t>如在操作过程中遇到问题或者需要技术支持，请致电</w:t>
      </w:r>
      <w:r>
        <w:rPr>
          <w:rFonts w:hint="eastAsia" w:eastAsia="宋体" w:cs="宋体"/>
          <w:color w:val="auto"/>
          <w:sz w:val="21"/>
          <w:szCs w:val="21"/>
          <w:highlight w:val="none"/>
          <w:shd w:val="clear" w:color="auto" w:fill="auto"/>
        </w:rPr>
        <w:t>广西政府采购云平台</w:t>
      </w:r>
      <w:r>
        <w:rPr>
          <w:rFonts w:hint="eastAsia" w:ascii="宋体" w:hAnsi="宋体" w:eastAsia="宋体" w:cs="宋体"/>
          <w:bCs/>
          <w:color w:val="auto"/>
          <w:kern w:val="0"/>
          <w:szCs w:val="21"/>
          <w:highlight w:val="none"/>
          <w:shd w:val="clear" w:color="auto" w:fill="auto"/>
        </w:rPr>
        <w:t>客服热线：</w:t>
      </w:r>
      <w:r>
        <w:rPr>
          <w:rFonts w:hint="eastAsia" w:ascii="宋体" w:hAnsi="宋体" w:eastAsia="宋体" w:cs="宋体"/>
          <w:bCs/>
          <w:color w:val="auto"/>
          <w:kern w:val="0"/>
          <w:szCs w:val="21"/>
          <w:highlight w:val="none"/>
          <w:shd w:val="clear" w:color="auto" w:fill="auto"/>
          <w:lang w:eastAsia="zh-CN"/>
        </w:rPr>
        <w:t>95763</w:t>
      </w:r>
      <w:r>
        <w:rPr>
          <w:rFonts w:hint="eastAsia" w:ascii="宋体" w:hAnsi="宋体" w:eastAsia="宋体" w:cs="宋体"/>
          <w:color w:val="auto"/>
          <w:szCs w:val="21"/>
          <w:highlight w:val="none"/>
          <w:shd w:val="clear" w:color="auto" w:fill="auto"/>
        </w:rPr>
        <w:t>）。</w:t>
      </w:r>
    </w:p>
    <w:p w14:paraId="326FFE82">
      <w:pPr>
        <w:shd w:val="clear" w:color="auto" w:fill="auto"/>
        <w:snapToGrid w:val="0"/>
        <w:spacing w:line="360" w:lineRule="auto"/>
        <w:ind w:firstLine="420" w:firstLineChars="200"/>
        <w:rPr>
          <w:rFonts w:hint="eastAsia" w:ascii="宋体" w:hAnsi="宋体" w:eastAsia="宋体" w:cs="宋体"/>
          <w:color w:val="auto"/>
          <w:kern w:val="0"/>
          <w:szCs w:val="21"/>
          <w:highlight w:val="none"/>
          <w:shd w:val="clear" w:color="auto" w:fill="auto"/>
        </w:rPr>
      </w:pPr>
      <w:r>
        <w:rPr>
          <w:rFonts w:hint="eastAsia" w:ascii="宋体" w:hAnsi="宋体" w:eastAsia="宋体" w:cs="宋体"/>
          <w:color w:val="auto"/>
          <w:kern w:val="0"/>
          <w:szCs w:val="21"/>
          <w:highlight w:val="none"/>
          <w:shd w:val="clear" w:color="auto" w:fill="auto"/>
        </w:rPr>
        <w:t>（3）CA证书在线解密：投标人投标时，需凭制作投标文件时用来加密的有效数字证书（CA认证）登录“</w:t>
      </w:r>
      <w:r>
        <w:rPr>
          <w:rFonts w:hint="eastAsia" w:eastAsia="宋体" w:cs="宋体"/>
          <w:color w:val="auto"/>
          <w:sz w:val="21"/>
          <w:szCs w:val="21"/>
          <w:highlight w:val="none"/>
          <w:shd w:val="clear" w:color="auto" w:fill="auto"/>
        </w:rPr>
        <w:t>广西政府采购云平台</w:t>
      </w:r>
      <w:r>
        <w:rPr>
          <w:rFonts w:hint="eastAsia" w:ascii="宋体" w:hAnsi="宋体" w:eastAsia="宋体" w:cs="宋体"/>
          <w:color w:val="auto"/>
          <w:kern w:val="0"/>
          <w:szCs w:val="21"/>
          <w:highlight w:val="none"/>
          <w:shd w:val="clear" w:color="auto" w:fill="auto"/>
        </w:rPr>
        <w:t>”电子开标大厅现场按规定时间对加密的投标文件进行解密，否则后果自负。</w:t>
      </w:r>
    </w:p>
    <w:p w14:paraId="57FE7030">
      <w:pPr>
        <w:widowControl/>
        <w:shd w:val="clear" w:color="auto" w:fill="auto"/>
        <w:spacing w:line="360" w:lineRule="auto"/>
        <w:ind w:firstLine="420" w:firstLineChars="200"/>
        <w:jc w:val="left"/>
        <w:rPr>
          <w:rFonts w:hint="eastAsia" w:ascii="宋体" w:hAnsi="宋体" w:eastAsia="宋体" w:cs="宋体"/>
          <w:color w:val="auto"/>
          <w:szCs w:val="21"/>
          <w:highlight w:val="none"/>
          <w:shd w:val="clear" w:color="auto" w:fill="auto"/>
        </w:rPr>
      </w:pPr>
      <w:r>
        <w:rPr>
          <w:rFonts w:hint="eastAsia" w:ascii="宋体" w:hAnsi="宋体" w:eastAsia="宋体" w:cs="宋体"/>
          <w:color w:val="auto"/>
          <w:szCs w:val="21"/>
          <w:highlight w:val="none"/>
          <w:shd w:val="clear" w:color="auto" w:fill="auto"/>
        </w:rPr>
        <w:t>注：1）为确保网上操作合法、有效和安全，请投标人确保在电子投标过程中能够对相关数据电文进行加密和使用电子签章，妥善保管CA数字证书并使用有效的CA数字证书参与整个招标活动。</w:t>
      </w:r>
    </w:p>
    <w:p w14:paraId="746CCE47">
      <w:pPr>
        <w:widowControl/>
        <w:shd w:val="clear" w:color="auto" w:fill="auto"/>
        <w:spacing w:line="360" w:lineRule="auto"/>
        <w:ind w:firstLine="420" w:firstLineChars="200"/>
        <w:jc w:val="left"/>
        <w:rPr>
          <w:rFonts w:hint="eastAsia" w:ascii="宋体" w:hAnsi="宋体" w:eastAsia="宋体" w:cs="宋体"/>
          <w:bCs/>
          <w:color w:val="auto"/>
          <w:szCs w:val="21"/>
          <w:highlight w:val="none"/>
          <w:shd w:val="clear" w:color="auto" w:fill="auto"/>
        </w:rPr>
      </w:pPr>
      <w:r>
        <w:rPr>
          <w:rFonts w:hint="eastAsia" w:ascii="宋体" w:hAnsi="宋体" w:eastAsia="宋体" w:cs="宋体"/>
          <w:color w:val="auto"/>
          <w:szCs w:val="21"/>
          <w:highlight w:val="none"/>
          <w:shd w:val="clear" w:color="auto" w:fill="auto"/>
        </w:rPr>
        <w:t>2）</w:t>
      </w:r>
      <w:r>
        <w:rPr>
          <w:rFonts w:hint="eastAsia" w:ascii="宋体" w:hAnsi="宋体" w:eastAsia="宋体" w:cs="宋体"/>
          <w:bCs/>
          <w:color w:val="auto"/>
          <w:szCs w:val="21"/>
          <w:highlight w:val="none"/>
          <w:shd w:val="clear" w:color="auto" w:fill="auto"/>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w:t>
      </w:r>
      <w:r>
        <w:rPr>
          <w:rFonts w:hint="eastAsia" w:eastAsia="宋体" w:cs="宋体"/>
          <w:color w:val="auto"/>
          <w:sz w:val="21"/>
          <w:szCs w:val="21"/>
          <w:highlight w:val="none"/>
          <w:shd w:val="clear" w:color="auto" w:fill="auto"/>
        </w:rPr>
        <w:t>广西政府采购云平台</w:t>
      </w:r>
      <w:r>
        <w:rPr>
          <w:rFonts w:hint="eastAsia" w:ascii="宋体" w:hAnsi="宋体" w:eastAsia="宋体" w:cs="宋体"/>
          <w:bCs/>
          <w:color w:val="auto"/>
          <w:szCs w:val="21"/>
          <w:highlight w:val="none"/>
          <w:shd w:val="clear" w:color="auto" w:fill="auto"/>
        </w:rPr>
        <w:t>”将予以拒收。</w:t>
      </w:r>
    </w:p>
    <w:bookmarkEnd w:id="40"/>
    <w:bookmarkEnd w:id="41"/>
    <w:p w14:paraId="46BA7D8D">
      <w:pPr>
        <w:keepNext w:val="0"/>
        <w:keepLines w:val="0"/>
        <w:pageBreakBefore w:val="0"/>
        <w:kinsoku/>
        <w:overflowPunct/>
        <w:topLinePunct w:val="0"/>
        <w:bidi w:val="0"/>
        <w:spacing w:line="360" w:lineRule="auto"/>
        <w:textAlignment w:val="auto"/>
        <w:rPr>
          <w:rFonts w:hint="eastAsia" w:ascii="宋体" w:hAnsi="宋体" w:cs="宋体"/>
          <w:b/>
          <w:bCs/>
          <w:color w:val="auto"/>
          <w:sz w:val="24"/>
          <w:highlight w:val="none"/>
        </w:rPr>
      </w:pPr>
      <w:r>
        <w:rPr>
          <w:rFonts w:hint="eastAsia" w:ascii="宋体" w:hAnsi="宋体" w:cs="宋体"/>
          <w:b/>
          <w:bCs/>
          <w:color w:val="auto"/>
          <w:sz w:val="24"/>
          <w:highlight w:val="none"/>
        </w:rPr>
        <w:t>七、对本次招标提出询问，请按以下方式联系。</w:t>
      </w:r>
      <w:bookmarkEnd w:id="42"/>
      <w:bookmarkEnd w:id="43"/>
      <w:bookmarkEnd w:id="44"/>
      <w:bookmarkEnd w:id="45"/>
    </w:p>
    <w:p w14:paraId="6BF8EE36">
      <w:pPr>
        <w:shd w:val="clear" w:color="auto" w:fill="auto"/>
        <w:spacing w:line="360" w:lineRule="auto"/>
        <w:ind w:firstLine="420" w:firstLineChars="200"/>
        <w:rPr>
          <w:rFonts w:hint="eastAsia" w:ascii="宋体" w:hAnsi="宋体" w:cs="宋体"/>
          <w:color w:val="auto"/>
          <w:szCs w:val="21"/>
          <w:highlight w:val="none"/>
        </w:rPr>
      </w:pPr>
      <w:bookmarkStart w:id="46" w:name="_Toc28359009"/>
      <w:bookmarkStart w:id="47" w:name="_Toc28359086"/>
      <w:r>
        <w:rPr>
          <w:rFonts w:hint="eastAsia" w:ascii="宋体" w:hAnsi="宋体" w:cs="宋体"/>
          <w:color w:val="auto"/>
          <w:szCs w:val="21"/>
          <w:highlight w:val="none"/>
        </w:rPr>
        <w:t>1.采购人信息</w:t>
      </w:r>
    </w:p>
    <w:p w14:paraId="0F11E757">
      <w:pPr>
        <w:shd w:val="clear" w:color="auto" w:fill="auto"/>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名称：</w:t>
      </w:r>
      <w:r>
        <w:rPr>
          <w:rFonts w:hint="eastAsia" w:ascii="宋体" w:hAnsi="宋体" w:cs="宋体"/>
          <w:color w:val="auto"/>
          <w:szCs w:val="21"/>
          <w:highlight w:val="none"/>
          <w:lang w:eastAsia="zh-CN"/>
        </w:rPr>
        <w:t>广西壮族自治区江滨医院</w:t>
      </w:r>
    </w:p>
    <w:p w14:paraId="7C403C97">
      <w:pPr>
        <w:shd w:val="clear" w:color="auto" w:fill="auto"/>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地址：</w:t>
      </w:r>
      <w:r>
        <w:rPr>
          <w:rFonts w:hint="eastAsia" w:ascii="宋体" w:hAnsi="宋体" w:cs="宋体"/>
          <w:color w:val="auto"/>
          <w:szCs w:val="21"/>
          <w:highlight w:val="none"/>
          <w:lang w:eastAsia="zh-CN"/>
        </w:rPr>
        <w:t>广西壮族自治区南宁市青秀区河堤路85号</w:t>
      </w:r>
    </w:p>
    <w:p w14:paraId="12CBEB0A">
      <w:pPr>
        <w:shd w:val="clear" w:color="auto" w:fill="auto"/>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项目联系人：</w:t>
      </w:r>
      <w:r>
        <w:rPr>
          <w:rFonts w:hint="eastAsia" w:ascii="宋体" w:hAnsi="宋体" w:cs="宋体"/>
          <w:color w:val="auto"/>
          <w:szCs w:val="21"/>
          <w:highlight w:val="none"/>
          <w:lang w:val="en-US" w:eastAsia="zh-CN"/>
        </w:rPr>
        <w:t>唐老师</w:t>
      </w:r>
    </w:p>
    <w:p w14:paraId="341B4517">
      <w:pPr>
        <w:shd w:val="clear" w:color="auto" w:fill="auto"/>
        <w:spacing w:line="360" w:lineRule="auto"/>
        <w:ind w:firstLine="420" w:firstLineChars="200"/>
        <w:rPr>
          <w:rFonts w:hint="default" w:ascii="宋体" w:hAnsi="宋体" w:eastAsia="宋体" w:cs="宋体"/>
          <w:color w:val="auto"/>
          <w:szCs w:val="21"/>
          <w:highlight w:val="none"/>
          <w:lang w:val="en-US" w:eastAsia="zh-CN"/>
        </w:rPr>
      </w:pPr>
      <w:r>
        <w:rPr>
          <w:rFonts w:hint="eastAsia" w:ascii="宋体" w:hAnsi="宋体" w:cs="宋体"/>
          <w:color w:val="auto"/>
          <w:szCs w:val="21"/>
          <w:highlight w:val="none"/>
        </w:rPr>
        <w:t>项目联系方式：</w:t>
      </w:r>
      <w:r>
        <w:rPr>
          <w:rFonts w:hint="eastAsia" w:ascii="宋体" w:hAnsi="宋体" w:cs="宋体"/>
          <w:color w:val="auto"/>
          <w:szCs w:val="21"/>
          <w:highlight w:val="none"/>
          <w:lang w:eastAsia="zh-CN"/>
        </w:rPr>
        <w:t>0771-2080018</w:t>
      </w:r>
    </w:p>
    <w:p w14:paraId="09B72C3B">
      <w:pPr>
        <w:shd w:val="clear" w:color="auto" w:fill="auto"/>
        <w:spacing w:line="360" w:lineRule="auto"/>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2.采购代理机构信息</w:t>
      </w:r>
    </w:p>
    <w:p w14:paraId="4F924BB5">
      <w:pPr>
        <w:shd w:val="clear" w:color="auto" w:fill="auto"/>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名称：</w:t>
      </w:r>
      <w:r>
        <w:rPr>
          <w:rFonts w:hint="eastAsia" w:ascii="宋体" w:hAnsi="宋体" w:cs="宋体"/>
          <w:color w:val="auto"/>
          <w:szCs w:val="21"/>
          <w:highlight w:val="none"/>
          <w:lang w:eastAsia="zh-CN"/>
        </w:rPr>
        <w:t>广西建设工程机电设备招标中心有限公司</w:t>
      </w:r>
    </w:p>
    <w:p w14:paraId="25263337">
      <w:pPr>
        <w:shd w:val="clear" w:color="auto" w:fill="auto"/>
        <w:spacing w:line="360" w:lineRule="auto"/>
        <w:ind w:firstLine="420" w:firstLineChars="200"/>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地址：</w:t>
      </w:r>
      <w:r>
        <w:rPr>
          <w:rFonts w:hint="eastAsia" w:ascii="宋体" w:hAnsi="宋体" w:eastAsia="宋体" w:cs="宋体"/>
          <w:color w:val="auto"/>
          <w:szCs w:val="21"/>
          <w:highlight w:val="none"/>
          <w:lang w:eastAsia="zh-CN"/>
        </w:rPr>
        <w:t>南宁市青秀区枫林路18号广西国控集团（枫林路办公区）裙楼三层</w:t>
      </w:r>
    </w:p>
    <w:p w14:paraId="3DDB81CF">
      <w:pPr>
        <w:shd w:val="clear" w:color="auto" w:fill="auto"/>
        <w:spacing w:line="360" w:lineRule="auto"/>
        <w:ind w:firstLine="420" w:firstLineChars="200"/>
        <w:rPr>
          <w:rFonts w:hint="eastAsia" w:ascii="宋体" w:hAnsi="宋体" w:eastAsia="宋体" w:cs="Arial"/>
          <w:color w:val="auto"/>
          <w:szCs w:val="21"/>
          <w:highlight w:val="none"/>
          <w:lang w:eastAsia="zh-CN"/>
        </w:rPr>
      </w:pPr>
      <w:r>
        <w:rPr>
          <w:rFonts w:hint="eastAsia" w:ascii="宋体" w:hAnsi="宋体" w:cs="Arial"/>
          <w:color w:val="auto"/>
          <w:szCs w:val="21"/>
          <w:highlight w:val="none"/>
        </w:rPr>
        <w:t>项目联系人：韦吉、</w:t>
      </w:r>
      <w:r>
        <w:rPr>
          <w:rFonts w:hint="eastAsia" w:ascii="宋体" w:hAnsi="宋体" w:cs="Arial"/>
          <w:color w:val="auto"/>
          <w:szCs w:val="21"/>
          <w:highlight w:val="none"/>
          <w:lang w:eastAsia="zh-CN"/>
        </w:rPr>
        <w:t>罗雷</w:t>
      </w:r>
    </w:p>
    <w:p w14:paraId="413C96BF">
      <w:pPr>
        <w:shd w:val="clear" w:color="auto" w:fill="auto"/>
        <w:spacing w:line="360" w:lineRule="auto"/>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项目联系方式：0771-2869912、0771-2836859</w:t>
      </w:r>
    </w:p>
    <w:bookmarkEnd w:id="46"/>
    <w:bookmarkEnd w:id="47"/>
    <w:p w14:paraId="5651F22D">
      <w:pPr>
        <w:keepNext w:val="0"/>
        <w:keepLines w:val="0"/>
        <w:pageBreakBefore w:val="0"/>
        <w:kinsoku/>
        <w:overflowPunct/>
        <w:topLinePunct w:val="0"/>
        <w:bidi w:val="0"/>
        <w:spacing w:line="360" w:lineRule="auto"/>
        <w:jc w:val="right"/>
        <w:textAlignment w:val="auto"/>
        <w:rPr>
          <w:rFonts w:hint="eastAsia" w:ascii="宋体" w:hAnsi="宋体" w:cs="宋体"/>
          <w:color w:val="auto"/>
          <w:szCs w:val="21"/>
          <w:highlight w:val="none"/>
        </w:rPr>
      </w:pPr>
    </w:p>
    <w:p w14:paraId="5D44F5A9">
      <w:pPr>
        <w:keepNext w:val="0"/>
        <w:keepLines w:val="0"/>
        <w:pageBreakBefore w:val="0"/>
        <w:kinsoku/>
        <w:overflowPunct/>
        <w:topLinePunct w:val="0"/>
        <w:bidi w:val="0"/>
        <w:spacing w:line="360" w:lineRule="auto"/>
        <w:jc w:val="right"/>
        <w:textAlignment w:val="auto"/>
        <w:rPr>
          <w:rFonts w:hint="eastAsia" w:ascii="宋体" w:hAnsi="宋体" w:cs="宋体"/>
          <w:color w:val="auto"/>
          <w:szCs w:val="21"/>
          <w:highlight w:val="none"/>
        </w:rPr>
      </w:pPr>
    </w:p>
    <w:p w14:paraId="21D8C29B">
      <w:pPr>
        <w:keepNext w:val="0"/>
        <w:keepLines w:val="0"/>
        <w:pageBreakBefore w:val="0"/>
        <w:kinsoku/>
        <w:overflowPunct/>
        <w:topLinePunct w:val="0"/>
        <w:bidi w:val="0"/>
        <w:spacing w:line="360" w:lineRule="auto"/>
        <w:jc w:val="right"/>
        <w:textAlignment w:val="auto"/>
        <w:rPr>
          <w:rFonts w:hint="eastAsia" w:ascii="宋体" w:hAnsi="宋体" w:cs="宋体"/>
          <w:b/>
          <w:bCs/>
          <w:color w:val="auto"/>
          <w:highlight w:val="none"/>
        </w:rPr>
      </w:pPr>
      <w:r>
        <w:rPr>
          <w:rFonts w:hint="eastAsia" w:ascii="宋体" w:hAnsi="宋体" w:cs="宋体"/>
          <w:color w:val="auto"/>
          <w:szCs w:val="21"/>
          <w:highlight w:val="none"/>
        </w:rPr>
        <w:t>采购代理机构：</w:t>
      </w:r>
      <w:r>
        <w:rPr>
          <w:rFonts w:hint="eastAsia" w:ascii="宋体" w:hAnsi="宋体" w:cs="宋体"/>
          <w:color w:val="auto"/>
          <w:szCs w:val="21"/>
          <w:highlight w:val="none"/>
          <w:lang w:eastAsia="zh-CN"/>
        </w:rPr>
        <w:t>广西建设工程机电设备招标中心有限公司</w:t>
      </w:r>
      <w:r>
        <w:rPr>
          <w:rFonts w:hint="eastAsia" w:ascii="宋体" w:hAnsi="宋体" w:cs="宋体"/>
          <w:b/>
          <w:bCs/>
          <w:color w:val="auto"/>
          <w:highlight w:val="none"/>
        </w:rPr>
        <w:t xml:space="preserve"> </w:t>
      </w:r>
    </w:p>
    <w:p w14:paraId="2253F8A1">
      <w:pPr>
        <w:keepNext w:val="0"/>
        <w:keepLines w:val="0"/>
        <w:pageBreakBefore w:val="0"/>
        <w:kinsoku/>
        <w:overflowPunct/>
        <w:topLinePunct w:val="0"/>
        <w:bidi w:val="0"/>
        <w:spacing w:line="360" w:lineRule="auto"/>
        <w:jc w:val="right"/>
        <w:textAlignment w:val="auto"/>
        <w:rPr>
          <w:rFonts w:hint="eastAsia" w:ascii="宋体" w:hAnsi="宋体" w:eastAsia="宋体" w:cs="Arial"/>
          <w:b w:val="0"/>
          <w:bCs w:val="0"/>
          <w:color w:val="auto"/>
          <w:kern w:val="2"/>
          <w:sz w:val="21"/>
          <w:szCs w:val="21"/>
          <w:highlight w:val="none"/>
          <w:lang w:eastAsia="zh-CN"/>
        </w:rPr>
      </w:pPr>
      <w:r>
        <w:rPr>
          <w:rFonts w:hint="eastAsia" w:ascii="宋体" w:hAnsi="宋体" w:eastAsia="宋体" w:cs="Arial"/>
          <w:b w:val="0"/>
          <w:bCs w:val="0"/>
          <w:color w:val="auto"/>
          <w:kern w:val="2"/>
          <w:sz w:val="21"/>
          <w:szCs w:val="21"/>
          <w:highlight w:val="none"/>
          <w:lang w:eastAsia="zh-CN"/>
        </w:rPr>
        <w:t>2026年</w:t>
      </w:r>
      <w:r>
        <w:rPr>
          <w:rFonts w:hint="eastAsia" w:ascii="宋体" w:hAnsi="宋体" w:cs="Arial"/>
          <w:b w:val="0"/>
          <w:bCs w:val="0"/>
          <w:color w:val="auto"/>
          <w:kern w:val="2"/>
          <w:sz w:val="21"/>
          <w:szCs w:val="21"/>
          <w:highlight w:val="none"/>
          <w:lang w:val="en-US" w:eastAsia="zh-CN"/>
        </w:rPr>
        <w:t>7</w:t>
      </w:r>
      <w:r>
        <w:rPr>
          <w:rFonts w:hint="eastAsia" w:ascii="宋体" w:hAnsi="宋体" w:eastAsia="宋体" w:cs="Arial"/>
          <w:b w:val="0"/>
          <w:bCs w:val="0"/>
          <w:color w:val="auto"/>
          <w:kern w:val="2"/>
          <w:sz w:val="21"/>
          <w:szCs w:val="21"/>
          <w:highlight w:val="none"/>
          <w:lang w:eastAsia="zh-CN"/>
        </w:rPr>
        <w:t>月</w:t>
      </w:r>
      <w:r>
        <w:rPr>
          <w:rFonts w:hint="eastAsia" w:ascii="宋体" w:hAnsi="宋体" w:cs="Arial"/>
          <w:b w:val="0"/>
          <w:bCs w:val="0"/>
          <w:color w:val="auto"/>
          <w:kern w:val="2"/>
          <w:sz w:val="21"/>
          <w:szCs w:val="21"/>
          <w:highlight w:val="none"/>
          <w:lang w:val="en-US" w:eastAsia="zh-CN"/>
        </w:rPr>
        <w:t>9</w:t>
      </w:r>
      <w:r>
        <w:rPr>
          <w:rFonts w:hint="eastAsia" w:ascii="宋体" w:hAnsi="宋体" w:eastAsia="宋体" w:cs="Arial"/>
          <w:b w:val="0"/>
          <w:bCs w:val="0"/>
          <w:color w:val="auto"/>
          <w:kern w:val="2"/>
          <w:sz w:val="21"/>
          <w:szCs w:val="21"/>
          <w:highlight w:val="none"/>
          <w:lang w:eastAsia="zh-CN"/>
        </w:rPr>
        <w:t>日</w:t>
      </w:r>
      <w:bookmarkStart w:id="48" w:name="_Toc12941"/>
      <w:bookmarkStart w:id="49" w:name="_Toc28054"/>
      <w:bookmarkStart w:id="50" w:name="_Toc29892"/>
      <w:bookmarkStart w:id="51" w:name="_Toc14264"/>
    </w:p>
    <w:p w14:paraId="3966CBE6">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53165C01">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37830FA7">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2CAA31B3">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5B8C202D">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741B0E9B">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48AA6DA1">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15C17261">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6D3F2E2E">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4D6D7AB3">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71A9C777">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112ACBD1">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34FDDC9C">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7EBB146F">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270745E3">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00E36C80">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4462CEC7">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7AAB4E6C">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41248744">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560C3FA5">
      <w:pPr>
        <w:keepNext w:val="0"/>
        <w:keepLines w:val="0"/>
        <w:pageBreakBefore w:val="0"/>
        <w:kinsoku/>
        <w:overflowPunct/>
        <w:topLinePunct w:val="0"/>
        <w:bidi w:val="0"/>
        <w:spacing w:line="360" w:lineRule="auto"/>
        <w:jc w:val="both"/>
        <w:textAlignment w:val="auto"/>
        <w:rPr>
          <w:rFonts w:hint="eastAsia" w:ascii="宋体" w:hAnsi="宋体" w:eastAsia="宋体" w:cs="Arial"/>
          <w:b w:val="0"/>
          <w:bCs w:val="0"/>
          <w:color w:val="auto"/>
          <w:kern w:val="2"/>
          <w:sz w:val="21"/>
          <w:szCs w:val="21"/>
          <w:highlight w:val="none"/>
          <w:lang w:eastAsia="zh-CN"/>
        </w:rPr>
      </w:pPr>
    </w:p>
    <w:p w14:paraId="34E7F712">
      <w:pPr>
        <w:keepNext w:val="0"/>
        <w:keepLines w:val="0"/>
        <w:pageBreakBefore w:val="0"/>
        <w:kinsoku/>
        <w:overflowPunct/>
        <w:topLinePunct w:val="0"/>
        <w:bidi w:val="0"/>
        <w:spacing w:line="360" w:lineRule="auto"/>
        <w:jc w:val="center"/>
        <w:textAlignment w:val="auto"/>
        <w:rPr>
          <w:rFonts w:hint="eastAsia" w:ascii="宋体" w:hAnsi="宋体" w:cs="宋体"/>
          <w:color w:val="auto"/>
          <w:highlight w:val="none"/>
        </w:rPr>
      </w:pPr>
      <w:r>
        <w:rPr>
          <w:rFonts w:hint="eastAsia" w:ascii="宋体" w:hAnsi="宋体" w:eastAsia="宋体" w:cs="宋体"/>
          <w:b/>
          <w:bCs/>
          <w:color w:val="auto"/>
          <w:kern w:val="44"/>
          <w:sz w:val="44"/>
          <w:szCs w:val="44"/>
          <w:highlight w:val="none"/>
          <w:lang w:val="en-US" w:eastAsia="zh-CN" w:bidi="ar-SA"/>
        </w:rPr>
        <w:t>第二章  采购需求</w:t>
      </w:r>
      <w:bookmarkEnd w:id="48"/>
      <w:bookmarkEnd w:id="49"/>
      <w:bookmarkEnd w:id="50"/>
      <w:bookmarkEnd w:id="51"/>
    </w:p>
    <w:p w14:paraId="2E10066C">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一、说明：</w:t>
      </w:r>
    </w:p>
    <w:p w14:paraId="39715F3A">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1.为落实政府采购政策需满足的要求</w:t>
      </w:r>
    </w:p>
    <w:p w14:paraId="5EFE7335">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本招标文件所称中小企业必须符合《政府采购促进中小企业发展管理办法》（财库〔2020〕46号）的规定。</w:t>
      </w:r>
    </w:p>
    <w:p w14:paraId="4338CAC2">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2.“实质性要求”是指招标文件中已经指明不满足则投标无效的条款，或者不能负偏离的条款，或者采购需求中带“▲”的条款。</w:t>
      </w:r>
    </w:p>
    <w:p w14:paraId="15C2ADC4">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3.投标人必须自行为其投标产品侵犯他人的知识产权或者专利成果的行为承担相应法律责任。</w:t>
      </w:r>
    </w:p>
    <w:p w14:paraId="092F7C0F">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color w:val="auto"/>
          <w:szCs w:val="21"/>
          <w:highlight w:val="none"/>
        </w:rPr>
      </w:pPr>
      <w:r>
        <w:rPr>
          <w:rFonts w:hint="eastAsia" w:ascii="宋体" w:hAnsi="宋体" w:cs="宋体"/>
          <w:b/>
          <w:color w:val="auto"/>
          <w:szCs w:val="21"/>
          <w:highlight w:val="none"/>
        </w:rPr>
        <w:t>4.采购内容的中小企业划分标准所属行业名称：</w:t>
      </w:r>
      <w:r>
        <w:rPr>
          <w:rFonts w:hint="eastAsia" w:ascii="宋体" w:hAnsi="宋体" w:cs="宋体"/>
          <w:b/>
          <w:bCs w:val="0"/>
          <w:color w:val="auto"/>
          <w:kern w:val="0"/>
          <w:szCs w:val="21"/>
          <w:highlight w:val="none"/>
          <w:lang w:val="en-US" w:eastAsia="zh-CN"/>
        </w:rPr>
        <w:t>批发业。</w:t>
      </w:r>
    </w:p>
    <w:p w14:paraId="66461D1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cs="宋体"/>
          <w:color w:val="auto"/>
          <w:szCs w:val="21"/>
          <w:highlight w:val="none"/>
          <w:lang w:val="en-US" w:eastAsia="zh-CN"/>
        </w:rPr>
        <w:t>5</w:t>
      </w:r>
      <w:r>
        <w:rPr>
          <w:rFonts w:hint="eastAsia" w:ascii="宋体" w:hAnsi="宋体" w:eastAsia="宋体" w:cs="宋体"/>
          <w:color w:val="auto"/>
          <w:szCs w:val="21"/>
          <w:highlight w:val="none"/>
        </w:rPr>
        <w:t>.采购需求要求未尽事宜由采购人与中标供应商在采购合同中约定。</w:t>
      </w:r>
    </w:p>
    <w:p w14:paraId="3801885C">
      <w:pPr>
        <w:keepNext w:val="0"/>
        <w:keepLines w:val="0"/>
        <w:pageBreakBefore w:val="0"/>
        <w:widowControl w:val="0"/>
        <w:kinsoku/>
        <w:wordWrap/>
        <w:overflowPunct/>
        <w:topLinePunct w:val="0"/>
        <w:autoSpaceDE/>
        <w:autoSpaceDN/>
        <w:bidi w:val="0"/>
        <w:adjustRightInd/>
        <w:snapToGrid/>
        <w:spacing w:line="400" w:lineRule="exact"/>
        <w:ind w:firstLine="422" w:firstLineChars="200"/>
        <w:textAlignment w:val="auto"/>
        <w:rPr>
          <w:rFonts w:hint="eastAsia" w:ascii="宋体" w:hAnsi="宋体" w:eastAsia="宋体" w:cs="宋体"/>
          <w:b/>
          <w:bCs/>
          <w:color w:val="auto"/>
          <w:szCs w:val="21"/>
          <w:highlight w:val="none"/>
        </w:rPr>
      </w:pPr>
      <w:r>
        <w:rPr>
          <w:rFonts w:hint="eastAsia" w:ascii="宋体" w:hAnsi="宋体" w:cs="宋体"/>
          <w:b/>
          <w:bCs/>
          <w:color w:val="auto"/>
          <w:szCs w:val="21"/>
          <w:highlight w:val="none"/>
          <w:lang w:val="en-US" w:eastAsia="zh-CN"/>
        </w:rPr>
        <w:t>6</w:t>
      </w:r>
      <w:r>
        <w:rPr>
          <w:rFonts w:hint="eastAsia" w:ascii="宋体" w:hAnsi="宋体" w:eastAsia="宋体" w:cs="宋体"/>
          <w:b/>
          <w:bCs/>
          <w:color w:val="auto"/>
          <w:szCs w:val="21"/>
          <w:highlight w:val="none"/>
          <w:lang w:val="en-US" w:eastAsia="zh-CN"/>
        </w:rPr>
        <w:t>.</w:t>
      </w:r>
      <w:r>
        <w:rPr>
          <w:rFonts w:hint="eastAsia" w:ascii="宋体" w:hAnsi="宋体" w:cs="宋体"/>
          <w:b/>
          <w:bCs w:val="0"/>
          <w:color w:val="auto"/>
          <w:kern w:val="0"/>
          <w:szCs w:val="21"/>
          <w:highlight w:val="none"/>
          <w:lang w:val="en-US" w:eastAsia="zh-CN"/>
        </w:rPr>
        <w:t>投标人的报价出现《财政部关于推动解决政府采购异常低价问题的通知》（财库〔2026〕2号）规定的异常低价情形（具体详见招标文件第四章评标方法及评标标准二、评标程序6.异常低价审查），有可能影响服务质量或者不能诚信履约的，其应当在评标现场合理时间内（不少于30分钟）对报价作出解释，提供项目具体成本测算等与报价合理性相关的书面说明及必要证明材料；投标人不能提供相关说明、证明材料，或提供的材料无法证明其报价合理性的，评标委员会将其作为无效投标处理。</w:t>
      </w:r>
      <w:r>
        <w:rPr>
          <w:rFonts w:hint="eastAsia" w:ascii="宋体" w:hAnsi="宋体" w:eastAsia="宋体" w:cs="宋体"/>
          <w:b/>
          <w:bCs/>
          <w:color w:val="auto"/>
          <w:szCs w:val="21"/>
          <w:highlight w:val="none"/>
          <w:lang w:val="en-US" w:eastAsia="zh-CN"/>
        </w:rPr>
        <w:t xml:space="preserve"> </w:t>
      </w:r>
    </w:p>
    <w:p w14:paraId="2050DFF6">
      <w:pPr>
        <w:pStyle w:val="15"/>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highlight w:val="none"/>
        </w:rPr>
      </w:pPr>
    </w:p>
    <w:p w14:paraId="033E20C6">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ind w:firstLine="422" w:firstLineChars="200"/>
        <w:textAlignment w:val="auto"/>
        <w:rPr>
          <w:rFonts w:hint="eastAsia" w:ascii="宋体" w:hAnsi="宋体" w:cs="宋体"/>
          <w:b/>
          <w:color w:val="auto"/>
          <w:sz w:val="24"/>
          <w:highlight w:val="none"/>
        </w:rPr>
      </w:pPr>
      <w:r>
        <w:rPr>
          <w:rFonts w:hint="eastAsia" w:ascii="宋体" w:hAnsi="宋体" w:cs="宋体"/>
          <w:b/>
          <w:color w:val="auto"/>
          <w:szCs w:val="21"/>
          <w:highlight w:val="none"/>
        </w:rPr>
        <w:t>二、技术及商务要求：</w:t>
      </w:r>
    </w:p>
    <w:tbl>
      <w:tblPr>
        <w:tblStyle w:val="39"/>
        <w:tblW w:w="9071" w:type="dxa"/>
        <w:jc w:val="center"/>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91" w:type="dxa"/>
          <w:bottom w:w="0" w:type="dxa"/>
          <w:right w:w="91" w:type="dxa"/>
        </w:tblCellMar>
      </w:tblPr>
      <w:tblGrid>
        <w:gridCol w:w="610"/>
        <w:gridCol w:w="1002"/>
        <w:gridCol w:w="165"/>
        <w:gridCol w:w="720"/>
        <w:gridCol w:w="657"/>
        <w:gridCol w:w="5917"/>
      </w:tblGrid>
      <w:tr w14:paraId="1C17ECC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91" w:type="dxa"/>
            <w:bottom w:w="0" w:type="dxa"/>
            <w:right w:w="91" w:type="dxa"/>
          </w:tblCellMar>
        </w:tblPrEx>
        <w:trPr>
          <w:trHeight w:val="455" w:hRule="atLeast"/>
          <w:jc w:val="center"/>
        </w:trPr>
        <w:tc>
          <w:tcPr>
            <w:tcW w:w="9071" w:type="dxa"/>
            <w:gridSpan w:val="6"/>
            <w:tcBorders>
              <w:top w:val="single" w:color="000000" w:sz="2" w:space="0"/>
              <w:left w:val="single" w:color="000000" w:sz="2" w:space="0"/>
              <w:bottom w:val="single" w:color="000000" w:sz="2" w:space="0"/>
              <w:right w:val="single" w:color="000000" w:sz="2" w:space="0"/>
            </w:tcBorders>
            <w:noWrap w:val="0"/>
            <w:vAlign w:val="center"/>
          </w:tcPr>
          <w:p w14:paraId="337E315A">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textAlignment w:val="auto"/>
              <w:rPr>
                <w:rFonts w:hint="eastAsia" w:ascii="宋体" w:hAnsi="宋体" w:cs="宋体"/>
                <w:color w:val="auto"/>
                <w:szCs w:val="21"/>
                <w:highlight w:val="none"/>
              </w:rPr>
            </w:pPr>
            <w:r>
              <w:rPr>
                <w:rFonts w:hint="eastAsia" w:ascii="宋体" w:hAnsi="宋体" w:cs="宋体"/>
                <w:b/>
                <w:bCs/>
                <w:color w:val="auto"/>
                <w:szCs w:val="21"/>
                <w:highlight w:val="none"/>
              </w:rPr>
              <w:t>一、项目要求及技术需求</w:t>
            </w:r>
          </w:p>
        </w:tc>
      </w:tr>
      <w:tr w14:paraId="11FC2AB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91" w:type="dxa"/>
            <w:bottom w:w="0" w:type="dxa"/>
            <w:right w:w="91" w:type="dxa"/>
          </w:tblCellMar>
        </w:tblPrEx>
        <w:trPr>
          <w:trHeight w:val="496" w:hRule="atLeast"/>
          <w:jc w:val="center"/>
        </w:trPr>
        <w:tc>
          <w:tcPr>
            <w:tcW w:w="610" w:type="dxa"/>
            <w:tcBorders>
              <w:top w:val="single" w:color="000000" w:sz="2" w:space="0"/>
              <w:left w:val="single" w:color="000000" w:sz="2" w:space="0"/>
              <w:bottom w:val="single" w:color="000000" w:sz="2" w:space="0"/>
              <w:right w:val="single" w:color="000000" w:sz="2" w:space="0"/>
            </w:tcBorders>
            <w:noWrap w:val="0"/>
            <w:vAlign w:val="center"/>
          </w:tcPr>
          <w:p w14:paraId="1A60D645">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1167" w:type="dxa"/>
            <w:gridSpan w:val="2"/>
            <w:tcBorders>
              <w:top w:val="single" w:color="000000" w:sz="2" w:space="0"/>
              <w:left w:val="single" w:color="000000" w:sz="2" w:space="0"/>
              <w:bottom w:val="single" w:color="000000" w:sz="2" w:space="0"/>
              <w:right w:val="single" w:color="000000" w:sz="2" w:space="0"/>
            </w:tcBorders>
            <w:noWrap w:val="0"/>
            <w:vAlign w:val="center"/>
          </w:tcPr>
          <w:p w14:paraId="15180876">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标的名称</w:t>
            </w:r>
          </w:p>
        </w:tc>
        <w:tc>
          <w:tcPr>
            <w:tcW w:w="720" w:type="dxa"/>
            <w:tcBorders>
              <w:top w:val="single" w:color="000000" w:sz="2" w:space="0"/>
              <w:left w:val="single" w:color="000000" w:sz="2" w:space="0"/>
              <w:bottom w:val="single" w:color="000000" w:sz="2" w:space="0"/>
              <w:right w:val="single" w:color="000000" w:sz="2" w:space="0"/>
            </w:tcBorders>
            <w:noWrap w:val="0"/>
            <w:vAlign w:val="center"/>
          </w:tcPr>
          <w:p w14:paraId="171C35BA">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657" w:type="dxa"/>
            <w:tcBorders>
              <w:top w:val="single" w:color="000000" w:sz="2" w:space="0"/>
              <w:left w:val="single" w:color="000000" w:sz="2" w:space="0"/>
              <w:bottom w:val="single" w:color="000000" w:sz="2" w:space="0"/>
              <w:right w:val="single" w:color="000000" w:sz="2" w:space="0"/>
            </w:tcBorders>
            <w:noWrap w:val="0"/>
            <w:vAlign w:val="center"/>
          </w:tcPr>
          <w:p w14:paraId="30E0D858">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单位</w:t>
            </w:r>
          </w:p>
        </w:tc>
        <w:tc>
          <w:tcPr>
            <w:tcW w:w="5917" w:type="dxa"/>
            <w:tcBorders>
              <w:top w:val="single" w:color="000000" w:sz="2" w:space="0"/>
              <w:left w:val="single" w:color="000000" w:sz="2" w:space="0"/>
              <w:bottom w:val="single" w:color="000000" w:sz="2" w:space="0"/>
              <w:right w:val="single" w:color="000000" w:sz="2" w:space="0"/>
            </w:tcBorders>
            <w:noWrap w:val="0"/>
            <w:vAlign w:val="center"/>
          </w:tcPr>
          <w:p w14:paraId="2D3E3F49">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项目要求及技术需求</w:t>
            </w:r>
          </w:p>
        </w:tc>
      </w:tr>
      <w:tr w14:paraId="3C15DD6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91" w:type="dxa"/>
            <w:bottom w:w="0" w:type="dxa"/>
            <w:right w:w="91" w:type="dxa"/>
          </w:tblCellMar>
        </w:tblPrEx>
        <w:trPr>
          <w:trHeight w:val="90" w:hRule="atLeast"/>
          <w:jc w:val="center"/>
        </w:trPr>
        <w:tc>
          <w:tcPr>
            <w:tcW w:w="610" w:type="dxa"/>
            <w:tcBorders>
              <w:top w:val="single" w:color="000000" w:sz="2" w:space="0"/>
              <w:left w:val="single" w:color="000000" w:sz="2" w:space="0"/>
              <w:bottom w:val="single" w:color="000000" w:sz="2" w:space="0"/>
              <w:right w:val="single" w:color="000000" w:sz="2" w:space="0"/>
            </w:tcBorders>
            <w:noWrap w:val="0"/>
            <w:vAlign w:val="center"/>
          </w:tcPr>
          <w:p w14:paraId="634FCBD7">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w:t>
            </w:r>
          </w:p>
        </w:tc>
        <w:tc>
          <w:tcPr>
            <w:tcW w:w="1167" w:type="dxa"/>
            <w:gridSpan w:val="2"/>
            <w:tcBorders>
              <w:top w:val="single" w:color="000000" w:sz="2" w:space="0"/>
              <w:left w:val="single" w:color="000000" w:sz="2" w:space="0"/>
              <w:bottom w:val="single" w:color="000000" w:sz="2" w:space="0"/>
              <w:right w:val="single" w:color="000000" w:sz="2" w:space="0"/>
            </w:tcBorders>
            <w:noWrap w:val="0"/>
            <w:vAlign w:val="center"/>
          </w:tcPr>
          <w:p w14:paraId="074C57EB">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Cs w:val="21"/>
                <w:highlight w:val="none"/>
                <w:lang w:eastAsia="zh-CN"/>
              </w:rPr>
            </w:pPr>
            <w:r>
              <w:rPr>
                <w:rFonts w:hint="eastAsia" w:ascii="宋体" w:hAnsi="宋体" w:cs="宋体"/>
                <w:color w:val="auto"/>
                <w:szCs w:val="21"/>
                <w:highlight w:val="none"/>
                <w:lang w:eastAsia="zh-CN"/>
              </w:rPr>
              <w:t>医用氧气采购项目</w:t>
            </w:r>
          </w:p>
        </w:tc>
        <w:tc>
          <w:tcPr>
            <w:tcW w:w="720" w:type="dxa"/>
            <w:tcBorders>
              <w:top w:val="single" w:color="000000" w:sz="2" w:space="0"/>
              <w:left w:val="single" w:color="000000" w:sz="2" w:space="0"/>
              <w:bottom w:val="single" w:color="000000" w:sz="2" w:space="0"/>
              <w:right w:val="single" w:color="000000" w:sz="2" w:space="0"/>
            </w:tcBorders>
            <w:noWrap w:val="0"/>
            <w:vAlign w:val="center"/>
          </w:tcPr>
          <w:p w14:paraId="0E2122F3">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w:t>
            </w:r>
          </w:p>
        </w:tc>
        <w:tc>
          <w:tcPr>
            <w:tcW w:w="657" w:type="dxa"/>
            <w:tcBorders>
              <w:top w:val="single" w:color="000000" w:sz="2" w:space="0"/>
              <w:left w:val="single" w:color="000000" w:sz="2" w:space="0"/>
              <w:bottom w:val="single" w:color="000000" w:sz="2" w:space="0"/>
              <w:right w:val="single" w:color="000000" w:sz="2" w:space="0"/>
            </w:tcBorders>
            <w:noWrap w:val="0"/>
            <w:vAlign w:val="center"/>
          </w:tcPr>
          <w:p w14:paraId="43360810">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项</w:t>
            </w:r>
          </w:p>
        </w:tc>
        <w:tc>
          <w:tcPr>
            <w:tcW w:w="5917" w:type="dxa"/>
            <w:tcBorders>
              <w:top w:val="single" w:color="000000" w:sz="2" w:space="0"/>
              <w:left w:val="single" w:color="000000" w:sz="2" w:space="0"/>
              <w:bottom w:val="single" w:color="000000" w:sz="2" w:space="0"/>
              <w:right w:val="single" w:color="000000" w:sz="2" w:space="0"/>
            </w:tcBorders>
            <w:noWrap w:val="0"/>
            <w:vAlign w:val="center"/>
          </w:tcPr>
          <w:p w14:paraId="3A2B6FC3">
            <w:pPr>
              <w:pStyle w:val="126"/>
              <w:keepNext/>
              <w:keepLines w:val="0"/>
              <w:pageBreakBefore w:val="0"/>
              <w:widowControl w:val="0"/>
              <w:kinsoku/>
              <w:wordWrap w:val="0"/>
              <w:overflowPunct/>
              <w:topLinePunct/>
              <w:autoSpaceDE/>
              <w:autoSpaceDN/>
              <w:bidi w:val="0"/>
              <w:adjustRightInd w:val="0"/>
              <w:snapToGrid w:val="0"/>
              <w:spacing w:before="72" w:line="360" w:lineRule="auto"/>
              <w:ind w:firstLine="420" w:firstLineChars="200"/>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供应商负责合同期间我院供氧需求，并负责在我院建设低温液氧站点，负责提供医用液态氧专用设备供医院使用，投入全套设备及施工，更换医院部分在用的输氧管道；负责提供不少于20吨储量的低温液氧储罐（产权归供应商），低温液氧储罐在合同期内由供应商购买相应的财产保险、第三者责任险及购买特种设备安全责任保险，覆盖设备运行全周期。因设备本身缺陷或维护不当造成院方或第三方人身、财产损失的，由供应商承担全额赔偿责任，并且负责办理《特种设备使用证》等相关手续。供应商负责相关设备的日常维护、检验、维修，应按国家要求给予检定，保持有效使用，不再收取任何费用。</w:t>
            </w:r>
          </w:p>
          <w:p w14:paraId="39E65ED0">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▲一、医用气体要求</w:t>
            </w:r>
          </w:p>
          <w:p w14:paraId="25D427AE">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一）本项目为2年期医用气体采购，其中主要货物品医用液态氧的预估总采购量为3800吨。结算适用固定单价，以实际签收的合格数量据实结算。本项目不属于独家排他性采购，履约期间如中标人无法满足采购人的临床用气需求时，采购人可另行选择其他合格供应商开展医用气体供应服务。</w:t>
            </w:r>
          </w:p>
          <w:p w14:paraId="7A7F9CEF">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本项目为医用气体需求以及2年的暂估量，结算时以实际用量为准，以中标单价作为结算单价，具体详见采购需求</w:t>
            </w:r>
            <w:r>
              <w:rPr>
                <w:rFonts w:hint="eastAsia" w:ascii="宋体" w:hAnsi="宋体" w:eastAsia="宋体" w:cs="宋体"/>
                <w:b/>
                <w:bCs/>
                <w:color w:val="auto"/>
                <w:sz w:val="21"/>
                <w:szCs w:val="21"/>
                <w:highlight w:val="none"/>
                <w:lang w:val="en-US" w:eastAsia="zh-CN"/>
              </w:rPr>
              <w:t>附件1</w:t>
            </w:r>
            <w:r>
              <w:rPr>
                <w:rFonts w:hint="eastAsia" w:cs="宋体"/>
                <w:b/>
                <w:bCs/>
                <w:color w:val="auto"/>
                <w:sz w:val="21"/>
                <w:szCs w:val="21"/>
                <w:highlight w:val="none"/>
                <w:lang w:val="en-US" w:eastAsia="zh-CN"/>
              </w:rPr>
              <w:t>。</w:t>
            </w:r>
          </w:p>
          <w:p w14:paraId="25AF06F0">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b w:val="0"/>
                <w:bCs w:val="0"/>
                <w:color w:val="auto"/>
                <w:sz w:val="21"/>
                <w:szCs w:val="21"/>
                <w:highlight w:val="none"/>
                <w:lang w:val="en-US" w:eastAsia="zh-CN"/>
              </w:rPr>
            </w:pPr>
            <w:r>
              <w:rPr>
                <w:rFonts w:hint="eastAsia" w:ascii="宋体" w:hAnsi="宋体" w:eastAsia="宋体" w:cs="宋体"/>
                <w:b w:val="0"/>
                <w:bCs w:val="0"/>
                <w:color w:val="auto"/>
                <w:sz w:val="21"/>
                <w:szCs w:val="21"/>
                <w:highlight w:val="none"/>
                <w:lang w:val="en-US" w:eastAsia="zh-CN"/>
              </w:rPr>
              <w:t>（二）气体质量标准：</w:t>
            </w:r>
          </w:p>
          <w:p w14:paraId="7811A771">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1.医用氧质量标准：</w:t>
            </w:r>
          </w:p>
          <w:p w14:paraId="35C1F416">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1.1、按《中国药典》2025年版二部“氧”《药品生产质量管理规范》，如合同履行期间有新标准按新标准执行。</w:t>
            </w:r>
          </w:p>
          <w:p w14:paraId="2A7D235B">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1.2、医用液态氧性状为无色气体；无臭、无味。</w:t>
            </w:r>
          </w:p>
          <w:p w14:paraId="1D6D0A0B">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1.3、配送的医用氧（含液态氧及瓶装氧）纯度≥99.5%（根据铜氨吸收法或顺磁式氧分析仪检测）、一氧化碳含量≤0.0005%；二氧化碳含量≤0.03%；水分含量≤0.0067%，要符合《中国药典》2025版二部氧质量要求。</w:t>
            </w:r>
          </w:p>
          <w:p w14:paraId="6007ED4F">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2.其他气体产品质量均符合相关国家标准指标。（《医用气体工程技术规范》GB50751-2012等要求）</w:t>
            </w:r>
          </w:p>
          <w:p w14:paraId="511C9B46">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3.瓶装医用氧满瓶气体有效期自生产之日起不得少于1年（以钢瓶检验合格证及气瓶标签标注日期为准）。</w:t>
            </w:r>
          </w:p>
          <w:p w14:paraId="5A64044E">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▲二、医用气体专用设备要求</w:t>
            </w:r>
          </w:p>
          <w:p w14:paraId="19FA7207">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1.供应商中标后在合同期内须为医院提供以下设备：</w:t>
            </w:r>
          </w:p>
          <w:p w14:paraId="4DBE7DCE">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1.1、按照医院的安全运行有效容积≥20m³（对应储量不低于20吨）及规范要求提供低温液氧储槽：（1）设计压力：0.8/1.6MPa（2）设计温度：-196/20℃（3）储槽要求液相、气相均为双阀，达到储槽和汽化器并联交替使用。液氧储罐符合TSG</w:t>
            </w:r>
            <w:r>
              <w:rPr>
                <w:rFonts w:hint="eastAsia" w:cs="宋体"/>
                <w:color w:val="auto"/>
                <w:sz w:val="21"/>
                <w:szCs w:val="21"/>
                <w:highlight w:val="none"/>
                <w:lang w:val="en-US" w:eastAsia="zh-CN"/>
              </w:rPr>
              <w:t xml:space="preserve"> </w:t>
            </w:r>
            <w:r>
              <w:rPr>
                <w:rFonts w:hint="eastAsia" w:ascii="宋体" w:hAnsi="宋体" w:eastAsia="宋体" w:cs="宋体"/>
                <w:color w:val="auto"/>
                <w:sz w:val="21"/>
                <w:szCs w:val="21"/>
                <w:highlight w:val="none"/>
                <w:lang w:val="en-US" w:eastAsia="zh-CN"/>
              </w:rPr>
              <w:t>21-2016《固定式压力容器安全技术监察规程》。</w:t>
            </w:r>
          </w:p>
          <w:p w14:paraId="0AC7BD5A">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1.2、汽化器4套，单套额定汽化量≥200Nm³/h。</w:t>
            </w:r>
          </w:p>
          <w:p w14:paraId="140D6A51">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1.3、瓶装医用气体钢瓶有效性检定由气体供应商负责，瓶装医用气体钢瓶法定定期检验工作由气体供应商全权负责。供应商若自行开展气瓶检验，须持有有效《特种设备检验检测机构核准证》，核准项目包含无缝气瓶；若供应商委托第三方机构实施气瓶检验的，须签订并提供正式委托检测协议，受托第三方机构必须具备有效《特种设备检验检测机构核准证》（核准项目含：无缝气瓶），且每次检验后须同步提供完整的气瓶检验合格报告。</w:t>
            </w:r>
          </w:p>
          <w:p w14:paraId="7F4D8C62">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2.阀门要求：</w:t>
            </w:r>
          </w:p>
          <w:p w14:paraId="5EF05903">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2.1、低温阀材质为不锈钢（CF8）；适应温度：-196～+80℃。</w:t>
            </w:r>
          </w:p>
          <w:p w14:paraId="1B059FC8">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2.2、安全阀材质为不锈钢（CF8）。</w:t>
            </w:r>
          </w:p>
          <w:p w14:paraId="65203F87">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3.安装要求：</w:t>
            </w:r>
          </w:p>
          <w:p w14:paraId="43251F70">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3.1、设备安装产生的费用由供应商承担。</w:t>
            </w:r>
          </w:p>
          <w:p w14:paraId="45994709">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3.2、至少具备配备数显板（含液位、压力）、差压压力监测系统、储罐供气自动（远程）切换系统；系统自动测量储罐数据值并将数据通过网络上传至云服务器，采购人或监管人员可以通过手机、电脑远程实时查看查询容积压力等数据和记录。</w:t>
            </w:r>
          </w:p>
          <w:p w14:paraId="2594F0D9">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3.3、具备医用气体源报警系统且需符合《医用气体工程技术规范》（GB50751-2012）要求，装在采购人指定地点。</w:t>
            </w:r>
          </w:p>
          <w:p w14:paraId="6BE7B1A2">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▲三、气体管道要求</w:t>
            </w:r>
          </w:p>
          <w:p w14:paraId="28A89C20">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铺设一条新氧气管道，铺设管道范围：由神经内科楼电车棚至老年医学中心污水站旁（新装管道产权归院方），新建管道及更换管道必须采用医用脱脂纯铜管或符合GB50751要求。不锈钢管，壁厚≥2.0mm、设计压力≥1.0MPa，氧气管道质保期≥3年。</w:t>
            </w:r>
          </w:p>
          <w:p w14:paraId="7EBB6E2E">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管道施工前必须进行严格脱脂处理，并提供专业机构的脱脂检测合格报告。施工验收规范：管道焊接应采用氩弧焊，施工完毕后须进行强度试验、严密性试验及吹扫，各项指标需符合《医用气体工程技术规范》（GB50751）后方可接入医院主管网。</w:t>
            </w:r>
          </w:p>
          <w:p w14:paraId="29DA7939">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3.输氧管道符合国家质量标准。</w:t>
            </w:r>
          </w:p>
          <w:p w14:paraId="0BB58078">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4.完善医院现有医用气体管道应有标识，标识应包括气体的名称、颜色标记、气体流动方向的箭头、压力表应标明压力上下限等，氧气站内主要阀门管道是否标明供气范围等信息标识符合国家标准。</w:t>
            </w:r>
          </w:p>
          <w:p w14:paraId="7C95FC5A">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5.负责楼层内二级减压箱内阀门、管道维护更换（包含所需更换、维修配件），气体箱之间气体主管道（含气体箱）检测、检修、更换等工作及费用均由中标方负责。</w:t>
            </w:r>
          </w:p>
          <w:p w14:paraId="3D91BFBE">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6.中标方须向医院提供完整技术资料：包括提供医用气体系统设计说明、医用气体系统总平面图、医用气体管道系统图、医用气体各楼层管道平面图。</w:t>
            </w:r>
          </w:p>
          <w:p w14:paraId="3BEDAF18">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▲四、低温液氧储罐要求</w:t>
            </w:r>
          </w:p>
          <w:p w14:paraId="769E45AD">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安装与更换要求：</w:t>
            </w:r>
          </w:p>
          <w:p w14:paraId="3FE3E83C">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（1）若中标方非医院原液氧供应商，需分批更换现有低温液氧储罐，更换液氧储罐期间不得影响医院氧气正常供应，中标方应做好低温液氧储罐更换安装期间相应液氧紧急配送预案，确保院方用氧安全；</w:t>
            </w:r>
          </w:p>
          <w:p w14:paraId="23008891">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施工周期：自接到采购人进场通知之日起120日历天内完成储罐基础制作、设备安装、调试及试运行，并取得《特种设备使用登记证》交付使用。在更换储罐期间，供应商必须采取临时供气保障措施（如启用备用储罐或槽车直供），确保医院用氧零中断。</w:t>
            </w:r>
          </w:p>
          <w:p w14:paraId="05CDDFDA">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b/>
                <w:bCs/>
                <w:color w:val="auto"/>
                <w:sz w:val="21"/>
                <w:szCs w:val="21"/>
                <w:highlight w:val="none"/>
                <w:lang w:val="en-US" w:eastAsia="zh-CN"/>
              </w:rPr>
            </w:pPr>
            <w:r>
              <w:rPr>
                <w:rFonts w:hint="eastAsia" w:ascii="宋体" w:hAnsi="宋体" w:eastAsia="宋体" w:cs="宋体"/>
                <w:b/>
                <w:bCs/>
                <w:color w:val="auto"/>
                <w:sz w:val="21"/>
                <w:szCs w:val="21"/>
                <w:highlight w:val="none"/>
                <w:lang w:val="en-US" w:eastAsia="zh-CN"/>
              </w:rPr>
              <w:t>▲五、人员、维保要求</w:t>
            </w:r>
          </w:p>
          <w:p w14:paraId="6DF50527">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1.供应商负责包括但不限于压力表、安全阀、液氧储罐等设备日常维护、检验、维修，并做好维护记录。</w:t>
            </w:r>
          </w:p>
          <w:p w14:paraId="631EAE26">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2.供应商负责包含但不限于医院建设低温液氧站点、二级减压箱及二级减压箱前供氧管道的维保，每年不少于2次的维护保养，并提供维护保养记录。</w:t>
            </w:r>
          </w:p>
          <w:p w14:paraId="2B7055FD">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3.必须具有中华人民共和国特种设备安全管理和作业人员证（R2）持证人员不少于2人，</w:t>
            </w:r>
            <w:r>
              <w:rPr>
                <w:rFonts w:hint="eastAsia" w:ascii="宋体" w:hAnsi="宋体" w:cs="宋体"/>
                <w:color w:val="auto"/>
                <w:szCs w:val="21"/>
                <w:highlight w:val="none"/>
              </w:rPr>
              <w:t>持证人员必须为供应商公司员工，需提供有关人员的证书复印件和以上人员在本单位任职的证明材料复印件[如投标截止时间前近半年内任意 3 个月的《投保单》或《社会保险参保人员证明》；或单位代缴个人所得税税单等复印件（加盖公章）；或提供供应商与拟投入本项目团队成员签订的劳务合同复印件。</w:t>
            </w:r>
          </w:p>
          <w:p w14:paraId="396824B8">
            <w:pPr>
              <w:pStyle w:val="126"/>
              <w:keepNext/>
              <w:keepLines w:val="0"/>
              <w:pageBreakBefore w:val="0"/>
              <w:widowControl w:val="0"/>
              <w:kinsoku/>
              <w:wordWrap w:val="0"/>
              <w:overflowPunct/>
              <w:topLinePunct/>
              <w:autoSpaceDE/>
              <w:autoSpaceDN/>
              <w:bidi w:val="0"/>
              <w:adjustRightInd w:val="0"/>
              <w:snapToGrid w:val="0"/>
              <w:spacing w:before="72" w:line="360" w:lineRule="auto"/>
              <w:jc w:val="both"/>
              <w:rPr>
                <w:rFonts w:hint="eastAsia" w:ascii="宋体" w:hAnsi="宋体" w:eastAsia="宋体" w:cs="宋体"/>
                <w:color w:val="auto"/>
                <w:sz w:val="21"/>
                <w:szCs w:val="21"/>
                <w:highlight w:val="none"/>
                <w:lang w:val="en-US" w:eastAsia="zh-CN"/>
              </w:rPr>
            </w:pPr>
            <w:r>
              <w:rPr>
                <w:rFonts w:hint="eastAsia" w:ascii="宋体" w:hAnsi="宋体" w:eastAsia="宋体" w:cs="宋体"/>
                <w:color w:val="auto"/>
                <w:sz w:val="21"/>
                <w:szCs w:val="21"/>
                <w:highlight w:val="none"/>
                <w:lang w:val="en-US" w:eastAsia="zh-CN"/>
              </w:rPr>
              <w:t>4.供应商储存基地内医用氧储存量不得少于50吨。</w:t>
            </w:r>
          </w:p>
          <w:p w14:paraId="4780F31E">
            <w:pPr>
              <w:keepNext w:val="0"/>
              <w:keepLines w:val="0"/>
              <w:pageBreakBefore w:val="0"/>
              <w:widowControl w:val="0"/>
              <w:tabs>
                <w:tab w:val="left" w:pos="180"/>
                <w:tab w:val="left" w:pos="1620"/>
              </w:tabs>
              <w:kinsoku/>
              <w:wordWrap/>
              <w:overflowPunct/>
              <w:topLinePunct w:val="0"/>
              <w:autoSpaceDE/>
              <w:autoSpaceDN/>
              <w:bidi w:val="0"/>
              <w:adjustRightInd/>
              <w:snapToGrid/>
              <w:spacing w:line="400" w:lineRule="exact"/>
              <w:ind w:firstLine="0" w:firstLineChars="0"/>
              <w:textAlignment w:val="auto"/>
              <w:rPr>
                <w:rFonts w:hint="eastAsia" w:ascii="宋体" w:hAnsi="宋体" w:cs="宋体"/>
                <w:color w:val="auto"/>
                <w:szCs w:val="21"/>
                <w:highlight w:val="none"/>
              </w:rPr>
            </w:pPr>
            <w:r>
              <w:rPr>
                <w:rFonts w:hint="eastAsia" w:ascii="宋体" w:hAnsi="宋体" w:eastAsia="宋体" w:cs="宋体"/>
                <w:color w:val="auto"/>
                <w:sz w:val="21"/>
                <w:szCs w:val="21"/>
                <w:highlight w:val="none"/>
                <w:lang w:val="en-US" w:eastAsia="zh-CN"/>
              </w:rPr>
              <w:t>5.供应商或其受托运输方须具备符合国家标准要求的医用液氧运输能力（需提供车辆行驶证、道路运输证，租赁车辆需提供租赁合同），其中25吨以上车辆不少于3辆，小型单体紧急供气槽车不少于1辆，确保满足本项目7×24小时不间断配送保障要求。液氧运输车辆车身较大，院区工作时段人员往来密集，为保障院内行车安全，所有运输车辆须严格遵循双方商定的专用路线行驶，严禁擅自变更行驶路径；确需调整路线的，须提前与院方沟通报备，经同意后方可通行。服务期内，若我院道路通行条件发生变化，致使25吨级大型运输车辆无法通行，供应商须无条件调配适配院内道路通行标准的小型运输车辆完成配送，且不得另行增加任何服务及运输相关费用。车辆抵达项目现场响应时间不超过2小时；发生一般故障的，需在4小时内完成处置；若出现重大故障或供气中断隐患，须立即启动应急预案，保障医用液氧持续稳定供应。</w:t>
            </w:r>
          </w:p>
        </w:tc>
      </w:tr>
      <w:tr w14:paraId="7B5F5841">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91" w:type="dxa"/>
            <w:bottom w:w="0" w:type="dxa"/>
            <w:right w:w="91" w:type="dxa"/>
          </w:tblCellMar>
        </w:tblPrEx>
        <w:trPr>
          <w:trHeight w:val="567" w:hRule="atLeast"/>
          <w:jc w:val="center"/>
        </w:trPr>
        <w:tc>
          <w:tcPr>
            <w:tcW w:w="9071" w:type="dxa"/>
            <w:gridSpan w:val="6"/>
            <w:tcBorders>
              <w:top w:val="single" w:color="000000" w:sz="2" w:space="0"/>
              <w:left w:val="single" w:color="000000" w:sz="2" w:space="0"/>
              <w:bottom w:val="single" w:color="000000" w:sz="2" w:space="0"/>
              <w:right w:val="single" w:color="000000" w:sz="2" w:space="0"/>
            </w:tcBorders>
            <w:noWrap w:val="0"/>
            <w:vAlign w:val="center"/>
          </w:tcPr>
          <w:p w14:paraId="4851F38B">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
                <w:bCs/>
                <w:color w:val="auto"/>
                <w:szCs w:val="21"/>
                <w:highlight w:val="none"/>
              </w:rPr>
              <w:t>二、商务要求</w:t>
            </w:r>
          </w:p>
        </w:tc>
      </w:tr>
      <w:tr w14:paraId="77AF1B3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91" w:type="dxa"/>
            <w:bottom w:w="0" w:type="dxa"/>
            <w:right w:w="91" w:type="dxa"/>
          </w:tblCellMar>
        </w:tblPrEx>
        <w:trPr>
          <w:trHeight w:val="455" w:hRule="atLeast"/>
          <w:jc w:val="center"/>
        </w:trPr>
        <w:tc>
          <w:tcPr>
            <w:tcW w:w="1612" w:type="dxa"/>
            <w:gridSpan w:val="2"/>
            <w:tcBorders>
              <w:top w:val="single" w:color="000000" w:sz="2" w:space="0"/>
              <w:left w:val="single" w:color="000000" w:sz="2" w:space="0"/>
              <w:bottom w:val="single" w:color="000000" w:sz="2" w:space="0"/>
              <w:right w:val="single" w:color="000000" w:sz="2" w:space="0"/>
            </w:tcBorders>
            <w:noWrap w:val="0"/>
            <w:vAlign w:val="center"/>
          </w:tcPr>
          <w:p w14:paraId="5CDC3AE9">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jc w:val="center"/>
              <w:textAlignment w:val="auto"/>
              <w:rPr>
                <w:rFonts w:hint="eastAsia" w:ascii="宋体" w:hAnsi="宋体" w:eastAsia="宋体" w:cs="宋体"/>
                <w:color w:val="auto"/>
                <w:szCs w:val="21"/>
                <w:highlight w:val="none"/>
              </w:rPr>
            </w:pPr>
            <w:r>
              <w:rPr>
                <w:rFonts w:hint="default" w:ascii="宋体" w:hAnsi="宋体" w:eastAsia="宋体" w:cs="宋体"/>
                <w:color w:val="auto"/>
                <w:szCs w:val="21"/>
                <w:highlight w:val="none"/>
                <w:lang w:eastAsia="zh-CN"/>
              </w:rPr>
              <w:t>（一）</w:t>
            </w:r>
            <w:r>
              <w:rPr>
                <w:rFonts w:hint="default" w:ascii="宋体" w:hAnsi="宋体" w:eastAsia="宋体" w:cs="宋体"/>
                <w:color w:val="auto"/>
                <w:szCs w:val="21"/>
                <w:highlight w:val="none"/>
              </w:rPr>
              <w:t>合同签订</w:t>
            </w:r>
          </w:p>
        </w:tc>
        <w:tc>
          <w:tcPr>
            <w:tcW w:w="7459" w:type="dxa"/>
            <w:gridSpan w:val="4"/>
            <w:tcBorders>
              <w:top w:val="single" w:color="000000" w:sz="2" w:space="0"/>
              <w:left w:val="single" w:color="000000" w:sz="2" w:space="0"/>
              <w:bottom w:val="single" w:color="000000" w:sz="2" w:space="0"/>
              <w:right w:val="single" w:color="000000" w:sz="2" w:space="0"/>
            </w:tcBorders>
            <w:noWrap w:val="0"/>
            <w:vAlign w:val="center"/>
          </w:tcPr>
          <w:p w14:paraId="141286D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1"/>
                <w:szCs w:val="21"/>
                <w:highlight w:val="none"/>
              </w:rPr>
            </w:pPr>
            <w:r>
              <w:rPr>
                <w:rFonts w:hint="default"/>
                <w:color w:val="auto"/>
                <w:sz w:val="21"/>
                <w:szCs w:val="21"/>
                <w:highlight w:val="none"/>
              </w:rPr>
              <w:t>自中标通知书发出之日起</w:t>
            </w:r>
            <w:r>
              <w:rPr>
                <w:rFonts w:hint="eastAsia"/>
                <w:color w:val="auto"/>
                <w:sz w:val="21"/>
                <w:szCs w:val="21"/>
                <w:highlight w:val="none"/>
                <w:lang w:val="en-US" w:eastAsia="zh-CN"/>
              </w:rPr>
              <w:t>25</w:t>
            </w:r>
            <w:r>
              <w:rPr>
                <w:rFonts w:hint="default"/>
                <w:color w:val="auto"/>
                <w:sz w:val="21"/>
                <w:szCs w:val="21"/>
                <w:highlight w:val="none"/>
              </w:rPr>
              <w:t>日内。</w:t>
            </w:r>
          </w:p>
        </w:tc>
      </w:tr>
      <w:tr w14:paraId="76C68B5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91" w:type="dxa"/>
            <w:bottom w:w="0" w:type="dxa"/>
            <w:right w:w="91" w:type="dxa"/>
          </w:tblCellMar>
        </w:tblPrEx>
        <w:trPr>
          <w:trHeight w:val="455" w:hRule="atLeast"/>
          <w:jc w:val="center"/>
        </w:trPr>
        <w:tc>
          <w:tcPr>
            <w:tcW w:w="1612" w:type="dxa"/>
            <w:gridSpan w:val="2"/>
            <w:tcBorders>
              <w:top w:val="single" w:color="000000" w:sz="2" w:space="0"/>
              <w:left w:val="single" w:color="000000" w:sz="2" w:space="0"/>
              <w:bottom w:val="single" w:color="000000" w:sz="2" w:space="0"/>
              <w:right w:val="single" w:color="000000" w:sz="2" w:space="0"/>
            </w:tcBorders>
            <w:noWrap w:val="0"/>
            <w:vAlign w:val="center"/>
          </w:tcPr>
          <w:p w14:paraId="028AF7CE">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jc w:val="center"/>
              <w:textAlignment w:val="auto"/>
              <w:rPr>
                <w:rFonts w:hint="default" w:ascii="宋体" w:hAnsi="宋体" w:eastAsia="宋体" w:cs="宋体"/>
                <w:color w:val="auto"/>
                <w:szCs w:val="21"/>
                <w:highlight w:val="none"/>
                <w:lang w:eastAsia="zh-CN"/>
              </w:rPr>
            </w:pPr>
            <w:r>
              <w:rPr>
                <w:rFonts w:hint="default" w:ascii="宋体" w:hAnsi="宋体" w:eastAsia="宋体" w:cs="宋体"/>
                <w:color w:val="auto"/>
                <w:szCs w:val="21"/>
                <w:highlight w:val="none"/>
                <w:lang w:eastAsia="zh-CN"/>
              </w:rPr>
              <w:t>（二）</w:t>
            </w:r>
            <w:r>
              <w:rPr>
                <w:rFonts w:hint="eastAsia"/>
                <w:color w:val="auto"/>
                <w:highlight w:val="none"/>
              </w:rPr>
              <w:t>服务时间及地点</w:t>
            </w:r>
          </w:p>
        </w:tc>
        <w:tc>
          <w:tcPr>
            <w:tcW w:w="7459" w:type="dxa"/>
            <w:gridSpan w:val="4"/>
            <w:tcBorders>
              <w:top w:val="single" w:color="000000" w:sz="2" w:space="0"/>
              <w:left w:val="single" w:color="000000" w:sz="2" w:space="0"/>
              <w:bottom w:val="single" w:color="000000" w:sz="2" w:space="0"/>
              <w:right w:val="single" w:color="000000" w:sz="2" w:space="0"/>
            </w:tcBorders>
            <w:noWrap w:val="0"/>
            <w:vAlign w:val="center"/>
          </w:tcPr>
          <w:p w14:paraId="01DED16A">
            <w:pPr>
              <w:spacing w:line="400" w:lineRule="exact"/>
              <w:jc w:val="left"/>
              <w:rPr>
                <w:rFonts w:hint="eastAsia" w:ascii="宋体" w:hAnsi="宋体" w:cs="宋体"/>
                <w:color w:val="auto"/>
                <w:kern w:val="0"/>
                <w:highlight w:val="none"/>
                <w:lang w:val="en"/>
              </w:rPr>
            </w:pPr>
            <w:r>
              <w:rPr>
                <w:rFonts w:hint="eastAsia" w:ascii="宋体" w:hAnsi="宋体" w:cs="宋体"/>
                <w:color w:val="auto"/>
                <w:kern w:val="0"/>
                <w:highlight w:val="none"/>
              </w:rPr>
              <w:t>1.服务时间：自合同签订之日起</w:t>
            </w:r>
            <w:r>
              <w:rPr>
                <w:rFonts w:hint="eastAsia" w:ascii="宋体" w:hAnsi="宋体" w:cs="宋体"/>
                <w:color w:val="auto"/>
                <w:kern w:val="0"/>
                <w:highlight w:val="none"/>
                <w:lang w:val="en-US" w:eastAsia="zh-CN"/>
              </w:rPr>
              <w:t>2</w:t>
            </w:r>
            <w:r>
              <w:rPr>
                <w:rFonts w:hint="eastAsia" w:ascii="宋体" w:hAnsi="宋体" w:cs="宋体"/>
                <w:color w:val="auto"/>
                <w:kern w:val="0"/>
                <w:highlight w:val="none"/>
              </w:rPr>
              <w:t>年。</w:t>
            </w:r>
          </w:p>
          <w:p w14:paraId="1E6CC979">
            <w:pPr>
              <w:keepNext w:val="0"/>
              <w:keepLines w:val="0"/>
              <w:pageBreakBefore w:val="0"/>
              <w:widowControl w:val="0"/>
              <w:kinsoku/>
              <w:wordWrap/>
              <w:overflowPunct/>
              <w:topLinePunct w:val="0"/>
              <w:autoSpaceDE/>
              <w:autoSpaceDN/>
              <w:bidi w:val="0"/>
              <w:adjustRightInd/>
              <w:snapToGrid/>
              <w:spacing w:line="400" w:lineRule="exact"/>
              <w:textAlignment w:val="auto"/>
              <w:rPr>
                <w:rFonts w:hint="default"/>
                <w:color w:val="auto"/>
                <w:sz w:val="21"/>
                <w:szCs w:val="21"/>
                <w:highlight w:val="none"/>
              </w:rPr>
            </w:pPr>
            <w:r>
              <w:rPr>
                <w:rFonts w:hint="eastAsia" w:ascii="宋体" w:hAnsi="宋体" w:cs="宋体"/>
                <w:color w:val="auto"/>
                <w:kern w:val="0"/>
                <w:highlight w:val="none"/>
              </w:rPr>
              <w:t>2.</w:t>
            </w:r>
            <w:r>
              <w:rPr>
                <w:rFonts w:hint="eastAsia" w:ascii="宋体" w:hAnsi="宋体" w:cs="宋体"/>
                <w:color w:val="auto"/>
                <w:kern w:val="0"/>
                <w:highlight w:val="none"/>
                <w:lang w:val="en-US" w:eastAsia="zh-CN"/>
              </w:rPr>
              <w:t>服务</w:t>
            </w:r>
            <w:r>
              <w:rPr>
                <w:rFonts w:hint="eastAsia" w:ascii="宋体" w:hAnsi="宋体" w:cs="宋体"/>
                <w:color w:val="auto"/>
                <w:kern w:val="0"/>
                <w:highlight w:val="none"/>
              </w:rPr>
              <w:t>地点：</w:t>
            </w:r>
            <w:r>
              <w:rPr>
                <w:rFonts w:hint="eastAsia" w:ascii="宋体" w:hAnsi="宋体" w:cs="汉仪细等线繁"/>
                <w:color w:val="auto"/>
                <w:szCs w:val="21"/>
                <w:highlight w:val="none"/>
              </w:rPr>
              <w:t>广西壮族自治区江滨医院院内</w:t>
            </w:r>
            <w:r>
              <w:rPr>
                <w:rFonts w:hint="eastAsia" w:ascii="宋体" w:hAnsi="宋体" w:cs="宋体"/>
                <w:color w:val="auto"/>
                <w:kern w:val="0"/>
                <w:highlight w:val="none"/>
              </w:rPr>
              <w:t>采购人指定地点。</w:t>
            </w:r>
          </w:p>
        </w:tc>
      </w:tr>
      <w:tr w14:paraId="009E93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91" w:type="dxa"/>
            <w:bottom w:w="0" w:type="dxa"/>
            <w:right w:w="91" w:type="dxa"/>
          </w:tblCellMar>
        </w:tblPrEx>
        <w:trPr>
          <w:jc w:val="center"/>
        </w:trPr>
        <w:tc>
          <w:tcPr>
            <w:tcW w:w="1612" w:type="dxa"/>
            <w:gridSpan w:val="2"/>
            <w:tcBorders>
              <w:top w:val="single" w:color="000000" w:sz="2" w:space="0"/>
              <w:left w:val="single" w:color="000000" w:sz="2" w:space="0"/>
              <w:bottom w:val="single" w:color="000000" w:sz="2" w:space="0"/>
              <w:right w:val="single" w:color="000000" w:sz="2" w:space="0"/>
            </w:tcBorders>
            <w:noWrap w:val="0"/>
            <w:vAlign w:val="center"/>
          </w:tcPr>
          <w:p w14:paraId="34E369D7">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jc w:val="center"/>
              <w:textAlignment w:val="auto"/>
              <w:rPr>
                <w:rFonts w:hint="default" w:ascii="宋体" w:hAnsi="宋体" w:eastAsia="宋体" w:cs="宋体"/>
                <w:color w:val="auto"/>
                <w:szCs w:val="21"/>
                <w:highlight w:val="none"/>
                <w:lang w:val="en-US" w:eastAsia="zh-CN"/>
              </w:rPr>
            </w:pPr>
            <w:r>
              <w:rPr>
                <w:rFonts w:hint="default"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三</w:t>
            </w:r>
            <w:r>
              <w:rPr>
                <w:rFonts w:hint="default" w:ascii="宋体" w:hAnsi="宋体" w:eastAsia="宋体" w:cs="宋体"/>
                <w:color w:val="auto"/>
                <w:szCs w:val="21"/>
                <w:highlight w:val="none"/>
                <w:lang w:eastAsia="zh-CN"/>
              </w:rPr>
              <w:t>）</w:t>
            </w:r>
            <w:r>
              <w:rPr>
                <w:rFonts w:hint="default" w:ascii="宋体" w:hAnsi="宋体" w:eastAsia="宋体" w:cs="宋体"/>
                <w:color w:val="auto"/>
                <w:szCs w:val="21"/>
                <w:highlight w:val="none"/>
              </w:rPr>
              <w:t>服务标准</w:t>
            </w:r>
            <w:r>
              <w:rPr>
                <w:rFonts w:hint="eastAsia" w:ascii="宋体" w:hAnsi="宋体" w:cs="宋体"/>
                <w:color w:val="auto"/>
                <w:szCs w:val="21"/>
                <w:highlight w:val="none"/>
                <w:lang w:val="en-US" w:eastAsia="zh-CN"/>
              </w:rPr>
              <w:t>及要求</w:t>
            </w:r>
          </w:p>
        </w:tc>
        <w:tc>
          <w:tcPr>
            <w:tcW w:w="7459" w:type="dxa"/>
            <w:gridSpan w:val="4"/>
            <w:tcBorders>
              <w:top w:val="single" w:color="000000" w:sz="2" w:space="0"/>
              <w:left w:val="single" w:color="000000" w:sz="2" w:space="0"/>
              <w:bottom w:val="single" w:color="000000" w:sz="2" w:space="0"/>
              <w:right w:val="single" w:color="000000" w:sz="2" w:space="0"/>
            </w:tcBorders>
            <w:noWrap w:val="0"/>
            <w:vAlign w:val="center"/>
          </w:tcPr>
          <w:p w14:paraId="2CC3900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1"/>
                <w:szCs w:val="21"/>
                <w:highlight w:val="none"/>
              </w:rPr>
            </w:pPr>
            <w:r>
              <w:rPr>
                <w:rFonts w:hint="eastAsia"/>
                <w:color w:val="auto"/>
                <w:sz w:val="21"/>
                <w:szCs w:val="21"/>
                <w:highlight w:val="none"/>
                <w:lang w:eastAsia="zh-CN"/>
              </w:rPr>
              <w:t>1.</w:t>
            </w:r>
            <w:r>
              <w:rPr>
                <w:rFonts w:hint="eastAsia"/>
                <w:color w:val="auto"/>
                <w:sz w:val="21"/>
                <w:szCs w:val="21"/>
                <w:highlight w:val="none"/>
              </w:rPr>
              <w:t>中标人负责免费送货上门、免费安装调试合格，须派出有相应资格的技术人员到现场负责安装调试，直至正常使用。按国家有关产品“三包”规定执行“三包”，以上产品必须是具备厂家合法渠道的。</w:t>
            </w:r>
          </w:p>
          <w:p w14:paraId="0ABADB34">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1"/>
                <w:szCs w:val="21"/>
                <w:highlight w:val="none"/>
              </w:rPr>
            </w:pPr>
            <w:r>
              <w:rPr>
                <w:rFonts w:hint="eastAsia"/>
                <w:color w:val="auto"/>
                <w:sz w:val="21"/>
                <w:szCs w:val="21"/>
                <w:highlight w:val="none"/>
                <w:lang w:eastAsia="zh-CN"/>
              </w:rPr>
              <w:t>2.</w:t>
            </w:r>
            <w:r>
              <w:rPr>
                <w:rFonts w:hint="eastAsia"/>
                <w:color w:val="auto"/>
                <w:sz w:val="21"/>
                <w:szCs w:val="21"/>
                <w:highlight w:val="none"/>
              </w:rPr>
              <w:t>应急承诺：供应方具备多车辆送货优势，定期到客户现场进行专业性安全供气检查和供气技术指导；并承诺贮气罐和其它供气设施出现故障时，公司客服人员能在3小时内及时到供气现场解决供气故障。</w:t>
            </w:r>
          </w:p>
          <w:p w14:paraId="7DBE4A5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1"/>
                <w:szCs w:val="21"/>
                <w:highlight w:val="none"/>
              </w:rPr>
            </w:pPr>
            <w:r>
              <w:rPr>
                <w:rFonts w:hint="eastAsia"/>
                <w:color w:val="auto"/>
                <w:sz w:val="21"/>
                <w:szCs w:val="21"/>
                <w:highlight w:val="none"/>
                <w:lang w:eastAsia="zh-CN"/>
              </w:rPr>
              <w:t>3.</w:t>
            </w:r>
            <w:r>
              <w:rPr>
                <w:rFonts w:hint="eastAsia"/>
                <w:color w:val="auto"/>
                <w:sz w:val="21"/>
                <w:szCs w:val="21"/>
                <w:highlight w:val="none"/>
              </w:rPr>
              <w:t>低温储罐供气系统在合同期内的维修费用以及贮氧罐（瓶）、压力表、安全阀等设备的检测费用由中标潜在投标人承担，并提供检测报告供院方存档。</w:t>
            </w:r>
          </w:p>
          <w:p w14:paraId="3DA7CF68">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1"/>
                <w:szCs w:val="21"/>
                <w:highlight w:val="none"/>
              </w:rPr>
            </w:pPr>
            <w:r>
              <w:rPr>
                <w:rFonts w:hint="eastAsia"/>
                <w:color w:val="auto"/>
                <w:sz w:val="21"/>
                <w:szCs w:val="21"/>
                <w:highlight w:val="none"/>
                <w:lang w:eastAsia="zh-CN"/>
              </w:rPr>
              <w:t>4.投标人</w:t>
            </w:r>
            <w:r>
              <w:rPr>
                <w:rFonts w:hint="eastAsia"/>
                <w:color w:val="auto"/>
                <w:sz w:val="21"/>
                <w:szCs w:val="21"/>
                <w:highlight w:val="none"/>
              </w:rPr>
              <w:t>应建立包括供货方档案、用户档案在内的医用氧质量管理制度，并有完整真实的购进、销售和退货记录，针对医用氧储存有效期问题，有严防过期医用氧被临床使用的措施，严禁提供过期不合格的医用氧。</w:t>
            </w:r>
          </w:p>
          <w:p w14:paraId="0B9A77C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1"/>
                <w:szCs w:val="21"/>
                <w:highlight w:val="none"/>
              </w:rPr>
            </w:pPr>
            <w:r>
              <w:rPr>
                <w:rFonts w:hint="eastAsia"/>
                <w:color w:val="auto"/>
                <w:sz w:val="21"/>
                <w:szCs w:val="21"/>
                <w:highlight w:val="none"/>
                <w:lang w:eastAsia="zh-CN"/>
              </w:rPr>
              <w:t>5.</w:t>
            </w:r>
            <w:r>
              <w:rPr>
                <w:rFonts w:hint="eastAsia"/>
                <w:color w:val="auto"/>
                <w:sz w:val="21"/>
                <w:szCs w:val="21"/>
                <w:highlight w:val="none"/>
              </w:rPr>
              <w:t>为保证液氧供应能够及时、储罐等配套设施能安全运行，</w:t>
            </w:r>
            <w:r>
              <w:rPr>
                <w:rFonts w:hint="eastAsia"/>
                <w:color w:val="auto"/>
                <w:sz w:val="21"/>
                <w:szCs w:val="21"/>
                <w:highlight w:val="none"/>
                <w:lang w:eastAsia="zh-CN"/>
              </w:rPr>
              <w:t>投标人</w:t>
            </w:r>
            <w:r>
              <w:rPr>
                <w:rFonts w:hint="eastAsia"/>
                <w:color w:val="auto"/>
                <w:sz w:val="21"/>
                <w:szCs w:val="21"/>
                <w:highlight w:val="none"/>
              </w:rPr>
              <w:t>备有售后的服务人员作为保障。</w:t>
            </w:r>
          </w:p>
          <w:p w14:paraId="7C26A676">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1"/>
                <w:szCs w:val="21"/>
                <w:highlight w:val="none"/>
              </w:rPr>
            </w:pPr>
            <w:r>
              <w:rPr>
                <w:rFonts w:hint="eastAsia"/>
                <w:color w:val="auto"/>
                <w:sz w:val="21"/>
                <w:szCs w:val="21"/>
                <w:highlight w:val="none"/>
                <w:lang w:eastAsia="zh-CN"/>
              </w:rPr>
              <w:t>6.投标人</w:t>
            </w:r>
            <w:r>
              <w:rPr>
                <w:rFonts w:hint="eastAsia"/>
                <w:color w:val="auto"/>
                <w:sz w:val="21"/>
                <w:szCs w:val="21"/>
                <w:highlight w:val="none"/>
              </w:rPr>
              <w:t>应建立相应应急供氧和故障排除预案，能做到24小时*7天应急紧急抢修和故障处理，遇紧急情况能采取控制措施，避免事态恶化。</w:t>
            </w:r>
          </w:p>
          <w:p w14:paraId="0EA0224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1"/>
                <w:szCs w:val="21"/>
                <w:highlight w:val="none"/>
              </w:rPr>
            </w:pPr>
            <w:r>
              <w:rPr>
                <w:rFonts w:hint="eastAsia"/>
                <w:color w:val="auto"/>
                <w:sz w:val="21"/>
                <w:szCs w:val="21"/>
                <w:highlight w:val="none"/>
                <w:lang w:eastAsia="zh-CN"/>
              </w:rPr>
              <w:t>7.</w:t>
            </w:r>
            <w:r>
              <w:rPr>
                <w:rFonts w:hint="eastAsia"/>
                <w:color w:val="auto"/>
                <w:sz w:val="21"/>
                <w:szCs w:val="21"/>
                <w:highlight w:val="none"/>
              </w:rPr>
              <w:t>交货地点：采购人指定地点。</w:t>
            </w:r>
          </w:p>
          <w:p w14:paraId="2A6BAA2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1"/>
                <w:szCs w:val="21"/>
                <w:highlight w:val="none"/>
              </w:rPr>
            </w:pPr>
            <w:r>
              <w:rPr>
                <w:rFonts w:hint="eastAsia"/>
                <w:color w:val="auto"/>
                <w:sz w:val="21"/>
                <w:szCs w:val="21"/>
                <w:highlight w:val="none"/>
                <w:lang w:eastAsia="zh-CN"/>
              </w:rPr>
              <w:t>8.</w:t>
            </w:r>
            <w:r>
              <w:rPr>
                <w:rFonts w:hint="eastAsia"/>
                <w:color w:val="auto"/>
                <w:sz w:val="21"/>
                <w:szCs w:val="21"/>
                <w:highlight w:val="none"/>
              </w:rPr>
              <w:t>交货期：按医院使用计划交货，医院提前3个日历日通过电话或邮件等方式下达氧气使用计划，中标人收到计划后3个日历日内按计划要求供货。</w:t>
            </w:r>
          </w:p>
          <w:p w14:paraId="145CF21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1"/>
                <w:szCs w:val="21"/>
                <w:highlight w:val="none"/>
              </w:rPr>
            </w:pPr>
            <w:r>
              <w:rPr>
                <w:rFonts w:hint="eastAsia"/>
                <w:color w:val="auto"/>
                <w:sz w:val="21"/>
                <w:szCs w:val="21"/>
                <w:highlight w:val="none"/>
                <w:lang w:eastAsia="zh-CN"/>
              </w:rPr>
              <w:t>9.</w:t>
            </w:r>
            <w:r>
              <w:rPr>
                <w:rFonts w:hint="eastAsia"/>
                <w:color w:val="auto"/>
                <w:sz w:val="21"/>
                <w:szCs w:val="21"/>
                <w:highlight w:val="none"/>
              </w:rPr>
              <w:t>医用氧出厂时应附有合格证；验收时需出具合格证及批次信息。</w:t>
            </w:r>
          </w:p>
          <w:p w14:paraId="53CEDAB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1"/>
                <w:szCs w:val="21"/>
                <w:highlight w:val="none"/>
              </w:rPr>
            </w:pPr>
            <w:r>
              <w:rPr>
                <w:rFonts w:hint="eastAsia"/>
                <w:color w:val="auto"/>
                <w:sz w:val="21"/>
                <w:szCs w:val="21"/>
                <w:highlight w:val="none"/>
                <w:lang w:eastAsia="zh-CN"/>
              </w:rPr>
              <w:t>10.</w:t>
            </w:r>
            <w:r>
              <w:rPr>
                <w:rFonts w:hint="eastAsia"/>
                <w:color w:val="auto"/>
                <w:sz w:val="21"/>
                <w:szCs w:val="21"/>
                <w:highlight w:val="none"/>
              </w:rPr>
              <w:t>提供24小时电话值班服务，当医用氧系统发生故障时，中标人3小时内派出维修人员到达现场协助处理问题；如预计维修时间超过24小时提供备品使用。</w:t>
            </w:r>
          </w:p>
          <w:p w14:paraId="0755E5D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1"/>
                <w:szCs w:val="21"/>
                <w:highlight w:val="none"/>
              </w:rPr>
            </w:pPr>
            <w:r>
              <w:rPr>
                <w:rFonts w:hint="eastAsia"/>
                <w:color w:val="auto"/>
                <w:sz w:val="21"/>
                <w:szCs w:val="21"/>
                <w:highlight w:val="none"/>
                <w:lang w:eastAsia="zh-CN"/>
              </w:rPr>
              <w:t>11.</w:t>
            </w:r>
            <w:r>
              <w:rPr>
                <w:rFonts w:hint="eastAsia"/>
                <w:color w:val="auto"/>
                <w:sz w:val="21"/>
                <w:szCs w:val="21"/>
                <w:highlight w:val="none"/>
              </w:rPr>
              <w:t>当发生紧急用气时，中标人3.5小时内提供槽车供应液氧，3.5小时内供应杜瓦罐，特殊天气应急供氧优先满足采购人需要。</w:t>
            </w:r>
          </w:p>
          <w:p w14:paraId="788932B2">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1"/>
                <w:szCs w:val="21"/>
                <w:highlight w:val="none"/>
              </w:rPr>
            </w:pPr>
            <w:r>
              <w:rPr>
                <w:rFonts w:hint="eastAsia"/>
                <w:color w:val="auto"/>
                <w:sz w:val="21"/>
                <w:szCs w:val="21"/>
                <w:highlight w:val="none"/>
                <w:lang w:eastAsia="zh-CN"/>
              </w:rPr>
              <w:t>12.</w:t>
            </w:r>
            <w:r>
              <w:rPr>
                <w:rFonts w:hint="eastAsia"/>
                <w:color w:val="auto"/>
                <w:sz w:val="21"/>
                <w:szCs w:val="21"/>
                <w:highlight w:val="none"/>
              </w:rPr>
              <w:t>能够提供临时钢瓶/杜瓦罐（PLC）供应、临时槽车（Road Tanker）供应。</w:t>
            </w:r>
          </w:p>
          <w:p w14:paraId="081D833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1"/>
                <w:szCs w:val="21"/>
                <w:highlight w:val="none"/>
              </w:rPr>
            </w:pPr>
            <w:r>
              <w:rPr>
                <w:rFonts w:hint="eastAsia"/>
                <w:color w:val="auto"/>
                <w:sz w:val="21"/>
                <w:szCs w:val="21"/>
                <w:highlight w:val="none"/>
                <w:lang w:eastAsia="zh-CN"/>
              </w:rPr>
              <w:t>13.投标文件</w:t>
            </w:r>
            <w:r>
              <w:rPr>
                <w:rFonts w:hint="eastAsia"/>
                <w:color w:val="auto"/>
                <w:sz w:val="21"/>
                <w:szCs w:val="21"/>
                <w:highlight w:val="none"/>
              </w:rPr>
              <w:t>中必须提供</w:t>
            </w:r>
            <w:r>
              <w:rPr>
                <w:rFonts w:hint="eastAsia"/>
                <w:color w:val="auto"/>
                <w:sz w:val="21"/>
                <w:szCs w:val="21"/>
                <w:highlight w:val="none"/>
                <w:lang w:eastAsia="zh-CN"/>
              </w:rPr>
              <w:t>投标人</w:t>
            </w:r>
            <w:r>
              <w:rPr>
                <w:rFonts w:hint="eastAsia"/>
                <w:color w:val="auto"/>
                <w:sz w:val="21"/>
                <w:szCs w:val="21"/>
                <w:highlight w:val="none"/>
              </w:rPr>
              <w:t>的售后服务承诺书。</w:t>
            </w:r>
          </w:p>
          <w:p w14:paraId="29E59EA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1"/>
                <w:szCs w:val="21"/>
                <w:highlight w:val="none"/>
              </w:rPr>
            </w:pPr>
            <w:r>
              <w:rPr>
                <w:rFonts w:hint="eastAsia"/>
                <w:color w:val="auto"/>
                <w:sz w:val="21"/>
                <w:szCs w:val="21"/>
                <w:highlight w:val="none"/>
              </w:rPr>
              <w:t>14、</w:t>
            </w:r>
            <w:r>
              <w:rPr>
                <w:rFonts w:hint="eastAsia"/>
                <w:color w:val="auto"/>
                <w:sz w:val="21"/>
                <w:szCs w:val="21"/>
                <w:highlight w:val="none"/>
                <w:lang w:eastAsia="zh-CN"/>
              </w:rPr>
              <w:t>投标文件</w:t>
            </w:r>
            <w:r>
              <w:rPr>
                <w:rFonts w:hint="eastAsia"/>
                <w:color w:val="auto"/>
                <w:sz w:val="21"/>
                <w:szCs w:val="21"/>
                <w:highlight w:val="none"/>
              </w:rPr>
              <w:t>中必须承诺设备验收合格后免费对采购人使用人员（2-3名）进行操作技术及相关知识培训，内容包括系统操作、日常维护、常见问题及应对措施，确保熟练掌握全部功能为止，并负责承担一切费用；培训对象包括系统总管、管理人员、操作员。系统总管培训内容为系统中涉及的相关技术内容；管理人员培训内容为系统流程和相关管理事项；操作员为系统的操作培训。期间应派驻有相应的技术员指导、解决使用过程中遇到的问题。</w:t>
            </w:r>
          </w:p>
        </w:tc>
      </w:tr>
      <w:tr w14:paraId="0A652E9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91" w:type="dxa"/>
            <w:bottom w:w="0" w:type="dxa"/>
            <w:right w:w="91" w:type="dxa"/>
          </w:tblCellMar>
        </w:tblPrEx>
        <w:trPr>
          <w:trHeight w:val="90" w:hRule="atLeast"/>
          <w:jc w:val="center"/>
        </w:trPr>
        <w:tc>
          <w:tcPr>
            <w:tcW w:w="1612" w:type="dxa"/>
            <w:gridSpan w:val="2"/>
            <w:tcBorders>
              <w:top w:val="single" w:color="000000" w:sz="2" w:space="0"/>
              <w:left w:val="single" w:color="000000" w:sz="2" w:space="0"/>
              <w:bottom w:val="single" w:color="000000" w:sz="2" w:space="0"/>
              <w:right w:val="single" w:color="000000" w:sz="2" w:space="0"/>
            </w:tcBorders>
            <w:noWrap w:val="0"/>
            <w:vAlign w:val="center"/>
          </w:tcPr>
          <w:p w14:paraId="7771960B">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jc w:val="center"/>
              <w:textAlignment w:val="auto"/>
              <w:rPr>
                <w:rFonts w:hint="eastAsia" w:ascii="宋体" w:hAnsi="宋体" w:eastAsia="宋体" w:cs="宋体"/>
                <w:color w:val="auto"/>
                <w:szCs w:val="21"/>
                <w:highlight w:val="none"/>
              </w:rPr>
            </w:pPr>
            <w:r>
              <w:rPr>
                <w:rFonts w:hint="default"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四</w:t>
            </w:r>
            <w:r>
              <w:rPr>
                <w:rFonts w:hint="default" w:ascii="宋体" w:hAnsi="宋体" w:eastAsia="宋体" w:cs="宋体"/>
                <w:color w:val="auto"/>
                <w:szCs w:val="21"/>
                <w:highlight w:val="none"/>
                <w:lang w:eastAsia="zh-CN"/>
              </w:rPr>
              <w:t>）</w:t>
            </w:r>
            <w:r>
              <w:rPr>
                <w:rFonts w:hint="default" w:ascii="宋体" w:hAnsi="宋体" w:eastAsia="宋体" w:cs="宋体"/>
                <w:color w:val="auto"/>
                <w:szCs w:val="21"/>
                <w:highlight w:val="none"/>
              </w:rPr>
              <w:t>付款方式</w:t>
            </w:r>
          </w:p>
        </w:tc>
        <w:tc>
          <w:tcPr>
            <w:tcW w:w="7459" w:type="dxa"/>
            <w:gridSpan w:val="4"/>
            <w:tcBorders>
              <w:top w:val="single" w:color="000000" w:sz="2" w:space="0"/>
              <w:left w:val="single" w:color="000000" w:sz="2" w:space="0"/>
              <w:bottom w:val="single" w:color="000000" w:sz="2" w:space="0"/>
              <w:right w:val="single" w:color="000000" w:sz="2" w:space="0"/>
            </w:tcBorders>
            <w:noWrap w:val="0"/>
            <w:vAlign w:val="center"/>
          </w:tcPr>
          <w:p w14:paraId="353DD897">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134" w:firstLineChars="61"/>
              <w:jc w:val="both"/>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按月支付。</w:t>
            </w:r>
          </w:p>
          <w:p w14:paraId="250980FB">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134" w:firstLineChars="61"/>
              <w:jc w:val="both"/>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（1）每月25日为结算货款日，以采购人、中标供应商双方共同核实确认的送货单为依据结算。</w:t>
            </w:r>
          </w:p>
          <w:p w14:paraId="11130EFD">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134" w:firstLineChars="61"/>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val="0"/>
                <w:color w:val="auto"/>
                <w:spacing w:val="5"/>
                <w:kern w:val="0"/>
                <w:sz w:val="21"/>
                <w:szCs w:val="21"/>
                <w:highlight w:val="none"/>
              </w:rPr>
              <w:t>（2）经双方结算后，且在采购人在收到中标供应商开具的结算金额发票后以银行转账方式支付给中标供应商。</w:t>
            </w:r>
          </w:p>
          <w:p w14:paraId="65496BD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color w:val="auto"/>
                <w:sz w:val="21"/>
                <w:szCs w:val="21"/>
                <w:highlight w:val="none"/>
              </w:rPr>
            </w:pPr>
            <w:r>
              <w:rPr>
                <w:rFonts w:hint="eastAsia" w:ascii="宋体" w:hAnsi="宋体" w:eastAsia="宋体" w:cs="宋体"/>
                <w:snapToGrid w:val="0"/>
                <w:color w:val="auto"/>
                <w:spacing w:val="5"/>
                <w:kern w:val="0"/>
                <w:sz w:val="21"/>
                <w:szCs w:val="21"/>
                <w:highlight w:val="none"/>
              </w:rPr>
              <w:t>（3）采购人付款前，中标供应商未提交足额正式发票的，采购人有权暂缓或拒付款项且不构成违约。</w:t>
            </w:r>
          </w:p>
        </w:tc>
      </w:tr>
      <w:tr w14:paraId="61495992">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91" w:type="dxa"/>
            <w:bottom w:w="0" w:type="dxa"/>
            <w:right w:w="91" w:type="dxa"/>
          </w:tblCellMar>
        </w:tblPrEx>
        <w:trPr>
          <w:jc w:val="center"/>
        </w:trPr>
        <w:tc>
          <w:tcPr>
            <w:tcW w:w="1612" w:type="dxa"/>
            <w:gridSpan w:val="2"/>
            <w:tcBorders>
              <w:top w:val="single" w:color="000000" w:sz="2" w:space="0"/>
              <w:left w:val="single" w:color="000000" w:sz="2" w:space="0"/>
              <w:bottom w:val="single" w:color="000000" w:sz="2" w:space="0"/>
              <w:right w:val="single" w:color="000000" w:sz="2" w:space="0"/>
            </w:tcBorders>
            <w:noWrap w:val="0"/>
            <w:vAlign w:val="center"/>
          </w:tcPr>
          <w:p w14:paraId="3892FC44">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jc w:val="center"/>
              <w:textAlignment w:val="auto"/>
              <w:rPr>
                <w:rFonts w:hint="eastAsia" w:ascii="宋体" w:hAnsi="宋体" w:eastAsia="宋体" w:cs="宋体"/>
                <w:color w:val="auto"/>
                <w:szCs w:val="21"/>
                <w:highlight w:val="none"/>
              </w:rPr>
            </w:pPr>
            <w:r>
              <w:rPr>
                <w:rFonts w:hint="default"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五</w:t>
            </w:r>
            <w:r>
              <w:rPr>
                <w:rFonts w:hint="default" w:ascii="宋体" w:hAnsi="宋体" w:eastAsia="宋体" w:cs="宋体"/>
                <w:color w:val="auto"/>
                <w:szCs w:val="21"/>
                <w:highlight w:val="none"/>
                <w:lang w:eastAsia="zh-CN"/>
              </w:rPr>
              <w:t>）</w:t>
            </w:r>
            <w:r>
              <w:rPr>
                <w:rFonts w:hint="default" w:ascii="宋体" w:hAnsi="宋体" w:eastAsia="宋体" w:cs="宋体"/>
                <w:color w:val="auto"/>
                <w:szCs w:val="21"/>
                <w:highlight w:val="none"/>
              </w:rPr>
              <w:t>投标报价要求</w:t>
            </w:r>
          </w:p>
        </w:tc>
        <w:tc>
          <w:tcPr>
            <w:tcW w:w="7459" w:type="dxa"/>
            <w:gridSpan w:val="4"/>
            <w:tcBorders>
              <w:top w:val="single" w:color="000000" w:sz="2" w:space="0"/>
              <w:left w:val="single" w:color="000000" w:sz="2" w:space="0"/>
              <w:bottom w:val="single" w:color="000000" w:sz="2" w:space="0"/>
              <w:right w:val="single" w:color="000000" w:sz="2" w:space="0"/>
            </w:tcBorders>
            <w:noWrap w:val="0"/>
            <w:vAlign w:val="center"/>
          </w:tcPr>
          <w:p w14:paraId="468A2915">
            <w:pPr>
              <w:spacing w:line="360" w:lineRule="auto"/>
              <w:ind w:firstLine="420" w:firstLineChars="200"/>
              <w:rPr>
                <w:rFonts w:hint="default"/>
                <w:color w:val="auto"/>
                <w:sz w:val="21"/>
                <w:szCs w:val="21"/>
                <w:highlight w:val="none"/>
              </w:rPr>
            </w:pPr>
            <w:r>
              <w:rPr>
                <w:rFonts w:hint="default"/>
                <w:color w:val="auto"/>
                <w:sz w:val="21"/>
                <w:szCs w:val="21"/>
                <w:highlight w:val="none"/>
              </w:rPr>
              <w:t>1.报价方式：</w:t>
            </w:r>
            <w:bookmarkStart w:id="52" w:name="_Hlk132878410"/>
          </w:p>
          <w:p w14:paraId="1EAD00EB">
            <w:pPr>
              <w:spacing w:line="360" w:lineRule="auto"/>
              <w:ind w:firstLine="420" w:firstLineChars="20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（1）本次报价须为人民币报价，本项目为单价报价，报价包括货物的价款、产品的包装费用、运输费、装卸费用、管道改造安装、</w:t>
            </w:r>
            <w:r>
              <w:rPr>
                <w:rFonts w:hint="eastAsia" w:ascii="宋体" w:hAnsi="宋体" w:eastAsia="宋体" w:cs="宋体"/>
                <w:color w:val="auto"/>
                <w:sz w:val="21"/>
                <w:szCs w:val="21"/>
                <w:highlight w:val="none"/>
                <w:lang w:val="en-US" w:eastAsia="zh-CN"/>
              </w:rPr>
              <w:t>新装管道材料、人工费、全院二级减压箱/减压阀维修更换配件费用、新装设备（压力容器）</w:t>
            </w:r>
            <w:r>
              <w:rPr>
                <w:rFonts w:hint="eastAsia" w:ascii="宋体" w:hAnsi="宋体" w:eastAsia="宋体" w:cs="宋体"/>
                <w:color w:val="auto"/>
                <w:sz w:val="21"/>
                <w:szCs w:val="21"/>
                <w:highlight w:val="none"/>
              </w:rPr>
              <w:t>检测费、维护、维保人工费用、保险、管理服务成本、法定税费等一切应尽费用对于本文件中未列明，而供应商认为必需的费用也需列入总报价。在合同实施时，采购人将不予支付中标供应商没有列入的项目费用，并认为此项目的费用已包括在投标报价中。</w:t>
            </w:r>
          </w:p>
          <w:p w14:paraId="69159CAE">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default"/>
                <w:color w:val="auto"/>
                <w:sz w:val="21"/>
                <w:szCs w:val="21"/>
                <w:highlight w:val="none"/>
              </w:rPr>
            </w:pPr>
            <w:r>
              <w:rPr>
                <w:rFonts w:hint="eastAsia" w:ascii="宋体" w:hAnsi="宋体" w:eastAsia="宋体" w:cs="宋体"/>
                <w:color w:val="auto"/>
                <w:sz w:val="21"/>
                <w:szCs w:val="21"/>
                <w:highlight w:val="none"/>
              </w:rPr>
              <w:t>（2）投标人须对本项目涉及的医用液态氧、医用气体做出单项报价，且不得高于相应单价的最高限价。</w:t>
            </w:r>
            <w:bookmarkEnd w:id="52"/>
          </w:p>
          <w:p w14:paraId="4AA5ABFD">
            <w:pPr>
              <w:keepNext w:val="0"/>
              <w:keepLines w:val="0"/>
              <w:pageBreakBefore w:val="0"/>
              <w:widowControl w:val="0"/>
              <w:kinsoku/>
              <w:wordWrap/>
              <w:overflowPunct/>
              <w:topLinePunct w:val="0"/>
              <w:autoSpaceDE/>
              <w:autoSpaceDN/>
              <w:bidi w:val="0"/>
              <w:adjustRightInd/>
              <w:snapToGrid/>
              <w:spacing w:line="400" w:lineRule="exact"/>
              <w:ind w:firstLine="420" w:firstLineChars="200"/>
              <w:textAlignment w:val="auto"/>
              <w:rPr>
                <w:rFonts w:hint="eastAsia"/>
                <w:color w:val="auto"/>
                <w:sz w:val="21"/>
                <w:szCs w:val="21"/>
                <w:highlight w:val="none"/>
              </w:rPr>
            </w:pPr>
            <w:r>
              <w:rPr>
                <w:rFonts w:hint="default"/>
                <w:color w:val="auto"/>
                <w:sz w:val="21"/>
                <w:szCs w:val="21"/>
                <w:highlight w:val="none"/>
              </w:rPr>
              <w:t>2.为了确保采购质量和维护公平的竞争，根据《中华人民共和国政府采购法》第七十七条和</w:t>
            </w:r>
            <w:r>
              <w:rPr>
                <w:rFonts w:hint="eastAsia"/>
                <w:color w:val="auto"/>
                <w:sz w:val="21"/>
                <w:szCs w:val="21"/>
                <w:highlight w:val="none"/>
                <w:lang w:eastAsia="zh-CN"/>
              </w:rPr>
              <w:t>《</w:t>
            </w:r>
            <w:r>
              <w:rPr>
                <w:rFonts w:hint="default"/>
                <w:color w:val="auto"/>
                <w:sz w:val="21"/>
                <w:szCs w:val="21"/>
                <w:highlight w:val="none"/>
              </w:rPr>
              <w:t>中华人民共和国反不正当竞争法</w:t>
            </w:r>
            <w:r>
              <w:rPr>
                <w:rFonts w:hint="eastAsia"/>
                <w:color w:val="auto"/>
                <w:sz w:val="21"/>
                <w:szCs w:val="21"/>
                <w:highlight w:val="none"/>
                <w:lang w:eastAsia="zh-CN"/>
              </w:rPr>
              <w:t>》</w:t>
            </w:r>
            <w:r>
              <w:rPr>
                <w:rFonts w:hint="default"/>
                <w:color w:val="auto"/>
                <w:sz w:val="21"/>
                <w:szCs w:val="21"/>
                <w:highlight w:val="none"/>
              </w:rPr>
              <w:t>第十一条，经营者不得以排挤对手为目的，以低于成本的价格销售商品（服务）。采购人不能接受供应商的恶意低价的竞争。投标人的报价出现《财政部关于推动解决政府采购异常低价问题的通知》（财库〔2026〕2号）规定的异常低价情形（具体详见招标文件第四章评标方法及评标标准二、评标程序6.异常低价审查），有可能影响服务质量或者不能诚信履约的，其应当在评标现场合理时间内（不少于30分钟）对报价作出解释，提供项目具体成本测算等与报价合理性相关的书面说明及必要证明材料；投标人不能提供相关说明、证明材料，或提供的材料无法证明其报价合理性的，评标委员会将其作为无效投标处理。</w:t>
            </w:r>
          </w:p>
        </w:tc>
      </w:tr>
      <w:tr w14:paraId="121F9C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91" w:type="dxa"/>
            <w:bottom w:w="0" w:type="dxa"/>
            <w:right w:w="91" w:type="dxa"/>
          </w:tblCellMar>
        </w:tblPrEx>
        <w:trPr>
          <w:jc w:val="center"/>
        </w:trPr>
        <w:tc>
          <w:tcPr>
            <w:tcW w:w="1612" w:type="dxa"/>
            <w:gridSpan w:val="2"/>
            <w:tcBorders>
              <w:top w:val="single" w:color="000000" w:sz="2" w:space="0"/>
              <w:left w:val="single" w:color="000000" w:sz="2" w:space="0"/>
              <w:bottom w:val="single" w:color="000000" w:sz="2" w:space="0"/>
              <w:right w:val="single" w:color="000000" w:sz="2" w:space="0"/>
            </w:tcBorders>
            <w:noWrap w:val="0"/>
            <w:vAlign w:val="center"/>
          </w:tcPr>
          <w:p w14:paraId="4738A502">
            <w:pPr>
              <w:keepNext w:val="0"/>
              <w:keepLines w:val="0"/>
              <w:pageBreakBefore w:val="0"/>
              <w:widowControl w:val="0"/>
              <w:tabs>
                <w:tab w:val="left" w:pos="180"/>
                <w:tab w:val="left" w:pos="1620"/>
              </w:tabs>
              <w:kinsoku/>
              <w:wordWrap/>
              <w:overflowPunct/>
              <w:topLinePunct w:val="0"/>
              <w:autoSpaceDE/>
              <w:autoSpaceDN/>
              <w:bidi w:val="0"/>
              <w:adjustRightInd/>
              <w:snapToGrid/>
              <w:spacing w:before="168" w:beforeLines="70" w:line="400" w:lineRule="exact"/>
              <w:jc w:val="center"/>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w:t>
            </w:r>
            <w:r>
              <w:rPr>
                <w:rFonts w:hint="eastAsia" w:ascii="宋体" w:hAnsi="宋体" w:cs="宋体"/>
                <w:color w:val="auto"/>
                <w:szCs w:val="21"/>
                <w:highlight w:val="none"/>
                <w:lang w:val="en-US" w:eastAsia="zh-CN"/>
              </w:rPr>
              <w:t>六</w:t>
            </w:r>
            <w:r>
              <w:rPr>
                <w:rFonts w:hint="eastAsia" w:ascii="宋体" w:hAnsi="宋体" w:eastAsia="宋体" w:cs="宋体"/>
                <w:color w:val="auto"/>
                <w:szCs w:val="21"/>
                <w:highlight w:val="none"/>
                <w:lang w:eastAsia="zh-CN"/>
              </w:rPr>
              <w:t>）履约保证金</w:t>
            </w:r>
          </w:p>
        </w:tc>
        <w:tc>
          <w:tcPr>
            <w:tcW w:w="7459" w:type="dxa"/>
            <w:gridSpan w:val="4"/>
            <w:tcBorders>
              <w:top w:val="single" w:color="000000" w:sz="2" w:space="0"/>
              <w:left w:val="single" w:color="000000" w:sz="2" w:space="0"/>
              <w:bottom w:val="single" w:color="000000" w:sz="2" w:space="0"/>
              <w:right w:val="single" w:color="000000" w:sz="2" w:space="0"/>
            </w:tcBorders>
            <w:noWrap w:val="0"/>
            <w:vAlign w:val="center"/>
          </w:tcPr>
          <w:p w14:paraId="4D9B2B11">
            <w:pPr>
              <w:keepNext/>
              <w:keepLines w:val="0"/>
              <w:pageBreakBefore w:val="0"/>
              <w:widowControl w:val="0"/>
              <w:kinsoku/>
              <w:wordWrap w:val="0"/>
              <w:overflowPunct/>
              <w:topLinePunct/>
              <w:autoSpaceDE/>
              <w:autoSpaceDN/>
              <w:bidi w:val="0"/>
              <w:adjustRightInd w:val="0"/>
              <w:snapToGrid w:val="0"/>
              <w:spacing w:line="360" w:lineRule="auto"/>
              <w:ind w:left="113" w:right="85" w:firstLine="440" w:firstLineChars="200"/>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中标人收到中标通知后5个工作日内，将</w:t>
            </w:r>
            <w:r>
              <w:rPr>
                <w:rFonts w:hint="eastAsia" w:ascii="宋体" w:hAnsi="宋体" w:eastAsia="宋体" w:cs="宋体"/>
                <w:snapToGrid w:val="0"/>
                <w:color w:val="auto"/>
                <w:spacing w:val="5"/>
                <w:kern w:val="0"/>
                <w:sz w:val="21"/>
                <w:szCs w:val="21"/>
                <w:highlight w:val="none"/>
                <w:lang w:val="en-US" w:eastAsia="zh-CN"/>
              </w:rPr>
              <w:t>合同</w:t>
            </w:r>
            <w:r>
              <w:rPr>
                <w:rFonts w:hint="eastAsia" w:ascii="宋体" w:hAnsi="宋体" w:eastAsia="宋体" w:cs="宋体"/>
                <w:snapToGrid w:val="0"/>
                <w:color w:val="auto"/>
                <w:spacing w:val="5"/>
                <w:kern w:val="0"/>
                <w:sz w:val="21"/>
                <w:szCs w:val="21"/>
                <w:highlight w:val="none"/>
              </w:rPr>
              <w:t>金额的</w:t>
            </w:r>
            <w:r>
              <w:rPr>
                <w:rFonts w:hint="eastAsia" w:ascii="宋体" w:hAnsi="宋体" w:eastAsia="宋体" w:cs="宋体"/>
                <w:snapToGrid w:val="0"/>
                <w:color w:val="auto"/>
                <w:spacing w:val="5"/>
                <w:kern w:val="0"/>
                <w:sz w:val="21"/>
                <w:szCs w:val="21"/>
                <w:highlight w:val="none"/>
                <w:lang w:val="en-US" w:eastAsia="zh-CN"/>
              </w:rPr>
              <w:t>2</w:t>
            </w:r>
            <w:r>
              <w:rPr>
                <w:rFonts w:hint="eastAsia" w:ascii="宋体" w:hAnsi="宋体" w:eastAsia="宋体" w:cs="宋体"/>
                <w:snapToGrid w:val="0"/>
                <w:color w:val="auto"/>
                <w:spacing w:val="5"/>
                <w:kern w:val="0"/>
                <w:sz w:val="21"/>
                <w:szCs w:val="21"/>
                <w:highlight w:val="none"/>
              </w:rPr>
              <w:t>%缴纳给采购人作为履约保证金，</w:t>
            </w:r>
            <w:r>
              <w:rPr>
                <w:rFonts w:hint="eastAsia" w:ascii="宋体" w:hAnsi="宋体" w:eastAsia="宋体" w:cs="宋体"/>
                <w:snapToGrid w:val="0"/>
                <w:color w:val="auto"/>
                <w:spacing w:val="5"/>
                <w:kern w:val="0"/>
                <w:sz w:val="21"/>
                <w:szCs w:val="21"/>
                <w:highlight w:val="none"/>
                <w:lang w:val="en-US" w:eastAsia="zh-CN"/>
              </w:rPr>
              <w:t>项目</w:t>
            </w:r>
            <w:r>
              <w:rPr>
                <w:rFonts w:hint="eastAsia" w:ascii="宋体" w:hAnsi="宋体" w:eastAsia="宋体" w:cs="宋体"/>
                <w:snapToGrid w:val="0"/>
                <w:color w:val="auto"/>
                <w:spacing w:val="5"/>
                <w:kern w:val="0"/>
                <w:sz w:val="21"/>
                <w:szCs w:val="21"/>
                <w:highlight w:val="none"/>
              </w:rPr>
              <w:t>验收合格后无质量问题，履约保证金一次性无息退还中标人。如最终验收与合同不符，由中标人承担一切违约责任；</w:t>
            </w:r>
          </w:p>
          <w:p w14:paraId="1DD2F508">
            <w:pPr>
              <w:keepNext/>
              <w:keepLines w:val="0"/>
              <w:pageBreakBefore w:val="0"/>
              <w:widowControl w:val="0"/>
              <w:kinsoku/>
              <w:wordWrap w:val="0"/>
              <w:overflowPunct/>
              <w:topLinePunct/>
              <w:autoSpaceDE/>
              <w:autoSpaceDN/>
              <w:bidi w:val="0"/>
              <w:adjustRightInd w:val="0"/>
              <w:snapToGrid w:val="0"/>
              <w:spacing w:line="360" w:lineRule="auto"/>
              <w:ind w:left="113" w:right="85" w:firstLine="440" w:firstLineChars="200"/>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履约保证金的形式：中标人可以选择电汇、转账、支票、汇票、本票等形式缴纳或提交。</w:t>
            </w:r>
          </w:p>
          <w:p w14:paraId="6721459D">
            <w:pPr>
              <w:keepNext/>
              <w:keepLines w:val="0"/>
              <w:pageBreakBefore w:val="0"/>
              <w:widowControl w:val="0"/>
              <w:kinsoku/>
              <w:wordWrap w:val="0"/>
              <w:overflowPunct/>
              <w:topLinePunct/>
              <w:autoSpaceDE/>
              <w:autoSpaceDN/>
              <w:bidi w:val="0"/>
              <w:adjustRightInd w:val="0"/>
              <w:snapToGrid w:val="0"/>
              <w:spacing w:line="360" w:lineRule="auto"/>
              <w:ind w:left="0" w:right="85" w:firstLine="440" w:firstLineChars="200"/>
              <w:textAlignment w:val="baseline"/>
              <w:rPr>
                <w:rFonts w:hint="eastAsia" w:ascii="宋体" w:hAnsi="宋体" w:eastAsia="宋体" w:cs="宋体"/>
                <w:snapToGrid w:val="0"/>
                <w:color w:val="auto"/>
                <w:spacing w:val="5"/>
                <w:kern w:val="0"/>
                <w:sz w:val="21"/>
                <w:szCs w:val="21"/>
                <w:highlight w:val="none"/>
                <w:lang w:eastAsia="zh-CN"/>
              </w:rPr>
            </w:pPr>
            <w:r>
              <w:rPr>
                <w:rFonts w:hint="eastAsia" w:ascii="宋体" w:hAnsi="宋体" w:eastAsia="宋体" w:cs="宋体"/>
                <w:snapToGrid w:val="0"/>
                <w:color w:val="auto"/>
                <w:spacing w:val="5"/>
                <w:kern w:val="0"/>
                <w:sz w:val="21"/>
                <w:szCs w:val="21"/>
                <w:highlight w:val="none"/>
              </w:rPr>
              <w:t>履约保证金缴纳的账号信息：</w:t>
            </w:r>
          </w:p>
          <w:p w14:paraId="69052550">
            <w:pPr>
              <w:keepNext/>
              <w:keepLines w:val="0"/>
              <w:pageBreakBefore w:val="0"/>
              <w:widowControl w:val="0"/>
              <w:kinsoku/>
              <w:wordWrap w:val="0"/>
              <w:overflowPunct/>
              <w:topLinePunct/>
              <w:autoSpaceDE/>
              <w:autoSpaceDN/>
              <w:bidi w:val="0"/>
              <w:adjustRightInd w:val="0"/>
              <w:snapToGrid w:val="0"/>
              <w:spacing w:line="360" w:lineRule="auto"/>
              <w:ind w:left="0" w:right="85" w:firstLine="440" w:firstLineChars="200"/>
              <w:textAlignment w:val="baseline"/>
              <w:rPr>
                <w:rFonts w:hint="eastAsia" w:ascii="宋体" w:hAnsi="宋体" w:eastAsia="宋体" w:cs="宋体"/>
                <w:snapToGrid w:val="0"/>
                <w:color w:val="auto"/>
                <w:spacing w:val="5"/>
                <w:kern w:val="0"/>
                <w:sz w:val="21"/>
                <w:szCs w:val="21"/>
                <w:highlight w:val="none"/>
                <w:lang w:eastAsia="zh-CN"/>
              </w:rPr>
            </w:pPr>
            <w:r>
              <w:rPr>
                <w:rFonts w:hint="eastAsia" w:ascii="宋体" w:hAnsi="宋体" w:eastAsia="宋体" w:cs="宋体"/>
                <w:snapToGrid w:val="0"/>
                <w:color w:val="auto"/>
                <w:spacing w:val="5"/>
                <w:kern w:val="0"/>
                <w:sz w:val="21"/>
                <w:szCs w:val="21"/>
                <w:highlight w:val="none"/>
              </w:rPr>
              <w:t>开户名：广西壮族自治区江滨医院</w:t>
            </w:r>
          </w:p>
          <w:p w14:paraId="52C213FD">
            <w:pPr>
              <w:keepNext/>
              <w:keepLines w:val="0"/>
              <w:pageBreakBefore w:val="0"/>
              <w:widowControl w:val="0"/>
              <w:kinsoku/>
              <w:wordWrap w:val="0"/>
              <w:overflowPunct/>
              <w:topLinePunct/>
              <w:autoSpaceDE/>
              <w:autoSpaceDN/>
              <w:bidi w:val="0"/>
              <w:adjustRightInd w:val="0"/>
              <w:snapToGrid w:val="0"/>
              <w:spacing w:line="360" w:lineRule="auto"/>
              <w:ind w:left="0" w:right="85" w:firstLine="440" w:firstLineChars="200"/>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开户行：交通银行南宁分行青秀山支行</w:t>
            </w:r>
          </w:p>
          <w:p w14:paraId="23E4DE77">
            <w:pPr>
              <w:keepNext/>
              <w:keepLines w:val="0"/>
              <w:pageBreakBefore w:val="0"/>
              <w:widowControl w:val="0"/>
              <w:kinsoku/>
              <w:wordWrap w:val="0"/>
              <w:overflowPunct/>
              <w:topLinePunct/>
              <w:autoSpaceDE/>
              <w:autoSpaceDN/>
              <w:bidi w:val="0"/>
              <w:adjustRightInd w:val="0"/>
              <w:snapToGrid w:val="0"/>
              <w:spacing w:line="360" w:lineRule="auto"/>
              <w:ind w:left="0" w:right="85" w:firstLine="440" w:firstLineChars="200"/>
              <w:textAlignment w:val="baseline"/>
              <w:rPr>
                <w:rFonts w:hint="eastAsia"/>
                <w:color w:val="auto"/>
                <w:sz w:val="21"/>
                <w:szCs w:val="21"/>
                <w:highlight w:val="none"/>
              </w:rPr>
            </w:pPr>
            <w:r>
              <w:rPr>
                <w:rFonts w:hint="eastAsia" w:ascii="宋体" w:hAnsi="宋体" w:eastAsia="宋体" w:cs="宋体"/>
                <w:snapToGrid w:val="0"/>
                <w:color w:val="auto"/>
                <w:spacing w:val="5"/>
                <w:kern w:val="0"/>
                <w:sz w:val="21"/>
                <w:szCs w:val="21"/>
                <w:highlight w:val="none"/>
              </w:rPr>
              <w:t>账号：4510</w:t>
            </w:r>
            <w:r>
              <w:rPr>
                <w:rFonts w:hint="eastAsia" w:ascii="宋体" w:hAnsi="宋体" w:cs="宋体"/>
                <w:snapToGrid w:val="0"/>
                <w:color w:val="auto"/>
                <w:spacing w:val="5"/>
                <w:kern w:val="0"/>
                <w:sz w:val="21"/>
                <w:szCs w:val="21"/>
                <w:highlight w:val="none"/>
                <w:lang w:val="en-US" w:eastAsia="zh-CN"/>
              </w:rPr>
              <w:t xml:space="preserve"> </w:t>
            </w:r>
            <w:r>
              <w:rPr>
                <w:rFonts w:hint="eastAsia" w:ascii="宋体" w:hAnsi="宋体" w:eastAsia="宋体" w:cs="宋体"/>
                <w:snapToGrid w:val="0"/>
                <w:color w:val="auto"/>
                <w:spacing w:val="5"/>
                <w:kern w:val="0"/>
                <w:sz w:val="21"/>
                <w:szCs w:val="21"/>
                <w:highlight w:val="none"/>
              </w:rPr>
              <w:t>6050</w:t>
            </w:r>
            <w:r>
              <w:rPr>
                <w:rFonts w:hint="eastAsia" w:ascii="宋体" w:hAnsi="宋体" w:cs="宋体"/>
                <w:snapToGrid w:val="0"/>
                <w:color w:val="auto"/>
                <w:spacing w:val="5"/>
                <w:kern w:val="0"/>
                <w:sz w:val="21"/>
                <w:szCs w:val="21"/>
                <w:highlight w:val="none"/>
                <w:lang w:val="en-US" w:eastAsia="zh-CN"/>
              </w:rPr>
              <w:t xml:space="preserve"> </w:t>
            </w:r>
            <w:r>
              <w:rPr>
                <w:rFonts w:hint="eastAsia" w:ascii="宋体" w:hAnsi="宋体" w:eastAsia="宋体" w:cs="宋体"/>
                <w:snapToGrid w:val="0"/>
                <w:color w:val="auto"/>
                <w:spacing w:val="5"/>
                <w:kern w:val="0"/>
                <w:sz w:val="21"/>
                <w:szCs w:val="21"/>
                <w:highlight w:val="none"/>
              </w:rPr>
              <w:t>5018</w:t>
            </w:r>
            <w:r>
              <w:rPr>
                <w:rFonts w:hint="eastAsia" w:ascii="宋体" w:hAnsi="宋体" w:cs="宋体"/>
                <w:snapToGrid w:val="0"/>
                <w:color w:val="auto"/>
                <w:spacing w:val="5"/>
                <w:kern w:val="0"/>
                <w:sz w:val="21"/>
                <w:szCs w:val="21"/>
                <w:highlight w:val="none"/>
                <w:lang w:val="en-US" w:eastAsia="zh-CN"/>
              </w:rPr>
              <w:t xml:space="preserve"> </w:t>
            </w:r>
            <w:r>
              <w:rPr>
                <w:rFonts w:hint="eastAsia" w:ascii="宋体" w:hAnsi="宋体" w:eastAsia="宋体" w:cs="宋体"/>
                <w:snapToGrid w:val="0"/>
                <w:color w:val="auto"/>
                <w:spacing w:val="5"/>
                <w:kern w:val="0"/>
                <w:sz w:val="21"/>
                <w:szCs w:val="21"/>
                <w:highlight w:val="none"/>
              </w:rPr>
              <w:t>0100</w:t>
            </w:r>
            <w:r>
              <w:rPr>
                <w:rFonts w:hint="eastAsia" w:ascii="宋体" w:hAnsi="宋体" w:cs="宋体"/>
                <w:snapToGrid w:val="0"/>
                <w:color w:val="auto"/>
                <w:spacing w:val="5"/>
                <w:kern w:val="0"/>
                <w:sz w:val="21"/>
                <w:szCs w:val="21"/>
                <w:highlight w:val="none"/>
                <w:lang w:val="en-US" w:eastAsia="zh-CN"/>
              </w:rPr>
              <w:t xml:space="preserve"> </w:t>
            </w:r>
            <w:r>
              <w:rPr>
                <w:rFonts w:hint="eastAsia" w:ascii="宋体" w:hAnsi="宋体" w:eastAsia="宋体" w:cs="宋体"/>
                <w:snapToGrid w:val="0"/>
                <w:color w:val="auto"/>
                <w:spacing w:val="5"/>
                <w:kern w:val="0"/>
                <w:sz w:val="21"/>
                <w:szCs w:val="21"/>
                <w:highlight w:val="none"/>
              </w:rPr>
              <w:t>2792</w:t>
            </w:r>
            <w:r>
              <w:rPr>
                <w:rFonts w:hint="eastAsia" w:ascii="宋体" w:hAnsi="宋体" w:cs="宋体"/>
                <w:snapToGrid w:val="0"/>
                <w:color w:val="auto"/>
                <w:spacing w:val="5"/>
                <w:kern w:val="0"/>
                <w:sz w:val="21"/>
                <w:szCs w:val="21"/>
                <w:highlight w:val="none"/>
                <w:lang w:val="en-US" w:eastAsia="zh-CN"/>
              </w:rPr>
              <w:t xml:space="preserve"> </w:t>
            </w:r>
            <w:r>
              <w:rPr>
                <w:rFonts w:hint="eastAsia" w:ascii="宋体" w:hAnsi="宋体" w:eastAsia="宋体" w:cs="宋体"/>
                <w:snapToGrid w:val="0"/>
                <w:color w:val="auto"/>
                <w:spacing w:val="5"/>
                <w:kern w:val="0"/>
                <w:sz w:val="21"/>
                <w:szCs w:val="21"/>
                <w:highlight w:val="none"/>
              </w:rPr>
              <w:t>3</w:t>
            </w:r>
          </w:p>
        </w:tc>
      </w:tr>
      <w:tr w14:paraId="0F7AF8F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91" w:type="dxa"/>
            <w:bottom w:w="0" w:type="dxa"/>
            <w:right w:w="91" w:type="dxa"/>
          </w:tblCellMar>
        </w:tblPrEx>
        <w:trPr>
          <w:trHeight w:val="7911" w:hRule="atLeast"/>
          <w:jc w:val="center"/>
        </w:trPr>
        <w:tc>
          <w:tcPr>
            <w:tcW w:w="1612" w:type="dxa"/>
            <w:gridSpan w:val="2"/>
            <w:tcBorders>
              <w:top w:val="single" w:color="000000" w:sz="2" w:space="0"/>
              <w:left w:val="single" w:color="000000" w:sz="2" w:space="0"/>
              <w:bottom w:val="single" w:color="000000" w:sz="2" w:space="0"/>
              <w:right w:val="single" w:color="000000" w:sz="2" w:space="0"/>
            </w:tcBorders>
            <w:noWrap w:val="0"/>
            <w:vAlign w:val="center"/>
          </w:tcPr>
          <w:p w14:paraId="31F82FEA">
            <w:pPr>
              <w:keepNext/>
              <w:keepLines w:val="0"/>
              <w:pageBreakBefore w:val="0"/>
              <w:widowControl w:val="0"/>
              <w:kinsoku/>
              <w:wordWrap w:val="0"/>
              <w:overflowPunct/>
              <w:topLinePunct/>
              <w:autoSpaceDE/>
              <w:autoSpaceDN/>
              <w:bidi w:val="0"/>
              <w:adjustRightInd w:val="0"/>
              <w:snapToGrid w:val="0"/>
              <w:spacing w:before="176" w:line="360" w:lineRule="auto"/>
              <w:jc w:val="center"/>
              <w:textAlignment w:val="baseline"/>
              <w:outlineLvl w:val="0"/>
              <w:rPr>
                <w:rFonts w:hint="default" w:ascii="宋体" w:hAnsi="宋体" w:eastAsia="宋体" w:cs="宋体"/>
                <w:color w:val="auto"/>
                <w:szCs w:val="21"/>
                <w:highlight w:val="none"/>
                <w:lang w:val="en-US" w:eastAsia="zh-CN"/>
              </w:rPr>
            </w:pPr>
            <w:bookmarkStart w:id="53" w:name="_Toc18440"/>
            <w:r>
              <w:rPr>
                <w:rFonts w:hint="default" w:ascii="宋体" w:hAnsi="宋体" w:eastAsia="宋体" w:cs="宋体"/>
                <w:color w:val="auto"/>
                <w:szCs w:val="21"/>
                <w:highlight w:val="none"/>
              </w:rPr>
              <w:t>（</w:t>
            </w:r>
            <w:r>
              <w:rPr>
                <w:rFonts w:hint="eastAsia" w:ascii="宋体" w:hAnsi="宋体" w:cs="宋体"/>
                <w:color w:val="auto"/>
                <w:szCs w:val="21"/>
                <w:highlight w:val="none"/>
                <w:lang w:val="en-US" w:eastAsia="zh-CN"/>
              </w:rPr>
              <w:t>七</w:t>
            </w:r>
            <w:r>
              <w:rPr>
                <w:rFonts w:hint="default" w:ascii="宋体" w:hAnsi="宋体" w:eastAsia="宋体" w:cs="宋体"/>
                <w:color w:val="auto"/>
                <w:szCs w:val="21"/>
                <w:highlight w:val="none"/>
              </w:rPr>
              <w:t>）</w:t>
            </w:r>
            <w:r>
              <w:rPr>
                <w:rFonts w:hint="eastAsia" w:ascii="宋体" w:hAnsi="宋体" w:cs="宋体"/>
                <w:color w:val="auto"/>
                <w:szCs w:val="21"/>
                <w:highlight w:val="none"/>
                <w:lang w:val="en-US" w:eastAsia="zh-CN"/>
              </w:rPr>
              <w:t>验收要求</w:t>
            </w:r>
            <w:bookmarkEnd w:id="53"/>
          </w:p>
        </w:tc>
        <w:tc>
          <w:tcPr>
            <w:tcW w:w="7459" w:type="dxa"/>
            <w:gridSpan w:val="4"/>
            <w:tcBorders>
              <w:top w:val="single" w:color="000000" w:sz="2" w:space="0"/>
              <w:left w:val="single" w:color="000000" w:sz="2" w:space="0"/>
              <w:bottom w:val="single" w:color="000000" w:sz="2" w:space="0"/>
              <w:right w:val="single" w:color="000000" w:sz="2" w:space="0"/>
            </w:tcBorders>
            <w:noWrap w:val="0"/>
            <w:vAlign w:val="top"/>
          </w:tcPr>
          <w:p w14:paraId="6AF45B9D">
            <w:pPr>
              <w:pStyle w:val="20"/>
              <w:spacing w:line="420" w:lineRule="exact"/>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本项目应执行的国家相关标准、行业标准、地方标准或者其他标准、规范为： 详见服务内容和标准的要求。</w:t>
            </w:r>
          </w:p>
          <w:p w14:paraId="300C1D82">
            <w:pPr>
              <w:pStyle w:val="20"/>
              <w:spacing w:line="420" w:lineRule="exact"/>
              <w:rPr>
                <w:rFonts w:hAnsi="宋体" w:cs="宋体"/>
                <w:bCs/>
                <w:color w:val="auto"/>
                <w:kern w:val="2"/>
                <w:sz w:val="21"/>
                <w:highlight w:val="none"/>
              </w:rPr>
            </w:pPr>
            <w:r>
              <w:rPr>
                <w:rFonts w:hint="eastAsia" w:hAnsi="宋体" w:cs="宋体"/>
                <w:bCs/>
                <w:color w:val="auto"/>
                <w:kern w:val="2"/>
                <w:sz w:val="21"/>
                <w:highlight w:val="none"/>
              </w:rPr>
              <w:t>1.产品抵达现场后，</w:t>
            </w:r>
            <w:r>
              <w:rPr>
                <w:rFonts w:hint="eastAsia" w:hAnsi="宋体" w:cs="宋体"/>
                <w:bCs/>
                <w:color w:val="auto"/>
                <w:kern w:val="2"/>
                <w:sz w:val="21"/>
                <w:highlight w:val="none"/>
                <w:lang w:val="en-US" w:eastAsia="zh-CN"/>
              </w:rPr>
              <w:t>中标</w:t>
            </w:r>
            <w:r>
              <w:rPr>
                <w:rFonts w:hint="eastAsia" w:hAnsi="宋体" w:cs="宋体"/>
                <w:bCs/>
                <w:color w:val="auto"/>
                <w:kern w:val="2"/>
                <w:sz w:val="21"/>
                <w:highlight w:val="none"/>
              </w:rPr>
              <w:t>供应商需指派人员与采购人共同进行清点和验收。若产品的各项参数指标及配置均达到技术指标要求，则视为产品验收合格。产品的所有权在交付后从</w:t>
            </w:r>
            <w:r>
              <w:rPr>
                <w:rFonts w:hint="eastAsia" w:hAnsi="宋体" w:cs="宋体"/>
                <w:bCs/>
                <w:color w:val="auto"/>
                <w:kern w:val="2"/>
                <w:sz w:val="21"/>
                <w:highlight w:val="none"/>
                <w:lang w:val="en-US" w:eastAsia="zh-CN"/>
              </w:rPr>
              <w:t>供应商</w:t>
            </w:r>
            <w:r>
              <w:rPr>
                <w:rFonts w:hint="eastAsia" w:hAnsi="宋体" w:cs="宋体"/>
                <w:bCs/>
                <w:color w:val="auto"/>
                <w:kern w:val="2"/>
                <w:sz w:val="21"/>
                <w:highlight w:val="none"/>
              </w:rPr>
              <w:t>转至</w:t>
            </w:r>
            <w:r>
              <w:rPr>
                <w:rFonts w:hint="eastAsia" w:hAnsi="宋体" w:cs="宋体"/>
                <w:bCs/>
                <w:color w:val="auto"/>
                <w:kern w:val="2"/>
                <w:sz w:val="21"/>
                <w:highlight w:val="none"/>
                <w:lang w:val="en-US" w:eastAsia="zh-CN"/>
              </w:rPr>
              <w:t>采购人</w:t>
            </w:r>
            <w:r>
              <w:rPr>
                <w:rFonts w:hint="eastAsia" w:hAnsi="宋体" w:cs="宋体"/>
                <w:bCs/>
                <w:color w:val="auto"/>
                <w:kern w:val="2"/>
                <w:sz w:val="21"/>
                <w:highlight w:val="none"/>
              </w:rPr>
              <w:t>，产品质量仍由</w:t>
            </w:r>
            <w:r>
              <w:rPr>
                <w:rFonts w:hint="eastAsia" w:hAnsi="宋体" w:cs="宋体"/>
                <w:bCs/>
                <w:color w:val="auto"/>
                <w:kern w:val="2"/>
                <w:sz w:val="21"/>
                <w:highlight w:val="none"/>
                <w:lang w:val="en-US" w:eastAsia="zh-CN"/>
              </w:rPr>
              <w:t>供应商</w:t>
            </w:r>
            <w:r>
              <w:rPr>
                <w:rFonts w:hint="eastAsia" w:hAnsi="宋体" w:cs="宋体"/>
                <w:bCs/>
                <w:color w:val="auto"/>
                <w:kern w:val="2"/>
                <w:sz w:val="21"/>
                <w:highlight w:val="none"/>
              </w:rPr>
              <w:t>负责。</w:t>
            </w:r>
          </w:p>
          <w:p w14:paraId="183724E2">
            <w:pPr>
              <w:pStyle w:val="20"/>
              <w:spacing w:line="420" w:lineRule="exact"/>
              <w:rPr>
                <w:rFonts w:hAnsi="宋体" w:cs="宋体"/>
                <w:bCs/>
                <w:color w:val="auto"/>
                <w:kern w:val="2"/>
                <w:sz w:val="21"/>
                <w:highlight w:val="none"/>
              </w:rPr>
            </w:pPr>
            <w:r>
              <w:rPr>
                <w:rFonts w:hint="eastAsia" w:hAnsi="宋体" w:cs="宋体"/>
                <w:bCs/>
                <w:color w:val="auto"/>
                <w:kern w:val="2"/>
                <w:sz w:val="21"/>
                <w:highlight w:val="none"/>
              </w:rPr>
              <w:t>2.若在验收过程中发现产品数量与供货清单存在差异，</w:t>
            </w:r>
            <w:r>
              <w:rPr>
                <w:rFonts w:hint="eastAsia" w:hAnsi="宋体" w:cs="宋体"/>
                <w:bCs/>
                <w:color w:val="auto"/>
                <w:kern w:val="2"/>
                <w:sz w:val="21"/>
                <w:highlight w:val="none"/>
                <w:lang w:eastAsia="zh-CN"/>
              </w:rPr>
              <w:t>中标供应商</w:t>
            </w:r>
            <w:r>
              <w:rPr>
                <w:rFonts w:hint="eastAsia" w:hAnsi="宋体" w:cs="宋体"/>
                <w:bCs/>
                <w:color w:val="auto"/>
                <w:kern w:val="2"/>
                <w:sz w:val="21"/>
                <w:highlight w:val="none"/>
              </w:rPr>
              <w:t>应负责补充缺少的产品或回收多余部分。若</w:t>
            </w:r>
            <w:r>
              <w:rPr>
                <w:rFonts w:hint="eastAsia" w:hAnsi="宋体" w:cs="宋体"/>
                <w:bCs/>
                <w:color w:val="auto"/>
                <w:kern w:val="2"/>
                <w:sz w:val="21"/>
                <w:highlight w:val="none"/>
                <w:lang w:eastAsia="zh-CN"/>
              </w:rPr>
              <w:t>中标供应商</w:t>
            </w:r>
            <w:r>
              <w:rPr>
                <w:rFonts w:hint="eastAsia" w:hAnsi="宋体" w:cs="宋体"/>
                <w:bCs/>
                <w:color w:val="auto"/>
                <w:kern w:val="2"/>
                <w:sz w:val="21"/>
                <w:highlight w:val="none"/>
              </w:rPr>
              <w:t>提供的产品质量或规格型号不符合招标文件及合同规定，采购人有权拒绝接收产品。双方人员应对供货中存在的问题进行详细记录形成现场记录或备忘录并签字确认，备忘录可作为退货、换货和追责的有效依据。</w:t>
            </w:r>
            <w:r>
              <w:rPr>
                <w:rFonts w:hint="eastAsia" w:hAnsi="宋体" w:cs="宋体"/>
                <w:bCs/>
                <w:color w:val="auto"/>
                <w:kern w:val="2"/>
                <w:sz w:val="21"/>
                <w:highlight w:val="none"/>
                <w:lang w:eastAsia="zh-CN"/>
              </w:rPr>
              <w:t>中标供应商</w:t>
            </w:r>
            <w:r>
              <w:rPr>
                <w:rFonts w:hint="eastAsia" w:hAnsi="宋体" w:cs="宋体"/>
                <w:bCs/>
                <w:color w:val="auto"/>
                <w:kern w:val="2"/>
                <w:sz w:val="21"/>
                <w:highlight w:val="none"/>
              </w:rPr>
              <w:t>需负责更换全新的产品，并承担由此给采购人造成的所有损失。</w:t>
            </w:r>
          </w:p>
          <w:p w14:paraId="04250247">
            <w:pPr>
              <w:spacing w:line="460" w:lineRule="exact"/>
              <w:ind w:firstLine="420" w:firstLineChars="200"/>
              <w:rPr>
                <w:rFonts w:hint="eastAsia"/>
                <w:color w:val="auto"/>
                <w:sz w:val="21"/>
                <w:szCs w:val="21"/>
                <w:highlight w:val="none"/>
              </w:rPr>
            </w:pPr>
            <w:r>
              <w:rPr>
                <w:rFonts w:hint="eastAsia" w:hAnsi="宋体" w:cs="宋体"/>
                <w:bCs/>
                <w:color w:val="auto"/>
                <w:kern w:val="2"/>
                <w:sz w:val="21"/>
                <w:highlight w:val="none"/>
              </w:rPr>
              <w:t>3.医用液氧的标志、包装、运输、装卸、贮存必须符合国家药品监督管理局审评、核准标准。医用液氧运输、装卸以及操作气化式集中供氧设备的人员必须是具备中华人民共和国特种设备安全管理和作业人员证(R2或A证</w:t>
            </w:r>
            <w:r>
              <w:rPr>
                <w:rFonts w:hint="eastAsia" w:hAnsi="宋体" w:cs="宋体"/>
                <w:bCs/>
                <w:color w:val="auto"/>
                <w:kern w:val="2"/>
                <w:sz w:val="21"/>
                <w:highlight w:val="none"/>
                <w:lang w:eastAsia="zh-CN"/>
              </w:rPr>
              <w:t>）</w:t>
            </w:r>
            <w:r>
              <w:rPr>
                <w:rFonts w:hint="eastAsia" w:hAnsi="宋体" w:cs="宋体"/>
                <w:bCs/>
                <w:color w:val="auto"/>
                <w:kern w:val="2"/>
                <w:sz w:val="21"/>
                <w:highlight w:val="none"/>
              </w:rPr>
              <w:t>持证人员，不符合上述要求的，采购人有权拒绝验收。医用液氧在气化至可使用状态，采购人签字验收前，所发生的运输、损毁、灭失、安全责任，以及液氧站供氧设备相关的维护、保养、检测及相关安全责任和事故，均由</w:t>
            </w:r>
            <w:r>
              <w:rPr>
                <w:rFonts w:hint="eastAsia" w:hAnsi="宋体" w:cs="宋体"/>
                <w:bCs/>
                <w:color w:val="auto"/>
                <w:kern w:val="2"/>
                <w:sz w:val="21"/>
                <w:highlight w:val="none"/>
                <w:lang w:eastAsia="zh-CN"/>
              </w:rPr>
              <w:t>中标供应商</w:t>
            </w:r>
            <w:r>
              <w:rPr>
                <w:rFonts w:hint="eastAsia" w:hAnsi="宋体" w:cs="宋体"/>
                <w:bCs/>
                <w:color w:val="auto"/>
                <w:kern w:val="2"/>
                <w:sz w:val="21"/>
                <w:highlight w:val="none"/>
              </w:rPr>
              <w:t>负责处理和承担相应责任。</w:t>
            </w:r>
          </w:p>
        </w:tc>
      </w:tr>
      <w:tr w14:paraId="78BF0DF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91" w:type="dxa"/>
            <w:bottom w:w="0" w:type="dxa"/>
            <w:right w:w="91" w:type="dxa"/>
          </w:tblCellMar>
        </w:tblPrEx>
        <w:trPr>
          <w:jc w:val="center"/>
        </w:trPr>
        <w:tc>
          <w:tcPr>
            <w:tcW w:w="1612" w:type="dxa"/>
            <w:gridSpan w:val="2"/>
            <w:tcBorders>
              <w:top w:val="single" w:color="000000" w:sz="2" w:space="0"/>
              <w:left w:val="single" w:color="000000" w:sz="2" w:space="0"/>
              <w:bottom w:val="single" w:color="000000" w:sz="2" w:space="0"/>
              <w:right w:val="single" w:color="000000" w:sz="2" w:space="0"/>
            </w:tcBorders>
            <w:noWrap w:val="0"/>
            <w:vAlign w:val="center"/>
          </w:tcPr>
          <w:p w14:paraId="662D99B6">
            <w:pPr>
              <w:keepNext/>
              <w:keepLines w:val="0"/>
              <w:pageBreakBefore w:val="0"/>
              <w:widowControl w:val="0"/>
              <w:kinsoku/>
              <w:wordWrap w:val="0"/>
              <w:overflowPunct/>
              <w:topLinePunct/>
              <w:autoSpaceDE/>
              <w:autoSpaceDN/>
              <w:bidi w:val="0"/>
              <w:adjustRightInd w:val="0"/>
              <w:snapToGrid w:val="0"/>
              <w:spacing w:line="360" w:lineRule="auto"/>
              <w:jc w:val="center"/>
              <w:textAlignment w:val="baseline"/>
              <w:rPr>
                <w:rFonts w:hint="eastAsia" w:ascii="宋体" w:hAnsi="宋体" w:eastAsia="宋体" w:cs="宋体"/>
                <w:snapToGrid w:val="0"/>
                <w:color w:val="auto"/>
                <w:kern w:val="0"/>
                <w:sz w:val="21"/>
                <w:szCs w:val="21"/>
                <w:highlight w:val="none"/>
              </w:rPr>
            </w:pP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lang w:val="en-US" w:eastAsia="zh-CN"/>
              </w:rPr>
              <w:t>八</w:t>
            </w:r>
            <w:r>
              <w:rPr>
                <w:rFonts w:hint="eastAsia" w:ascii="宋体" w:hAnsi="宋体" w:eastAsia="宋体" w:cs="宋体"/>
                <w:snapToGrid w:val="0"/>
                <w:color w:val="auto"/>
                <w:kern w:val="0"/>
                <w:sz w:val="21"/>
                <w:szCs w:val="21"/>
                <w:highlight w:val="none"/>
                <w:lang w:eastAsia="zh-CN"/>
              </w:rPr>
              <w:t>）</w:t>
            </w:r>
            <w:r>
              <w:rPr>
                <w:rFonts w:hint="eastAsia" w:ascii="宋体" w:hAnsi="宋体" w:eastAsia="宋体" w:cs="宋体"/>
                <w:snapToGrid w:val="0"/>
                <w:color w:val="auto"/>
                <w:kern w:val="0"/>
                <w:sz w:val="21"/>
                <w:szCs w:val="21"/>
                <w:highlight w:val="none"/>
              </w:rPr>
              <w:t>违约责任</w:t>
            </w:r>
          </w:p>
          <w:p w14:paraId="7BB641DB">
            <w:pPr>
              <w:keepNext/>
              <w:keepLines w:val="0"/>
              <w:pageBreakBefore w:val="0"/>
              <w:widowControl w:val="0"/>
              <w:kinsoku/>
              <w:wordWrap w:val="0"/>
              <w:overflowPunct/>
              <w:topLinePunct/>
              <w:autoSpaceDE/>
              <w:autoSpaceDN/>
              <w:bidi w:val="0"/>
              <w:adjustRightInd w:val="0"/>
              <w:snapToGrid w:val="0"/>
              <w:spacing w:before="71" w:line="360" w:lineRule="auto"/>
              <w:ind w:left="788" w:leftChars="0"/>
              <w:jc w:val="center"/>
              <w:textAlignment w:val="baseline"/>
              <w:rPr>
                <w:rFonts w:hint="default" w:ascii="宋体" w:hAnsi="宋体" w:eastAsia="宋体" w:cs="宋体"/>
                <w:color w:val="auto"/>
                <w:szCs w:val="21"/>
                <w:highlight w:val="none"/>
              </w:rPr>
            </w:pPr>
          </w:p>
        </w:tc>
        <w:tc>
          <w:tcPr>
            <w:tcW w:w="7459" w:type="dxa"/>
            <w:gridSpan w:val="4"/>
            <w:tcBorders>
              <w:top w:val="single" w:color="000000" w:sz="2" w:space="0"/>
              <w:left w:val="single" w:color="000000" w:sz="2" w:space="0"/>
              <w:bottom w:val="single" w:color="000000" w:sz="2" w:space="0"/>
              <w:right w:val="single" w:color="000000" w:sz="2" w:space="0"/>
            </w:tcBorders>
            <w:noWrap w:val="0"/>
            <w:vAlign w:val="top"/>
          </w:tcPr>
          <w:p w14:paraId="3E364F43">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420" w:firstLineChars="200"/>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（1）气体供应与质量违约</w:t>
            </w:r>
          </w:p>
          <w:p w14:paraId="6A48A6E2">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420" w:firstLineChars="200"/>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①供氧中断违约：因供应商过错（含设备故障未及时排除、配送不及时等）导致医院任何区域氧气供应中断的，每次向采购人支付违约金 20,000元，造成实际损失的按实际损失赔偿；若导致医疗事故或引发重大医疗纠纷的，供应商承担全部法律及经济赔偿责任，且采购人有权单方无条件解除合同。</w:t>
            </w:r>
          </w:p>
          <w:p w14:paraId="755F3711">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420" w:firstLineChars="200"/>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②气体质量不合格：采购人抽检或使用中发现医用氧纯度、水分等指标不符合《中国药典》标准的，供应商必须无条件立即更换合格气体，并支付该批次货物价值 3倍 的违约金；若因气体质量问题导致临床不良事件的，由供应商承担全部赔偿责任。同一自然年度内出现两次质量不合格的，采购人有权解除合同。</w:t>
            </w:r>
          </w:p>
          <w:p w14:paraId="20F3B91F">
            <w:pPr>
              <w:keepNext/>
              <w:keepLines w:val="0"/>
              <w:pageBreakBefore w:val="0"/>
              <w:widowControl w:val="0"/>
              <w:tabs>
                <w:tab w:val="left" w:pos="6510"/>
              </w:tabs>
              <w:kinsoku/>
              <w:wordWrap w:val="0"/>
              <w:overflowPunct/>
              <w:topLinePunct/>
              <w:autoSpaceDE/>
              <w:autoSpaceDN/>
              <w:bidi w:val="0"/>
              <w:adjustRightInd w:val="0"/>
              <w:snapToGrid w:val="0"/>
              <w:spacing w:line="360" w:lineRule="auto"/>
              <w:ind w:left="113" w:leftChars="0" w:right="85" w:rightChars="0" w:firstLine="420" w:firstLineChars="200"/>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③配送时效违约：供应商未按采购人通知要求时限送达瓶装气体或液态氧（非不可抗力因素），逾期在2小时内的，每次支付违约金 2,000元；逾期超过2小时的，每次支付违约金 5,000元。</w:t>
            </w:r>
          </w:p>
          <w:p w14:paraId="67EC4A57">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420" w:firstLineChars="200"/>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（2）设备、管道建设与维保违约</w:t>
            </w:r>
          </w:p>
          <w:p w14:paraId="6921666E">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420" w:firstLineChars="200"/>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①工期逾期违约：未按合同约定时间完成设备安装、管道铺设及手续办理的，每逾期一日，应按合同总价（或设备部分预算）的 0.03% 支付违约金，逾期超过15日的，采购人有权解除合同并要求赔偿损失。</w:t>
            </w:r>
          </w:p>
          <w:p w14:paraId="35E1FBBB">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420" w:firstLineChars="200"/>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②特种设备年检及手续违约：因供应商未按期办理储罐、安全阀、压力表等特种设备检验及《特种设备使用登记证》续期手续，导致设备处于非法使用状态的，供应商需承担由此产生的全部行政处罚后果，并向采购人支付违约金 20,000元/次。</w:t>
            </w:r>
          </w:p>
          <w:p w14:paraId="5FC2F96B">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420" w:firstLineChars="200"/>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③日常维保不到位违约：未按规定进行每半年不少于1次的维护保养，或未提供真实维保记录的，发现一次支付违约金 5,000元；经采购人书面催告后7日内仍未整改的，采购人有权另行委托第三方维保，所生费用按实际发生的 1.5倍 从供应商履约保证金或货款中扣除。</w:t>
            </w:r>
          </w:p>
          <w:p w14:paraId="10652178">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420" w:firstLineChars="200"/>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（3）人员与安全管理违约</w:t>
            </w:r>
          </w:p>
          <w:p w14:paraId="47733284">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420" w:firstLineChars="200"/>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①无证上岗违约：采购人有权随时抽查现场作业人员，发现特种设备作业人员（R2证）无证上岗、人证不符或证件过期的，每人次支付违约金 10,000元，并要求立即停工整改。</w:t>
            </w:r>
          </w:p>
          <w:p w14:paraId="1B3E996D">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420" w:firstLineChars="200"/>
              <w:textAlignment w:val="baseline"/>
              <w:rPr>
                <w:rFonts w:hint="eastAsia" w:ascii="宋体" w:hAnsi="宋体" w:eastAsia="宋体" w:cs="宋体"/>
                <w:color w:val="auto"/>
                <w:sz w:val="21"/>
                <w:szCs w:val="21"/>
                <w:highlight w:val="none"/>
                <w:vertAlign w:val="baseline"/>
                <w:lang w:val="en-US" w:eastAsia="zh-CN"/>
              </w:rPr>
            </w:pPr>
            <w:r>
              <w:rPr>
                <w:rFonts w:hint="eastAsia" w:ascii="宋体" w:hAnsi="宋体" w:eastAsia="宋体" w:cs="宋体"/>
                <w:color w:val="auto"/>
                <w:sz w:val="21"/>
                <w:szCs w:val="21"/>
                <w:highlight w:val="none"/>
                <w:vertAlign w:val="baseline"/>
                <w:lang w:val="en-US" w:eastAsia="zh-CN"/>
              </w:rPr>
              <w:t>②违规操作违约：供应商在现场施工或卸氧作业中，违反医院安全管理规定、违反危险化学品操作规程的，每次支付违约金 3,000元；造成医院设施损坏的，须按原价赔偿并恢复原状。</w:t>
            </w:r>
          </w:p>
          <w:p w14:paraId="7FAC8365">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420" w:firstLineChars="200"/>
              <w:textAlignment w:val="baseline"/>
              <w:rPr>
                <w:rFonts w:hint="eastAsia" w:hAnsi="宋体" w:cs="宋体"/>
                <w:bCs/>
                <w:color w:val="auto"/>
                <w:kern w:val="2"/>
                <w:sz w:val="21"/>
                <w:highlight w:val="none"/>
              </w:rPr>
            </w:pPr>
            <w:r>
              <w:rPr>
                <w:rFonts w:hint="eastAsia" w:ascii="宋体" w:hAnsi="宋体" w:eastAsia="宋体" w:cs="宋体"/>
                <w:color w:val="auto"/>
                <w:sz w:val="21"/>
                <w:szCs w:val="21"/>
                <w:highlight w:val="none"/>
                <w:vertAlign w:val="baseline"/>
                <w:lang w:val="en-US" w:eastAsia="zh-CN"/>
              </w:rPr>
              <w:t>③应急预案失效违约：未按承诺配备小型应急槽车，或应急车辆无法随叫随到、虚报应急储备能力的，经查实一次支付违约金 10,000元。</w:t>
            </w:r>
          </w:p>
        </w:tc>
      </w:tr>
      <w:tr w14:paraId="2E981B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91" w:type="dxa"/>
            <w:bottom w:w="0" w:type="dxa"/>
            <w:right w:w="91" w:type="dxa"/>
          </w:tblCellMar>
        </w:tblPrEx>
        <w:trPr>
          <w:jc w:val="center"/>
        </w:trPr>
        <w:tc>
          <w:tcPr>
            <w:tcW w:w="1612" w:type="dxa"/>
            <w:gridSpan w:val="2"/>
            <w:tcBorders>
              <w:top w:val="single" w:color="000000" w:sz="2" w:space="0"/>
              <w:left w:val="single" w:color="000000" w:sz="2" w:space="0"/>
              <w:bottom w:val="single" w:color="000000" w:sz="2" w:space="0"/>
              <w:right w:val="single" w:color="000000" w:sz="2" w:space="0"/>
            </w:tcBorders>
            <w:noWrap w:val="0"/>
            <w:vAlign w:val="center"/>
          </w:tcPr>
          <w:p w14:paraId="5528189D">
            <w:pPr>
              <w:keepNext/>
              <w:keepLines w:val="0"/>
              <w:pageBreakBefore w:val="0"/>
              <w:widowControl w:val="0"/>
              <w:kinsoku/>
              <w:wordWrap w:val="0"/>
              <w:overflowPunct/>
              <w:topLinePunct/>
              <w:autoSpaceDE/>
              <w:autoSpaceDN/>
              <w:bidi w:val="0"/>
              <w:adjustRightInd w:val="0"/>
              <w:snapToGrid w:val="0"/>
              <w:spacing w:before="176" w:line="360" w:lineRule="auto"/>
              <w:jc w:val="center"/>
              <w:textAlignment w:val="baseline"/>
              <w:outlineLvl w:val="0"/>
              <w:rPr>
                <w:rFonts w:hint="default" w:ascii="宋体" w:hAnsi="宋体" w:eastAsia="宋体" w:cs="宋体"/>
                <w:color w:val="auto"/>
                <w:szCs w:val="21"/>
                <w:highlight w:val="none"/>
                <w:lang w:val="en-US" w:eastAsia="zh-CN"/>
              </w:rPr>
            </w:pPr>
            <w:bookmarkStart w:id="54" w:name="_Toc20608"/>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九</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其他要求</w:t>
            </w:r>
            <w:bookmarkEnd w:id="54"/>
          </w:p>
        </w:tc>
        <w:tc>
          <w:tcPr>
            <w:tcW w:w="7459" w:type="dxa"/>
            <w:gridSpan w:val="4"/>
            <w:tcBorders>
              <w:top w:val="single" w:color="000000" w:sz="2" w:space="0"/>
              <w:left w:val="single" w:color="000000" w:sz="2" w:space="0"/>
              <w:bottom w:val="single" w:color="000000" w:sz="2" w:space="0"/>
              <w:right w:val="single" w:color="000000" w:sz="2" w:space="0"/>
            </w:tcBorders>
            <w:noWrap w:val="0"/>
            <w:vAlign w:val="top"/>
          </w:tcPr>
          <w:p w14:paraId="737C66A6">
            <w:pPr>
              <w:spacing w:line="360" w:lineRule="auto"/>
              <w:ind w:firstLine="0" w:firstLineChars="0"/>
              <w:rPr>
                <w:rFonts w:hint="eastAsia" w:hAnsi="宋体" w:cs="宋体"/>
                <w:bCs/>
                <w:color w:val="auto"/>
                <w:kern w:val="2"/>
                <w:sz w:val="21"/>
                <w:highlight w:val="none"/>
              </w:rPr>
            </w:pPr>
            <w:r>
              <w:rPr>
                <w:rFonts w:hint="eastAsia" w:ascii="宋体" w:hAnsi="宋体" w:cs="汉仪细等线繁"/>
                <w:color w:val="auto"/>
                <w:szCs w:val="21"/>
                <w:highlight w:val="none"/>
              </w:rPr>
              <w:t>供应商签订合同时，必须制定服务过渡交接方案，保证与原提供服务的公司就本项目的所有工作内容无缝对接。</w:t>
            </w:r>
          </w:p>
        </w:tc>
      </w:tr>
      <w:tr w14:paraId="3E758C4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91" w:type="dxa"/>
            <w:bottom w:w="0" w:type="dxa"/>
            <w:right w:w="91" w:type="dxa"/>
          </w:tblCellMar>
        </w:tblPrEx>
        <w:trPr>
          <w:jc w:val="center"/>
        </w:trPr>
        <w:tc>
          <w:tcPr>
            <w:tcW w:w="1612" w:type="dxa"/>
            <w:gridSpan w:val="2"/>
            <w:tcBorders>
              <w:top w:val="single" w:color="000000" w:sz="2" w:space="0"/>
              <w:left w:val="single" w:color="000000" w:sz="2" w:space="0"/>
              <w:bottom w:val="single" w:color="000000" w:sz="2" w:space="0"/>
              <w:right w:val="single" w:color="000000" w:sz="2" w:space="0"/>
            </w:tcBorders>
            <w:noWrap w:val="0"/>
            <w:vAlign w:val="center"/>
          </w:tcPr>
          <w:p w14:paraId="7F02B2CA">
            <w:pPr>
              <w:keepNext/>
              <w:keepLines w:val="0"/>
              <w:pageBreakBefore w:val="0"/>
              <w:widowControl w:val="0"/>
              <w:kinsoku/>
              <w:wordWrap w:val="0"/>
              <w:overflowPunct/>
              <w:topLinePunct/>
              <w:autoSpaceDE/>
              <w:autoSpaceDN/>
              <w:bidi w:val="0"/>
              <w:adjustRightInd w:val="0"/>
              <w:snapToGrid w:val="0"/>
              <w:spacing w:before="176" w:line="360" w:lineRule="auto"/>
              <w:jc w:val="center"/>
              <w:textAlignment w:val="baseline"/>
              <w:outlineLvl w:val="0"/>
              <w:rPr>
                <w:rFonts w:hint="default" w:ascii="宋体" w:hAnsi="宋体" w:cs="宋体"/>
                <w:color w:val="auto"/>
                <w:szCs w:val="21"/>
                <w:highlight w:val="none"/>
                <w:lang w:val="en-US" w:eastAsia="zh-CN"/>
              </w:rPr>
            </w:pPr>
            <w:bookmarkStart w:id="55" w:name="_Toc6290"/>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十</w:t>
            </w:r>
            <w:r>
              <w:rPr>
                <w:rFonts w:hint="eastAsia" w:ascii="宋体" w:hAnsi="宋体" w:cs="宋体"/>
                <w:color w:val="auto"/>
                <w:szCs w:val="21"/>
                <w:highlight w:val="none"/>
                <w:lang w:eastAsia="zh-CN"/>
              </w:rPr>
              <w:t>）</w:t>
            </w:r>
            <w:r>
              <w:rPr>
                <w:rFonts w:hint="eastAsia" w:ascii="宋体" w:hAnsi="宋体" w:cs="宋体"/>
                <w:color w:val="auto"/>
                <w:szCs w:val="21"/>
                <w:highlight w:val="none"/>
                <w:lang w:val="en-US" w:eastAsia="zh-CN"/>
              </w:rPr>
              <w:t>其他说明</w:t>
            </w:r>
            <w:bookmarkEnd w:id="55"/>
          </w:p>
        </w:tc>
        <w:tc>
          <w:tcPr>
            <w:tcW w:w="7459" w:type="dxa"/>
            <w:gridSpan w:val="4"/>
            <w:tcBorders>
              <w:top w:val="single" w:color="000000" w:sz="2" w:space="0"/>
              <w:left w:val="single" w:color="000000" w:sz="2" w:space="0"/>
              <w:bottom w:val="single" w:color="000000" w:sz="2" w:space="0"/>
              <w:right w:val="single" w:color="000000" w:sz="2" w:space="0"/>
            </w:tcBorders>
            <w:noWrap w:val="0"/>
            <w:vAlign w:val="top"/>
          </w:tcPr>
          <w:p w14:paraId="7DC21B47">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现场踏勘说明：</w:t>
            </w:r>
          </w:p>
          <w:p w14:paraId="27F00A10">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1）为保证本项目的设计和设备安装与现场情况相符并符合采购人实际使用要求，供应商可自愿前往实施现场进行踏勘，以充分了解项目情况。供应商不进行现场踏勘的视为已了解该项目的所有情况。因成交供应商踏勘有误或未进行踏勘而造成项目无法按采购人要求实施的将被拒绝验收，引起的一切后果，均由供应商自行承担。</w:t>
            </w:r>
          </w:p>
          <w:p w14:paraId="14D7C070">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（2）踏勘集中时间：2026年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月  日上午9时00分，逾期后果自负。</w:t>
            </w:r>
          </w:p>
          <w:p w14:paraId="7FDA9FB5">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（3）集中地点：南宁市河堤路85号广西壮族自治区江滨医院高压氧科门前。</w:t>
            </w:r>
          </w:p>
          <w:p w14:paraId="1D8A27FD">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（4）携带的材料：供应商代理持法定代表人（负责人）授权委托书、个人有效身份证原件前往。</w:t>
            </w:r>
          </w:p>
          <w:p w14:paraId="2891AC37">
            <w:pPr>
              <w:spacing w:line="360" w:lineRule="auto"/>
              <w:ind w:firstLine="0" w:firstLineChars="0"/>
              <w:rPr>
                <w:rFonts w:hint="eastAsia" w:ascii="宋体" w:hAnsi="宋体" w:cs="汉仪细等线繁"/>
                <w:color w:val="auto"/>
                <w:szCs w:val="21"/>
                <w:highlight w:val="none"/>
              </w:rPr>
            </w:pPr>
            <w:r>
              <w:rPr>
                <w:rFonts w:hint="eastAsia" w:ascii="宋体" w:hAnsi="宋体" w:cs="宋体"/>
                <w:color w:val="auto"/>
                <w:szCs w:val="21"/>
                <w:highlight w:val="none"/>
              </w:rPr>
              <w:t>（5）踏勘联系人：广西江滨医院医学装备部徐老师，踏勘联系电话：</w:t>
            </w:r>
            <w:r>
              <w:rPr>
                <w:rFonts w:hint="eastAsia" w:ascii="宋体" w:hAnsi="宋体" w:cs="宋体"/>
                <w:color w:val="auto"/>
                <w:szCs w:val="21"/>
                <w:highlight w:val="none"/>
                <w:lang w:val="en-US" w:eastAsia="zh-CN"/>
              </w:rPr>
              <w:t>0771-2080033</w:t>
            </w:r>
            <w:r>
              <w:rPr>
                <w:rFonts w:hint="eastAsia" w:ascii="宋体" w:hAnsi="宋体" w:cs="宋体"/>
                <w:color w:val="auto"/>
                <w:szCs w:val="21"/>
                <w:highlight w:val="none"/>
              </w:rPr>
              <w:t>。</w:t>
            </w:r>
          </w:p>
        </w:tc>
      </w:tr>
    </w:tbl>
    <w:tbl>
      <w:tblPr>
        <w:tblStyle w:val="39"/>
        <w:tblpPr w:leftFromText="180" w:rightFromText="180" w:vertAnchor="text" w:horzAnchor="page" w:tblpX="1665" w:tblpY="592"/>
        <w:tblOverlap w:val="never"/>
        <w:tblW w:w="5056" w:type="pct"/>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584"/>
        <w:gridCol w:w="2939"/>
        <w:gridCol w:w="924"/>
        <w:gridCol w:w="958"/>
        <w:gridCol w:w="617"/>
        <w:gridCol w:w="1387"/>
      </w:tblGrid>
      <w:tr w14:paraId="2AB1217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3" w:hRule="atLeast"/>
        </w:trPr>
        <w:tc>
          <w:tcPr>
            <w:tcW w:w="941" w:type="pct"/>
            <w:shd w:val="clear" w:color="auto" w:fill="auto"/>
            <w:vAlign w:val="center"/>
          </w:tcPr>
          <w:p w14:paraId="4AAC2804">
            <w:pPr>
              <w:rPr>
                <w:rFonts w:hint="eastAsia" w:ascii="宋体" w:hAnsi="宋体" w:eastAsia="宋体" w:cs="宋体"/>
                <w:b w:val="0"/>
                <w:bCs w:val="0"/>
                <w:color w:val="auto"/>
                <w:kern w:val="2"/>
                <w:sz w:val="21"/>
                <w:szCs w:val="21"/>
                <w:highlight w:val="none"/>
              </w:rPr>
            </w:pPr>
            <w:r>
              <w:rPr>
                <w:rFonts w:ascii="Calibri" w:hAnsi="Calibri"/>
                <w:color w:val="auto"/>
                <w:szCs w:val="22"/>
                <w:highlight w:val="none"/>
              </w:rPr>
              <w:br w:type="page"/>
            </w:r>
            <w:r>
              <w:rPr>
                <w:rFonts w:hint="eastAsia" w:ascii="宋体" w:hAnsi="宋体" w:eastAsia="宋体" w:cs="宋体"/>
                <w:b w:val="0"/>
                <w:bCs w:val="0"/>
                <w:color w:val="auto"/>
                <w:kern w:val="2"/>
                <w:sz w:val="21"/>
                <w:szCs w:val="21"/>
                <w:highlight w:val="none"/>
              </w:rPr>
              <w:t>品名</w:t>
            </w:r>
          </w:p>
        </w:tc>
        <w:tc>
          <w:tcPr>
            <w:tcW w:w="1747" w:type="pct"/>
            <w:shd w:val="clear" w:color="auto" w:fill="auto"/>
            <w:vAlign w:val="center"/>
          </w:tcPr>
          <w:p w14:paraId="228EFE83">
            <w:pPr>
              <w:spacing w:line="460" w:lineRule="exact"/>
              <w:ind w:firstLine="0" w:firstLineChars="0"/>
              <w:jc w:val="center"/>
              <w:rPr>
                <w:rFonts w:hint="eastAsia" w:ascii="宋体" w:hAnsi="宋体" w:eastAsia="宋体" w:cs="宋体"/>
                <w:b w:val="0"/>
                <w:bCs w:val="0"/>
                <w:color w:val="auto"/>
                <w:kern w:val="2"/>
                <w:sz w:val="21"/>
                <w:szCs w:val="21"/>
                <w:highlight w:val="none"/>
              </w:rPr>
            </w:pPr>
            <w:r>
              <w:rPr>
                <w:rFonts w:hint="eastAsia" w:ascii="宋体" w:hAnsi="宋体" w:eastAsia="宋体" w:cs="宋体"/>
                <w:b w:val="0"/>
                <w:bCs w:val="0"/>
                <w:color w:val="auto"/>
                <w:kern w:val="2"/>
                <w:sz w:val="21"/>
                <w:szCs w:val="21"/>
                <w:highlight w:val="none"/>
              </w:rPr>
              <w:t>规格</w:t>
            </w:r>
          </w:p>
        </w:tc>
        <w:tc>
          <w:tcPr>
            <w:tcW w:w="549" w:type="pct"/>
            <w:shd w:val="clear" w:color="auto" w:fill="auto"/>
            <w:vAlign w:val="center"/>
          </w:tcPr>
          <w:p w14:paraId="251E204B">
            <w:pPr>
              <w:spacing w:line="460" w:lineRule="exact"/>
              <w:ind w:firstLine="0" w:firstLineChars="0"/>
              <w:jc w:val="center"/>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最高控制单</w:t>
            </w:r>
            <w:r>
              <w:rPr>
                <w:rFonts w:hint="eastAsia" w:ascii="宋体" w:hAnsi="宋体" w:eastAsia="宋体" w:cs="宋体"/>
                <w:b w:val="0"/>
                <w:color w:val="auto"/>
                <w:sz w:val="21"/>
                <w:szCs w:val="21"/>
                <w:highlight w:val="none"/>
                <w:lang w:val="en-US" w:eastAsia="zh-CN"/>
              </w:rPr>
              <w:t>价</w:t>
            </w:r>
            <w:r>
              <w:rPr>
                <w:rFonts w:hint="eastAsia" w:ascii="宋体" w:hAnsi="宋体" w:eastAsia="宋体" w:cs="宋体"/>
                <w:b w:val="0"/>
                <w:bCs w:val="0"/>
                <w:color w:val="auto"/>
                <w:sz w:val="21"/>
                <w:szCs w:val="21"/>
                <w:highlight w:val="none"/>
              </w:rPr>
              <w:t>（元）</w:t>
            </w:r>
          </w:p>
        </w:tc>
        <w:tc>
          <w:tcPr>
            <w:tcW w:w="569" w:type="pct"/>
            <w:shd w:val="clear" w:color="auto" w:fill="auto"/>
            <w:vAlign w:val="center"/>
          </w:tcPr>
          <w:p w14:paraId="389ABC05">
            <w:pPr>
              <w:spacing w:line="460" w:lineRule="exact"/>
              <w:ind w:firstLine="0" w:firstLineChars="0"/>
              <w:jc w:val="center"/>
              <w:rPr>
                <w:rFonts w:hint="eastAsia" w:ascii="宋体" w:hAnsi="宋体" w:eastAsia="宋体" w:cs="宋体"/>
                <w:b w:val="0"/>
                <w:color w:val="auto"/>
                <w:sz w:val="21"/>
                <w:szCs w:val="21"/>
                <w:highlight w:val="none"/>
                <w:lang w:eastAsia="zh-CN"/>
              </w:rPr>
            </w:pPr>
            <w:r>
              <w:rPr>
                <w:rFonts w:hint="eastAsia" w:ascii="宋体" w:hAnsi="宋体" w:eastAsia="宋体" w:cs="宋体"/>
                <w:b w:val="0"/>
                <w:color w:val="auto"/>
                <w:sz w:val="21"/>
                <w:szCs w:val="21"/>
                <w:highlight w:val="none"/>
                <w:lang w:eastAsia="zh-CN"/>
              </w:rPr>
              <w:t>单位</w:t>
            </w:r>
          </w:p>
        </w:tc>
        <w:tc>
          <w:tcPr>
            <w:tcW w:w="366" w:type="pct"/>
            <w:shd w:val="clear" w:color="auto" w:fill="auto"/>
            <w:vAlign w:val="center"/>
          </w:tcPr>
          <w:p w14:paraId="14498054">
            <w:pPr>
              <w:spacing w:line="460" w:lineRule="exact"/>
              <w:ind w:firstLine="0" w:firstLineChars="0"/>
              <w:jc w:val="both"/>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rPr>
              <w:t>2年暂估量</w:t>
            </w:r>
          </w:p>
        </w:tc>
        <w:tc>
          <w:tcPr>
            <w:tcW w:w="824" w:type="pct"/>
            <w:shd w:val="clear" w:color="auto" w:fill="auto"/>
            <w:vAlign w:val="center"/>
          </w:tcPr>
          <w:p w14:paraId="2C3E0FFD">
            <w:pPr>
              <w:spacing w:line="460" w:lineRule="exact"/>
              <w:jc w:val="center"/>
              <w:rPr>
                <w:rFonts w:hint="eastAsia" w:ascii="宋体" w:hAnsi="宋体" w:eastAsia="宋体" w:cs="宋体"/>
                <w:b w:val="0"/>
                <w:bCs w:val="0"/>
                <w:color w:val="auto"/>
                <w:sz w:val="21"/>
                <w:szCs w:val="21"/>
                <w:highlight w:val="none"/>
              </w:rPr>
            </w:pPr>
            <w:r>
              <w:rPr>
                <w:rFonts w:hint="eastAsia" w:ascii="宋体" w:hAnsi="宋体" w:eastAsia="宋体" w:cs="宋体"/>
                <w:b w:val="0"/>
                <w:bCs w:val="0"/>
                <w:color w:val="auto"/>
                <w:sz w:val="21"/>
                <w:szCs w:val="21"/>
                <w:highlight w:val="none"/>
              </w:rPr>
              <w:t>控制总价</w:t>
            </w:r>
          </w:p>
          <w:p w14:paraId="35036BD0">
            <w:pPr>
              <w:spacing w:line="460" w:lineRule="exact"/>
              <w:jc w:val="center"/>
              <w:rPr>
                <w:rFonts w:hint="eastAsia" w:ascii="宋体" w:hAnsi="宋体" w:eastAsia="宋体" w:cs="宋体"/>
                <w:b w:val="0"/>
                <w:color w:val="auto"/>
                <w:sz w:val="21"/>
                <w:szCs w:val="21"/>
                <w:highlight w:val="none"/>
              </w:rPr>
            </w:pPr>
            <w:r>
              <w:rPr>
                <w:rFonts w:hint="eastAsia" w:ascii="宋体" w:hAnsi="宋体" w:eastAsia="宋体" w:cs="宋体"/>
                <w:b w:val="0"/>
                <w:bCs w:val="0"/>
                <w:color w:val="auto"/>
                <w:sz w:val="21"/>
                <w:szCs w:val="21"/>
                <w:highlight w:val="none"/>
              </w:rPr>
              <w:t>（元）</w:t>
            </w:r>
          </w:p>
        </w:tc>
      </w:tr>
      <w:tr w14:paraId="377CB2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3" w:hRule="atLeast"/>
        </w:trPr>
        <w:tc>
          <w:tcPr>
            <w:tcW w:w="941" w:type="pct"/>
            <w:shd w:val="clear" w:color="auto" w:fill="auto"/>
            <w:vAlign w:val="center"/>
          </w:tcPr>
          <w:p w14:paraId="0E4A6767">
            <w:pPr>
              <w:widowControl/>
              <w:spacing w:line="460" w:lineRule="exact"/>
              <w:jc w:val="center"/>
              <w:rPr>
                <w:rFonts w:hint="eastAsia" w:ascii="宋体" w:hAnsi="宋体" w:eastAsia="宋体" w:cs="宋体"/>
                <w:b w:val="0"/>
                <w:color w:val="auto"/>
                <w:kern w:val="2"/>
                <w:sz w:val="21"/>
                <w:szCs w:val="21"/>
                <w:highlight w:val="none"/>
              </w:rPr>
            </w:pPr>
            <w:r>
              <w:rPr>
                <w:rFonts w:hint="eastAsia" w:ascii="宋体" w:hAnsi="宋体" w:eastAsia="宋体" w:cs="宋体"/>
                <w:b w:val="0"/>
                <w:color w:val="auto"/>
                <w:sz w:val="21"/>
                <w:szCs w:val="21"/>
                <w:highlight w:val="none"/>
              </w:rPr>
              <w:t>医用液态氧</w:t>
            </w:r>
          </w:p>
        </w:tc>
        <w:tc>
          <w:tcPr>
            <w:tcW w:w="1747" w:type="pct"/>
            <w:shd w:val="clear" w:color="auto" w:fill="auto"/>
            <w:vAlign w:val="center"/>
          </w:tcPr>
          <w:p w14:paraId="4542D09A">
            <w:pPr>
              <w:widowControl/>
              <w:spacing w:line="460" w:lineRule="exact"/>
              <w:jc w:val="center"/>
              <w:rPr>
                <w:rFonts w:hint="eastAsia" w:ascii="宋体" w:hAnsi="宋体" w:eastAsia="宋体" w:cs="宋体"/>
                <w:color w:val="auto"/>
                <w:kern w:val="2"/>
                <w:sz w:val="21"/>
                <w:szCs w:val="21"/>
                <w:highlight w:val="none"/>
              </w:rPr>
            </w:pPr>
            <w:r>
              <w:rPr>
                <w:rFonts w:hint="eastAsia" w:ascii="宋体" w:hAnsi="宋体" w:eastAsia="宋体" w:cs="宋体"/>
                <w:b w:val="0"/>
                <w:bCs w:val="0"/>
                <w:color w:val="auto"/>
                <w:sz w:val="21"/>
                <w:szCs w:val="21"/>
                <w:highlight w:val="none"/>
                <w:shd w:val="clear"/>
              </w:rPr>
              <w:t>O₂</w:t>
            </w:r>
            <w:r>
              <w:rPr>
                <w:rFonts w:hint="eastAsia" w:ascii="宋体" w:hAnsi="宋体" w:eastAsia="宋体" w:cs="宋体"/>
                <w:color w:val="auto"/>
                <w:kern w:val="2"/>
                <w:sz w:val="21"/>
                <w:szCs w:val="21"/>
                <w:highlight w:val="none"/>
              </w:rPr>
              <w:t>≥99.5%</w:t>
            </w:r>
          </w:p>
        </w:tc>
        <w:tc>
          <w:tcPr>
            <w:tcW w:w="549" w:type="pct"/>
            <w:shd w:val="clear" w:color="auto" w:fill="FFFFFF"/>
            <w:vAlign w:val="center"/>
          </w:tcPr>
          <w:p w14:paraId="6E2E8B4D">
            <w:pPr>
              <w:spacing w:line="460" w:lineRule="exact"/>
              <w:ind w:firstLine="0" w:firstLineChars="0"/>
              <w:jc w:val="center"/>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lang w:val="en-US" w:eastAsia="zh-CN"/>
              </w:rPr>
              <w:t>1750</w:t>
            </w:r>
          </w:p>
        </w:tc>
        <w:tc>
          <w:tcPr>
            <w:tcW w:w="569" w:type="pct"/>
            <w:shd w:val="clear" w:color="auto" w:fill="FFFFFF"/>
            <w:vAlign w:val="center"/>
          </w:tcPr>
          <w:p w14:paraId="28C41BE9">
            <w:pPr>
              <w:spacing w:line="460" w:lineRule="exact"/>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color w:val="auto"/>
                <w:sz w:val="21"/>
                <w:szCs w:val="21"/>
                <w:highlight w:val="none"/>
              </w:rPr>
              <w:t>吨</w:t>
            </w:r>
          </w:p>
        </w:tc>
        <w:tc>
          <w:tcPr>
            <w:tcW w:w="366" w:type="pct"/>
            <w:shd w:val="clear" w:color="auto" w:fill="FFFFFF"/>
            <w:vAlign w:val="center"/>
          </w:tcPr>
          <w:p w14:paraId="4C1EDA62">
            <w:pPr>
              <w:spacing w:line="460" w:lineRule="exact"/>
              <w:jc w:val="center"/>
              <w:rPr>
                <w:rFonts w:hint="eastAsia" w:ascii="宋体" w:hAnsi="宋体" w:eastAsia="宋体" w:cs="宋体"/>
                <w:b w:val="0"/>
                <w:color w:val="auto"/>
                <w:sz w:val="21"/>
                <w:szCs w:val="21"/>
                <w:highlight w:val="none"/>
              </w:rPr>
            </w:pPr>
            <w:r>
              <w:rPr>
                <w:rFonts w:hint="eastAsia" w:ascii="宋体" w:hAnsi="宋体" w:eastAsia="宋体" w:cs="宋体"/>
                <w:b w:val="0"/>
                <w:color w:val="auto"/>
                <w:sz w:val="21"/>
                <w:szCs w:val="21"/>
                <w:highlight w:val="none"/>
                <w:lang w:val="en-US" w:eastAsia="zh-CN"/>
              </w:rPr>
              <w:t>3800</w:t>
            </w:r>
          </w:p>
        </w:tc>
        <w:tc>
          <w:tcPr>
            <w:tcW w:w="824" w:type="pct"/>
            <w:shd w:val="clear" w:color="auto" w:fill="FFFFFF"/>
            <w:vAlign w:val="center"/>
          </w:tcPr>
          <w:p w14:paraId="0631553E">
            <w:pPr>
              <w:spacing w:line="460" w:lineRule="exact"/>
              <w:ind w:firstLine="0" w:firstLineChars="0"/>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6650000</w:t>
            </w:r>
          </w:p>
        </w:tc>
      </w:tr>
      <w:tr w14:paraId="6B51D1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7" w:hRule="atLeast"/>
        </w:trPr>
        <w:tc>
          <w:tcPr>
            <w:tcW w:w="941" w:type="pct"/>
            <w:shd w:val="clear" w:color="auto" w:fill="auto"/>
            <w:vAlign w:val="center"/>
          </w:tcPr>
          <w:p w14:paraId="511B76E6">
            <w:pPr>
              <w:spacing w:line="460" w:lineRule="exact"/>
              <w:jc w:val="center"/>
              <w:rPr>
                <w:rFonts w:hint="eastAsia" w:ascii="宋体" w:hAnsi="宋体" w:eastAsia="宋体" w:cs="宋体"/>
                <w:b w:val="0"/>
                <w:color w:val="auto"/>
                <w:sz w:val="21"/>
                <w:szCs w:val="21"/>
                <w:highlight w:val="none"/>
              </w:rPr>
            </w:pPr>
            <w:r>
              <w:rPr>
                <w:rFonts w:hint="eastAsia" w:ascii="宋体" w:hAnsi="宋体" w:eastAsia="宋体" w:cs="宋体"/>
                <w:b w:val="0"/>
                <w:bCs w:val="0"/>
                <w:color w:val="auto"/>
                <w:sz w:val="21"/>
                <w:szCs w:val="21"/>
                <w:highlight w:val="none"/>
                <w:shd w:val="clear"/>
              </w:rPr>
              <w:t>医用氧</w:t>
            </w:r>
          </w:p>
        </w:tc>
        <w:tc>
          <w:tcPr>
            <w:tcW w:w="1747" w:type="pct"/>
            <w:shd w:val="clear" w:color="auto" w:fill="auto"/>
            <w:vAlign w:val="center"/>
          </w:tcPr>
          <w:p w14:paraId="0025A3A6">
            <w:pPr>
              <w:widowControl/>
              <w:spacing w:line="460" w:lineRule="exact"/>
              <w:jc w:val="center"/>
              <w:rPr>
                <w:rFonts w:hint="eastAsia" w:ascii="宋体" w:hAnsi="宋体" w:eastAsia="宋体" w:cs="宋体"/>
                <w:color w:val="auto"/>
                <w:kern w:val="2"/>
                <w:sz w:val="21"/>
                <w:szCs w:val="21"/>
                <w:highlight w:val="none"/>
              </w:rPr>
            </w:pPr>
            <w:r>
              <w:rPr>
                <w:rFonts w:hint="eastAsia" w:ascii="宋体" w:hAnsi="宋体" w:eastAsia="宋体" w:cs="宋体"/>
                <w:b w:val="0"/>
                <w:bCs w:val="0"/>
                <w:color w:val="auto"/>
                <w:sz w:val="21"/>
                <w:szCs w:val="21"/>
                <w:highlight w:val="none"/>
                <w:shd w:val="clear"/>
              </w:rPr>
              <w:t>40LO₂</w:t>
            </w:r>
            <w:r>
              <w:rPr>
                <w:rFonts w:hint="eastAsia" w:ascii="宋体" w:hAnsi="宋体" w:eastAsia="宋体" w:cs="宋体"/>
                <w:color w:val="auto"/>
                <w:kern w:val="2"/>
                <w:sz w:val="21"/>
                <w:szCs w:val="21"/>
                <w:highlight w:val="none"/>
              </w:rPr>
              <w:t>≥99.5%</w:t>
            </w:r>
          </w:p>
        </w:tc>
        <w:tc>
          <w:tcPr>
            <w:tcW w:w="549" w:type="pct"/>
            <w:shd w:val="clear" w:color="auto" w:fill="FFFFFF"/>
            <w:vAlign w:val="center"/>
          </w:tcPr>
          <w:p w14:paraId="209EC5A7">
            <w:pPr>
              <w:spacing w:line="460" w:lineRule="exact"/>
              <w:ind w:firstLine="0" w:firstLineChars="0"/>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25</w:t>
            </w:r>
          </w:p>
        </w:tc>
        <w:tc>
          <w:tcPr>
            <w:tcW w:w="569" w:type="pct"/>
            <w:shd w:val="clear" w:color="auto" w:fill="FFFFFF"/>
            <w:vAlign w:val="center"/>
          </w:tcPr>
          <w:p w14:paraId="4FF13A0B">
            <w:pPr>
              <w:spacing w:line="460" w:lineRule="exact"/>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瓶</w:t>
            </w:r>
          </w:p>
        </w:tc>
        <w:tc>
          <w:tcPr>
            <w:tcW w:w="366" w:type="pct"/>
            <w:shd w:val="clear" w:color="auto" w:fill="FFFFFF"/>
            <w:vAlign w:val="center"/>
          </w:tcPr>
          <w:p w14:paraId="30C31728">
            <w:pPr>
              <w:spacing w:line="460" w:lineRule="exact"/>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600</w:t>
            </w:r>
          </w:p>
        </w:tc>
        <w:tc>
          <w:tcPr>
            <w:tcW w:w="824" w:type="pct"/>
            <w:shd w:val="clear" w:color="auto" w:fill="FFFFFF"/>
            <w:vAlign w:val="center"/>
          </w:tcPr>
          <w:p w14:paraId="48B1DC5C">
            <w:pPr>
              <w:spacing w:line="460" w:lineRule="exact"/>
              <w:ind w:firstLine="420" w:firstLineChars="200"/>
              <w:jc w:val="left"/>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15000</w:t>
            </w:r>
          </w:p>
        </w:tc>
      </w:tr>
      <w:tr w14:paraId="2320DF0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7" w:hRule="atLeast"/>
        </w:trPr>
        <w:tc>
          <w:tcPr>
            <w:tcW w:w="941" w:type="pct"/>
            <w:shd w:val="clear" w:color="auto" w:fill="auto"/>
            <w:vAlign w:val="center"/>
          </w:tcPr>
          <w:p w14:paraId="7C706410">
            <w:pPr>
              <w:spacing w:line="460" w:lineRule="exact"/>
              <w:jc w:val="center"/>
              <w:rPr>
                <w:rFonts w:hint="eastAsia" w:ascii="宋体" w:hAnsi="宋体" w:eastAsia="宋体" w:cs="宋体"/>
                <w:b w:val="0"/>
                <w:color w:val="auto"/>
                <w:sz w:val="21"/>
                <w:szCs w:val="21"/>
                <w:highlight w:val="none"/>
              </w:rPr>
            </w:pPr>
            <w:r>
              <w:rPr>
                <w:rFonts w:hint="eastAsia" w:ascii="宋体" w:hAnsi="宋体" w:eastAsia="宋体" w:cs="宋体"/>
                <w:b w:val="0"/>
                <w:bCs w:val="0"/>
                <w:color w:val="auto"/>
                <w:sz w:val="21"/>
                <w:szCs w:val="21"/>
                <w:highlight w:val="none"/>
                <w:shd w:val="clear"/>
              </w:rPr>
              <w:t>医用氧</w:t>
            </w:r>
          </w:p>
        </w:tc>
        <w:tc>
          <w:tcPr>
            <w:tcW w:w="1747" w:type="pct"/>
            <w:shd w:val="clear" w:color="auto" w:fill="auto"/>
            <w:vAlign w:val="center"/>
          </w:tcPr>
          <w:p w14:paraId="2C1876FF">
            <w:pPr>
              <w:widowControl/>
              <w:spacing w:line="460" w:lineRule="exact"/>
              <w:jc w:val="center"/>
              <w:rPr>
                <w:rFonts w:hint="eastAsia" w:ascii="宋体" w:hAnsi="宋体" w:eastAsia="宋体" w:cs="宋体"/>
                <w:color w:val="auto"/>
                <w:kern w:val="2"/>
                <w:sz w:val="21"/>
                <w:szCs w:val="21"/>
                <w:highlight w:val="none"/>
              </w:rPr>
            </w:pPr>
            <w:r>
              <w:rPr>
                <w:rFonts w:hint="eastAsia" w:ascii="宋体" w:hAnsi="宋体" w:eastAsia="宋体" w:cs="宋体"/>
                <w:b w:val="0"/>
                <w:bCs w:val="0"/>
                <w:color w:val="auto"/>
                <w:sz w:val="21"/>
                <w:szCs w:val="21"/>
                <w:highlight w:val="none"/>
                <w:shd w:val="clear"/>
              </w:rPr>
              <w:t>15LO₂</w:t>
            </w:r>
            <w:r>
              <w:rPr>
                <w:rFonts w:hint="eastAsia" w:ascii="宋体" w:hAnsi="宋体" w:eastAsia="宋体" w:cs="宋体"/>
                <w:color w:val="auto"/>
                <w:kern w:val="2"/>
                <w:sz w:val="21"/>
                <w:szCs w:val="21"/>
                <w:highlight w:val="none"/>
              </w:rPr>
              <w:t>≥99.5%</w:t>
            </w:r>
          </w:p>
        </w:tc>
        <w:tc>
          <w:tcPr>
            <w:tcW w:w="549" w:type="pct"/>
            <w:shd w:val="clear" w:color="auto" w:fill="FFFFFF"/>
            <w:vAlign w:val="center"/>
          </w:tcPr>
          <w:p w14:paraId="359FD338">
            <w:pPr>
              <w:spacing w:line="460" w:lineRule="exact"/>
              <w:ind w:firstLine="0" w:firstLineChars="0"/>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15</w:t>
            </w:r>
          </w:p>
        </w:tc>
        <w:tc>
          <w:tcPr>
            <w:tcW w:w="569" w:type="pct"/>
            <w:shd w:val="clear" w:color="auto" w:fill="FFFFFF"/>
            <w:vAlign w:val="center"/>
          </w:tcPr>
          <w:p w14:paraId="2488B753">
            <w:pPr>
              <w:spacing w:line="460" w:lineRule="exact"/>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瓶</w:t>
            </w:r>
          </w:p>
        </w:tc>
        <w:tc>
          <w:tcPr>
            <w:tcW w:w="366" w:type="pct"/>
            <w:shd w:val="clear" w:color="auto" w:fill="FFFFFF"/>
            <w:vAlign w:val="center"/>
          </w:tcPr>
          <w:p w14:paraId="5C22BB78">
            <w:pPr>
              <w:spacing w:line="460" w:lineRule="exact"/>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400</w:t>
            </w:r>
          </w:p>
        </w:tc>
        <w:tc>
          <w:tcPr>
            <w:tcW w:w="824" w:type="pct"/>
            <w:shd w:val="clear" w:color="auto" w:fill="FFFFFF"/>
            <w:vAlign w:val="center"/>
          </w:tcPr>
          <w:p w14:paraId="055FBC9E">
            <w:pPr>
              <w:spacing w:line="460" w:lineRule="exact"/>
              <w:ind w:firstLine="420" w:firstLineChars="200"/>
              <w:jc w:val="left"/>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6000</w:t>
            </w:r>
          </w:p>
        </w:tc>
      </w:tr>
      <w:tr w14:paraId="0F94B09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7" w:hRule="atLeast"/>
        </w:trPr>
        <w:tc>
          <w:tcPr>
            <w:tcW w:w="941" w:type="pct"/>
            <w:shd w:val="clear" w:color="auto" w:fill="auto"/>
            <w:vAlign w:val="center"/>
          </w:tcPr>
          <w:p w14:paraId="696E65CA">
            <w:pPr>
              <w:spacing w:line="460" w:lineRule="exact"/>
              <w:jc w:val="center"/>
              <w:rPr>
                <w:rFonts w:hint="eastAsia" w:ascii="宋体" w:hAnsi="宋体" w:eastAsia="宋体" w:cs="宋体"/>
                <w:b w:val="0"/>
                <w:color w:val="auto"/>
                <w:sz w:val="21"/>
                <w:szCs w:val="21"/>
                <w:highlight w:val="none"/>
              </w:rPr>
            </w:pPr>
            <w:r>
              <w:rPr>
                <w:rFonts w:hint="eastAsia" w:ascii="宋体" w:hAnsi="宋体" w:eastAsia="宋体" w:cs="宋体"/>
                <w:b w:val="0"/>
                <w:bCs w:val="0"/>
                <w:color w:val="auto"/>
                <w:sz w:val="21"/>
                <w:szCs w:val="21"/>
                <w:highlight w:val="none"/>
                <w:shd w:val="clear"/>
              </w:rPr>
              <w:t>医用氧</w:t>
            </w:r>
          </w:p>
        </w:tc>
        <w:tc>
          <w:tcPr>
            <w:tcW w:w="1747" w:type="pct"/>
            <w:shd w:val="clear" w:color="auto" w:fill="auto"/>
            <w:vAlign w:val="center"/>
          </w:tcPr>
          <w:p w14:paraId="4B84424B">
            <w:pPr>
              <w:widowControl/>
              <w:spacing w:line="460" w:lineRule="exact"/>
              <w:jc w:val="center"/>
              <w:rPr>
                <w:rFonts w:hint="eastAsia" w:ascii="宋体" w:hAnsi="宋体" w:eastAsia="宋体" w:cs="宋体"/>
                <w:color w:val="auto"/>
                <w:kern w:val="2"/>
                <w:sz w:val="21"/>
                <w:szCs w:val="21"/>
                <w:highlight w:val="none"/>
              </w:rPr>
            </w:pPr>
            <w:r>
              <w:rPr>
                <w:rFonts w:hint="eastAsia" w:ascii="宋体" w:hAnsi="宋体" w:eastAsia="宋体" w:cs="宋体"/>
                <w:b w:val="0"/>
                <w:bCs w:val="0"/>
                <w:color w:val="auto"/>
                <w:sz w:val="21"/>
                <w:szCs w:val="21"/>
                <w:highlight w:val="none"/>
                <w:shd w:val="clear"/>
              </w:rPr>
              <w:t>10LO₂</w:t>
            </w:r>
            <w:r>
              <w:rPr>
                <w:rFonts w:hint="eastAsia" w:ascii="宋体" w:hAnsi="宋体" w:eastAsia="宋体" w:cs="宋体"/>
                <w:color w:val="auto"/>
                <w:kern w:val="2"/>
                <w:sz w:val="21"/>
                <w:szCs w:val="21"/>
                <w:highlight w:val="none"/>
              </w:rPr>
              <w:t>≥99.5%</w:t>
            </w:r>
          </w:p>
        </w:tc>
        <w:tc>
          <w:tcPr>
            <w:tcW w:w="549" w:type="pct"/>
            <w:shd w:val="clear" w:color="auto" w:fill="FFFFFF"/>
            <w:vAlign w:val="center"/>
          </w:tcPr>
          <w:p w14:paraId="360BDC6D">
            <w:pPr>
              <w:spacing w:line="460" w:lineRule="exact"/>
              <w:ind w:firstLine="0" w:firstLineChars="0"/>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10</w:t>
            </w:r>
          </w:p>
        </w:tc>
        <w:tc>
          <w:tcPr>
            <w:tcW w:w="569" w:type="pct"/>
            <w:shd w:val="clear" w:color="auto" w:fill="FFFFFF"/>
            <w:vAlign w:val="center"/>
          </w:tcPr>
          <w:p w14:paraId="3A745875">
            <w:pPr>
              <w:spacing w:line="460" w:lineRule="exact"/>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瓶</w:t>
            </w:r>
          </w:p>
        </w:tc>
        <w:tc>
          <w:tcPr>
            <w:tcW w:w="366" w:type="pct"/>
            <w:shd w:val="clear" w:color="auto" w:fill="FFFFFF"/>
            <w:vAlign w:val="center"/>
          </w:tcPr>
          <w:p w14:paraId="5CC9600D">
            <w:pPr>
              <w:spacing w:line="460" w:lineRule="exact"/>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400</w:t>
            </w:r>
          </w:p>
        </w:tc>
        <w:tc>
          <w:tcPr>
            <w:tcW w:w="824" w:type="pct"/>
            <w:shd w:val="clear" w:color="auto" w:fill="FFFFFF"/>
            <w:vAlign w:val="center"/>
          </w:tcPr>
          <w:p w14:paraId="1ACEB6E5">
            <w:pPr>
              <w:spacing w:line="460" w:lineRule="exact"/>
              <w:ind w:firstLine="420" w:firstLineChars="200"/>
              <w:jc w:val="left"/>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4000</w:t>
            </w:r>
          </w:p>
        </w:tc>
      </w:tr>
      <w:tr w14:paraId="7BD688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7" w:hRule="atLeast"/>
        </w:trPr>
        <w:tc>
          <w:tcPr>
            <w:tcW w:w="941" w:type="pct"/>
            <w:shd w:val="clear" w:color="auto" w:fill="auto"/>
            <w:vAlign w:val="center"/>
          </w:tcPr>
          <w:p w14:paraId="6993B340">
            <w:pPr>
              <w:spacing w:line="460" w:lineRule="exact"/>
              <w:jc w:val="center"/>
              <w:rPr>
                <w:rFonts w:hint="eastAsia" w:ascii="宋体" w:hAnsi="宋体" w:eastAsia="宋体" w:cs="宋体"/>
                <w:b w:val="0"/>
                <w:color w:val="auto"/>
                <w:sz w:val="21"/>
                <w:szCs w:val="21"/>
                <w:highlight w:val="none"/>
              </w:rPr>
            </w:pPr>
            <w:r>
              <w:rPr>
                <w:rFonts w:hint="eastAsia" w:ascii="宋体" w:hAnsi="宋体" w:eastAsia="宋体" w:cs="宋体"/>
                <w:b w:val="0"/>
                <w:bCs w:val="0"/>
                <w:color w:val="auto"/>
                <w:sz w:val="21"/>
                <w:szCs w:val="21"/>
                <w:highlight w:val="none"/>
                <w:shd w:val="clear"/>
              </w:rPr>
              <w:t>医用氧</w:t>
            </w:r>
          </w:p>
        </w:tc>
        <w:tc>
          <w:tcPr>
            <w:tcW w:w="1747" w:type="pct"/>
            <w:shd w:val="clear" w:color="auto" w:fill="auto"/>
            <w:vAlign w:val="center"/>
          </w:tcPr>
          <w:p w14:paraId="15E7D14A">
            <w:pPr>
              <w:widowControl/>
              <w:spacing w:line="460" w:lineRule="exact"/>
              <w:jc w:val="center"/>
              <w:rPr>
                <w:rFonts w:hint="eastAsia" w:ascii="宋体" w:hAnsi="宋体" w:eastAsia="宋体" w:cs="宋体"/>
                <w:color w:val="auto"/>
                <w:kern w:val="2"/>
                <w:sz w:val="21"/>
                <w:szCs w:val="21"/>
                <w:highlight w:val="none"/>
              </w:rPr>
            </w:pPr>
            <w:r>
              <w:rPr>
                <w:rFonts w:hint="eastAsia" w:ascii="宋体" w:hAnsi="宋体" w:eastAsia="宋体" w:cs="宋体"/>
                <w:b w:val="0"/>
                <w:bCs w:val="0"/>
                <w:color w:val="auto"/>
                <w:sz w:val="21"/>
                <w:szCs w:val="21"/>
                <w:highlight w:val="none"/>
                <w:shd w:val="clear"/>
              </w:rPr>
              <w:t>4.2LO₂</w:t>
            </w:r>
            <w:r>
              <w:rPr>
                <w:rFonts w:hint="eastAsia" w:ascii="宋体" w:hAnsi="宋体" w:eastAsia="宋体" w:cs="宋体"/>
                <w:color w:val="auto"/>
                <w:kern w:val="2"/>
                <w:sz w:val="21"/>
                <w:szCs w:val="21"/>
                <w:highlight w:val="none"/>
              </w:rPr>
              <w:t>≥99.5%</w:t>
            </w:r>
          </w:p>
        </w:tc>
        <w:tc>
          <w:tcPr>
            <w:tcW w:w="549" w:type="pct"/>
            <w:shd w:val="clear" w:color="auto" w:fill="FFFFFF"/>
            <w:vAlign w:val="center"/>
          </w:tcPr>
          <w:p w14:paraId="4AFDCFCC">
            <w:pPr>
              <w:spacing w:line="460" w:lineRule="exact"/>
              <w:ind w:firstLine="0" w:firstLineChars="0"/>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8</w:t>
            </w:r>
          </w:p>
        </w:tc>
        <w:tc>
          <w:tcPr>
            <w:tcW w:w="569" w:type="pct"/>
            <w:shd w:val="clear" w:color="auto" w:fill="FFFFFF"/>
            <w:vAlign w:val="center"/>
          </w:tcPr>
          <w:p w14:paraId="5E05F53A">
            <w:pPr>
              <w:spacing w:line="460" w:lineRule="exact"/>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瓶</w:t>
            </w:r>
          </w:p>
        </w:tc>
        <w:tc>
          <w:tcPr>
            <w:tcW w:w="366" w:type="pct"/>
            <w:shd w:val="clear" w:color="auto" w:fill="FFFFFF"/>
            <w:vAlign w:val="center"/>
          </w:tcPr>
          <w:p w14:paraId="4E93C434">
            <w:pPr>
              <w:spacing w:line="460" w:lineRule="exact"/>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200</w:t>
            </w:r>
          </w:p>
        </w:tc>
        <w:tc>
          <w:tcPr>
            <w:tcW w:w="824" w:type="pct"/>
            <w:shd w:val="clear" w:color="auto" w:fill="FFFFFF"/>
            <w:vAlign w:val="center"/>
          </w:tcPr>
          <w:p w14:paraId="520755D8">
            <w:pPr>
              <w:spacing w:line="460" w:lineRule="exact"/>
              <w:ind w:firstLine="420" w:firstLineChars="200"/>
              <w:jc w:val="left"/>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1600</w:t>
            </w:r>
          </w:p>
        </w:tc>
      </w:tr>
      <w:tr w14:paraId="023D99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710" w:hRule="atLeast"/>
        </w:trPr>
        <w:tc>
          <w:tcPr>
            <w:tcW w:w="941" w:type="pct"/>
            <w:shd w:val="clear" w:color="auto" w:fill="auto"/>
            <w:vAlign w:val="center"/>
          </w:tcPr>
          <w:p w14:paraId="3EC83497">
            <w:pPr>
              <w:spacing w:line="460" w:lineRule="exact"/>
              <w:jc w:val="center"/>
              <w:rPr>
                <w:rFonts w:hint="eastAsia" w:ascii="宋体" w:hAnsi="宋体" w:eastAsia="宋体" w:cs="宋体"/>
                <w:b w:val="0"/>
                <w:color w:val="auto"/>
                <w:sz w:val="21"/>
                <w:szCs w:val="21"/>
                <w:highlight w:val="none"/>
              </w:rPr>
            </w:pPr>
            <w:r>
              <w:rPr>
                <w:rFonts w:hint="eastAsia" w:ascii="宋体" w:hAnsi="宋体" w:eastAsia="宋体" w:cs="宋体"/>
                <w:b w:val="0"/>
                <w:bCs w:val="0"/>
                <w:color w:val="auto"/>
                <w:sz w:val="21"/>
                <w:szCs w:val="21"/>
                <w:highlight w:val="none"/>
                <w:shd w:val="clear"/>
              </w:rPr>
              <w:t>高纯二氧化碳</w:t>
            </w:r>
          </w:p>
        </w:tc>
        <w:tc>
          <w:tcPr>
            <w:tcW w:w="1747" w:type="pct"/>
            <w:shd w:val="clear" w:color="auto" w:fill="auto"/>
            <w:vAlign w:val="center"/>
          </w:tcPr>
          <w:p w14:paraId="36870226">
            <w:pPr>
              <w:widowControl/>
              <w:spacing w:line="460" w:lineRule="exact"/>
              <w:ind w:firstLine="0" w:firstLineChars="0"/>
              <w:jc w:val="center"/>
              <w:rPr>
                <w:rFonts w:hint="eastAsia" w:ascii="宋体" w:hAnsi="宋体" w:eastAsia="宋体" w:cs="宋体"/>
                <w:color w:val="auto"/>
                <w:kern w:val="2"/>
                <w:sz w:val="21"/>
                <w:szCs w:val="21"/>
                <w:highlight w:val="none"/>
              </w:rPr>
            </w:pPr>
            <w:r>
              <w:rPr>
                <w:rFonts w:hint="eastAsia" w:ascii="宋体" w:hAnsi="宋体" w:eastAsia="宋体" w:cs="宋体"/>
                <w:b w:val="0"/>
                <w:bCs w:val="0"/>
                <w:color w:val="auto"/>
                <w:sz w:val="21"/>
                <w:szCs w:val="21"/>
                <w:highlight w:val="none"/>
                <w:shd w:val="clear"/>
              </w:rPr>
              <w:t>40L</w:t>
            </w:r>
          </w:p>
        </w:tc>
        <w:tc>
          <w:tcPr>
            <w:tcW w:w="549" w:type="pct"/>
            <w:shd w:val="clear" w:color="auto" w:fill="FFFFFF"/>
            <w:vAlign w:val="center"/>
          </w:tcPr>
          <w:p w14:paraId="1117D74C">
            <w:pPr>
              <w:spacing w:line="460" w:lineRule="exact"/>
              <w:ind w:firstLine="0" w:firstLineChars="0"/>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300</w:t>
            </w:r>
          </w:p>
        </w:tc>
        <w:tc>
          <w:tcPr>
            <w:tcW w:w="569" w:type="pct"/>
            <w:shd w:val="clear" w:color="auto" w:fill="FFFFFF"/>
            <w:vAlign w:val="center"/>
          </w:tcPr>
          <w:p w14:paraId="3480B8B4">
            <w:pPr>
              <w:spacing w:line="460" w:lineRule="exact"/>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瓶</w:t>
            </w:r>
          </w:p>
        </w:tc>
        <w:tc>
          <w:tcPr>
            <w:tcW w:w="366" w:type="pct"/>
            <w:shd w:val="clear" w:color="auto" w:fill="FFFFFF"/>
            <w:vAlign w:val="center"/>
          </w:tcPr>
          <w:p w14:paraId="4A4E8E61">
            <w:pPr>
              <w:spacing w:line="460" w:lineRule="exact"/>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24</w:t>
            </w:r>
          </w:p>
        </w:tc>
        <w:tc>
          <w:tcPr>
            <w:tcW w:w="824" w:type="pct"/>
            <w:shd w:val="clear" w:color="auto" w:fill="FFFFFF"/>
            <w:vAlign w:val="center"/>
          </w:tcPr>
          <w:p w14:paraId="7FD32474">
            <w:pPr>
              <w:spacing w:line="460" w:lineRule="exact"/>
              <w:ind w:firstLine="420" w:firstLineChars="200"/>
              <w:jc w:val="left"/>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7200</w:t>
            </w:r>
          </w:p>
        </w:tc>
      </w:tr>
      <w:tr w14:paraId="3033605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877" w:hRule="atLeast"/>
        </w:trPr>
        <w:tc>
          <w:tcPr>
            <w:tcW w:w="941" w:type="pct"/>
            <w:shd w:val="clear" w:color="auto" w:fill="auto"/>
            <w:vAlign w:val="center"/>
          </w:tcPr>
          <w:p w14:paraId="1E3946A2">
            <w:pPr>
              <w:spacing w:line="460" w:lineRule="exact"/>
              <w:jc w:val="center"/>
              <w:rPr>
                <w:rFonts w:hint="eastAsia" w:ascii="宋体" w:hAnsi="宋体" w:eastAsia="宋体" w:cs="宋体"/>
                <w:b w:val="0"/>
                <w:color w:val="auto"/>
                <w:sz w:val="21"/>
                <w:szCs w:val="21"/>
                <w:highlight w:val="none"/>
              </w:rPr>
            </w:pPr>
            <w:r>
              <w:rPr>
                <w:rFonts w:hint="eastAsia" w:ascii="宋体" w:hAnsi="宋体" w:eastAsia="宋体" w:cs="宋体"/>
                <w:b w:val="0"/>
                <w:bCs w:val="0"/>
                <w:color w:val="auto"/>
                <w:sz w:val="21"/>
                <w:szCs w:val="21"/>
                <w:highlight w:val="none"/>
                <w:shd w:val="clear"/>
              </w:rPr>
              <w:t>氩气</w:t>
            </w:r>
          </w:p>
        </w:tc>
        <w:tc>
          <w:tcPr>
            <w:tcW w:w="1747" w:type="pct"/>
            <w:shd w:val="clear" w:color="auto" w:fill="auto"/>
            <w:vAlign w:val="center"/>
          </w:tcPr>
          <w:p w14:paraId="2D2AD582">
            <w:pPr>
              <w:widowControl/>
              <w:spacing w:line="460" w:lineRule="exact"/>
              <w:ind w:firstLine="0" w:firstLineChars="0"/>
              <w:jc w:val="center"/>
              <w:rPr>
                <w:rFonts w:hint="eastAsia" w:ascii="宋体" w:hAnsi="宋体" w:eastAsia="宋体" w:cs="宋体"/>
                <w:color w:val="auto"/>
                <w:kern w:val="2"/>
                <w:sz w:val="21"/>
                <w:szCs w:val="21"/>
                <w:highlight w:val="none"/>
              </w:rPr>
            </w:pPr>
            <w:r>
              <w:rPr>
                <w:rFonts w:hint="eastAsia" w:ascii="宋体" w:hAnsi="宋体" w:eastAsia="宋体" w:cs="宋体"/>
                <w:b w:val="0"/>
                <w:bCs w:val="0"/>
                <w:color w:val="auto"/>
                <w:sz w:val="21"/>
                <w:szCs w:val="21"/>
                <w:highlight w:val="none"/>
                <w:shd w:val="clear"/>
              </w:rPr>
              <w:t>40L</w:t>
            </w:r>
          </w:p>
        </w:tc>
        <w:tc>
          <w:tcPr>
            <w:tcW w:w="549" w:type="pct"/>
            <w:shd w:val="clear" w:color="auto" w:fill="FFFFFF"/>
            <w:vAlign w:val="center"/>
          </w:tcPr>
          <w:p w14:paraId="2BC4969C">
            <w:pPr>
              <w:spacing w:line="460" w:lineRule="exact"/>
              <w:ind w:firstLine="0" w:firstLineChars="0"/>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75</w:t>
            </w:r>
          </w:p>
        </w:tc>
        <w:tc>
          <w:tcPr>
            <w:tcW w:w="569" w:type="pct"/>
            <w:shd w:val="clear" w:color="auto" w:fill="FFFFFF"/>
            <w:vAlign w:val="center"/>
          </w:tcPr>
          <w:p w14:paraId="63E0310B">
            <w:pPr>
              <w:spacing w:line="460" w:lineRule="exact"/>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瓶</w:t>
            </w:r>
          </w:p>
        </w:tc>
        <w:tc>
          <w:tcPr>
            <w:tcW w:w="366" w:type="pct"/>
            <w:shd w:val="clear" w:color="auto" w:fill="FFFFFF"/>
            <w:vAlign w:val="center"/>
          </w:tcPr>
          <w:p w14:paraId="2938D672">
            <w:pPr>
              <w:spacing w:line="460" w:lineRule="exact"/>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10</w:t>
            </w:r>
          </w:p>
        </w:tc>
        <w:tc>
          <w:tcPr>
            <w:tcW w:w="824" w:type="pct"/>
            <w:shd w:val="clear" w:color="auto" w:fill="FFFFFF"/>
            <w:vAlign w:val="center"/>
          </w:tcPr>
          <w:p w14:paraId="336510CB">
            <w:pPr>
              <w:spacing w:line="460" w:lineRule="exact"/>
              <w:ind w:firstLine="420" w:firstLineChars="200"/>
              <w:jc w:val="left"/>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750</w:t>
            </w:r>
          </w:p>
        </w:tc>
      </w:tr>
      <w:tr w14:paraId="577A08F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1293" w:hRule="atLeast"/>
        </w:trPr>
        <w:tc>
          <w:tcPr>
            <w:tcW w:w="941" w:type="pct"/>
            <w:shd w:val="clear" w:color="auto" w:fill="auto"/>
            <w:vAlign w:val="center"/>
          </w:tcPr>
          <w:p w14:paraId="566E6A13">
            <w:pPr>
              <w:spacing w:line="460" w:lineRule="exact"/>
              <w:jc w:val="center"/>
              <w:rPr>
                <w:rFonts w:hint="eastAsia" w:ascii="宋体" w:hAnsi="宋体" w:eastAsia="宋体" w:cs="宋体"/>
                <w:b w:val="0"/>
                <w:color w:val="auto"/>
                <w:sz w:val="21"/>
                <w:szCs w:val="21"/>
                <w:highlight w:val="none"/>
              </w:rPr>
            </w:pPr>
            <w:r>
              <w:rPr>
                <w:rFonts w:hint="eastAsia" w:ascii="宋体" w:hAnsi="宋体" w:eastAsia="宋体" w:cs="宋体"/>
                <w:b w:val="0"/>
                <w:bCs w:val="0"/>
                <w:color w:val="auto"/>
                <w:sz w:val="21"/>
                <w:szCs w:val="21"/>
                <w:highlight w:val="none"/>
                <w:shd w:val="clear"/>
              </w:rPr>
              <w:t>混合气体</w:t>
            </w:r>
          </w:p>
        </w:tc>
        <w:tc>
          <w:tcPr>
            <w:tcW w:w="1747" w:type="pct"/>
            <w:shd w:val="clear" w:color="auto" w:fill="auto"/>
            <w:vAlign w:val="center"/>
          </w:tcPr>
          <w:p w14:paraId="7DB97D25">
            <w:pPr>
              <w:widowControl/>
              <w:spacing w:line="460" w:lineRule="exact"/>
              <w:jc w:val="center"/>
              <w:rPr>
                <w:rFonts w:hint="eastAsia" w:ascii="宋体" w:hAnsi="宋体" w:eastAsia="宋体" w:cs="宋体"/>
                <w:color w:val="auto"/>
                <w:kern w:val="2"/>
                <w:sz w:val="21"/>
                <w:szCs w:val="21"/>
                <w:highlight w:val="none"/>
              </w:rPr>
            </w:pPr>
            <w:r>
              <w:rPr>
                <w:rFonts w:hint="eastAsia" w:ascii="宋体" w:hAnsi="宋体" w:eastAsia="宋体" w:cs="宋体"/>
                <w:b w:val="0"/>
                <w:bCs w:val="0"/>
                <w:color w:val="auto"/>
                <w:sz w:val="21"/>
                <w:szCs w:val="21"/>
                <w:highlight w:val="none"/>
                <w:shd w:val="clear"/>
              </w:rPr>
              <w:t>40L</w:t>
            </w:r>
            <w:r>
              <w:rPr>
                <w:rFonts w:hint="eastAsia" w:ascii="宋体" w:hAnsi="宋体" w:eastAsia="宋体" w:cs="宋体"/>
                <w:color w:val="auto"/>
                <w:sz w:val="21"/>
                <w:szCs w:val="21"/>
                <w:highlight w:val="none"/>
              </w:rPr>
              <w:t>(CH₄,CO,C₂H₂,O₂,N₂)</w:t>
            </w:r>
          </w:p>
        </w:tc>
        <w:tc>
          <w:tcPr>
            <w:tcW w:w="549" w:type="pct"/>
            <w:shd w:val="clear" w:color="auto" w:fill="FFFFFF"/>
            <w:vAlign w:val="center"/>
          </w:tcPr>
          <w:p w14:paraId="7EBA91B2">
            <w:pPr>
              <w:spacing w:line="460" w:lineRule="exact"/>
              <w:ind w:firstLine="0" w:firstLineChars="0"/>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1000</w:t>
            </w:r>
          </w:p>
        </w:tc>
        <w:tc>
          <w:tcPr>
            <w:tcW w:w="569" w:type="pct"/>
            <w:shd w:val="clear" w:color="auto" w:fill="FFFFFF"/>
            <w:vAlign w:val="center"/>
          </w:tcPr>
          <w:p w14:paraId="4A0B0882">
            <w:pPr>
              <w:spacing w:line="460" w:lineRule="exact"/>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瓶</w:t>
            </w:r>
          </w:p>
        </w:tc>
        <w:tc>
          <w:tcPr>
            <w:tcW w:w="366" w:type="pct"/>
            <w:shd w:val="clear" w:color="auto" w:fill="FFFFFF"/>
            <w:vAlign w:val="center"/>
          </w:tcPr>
          <w:p w14:paraId="73E37EBB">
            <w:pPr>
              <w:spacing w:line="460" w:lineRule="exact"/>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4</w:t>
            </w:r>
          </w:p>
        </w:tc>
        <w:tc>
          <w:tcPr>
            <w:tcW w:w="824" w:type="pct"/>
            <w:shd w:val="clear" w:color="auto" w:fill="FFFFFF"/>
            <w:vAlign w:val="center"/>
          </w:tcPr>
          <w:p w14:paraId="7A124BAD">
            <w:pPr>
              <w:spacing w:line="460" w:lineRule="exact"/>
              <w:ind w:firstLine="420" w:firstLineChars="200"/>
              <w:jc w:val="left"/>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4000</w:t>
            </w:r>
          </w:p>
        </w:tc>
      </w:tr>
      <w:tr w14:paraId="42D692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918" w:hRule="atLeast"/>
        </w:trPr>
        <w:tc>
          <w:tcPr>
            <w:tcW w:w="4175" w:type="pct"/>
            <w:gridSpan w:val="5"/>
            <w:shd w:val="clear" w:color="auto" w:fill="auto"/>
            <w:vAlign w:val="center"/>
          </w:tcPr>
          <w:p w14:paraId="47CCE820">
            <w:pPr>
              <w:spacing w:line="460" w:lineRule="exact"/>
              <w:ind w:firstLine="0" w:firstLineChars="0"/>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t>合计</w:t>
            </w:r>
          </w:p>
        </w:tc>
        <w:tc>
          <w:tcPr>
            <w:tcW w:w="824" w:type="pct"/>
            <w:shd w:val="clear" w:color="auto" w:fill="FFFFFF"/>
            <w:vAlign w:val="center"/>
          </w:tcPr>
          <w:p w14:paraId="19157C40">
            <w:pPr>
              <w:spacing w:line="460" w:lineRule="exact"/>
              <w:ind w:firstLine="0" w:firstLineChars="0"/>
              <w:jc w:val="center"/>
              <w:rPr>
                <w:rFonts w:hint="eastAsia" w:ascii="宋体" w:hAnsi="宋体" w:eastAsia="宋体" w:cs="宋体"/>
                <w:b w:val="0"/>
                <w:color w:val="auto"/>
                <w:sz w:val="21"/>
                <w:szCs w:val="21"/>
                <w:highlight w:val="none"/>
                <w:lang w:val="en-US" w:eastAsia="zh-CN"/>
              </w:rPr>
            </w:pPr>
            <w:r>
              <w:rPr>
                <w:rFonts w:hint="eastAsia" w:ascii="宋体" w:hAnsi="宋体" w:eastAsia="宋体" w:cs="宋体"/>
                <w:b w:val="0"/>
                <w:color w:val="auto"/>
                <w:sz w:val="21"/>
                <w:szCs w:val="21"/>
                <w:highlight w:val="none"/>
                <w:lang w:val="en-US" w:eastAsia="zh-CN"/>
              </w:rPr>
              <w:fldChar w:fldCharType="begin"/>
            </w:r>
            <w:r>
              <w:rPr>
                <w:rFonts w:hint="eastAsia" w:ascii="宋体" w:hAnsi="宋体" w:eastAsia="宋体" w:cs="宋体"/>
                <w:b w:val="0"/>
                <w:color w:val="auto"/>
                <w:sz w:val="21"/>
                <w:szCs w:val="21"/>
                <w:highlight w:val="none"/>
                <w:lang w:val="en-US" w:eastAsia="zh-CN"/>
              </w:rPr>
              <w:instrText xml:space="preserve"> = sum(F2:F9) \* MERGEFORMAT </w:instrText>
            </w:r>
            <w:r>
              <w:rPr>
                <w:rFonts w:hint="eastAsia" w:ascii="宋体" w:hAnsi="宋体" w:eastAsia="宋体" w:cs="宋体"/>
                <w:b w:val="0"/>
                <w:color w:val="auto"/>
                <w:sz w:val="21"/>
                <w:szCs w:val="21"/>
                <w:highlight w:val="none"/>
                <w:lang w:val="en-US" w:eastAsia="zh-CN"/>
              </w:rPr>
              <w:fldChar w:fldCharType="separate"/>
            </w:r>
            <w:r>
              <w:rPr>
                <w:rFonts w:hint="eastAsia" w:ascii="宋体" w:hAnsi="宋体" w:eastAsia="宋体" w:cs="宋体"/>
                <w:b w:val="0"/>
                <w:color w:val="auto"/>
                <w:sz w:val="21"/>
                <w:szCs w:val="21"/>
                <w:highlight w:val="none"/>
                <w:lang w:val="en-US" w:eastAsia="zh-CN"/>
              </w:rPr>
              <w:t>6688550</w:t>
            </w:r>
            <w:r>
              <w:rPr>
                <w:rFonts w:hint="eastAsia" w:ascii="宋体" w:hAnsi="宋体" w:eastAsia="宋体" w:cs="宋体"/>
                <w:b w:val="0"/>
                <w:color w:val="auto"/>
                <w:sz w:val="21"/>
                <w:szCs w:val="21"/>
                <w:highlight w:val="none"/>
                <w:lang w:val="en-US" w:eastAsia="zh-CN"/>
              </w:rPr>
              <w:fldChar w:fldCharType="end"/>
            </w:r>
          </w:p>
        </w:tc>
      </w:tr>
    </w:tbl>
    <w:p w14:paraId="3475FC2C">
      <w:pPr>
        <w:rPr>
          <w:rFonts w:hint="eastAsia" w:ascii="宋体" w:hAnsi="宋体" w:cs="宋体"/>
          <w:color w:val="auto"/>
          <w:highlight w:val="none"/>
        </w:rPr>
      </w:pPr>
      <w:r>
        <w:rPr>
          <w:rFonts w:hint="eastAsia" w:ascii="宋体" w:hAnsi="宋体" w:eastAsia="宋体" w:cs="宋体"/>
          <w:b/>
          <w:bCs/>
          <w:color w:val="auto"/>
          <w:sz w:val="40"/>
          <w:szCs w:val="48"/>
          <w:highlight w:val="none"/>
          <w:lang w:val="en-US" w:eastAsia="zh-CN"/>
        </w:rPr>
        <w:t>附件1：</w:t>
      </w:r>
      <w:r>
        <w:rPr>
          <w:rFonts w:ascii="Calibri" w:hAnsi="Calibri"/>
          <w:color w:val="auto"/>
          <w:szCs w:val="22"/>
          <w:highlight w:val="none"/>
        </w:rPr>
        <w:br w:type="page"/>
      </w:r>
      <w:r>
        <w:rPr>
          <w:rFonts w:hint="eastAsia" w:ascii="宋体" w:hAnsi="宋体" w:cs="宋体"/>
          <w:b/>
          <w:bCs/>
          <w:color w:val="auto"/>
          <w:sz w:val="40"/>
          <w:szCs w:val="48"/>
          <w:highlight w:val="none"/>
        </w:rPr>
        <w:t>附件</w:t>
      </w:r>
      <w:r>
        <w:rPr>
          <w:rFonts w:hint="eastAsia" w:ascii="宋体" w:hAnsi="宋体" w:cs="宋体"/>
          <w:b/>
          <w:bCs/>
          <w:color w:val="auto"/>
          <w:sz w:val="40"/>
          <w:szCs w:val="48"/>
          <w:highlight w:val="none"/>
          <w:lang w:val="en-US" w:eastAsia="zh-CN"/>
        </w:rPr>
        <w:t>2</w:t>
      </w:r>
      <w:r>
        <w:rPr>
          <w:rFonts w:hint="eastAsia" w:ascii="宋体" w:hAnsi="宋体" w:cs="宋体"/>
          <w:b/>
          <w:bCs/>
          <w:color w:val="auto"/>
          <w:sz w:val="40"/>
          <w:szCs w:val="48"/>
          <w:highlight w:val="none"/>
        </w:rPr>
        <w:t>：</w:t>
      </w:r>
    </w:p>
    <w:p w14:paraId="38C93A1B">
      <w:pPr>
        <w:spacing w:line="528" w:lineRule="exact"/>
        <w:ind w:left="11" w:hanging="11"/>
        <w:jc w:val="center"/>
        <w:rPr>
          <w:rFonts w:hint="eastAsia" w:ascii="宋体" w:hAnsi="宋体" w:cs="宋体"/>
          <w:color w:val="auto"/>
          <w:sz w:val="40"/>
          <w:szCs w:val="40"/>
          <w:highlight w:val="none"/>
        </w:rPr>
      </w:pPr>
      <w:r>
        <w:rPr>
          <w:rFonts w:hint="eastAsia" w:ascii="宋体" w:hAnsi="宋体" w:cs="宋体"/>
          <w:color w:val="auto"/>
          <w:sz w:val="40"/>
          <w:szCs w:val="40"/>
          <w:highlight w:val="none"/>
        </w:rPr>
        <w:t>中小微企业划型标准</w:t>
      </w:r>
    </w:p>
    <w:tbl>
      <w:tblPr>
        <w:tblStyle w:val="39"/>
        <w:tblW w:w="9476" w:type="dxa"/>
        <w:jc w:val="center"/>
        <w:tblLayout w:type="fixed"/>
        <w:tblCellMar>
          <w:top w:w="0" w:type="dxa"/>
          <w:left w:w="108" w:type="dxa"/>
          <w:bottom w:w="0" w:type="dxa"/>
          <w:right w:w="108" w:type="dxa"/>
        </w:tblCellMar>
      </w:tblPr>
      <w:tblGrid>
        <w:gridCol w:w="2020"/>
        <w:gridCol w:w="1642"/>
        <w:gridCol w:w="1084"/>
        <w:gridCol w:w="1923"/>
        <w:gridCol w:w="1709"/>
        <w:gridCol w:w="1098"/>
      </w:tblGrid>
      <w:tr w14:paraId="14201617">
        <w:tblPrEx>
          <w:tblCellMar>
            <w:top w:w="0" w:type="dxa"/>
            <w:left w:w="108" w:type="dxa"/>
            <w:bottom w:w="0" w:type="dxa"/>
            <w:right w:w="108" w:type="dxa"/>
          </w:tblCellMar>
        </w:tblPrEx>
        <w:trPr>
          <w:trHeight w:val="661" w:hRule="atLeast"/>
          <w:jc w:val="center"/>
        </w:trPr>
        <w:tc>
          <w:tcPr>
            <w:tcW w:w="2020" w:type="dxa"/>
            <w:tcBorders>
              <w:top w:val="single" w:color="auto" w:sz="4" w:space="0"/>
              <w:left w:val="single" w:color="auto" w:sz="4" w:space="0"/>
              <w:bottom w:val="single" w:color="auto" w:sz="4" w:space="0"/>
              <w:right w:val="single" w:color="auto" w:sz="4" w:space="0"/>
            </w:tcBorders>
            <w:noWrap w:val="0"/>
            <w:vAlign w:val="center"/>
          </w:tcPr>
          <w:p w14:paraId="107932DF">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行业名称</w:t>
            </w:r>
          </w:p>
        </w:tc>
        <w:tc>
          <w:tcPr>
            <w:tcW w:w="1642" w:type="dxa"/>
            <w:tcBorders>
              <w:top w:val="single" w:color="auto" w:sz="4" w:space="0"/>
              <w:left w:val="nil"/>
              <w:bottom w:val="single" w:color="auto" w:sz="4" w:space="0"/>
              <w:right w:val="single" w:color="auto" w:sz="4" w:space="0"/>
            </w:tcBorders>
            <w:noWrap w:val="0"/>
            <w:vAlign w:val="center"/>
          </w:tcPr>
          <w:p w14:paraId="25E802BE">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指标名称</w:t>
            </w:r>
          </w:p>
        </w:tc>
        <w:tc>
          <w:tcPr>
            <w:tcW w:w="1084" w:type="dxa"/>
            <w:tcBorders>
              <w:top w:val="single" w:color="auto" w:sz="4" w:space="0"/>
              <w:left w:val="nil"/>
              <w:bottom w:val="single" w:color="auto" w:sz="4" w:space="0"/>
              <w:right w:val="single" w:color="auto" w:sz="4" w:space="0"/>
            </w:tcBorders>
            <w:noWrap w:val="0"/>
            <w:vAlign w:val="center"/>
          </w:tcPr>
          <w:p w14:paraId="00B3A95A">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计量单位</w:t>
            </w:r>
          </w:p>
        </w:tc>
        <w:tc>
          <w:tcPr>
            <w:tcW w:w="1923" w:type="dxa"/>
            <w:tcBorders>
              <w:top w:val="single" w:color="auto" w:sz="4" w:space="0"/>
              <w:left w:val="nil"/>
              <w:bottom w:val="single" w:color="auto" w:sz="4" w:space="0"/>
              <w:right w:val="single" w:color="auto" w:sz="4" w:space="0"/>
            </w:tcBorders>
            <w:noWrap w:val="0"/>
            <w:vAlign w:val="center"/>
          </w:tcPr>
          <w:p w14:paraId="100C4FE9">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中型</w:t>
            </w:r>
          </w:p>
        </w:tc>
        <w:tc>
          <w:tcPr>
            <w:tcW w:w="1709" w:type="dxa"/>
            <w:tcBorders>
              <w:top w:val="single" w:color="auto" w:sz="4" w:space="0"/>
              <w:left w:val="nil"/>
              <w:bottom w:val="single" w:color="auto" w:sz="4" w:space="0"/>
              <w:right w:val="single" w:color="auto" w:sz="4" w:space="0"/>
            </w:tcBorders>
            <w:noWrap w:val="0"/>
            <w:vAlign w:val="center"/>
          </w:tcPr>
          <w:p w14:paraId="4B10A36E">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小型</w:t>
            </w:r>
          </w:p>
        </w:tc>
        <w:tc>
          <w:tcPr>
            <w:tcW w:w="1098" w:type="dxa"/>
            <w:tcBorders>
              <w:top w:val="single" w:color="auto" w:sz="4" w:space="0"/>
              <w:left w:val="nil"/>
              <w:bottom w:val="single" w:color="auto" w:sz="4" w:space="0"/>
              <w:right w:val="single" w:color="auto" w:sz="4" w:space="0"/>
            </w:tcBorders>
            <w:noWrap w:val="0"/>
            <w:vAlign w:val="center"/>
          </w:tcPr>
          <w:p w14:paraId="5F1848E4">
            <w:pPr>
              <w:widowControl/>
              <w:jc w:val="left"/>
              <w:rPr>
                <w:rFonts w:hint="eastAsia" w:ascii="宋体" w:hAnsi="宋体" w:cs="宋体"/>
                <w:b/>
                <w:color w:val="auto"/>
                <w:kern w:val="0"/>
                <w:szCs w:val="21"/>
                <w:highlight w:val="none"/>
              </w:rPr>
            </w:pPr>
            <w:r>
              <w:rPr>
                <w:rFonts w:hint="eastAsia" w:ascii="宋体" w:hAnsi="宋体" w:cs="宋体"/>
                <w:b/>
                <w:color w:val="auto"/>
                <w:kern w:val="0"/>
                <w:szCs w:val="21"/>
                <w:highlight w:val="none"/>
              </w:rPr>
              <w:t>微型</w:t>
            </w:r>
          </w:p>
        </w:tc>
      </w:tr>
      <w:tr w14:paraId="2DD024BC">
        <w:tblPrEx>
          <w:tblCellMar>
            <w:top w:w="0" w:type="dxa"/>
            <w:left w:w="108" w:type="dxa"/>
            <w:bottom w:w="0" w:type="dxa"/>
            <w:right w:w="108" w:type="dxa"/>
          </w:tblCellMar>
        </w:tblPrEx>
        <w:trPr>
          <w:trHeight w:val="336" w:hRule="atLeast"/>
          <w:jc w:val="center"/>
        </w:trPr>
        <w:tc>
          <w:tcPr>
            <w:tcW w:w="2020" w:type="dxa"/>
            <w:tcBorders>
              <w:top w:val="nil"/>
              <w:left w:val="single" w:color="auto" w:sz="4" w:space="0"/>
              <w:bottom w:val="single" w:color="auto" w:sz="4" w:space="0"/>
              <w:right w:val="single" w:color="auto" w:sz="4" w:space="0"/>
            </w:tcBorders>
            <w:noWrap w:val="0"/>
            <w:vAlign w:val="bottom"/>
          </w:tcPr>
          <w:p w14:paraId="3D3CA873">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农、林、牧、渔</w:t>
            </w:r>
          </w:p>
        </w:tc>
        <w:tc>
          <w:tcPr>
            <w:tcW w:w="1642" w:type="dxa"/>
            <w:tcBorders>
              <w:top w:val="nil"/>
              <w:left w:val="nil"/>
              <w:bottom w:val="single" w:color="auto" w:sz="4" w:space="0"/>
              <w:right w:val="single" w:color="auto" w:sz="4" w:space="0"/>
            </w:tcBorders>
            <w:noWrap w:val="0"/>
            <w:vAlign w:val="center"/>
          </w:tcPr>
          <w:p w14:paraId="65CC6E5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79736E0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563158E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9" w:type="dxa"/>
            <w:tcBorders>
              <w:top w:val="nil"/>
              <w:left w:val="nil"/>
              <w:bottom w:val="single" w:color="auto" w:sz="4" w:space="0"/>
              <w:right w:val="single" w:color="auto" w:sz="4" w:space="0"/>
            </w:tcBorders>
            <w:noWrap w:val="0"/>
            <w:vAlign w:val="center"/>
          </w:tcPr>
          <w:p w14:paraId="485DA08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50≤Y＜500</w:t>
            </w:r>
          </w:p>
        </w:tc>
        <w:tc>
          <w:tcPr>
            <w:tcW w:w="1098" w:type="dxa"/>
            <w:tcBorders>
              <w:top w:val="nil"/>
              <w:left w:val="nil"/>
              <w:bottom w:val="single" w:color="auto" w:sz="4" w:space="0"/>
              <w:right w:val="single" w:color="auto" w:sz="4" w:space="0"/>
            </w:tcBorders>
            <w:noWrap w:val="0"/>
            <w:vAlign w:val="center"/>
          </w:tcPr>
          <w:p w14:paraId="17E1C21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3961EAD9">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60FBED57">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工业</w:t>
            </w:r>
          </w:p>
        </w:tc>
        <w:tc>
          <w:tcPr>
            <w:tcW w:w="1642" w:type="dxa"/>
            <w:tcBorders>
              <w:top w:val="nil"/>
              <w:left w:val="nil"/>
              <w:bottom w:val="single" w:color="auto" w:sz="4" w:space="0"/>
              <w:right w:val="single" w:color="auto" w:sz="4" w:space="0"/>
            </w:tcBorders>
            <w:noWrap w:val="0"/>
            <w:vAlign w:val="center"/>
          </w:tcPr>
          <w:p w14:paraId="692AD68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3728AD4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5AD14AA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5405633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098" w:type="dxa"/>
            <w:tcBorders>
              <w:top w:val="nil"/>
              <w:left w:val="nil"/>
              <w:bottom w:val="single" w:color="auto" w:sz="4" w:space="0"/>
              <w:right w:val="single" w:color="auto" w:sz="4" w:space="0"/>
            </w:tcBorders>
            <w:noWrap w:val="0"/>
            <w:vAlign w:val="center"/>
          </w:tcPr>
          <w:p w14:paraId="31B0DEE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07F917DB">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173A7A77">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4495043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1EBE538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533D8BD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2000≤Y＜40000</w:t>
            </w:r>
          </w:p>
        </w:tc>
        <w:tc>
          <w:tcPr>
            <w:tcW w:w="1709" w:type="dxa"/>
            <w:tcBorders>
              <w:top w:val="nil"/>
              <w:left w:val="nil"/>
              <w:bottom w:val="single" w:color="auto" w:sz="4" w:space="0"/>
              <w:right w:val="single" w:color="auto" w:sz="4" w:space="0"/>
            </w:tcBorders>
            <w:noWrap w:val="0"/>
            <w:vAlign w:val="center"/>
          </w:tcPr>
          <w:p w14:paraId="436CB8E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300≤Y＜2000</w:t>
            </w:r>
          </w:p>
        </w:tc>
        <w:tc>
          <w:tcPr>
            <w:tcW w:w="1098" w:type="dxa"/>
            <w:tcBorders>
              <w:top w:val="nil"/>
              <w:left w:val="nil"/>
              <w:bottom w:val="single" w:color="auto" w:sz="4" w:space="0"/>
              <w:right w:val="single" w:color="auto" w:sz="4" w:space="0"/>
            </w:tcBorders>
            <w:noWrap w:val="0"/>
            <w:vAlign w:val="center"/>
          </w:tcPr>
          <w:p w14:paraId="1D4D279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0C33804A">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52BB70D2">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建筑业</w:t>
            </w:r>
          </w:p>
        </w:tc>
        <w:tc>
          <w:tcPr>
            <w:tcW w:w="1642" w:type="dxa"/>
            <w:tcBorders>
              <w:top w:val="nil"/>
              <w:left w:val="nil"/>
              <w:bottom w:val="single" w:color="auto" w:sz="4" w:space="0"/>
              <w:right w:val="single" w:color="auto" w:sz="4" w:space="0"/>
            </w:tcBorders>
            <w:noWrap w:val="0"/>
            <w:vAlign w:val="center"/>
          </w:tcPr>
          <w:p w14:paraId="5BBC6BE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4021BBC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0B850AD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6000≤Y＜80000</w:t>
            </w:r>
          </w:p>
        </w:tc>
        <w:tc>
          <w:tcPr>
            <w:tcW w:w="1709" w:type="dxa"/>
            <w:tcBorders>
              <w:top w:val="nil"/>
              <w:left w:val="nil"/>
              <w:bottom w:val="single" w:color="auto" w:sz="4" w:space="0"/>
              <w:right w:val="single" w:color="auto" w:sz="4" w:space="0"/>
            </w:tcBorders>
            <w:noWrap w:val="0"/>
            <w:vAlign w:val="center"/>
          </w:tcPr>
          <w:p w14:paraId="11FFA27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300≤Y＜6000</w:t>
            </w:r>
          </w:p>
        </w:tc>
        <w:tc>
          <w:tcPr>
            <w:tcW w:w="1098" w:type="dxa"/>
            <w:tcBorders>
              <w:top w:val="nil"/>
              <w:left w:val="nil"/>
              <w:bottom w:val="single" w:color="auto" w:sz="4" w:space="0"/>
              <w:right w:val="single" w:color="auto" w:sz="4" w:space="0"/>
            </w:tcBorders>
            <w:noWrap w:val="0"/>
            <w:vAlign w:val="center"/>
          </w:tcPr>
          <w:p w14:paraId="7E1C849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Y＜300</w:t>
            </w:r>
          </w:p>
        </w:tc>
      </w:tr>
      <w:tr w14:paraId="14272C8F">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74AEF86B">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316B9A9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13AC599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2C474A1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5000≤Z＜80000</w:t>
            </w:r>
          </w:p>
        </w:tc>
        <w:tc>
          <w:tcPr>
            <w:tcW w:w="1709" w:type="dxa"/>
            <w:tcBorders>
              <w:top w:val="nil"/>
              <w:left w:val="nil"/>
              <w:bottom w:val="single" w:color="auto" w:sz="4" w:space="0"/>
              <w:right w:val="single" w:color="auto" w:sz="4" w:space="0"/>
            </w:tcBorders>
            <w:noWrap w:val="0"/>
            <w:vAlign w:val="center"/>
          </w:tcPr>
          <w:p w14:paraId="2842A3D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300≤Z＜5000</w:t>
            </w:r>
          </w:p>
        </w:tc>
        <w:tc>
          <w:tcPr>
            <w:tcW w:w="1098" w:type="dxa"/>
            <w:tcBorders>
              <w:top w:val="nil"/>
              <w:left w:val="nil"/>
              <w:bottom w:val="single" w:color="auto" w:sz="4" w:space="0"/>
              <w:right w:val="single" w:color="auto" w:sz="4" w:space="0"/>
            </w:tcBorders>
            <w:noWrap w:val="0"/>
            <w:vAlign w:val="center"/>
          </w:tcPr>
          <w:p w14:paraId="4E3D52A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Z＜300</w:t>
            </w:r>
          </w:p>
        </w:tc>
      </w:tr>
      <w:tr w14:paraId="3D81948C">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68F11E81">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批发业</w:t>
            </w:r>
          </w:p>
        </w:tc>
        <w:tc>
          <w:tcPr>
            <w:tcW w:w="1642" w:type="dxa"/>
            <w:tcBorders>
              <w:top w:val="nil"/>
              <w:left w:val="nil"/>
              <w:bottom w:val="single" w:color="auto" w:sz="4" w:space="0"/>
              <w:right w:val="single" w:color="auto" w:sz="4" w:space="0"/>
            </w:tcBorders>
            <w:noWrap w:val="0"/>
            <w:vAlign w:val="center"/>
          </w:tcPr>
          <w:p w14:paraId="66B8B14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1714797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CD1FC2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20≤X＜200</w:t>
            </w:r>
          </w:p>
        </w:tc>
        <w:tc>
          <w:tcPr>
            <w:tcW w:w="1709" w:type="dxa"/>
            <w:tcBorders>
              <w:top w:val="nil"/>
              <w:left w:val="nil"/>
              <w:bottom w:val="single" w:color="auto" w:sz="4" w:space="0"/>
              <w:right w:val="single" w:color="auto" w:sz="4" w:space="0"/>
            </w:tcBorders>
            <w:noWrap w:val="0"/>
            <w:vAlign w:val="center"/>
          </w:tcPr>
          <w:p w14:paraId="38D03E0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5≤X＜20</w:t>
            </w:r>
          </w:p>
        </w:tc>
        <w:tc>
          <w:tcPr>
            <w:tcW w:w="1098" w:type="dxa"/>
            <w:tcBorders>
              <w:top w:val="nil"/>
              <w:left w:val="nil"/>
              <w:bottom w:val="single" w:color="auto" w:sz="4" w:space="0"/>
              <w:right w:val="single" w:color="auto" w:sz="4" w:space="0"/>
            </w:tcBorders>
            <w:noWrap w:val="0"/>
            <w:vAlign w:val="center"/>
          </w:tcPr>
          <w:p w14:paraId="79A3BC2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X＜5</w:t>
            </w:r>
          </w:p>
        </w:tc>
      </w:tr>
      <w:tr w14:paraId="752E02D7">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4F925026">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6C47D2D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2B462FE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2364E7E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5000≤Y＜40000</w:t>
            </w:r>
          </w:p>
        </w:tc>
        <w:tc>
          <w:tcPr>
            <w:tcW w:w="1709" w:type="dxa"/>
            <w:tcBorders>
              <w:top w:val="nil"/>
              <w:left w:val="nil"/>
              <w:bottom w:val="single" w:color="auto" w:sz="4" w:space="0"/>
              <w:right w:val="single" w:color="auto" w:sz="4" w:space="0"/>
            </w:tcBorders>
            <w:noWrap w:val="0"/>
            <w:vAlign w:val="center"/>
          </w:tcPr>
          <w:p w14:paraId="7F072C8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098" w:type="dxa"/>
            <w:tcBorders>
              <w:top w:val="nil"/>
              <w:left w:val="nil"/>
              <w:bottom w:val="single" w:color="auto" w:sz="4" w:space="0"/>
              <w:right w:val="single" w:color="auto" w:sz="4" w:space="0"/>
            </w:tcBorders>
            <w:noWrap w:val="0"/>
            <w:vAlign w:val="center"/>
          </w:tcPr>
          <w:p w14:paraId="56D89CD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Y＜1000</w:t>
            </w:r>
          </w:p>
        </w:tc>
      </w:tr>
      <w:tr w14:paraId="66F40FE0">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6F5D4E1D">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零售业</w:t>
            </w:r>
          </w:p>
        </w:tc>
        <w:tc>
          <w:tcPr>
            <w:tcW w:w="1642" w:type="dxa"/>
            <w:tcBorders>
              <w:top w:val="nil"/>
              <w:left w:val="nil"/>
              <w:bottom w:val="single" w:color="auto" w:sz="4" w:space="0"/>
              <w:right w:val="single" w:color="auto" w:sz="4" w:space="0"/>
            </w:tcBorders>
            <w:noWrap w:val="0"/>
            <w:vAlign w:val="center"/>
          </w:tcPr>
          <w:p w14:paraId="76D2513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561339D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7ABFF0A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50≤X＜300</w:t>
            </w:r>
          </w:p>
        </w:tc>
        <w:tc>
          <w:tcPr>
            <w:tcW w:w="1709" w:type="dxa"/>
            <w:tcBorders>
              <w:top w:val="nil"/>
              <w:left w:val="nil"/>
              <w:bottom w:val="single" w:color="auto" w:sz="4" w:space="0"/>
              <w:right w:val="single" w:color="auto" w:sz="4" w:space="0"/>
            </w:tcBorders>
            <w:noWrap w:val="0"/>
            <w:vAlign w:val="center"/>
          </w:tcPr>
          <w:p w14:paraId="3FE60BD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10≤X＜50</w:t>
            </w:r>
          </w:p>
        </w:tc>
        <w:tc>
          <w:tcPr>
            <w:tcW w:w="1098" w:type="dxa"/>
            <w:tcBorders>
              <w:top w:val="nil"/>
              <w:left w:val="nil"/>
              <w:bottom w:val="single" w:color="auto" w:sz="4" w:space="0"/>
              <w:right w:val="single" w:color="auto" w:sz="4" w:space="0"/>
            </w:tcBorders>
            <w:noWrap w:val="0"/>
            <w:vAlign w:val="center"/>
          </w:tcPr>
          <w:p w14:paraId="10B4275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3C4E06C9">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6991E39E">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E11770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1845A8E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98F27C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500≤Y＜20000</w:t>
            </w:r>
          </w:p>
        </w:tc>
        <w:tc>
          <w:tcPr>
            <w:tcW w:w="1709" w:type="dxa"/>
            <w:tcBorders>
              <w:top w:val="nil"/>
              <w:left w:val="nil"/>
              <w:bottom w:val="single" w:color="auto" w:sz="4" w:space="0"/>
              <w:right w:val="single" w:color="auto" w:sz="4" w:space="0"/>
            </w:tcBorders>
            <w:noWrap w:val="0"/>
            <w:vAlign w:val="center"/>
          </w:tcPr>
          <w:p w14:paraId="3E5A60A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100≤Y＜500</w:t>
            </w:r>
          </w:p>
        </w:tc>
        <w:tc>
          <w:tcPr>
            <w:tcW w:w="1098" w:type="dxa"/>
            <w:tcBorders>
              <w:top w:val="nil"/>
              <w:left w:val="nil"/>
              <w:bottom w:val="single" w:color="auto" w:sz="4" w:space="0"/>
              <w:right w:val="single" w:color="auto" w:sz="4" w:space="0"/>
            </w:tcBorders>
            <w:noWrap w:val="0"/>
            <w:vAlign w:val="center"/>
          </w:tcPr>
          <w:p w14:paraId="77A8B32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70988D45">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3EB024E3">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交通运输业</w:t>
            </w:r>
          </w:p>
        </w:tc>
        <w:tc>
          <w:tcPr>
            <w:tcW w:w="1642" w:type="dxa"/>
            <w:tcBorders>
              <w:top w:val="nil"/>
              <w:left w:val="nil"/>
              <w:bottom w:val="single" w:color="auto" w:sz="4" w:space="0"/>
              <w:right w:val="single" w:color="auto" w:sz="4" w:space="0"/>
            </w:tcBorders>
            <w:noWrap w:val="0"/>
            <w:vAlign w:val="center"/>
          </w:tcPr>
          <w:p w14:paraId="6665495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280B9F3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4D93A8E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44D12E9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098" w:type="dxa"/>
            <w:tcBorders>
              <w:top w:val="nil"/>
              <w:left w:val="nil"/>
              <w:bottom w:val="single" w:color="auto" w:sz="4" w:space="0"/>
              <w:right w:val="single" w:color="auto" w:sz="4" w:space="0"/>
            </w:tcBorders>
            <w:noWrap w:val="0"/>
            <w:vAlign w:val="center"/>
          </w:tcPr>
          <w:p w14:paraId="25FE06C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4863DF0E">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7E6F6CBB">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2DA1FBD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5C7435E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7945043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3000≤Y＜30000</w:t>
            </w:r>
          </w:p>
        </w:tc>
        <w:tc>
          <w:tcPr>
            <w:tcW w:w="1709" w:type="dxa"/>
            <w:tcBorders>
              <w:top w:val="nil"/>
              <w:left w:val="nil"/>
              <w:bottom w:val="single" w:color="auto" w:sz="4" w:space="0"/>
              <w:right w:val="single" w:color="auto" w:sz="4" w:space="0"/>
            </w:tcBorders>
            <w:noWrap w:val="0"/>
            <w:vAlign w:val="center"/>
          </w:tcPr>
          <w:p w14:paraId="2EC36F6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200≤Y＜3000</w:t>
            </w:r>
          </w:p>
        </w:tc>
        <w:tc>
          <w:tcPr>
            <w:tcW w:w="1098" w:type="dxa"/>
            <w:tcBorders>
              <w:top w:val="nil"/>
              <w:left w:val="nil"/>
              <w:bottom w:val="single" w:color="auto" w:sz="4" w:space="0"/>
              <w:right w:val="single" w:color="auto" w:sz="4" w:space="0"/>
            </w:tcBorders>
            <w:noWrap w:val="0"/>
            <w:vAlign w:val="center"/>
          </w:tcPr>
          <w:p w14:paraId="494D7A8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w:t>
            </w:r>
          </w:p>
        </w:tc>
      </w:tr>
      <w:tr w14:paraId="2184F394">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2CC7D97E">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仓储业</w:t>
            </w:r>
          </w:p>
        </w:tc>
        <w:tc>
          <w:tcPr>
            <w:tcW w:w="1642" w:type="dxa"/>
            <w:tcBorders>
              <w:top w:val="nil"/>
              <w:left w:val="nil"/>
              <w:bottom w:val="single" w:color="auto" w:sz="4" w:space="0"/>
              <w:right w:val="single" w:color="auto" w:sz="4" w:space="0"/>
            </w:tcBorders>
            <w:noWrap w:val="0"/>
            <w:vAlign w:val="center"/>
          </w:tcPr>
          <w:p w14:paraId="67DF81C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7D71448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0FDCB16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w:t>
            </w:r>
          </w:p>
        </w:tc>
        <w:tc>
          <w:tcPr>
            <w:tcW w:w="1709" w:type="dxa"/>
            <w:tcBorders>
              <w:top w:val="nil"/>
              <w:left w:val="nil"/>
              <w:bottom w:val="single" w:color="auto" w:sz="4" w:space="0"/>
              <w:right w:val="single" w:color="auto" w:sz="4" w:space="0"/>
            </w:tcBorders>
            <w:noWrap w:val="0"/>
            <w:vAlign w:val="center"/>
          </w:tcPr>
          <w:p w14:paraId="78DF94D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20≤X＜100</w:t>
            </w:r>
          </w:p>
        </w:tc>
        <w:tc>
          <w:tcPr>
            <w:tcW w:w="1098" w:type="dxa"/>
            <w:tcBorders>
              <w:top w:val="nil"/>
              <w:left w:val="nil"/>
              <w:bottom w:val="single" w:color="auto" w:sz="4" w:space="0"/>
              <w:right w:val="single" w:color="auto" w:sz="4" w:space="0"/>
            </w:tcBorders>
            <w:noWrap w:val="0"/>
            <w:vAlign w:val="center"/>
          </w:tcPr>
          <w:p w14:paraId="715142A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1A3426ED">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D6CBF42">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0BBF9C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33D1841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0C0E327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1000≤Y＜30000</w:t>
            </w:r>
          </w:p>
        </w:tc>
        <w:tc>
          <w:tcPr>
            <w:tcW w:w="1709" w:type="dxa"/>
            <w:tcBorders>
              <w:top w:val="nil"/>
              <w:left w:val="nil"/>
              <w:bottom w:val="single" w:color="auto" w:sz="4" w:space="0"/>
              <w:right w:val="single" w:color="auto" w:sz="4" w:space="0"/>
            </w:tcBorders>
            <w:noWrap w:val="0"/>
            <w:vAlign w:val="center"/>
          </w:tcPr>
          <w:p w14:paraId="673C2B2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098" w:type="dxa"/>
            <w:tcBorders>
              <w:top w:val="nil"/>
              <w:left w:val="nil"/>
              <w:bottom w:val="single" w:color="auto" w:sz="4" w:space="0"/>
              <w:right w:val="single" w:color="auto" w:sz="4" w:space="0"/>
            </w:tcBorders>
            <w:noWrap w:val="0"/>
            <w:vAlign w:val="center"/>
          </w:tcPr>
          <w:p w14:paraId="657BFBC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323840E3">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752A0BBB">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邮政业</w:t>
            </w:r>
          </w:p>
        </w:tc>
        <w:tc>
          <w:tcPr>
            <w:tcW w:w="1642" w:type="dxa"/>
            <w:tcBorders>
              <w:top w:val="nil"/>
              <w:left w:val="nil"/>
              <w:bottom w:val="single" w:color="auto" w:sz="4" w:space="0"/>
              <w:right w:val="single" w:color="auto" w:sz="4" w:space="0"/>
            </w:tcBorders>
            <w:noWrap w:val="0"/>
            <w:vAlign w:val="center"/>
          </w:tcPr>
          <w:p w14:paraId="2E226C6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684E532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36944C0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0AD7C7D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20≤X＜300</w:t>
            </w:r>
          </w:p>
        </w:tc>
        <w:tc>
          <w:tcPr>
            <w:tcW w:w="1098" w:type="dxa"/>
            <w:tcBorders>
              <w:top w:val="nil"/>
              <w:left w:val="nil"/>
              <w:bottom w:val="single" w:color="auto" w:sz="4" w:space="0"/>
              <w:right w:val="single" w:color="auto" w:sz="4" w:space="0"/>
            </w:tcBorders>
            <w:noWrap w:val="0"/>
            <w:vAlign w:val="center"/>
          </w:tcPr>
          <w:p w14:paraId="679131C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X＜20</w:t>
            </w:r>
          </w:p>
        </w:tc>
      </w:tr>
      <w:tr w14:paraId="4F94E337">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527C465D">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BF8D74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6127897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5EBC47B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2000≤Y＜30000</w:t>
            </w:r>
          </w:p>
        </w:tc>
        <w:tc>
          <w:tcPr>
            <w:tcW w:w="1709" w:type="dxa"/>
            <w:tcBorders>
              <w:top w:val="nil"/>
              <w:left w:val="nil"/>
              <w:bottom w:val="single" w:color="auto" w:sz="4" w:space="0"/>
              <w:right w:val="single" w:color="auto" w:sz="4" w:space="0"/>
            </w:tcBorders>
            <w:noWrap w:val="0"/>
            <w:vAlign w:val="center"/>
          </w:tcPr>
          <w:p w14:paraId="1B95906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098" w:type="dxa"/>
            <w:tcBorders>
              <w:top w:val="nil"/>
              <w:left w:val="nil"/>
              <w:bottom w:val="single" w:color="auto" w:sz="4" w:space="0"/>
              <w:right w:val="single" w:color="auto" w:sz="4" w:space="0"/>
            </w:tcBorders>
            <w:noWrap w:val="0"/>
            <w:vAlign w:val="center"/>
          </w:tcPr>
          <w:p w14:paraId="68D5259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236FD044">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2A5BE25D">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住宿业</w:t>
            </w:r>
          </w:p>
        </w:tc>
        <w:tc>
          <w:tcPr>
            <w:tcW w:w="1642" w:type="dxa"/>
            <w:tcBorders>
              <w:top w:val="nil"/>
              <w:left w:val="nil"/>
              <w:bottom w:val="single" w:color="auto" w:sz="4" w:space="0"/>
              <w:right w:val="single" w:color="auto" w:sz="4" w:space="0"/>
            </w:tcBorders>
            <w:noWrap w:val="0"/>
            <w:vAlign w:val="center"/>
          </w:tcPr>
          <w:p w14:paraId="7D159EE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0B10A79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1E5252D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77D0AFE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3DC14E3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32C2A862">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09857DD5">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1F42D23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501EBB5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7E7C18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9" w:type="dxa"/>
            <w:tcBorders>
              <w:top w:val="nil"/>
              <w:left w:val="nil"/>
              <w:bottom w:val="single" w:color="auto" w:sz="4" w:space="0"/>
              <w:right w:val="single" w:color="auto" w:sz="4" w:space="0"/>
            </w:tcBorders>
            <w:noWrap w:val="0"/>
            <w:vAlign w:val="center"/>
          </w:tcPr>
          <w:p w14:paraId="2C9B8EC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098" w:type="dxa"/>
            <w:tcBorders>
              <w:top w:val="nil"/>
              <w:left w:val="nil"/>
              <w:bottom w:val="single" w:color="auto" w:sz="4" w:space="0"/>
              <w:right w:val="single" w:color="auto" w:sz="4" w:space="0"/>
            </w:tcBorders>
            <w:noWrap w:val="0"/>
            <w:vAlign w:val="center"/>
          </w:tcPr>
          <w:p w14:paraId="3EFE1A2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6791F483">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2A18EBC7">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餐饮业</w:t>
            </w:r>
          </w:p>
        </w:tc>
        <w:tc>
          <w:tcPr>
            <w:tcW w:w="1642" w:type="dxa"/>
            <w:tcBorders>
              <w:top w:val="nil"/>
              <w:left w:val="nil"/>
              <w:bottom w:val="single" w:color="auto" w:sz="4" w:space="0"/>
              <w:right w:val="single" w:color="auto" w:sz="4" w:space="0"/>
            </w:tcBorders>
            <w:noWrap w:val="0"/>
            <w:vAlign w:val="center"/>
          </w:tcPr>
          <w:p w14:paraId="470EC79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6CF13AE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122AB5E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0A997D3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2541B25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6009A619">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686CF253">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073284D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067A349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2665970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2000≤Y＜10000</w:t>
            </w:r>
          </w:p>
        </w:tc>
        <w:tc>
          <w:tcPr>
            <w:tcW w:w="1709" w:type="dxa"/>
            <w:tcBorders>
              <w:top w:val="nil"/>
              <w:left w:val="nil"/>
              <w:bottom w:val="single" w:color="auto" w:sz="4" w:space="0"/>
              <w:right w:val="single" w:color="auto" w:sz="4" w:space="0"/>
            </w:tcBorders>
            <w:noWrap w:val="0"/>
            <w:vAlign w:val="center"/>
          </w:tcPr>
          <w:p w14:paraId="31D0C2F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100≤Y＜2000</w:t>
            </w:r>
          </w:p>
        </w:tc>
        <w:tc>
          <w:tcPr>
            <w:tcW w:w="1098" w:type="dxa"/>
            <w:tcBorders>
              <w:top w:val="nil"/>
              <w:left w:val="nil"/>
              <w:bottom w:val="single" w:color="auto" w:sz="4" w:space="0"/>
              <w:right w:val="single" w:color="auto" w:sz="4" w:space="0"/>
            </w:tcBorders>
            <w:noWrap w:val="0"/>
            <w:vAlign w:val="center"/>
          </w:tcPr>
          <w:p w14:paraId="7644F34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7EBD3023">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202AA436">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信息传输业</w:t>
            </w:r>
          </w:p>
        </w:tc>
        <w:tc>
          <w:tcPr>
            <w:tcW w:w="1642" w:type="dxa"/>
            <w:tcBorders>
              <w:top w:val="nil"/>
              <w:left w:val="nil"/>
              <w:bottom w:val="single" w:color="auto" w:sz="4" w:space="0"/>
              <w:right w:val="single" w:color="auto" w:sz="4" w:space="0"/>
            </w:tcBorders>
            <w:noWrap w:val="0"/>
            <w:vAlign w:val="center"/>
          </w:tcPr>
          <w:p w14:paraId="5EC4F54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22D470A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08B46E5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100≤X＜2000</w:t>
            </w:r>
          </w:p>
        </w:tc>
        <w:tc>
          <w:tcPr>
            <w:tcW w:w="1709" w:type="dxa"/>
            <w:tcBorders>
              <w:top w:val="nil"/>
              <w:left w:val="nil"/>
              <w:bottom w:val="single" w:color="auto" w:sz="4" w:space="0"/>
              <w:right w:val="single" w:color="auto" w:sz="4" w:space="0"/>
            </w:tcBorders>
            <w:noWrap w:val="0"/>
            <w:vAlign w:val="center"/>
          </w:tcPr>
          <w:p w14:paraId="69A5FAB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77A857E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3AEBAE45">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72185A24">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3D19FA9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31D70A7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2DAB023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1000≤Y＜100000</w:t>
            </w:r>
          </w:p>
        </w:tc>
        <w:tc>
          <w:tcPr>
            <w:tcW w:w="1709" w:type="dxa"/>
            <w:tcBorders>
              <w:top w:val="nil"/>
              <w:left w:val="nil"/>
              <w:bottom w:val="single" w:color="auto" w:sz="4" w:space="0"/>
              <w:right w:val="single" w:color="auto" w:sz="4" w:space="0"/>
            </w:tcBorders>
            <w:noWrap w:val="0"/>
            <w:vAlign w:val="center"/>
          </w:tcPr>
          <w:p w14:paraId="2C2C462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100≤Y＜1000</w:t>
            </w:r>
          </w:p>
        </w:tc>
        <w:tc>
          <w:tcPr>
            <w:tcW w:w="1098" w:type="dxa"/>
            <w:tcBorders>
              <w:top w:val="nil"/>
              <w:left w:val="nil"/>
              <w:bottom w:val="single" w:color="auto" w:sz="4" w:space="0"/>
              <w:right w:val="single" w:color="auto" w:sz="4" w:space="0"/>
            </w:tcBorders>
            <w:noWrap w:val="0"/>
            <w:vAlign w:val="center"/>
          </w:tcPr>
          <w:p w14:paraId="3AE4E59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2EEB95F6">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14EB10BE">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软件和信息技术服务业</w:t>
            </w:r>
          </w:p>
        </w:tc>
        <w:tc>
          <w:tcPr>
            <w:tcW w:w="1642" w:type="dxa"/>
            <w:tcBorders>
              <w:top w:val="nil"/>
              <w:left w:val="nil"/>
              <w:bottom w:val="single" w:color="auto" w:sz="4" w:space="0"/>
              <w:right w:val="single" w:color="auto" w:sz="4" w:space="0"/>
            </w:tcBorders>
            <w:noWrap w:val="0"/>
            <w:vAlign w:val="center"/>
          </w:tcPr>
          <w:p w14:paraId="1703890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270EDB4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43D8F5B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76087F8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02CA21F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3A644D90">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D3415E5">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761055A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4E5A05B0">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AF6FAB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1000≤Y＜10000</w:t>
            </w:r>
          </w:p>
        </w:tc>
        <w:tc>
          <w:tcPr>
            <w:tcW w:w="1709" w:type="dxa"/>
            <w:tcBorders>
              <w:top w:val="nil"/>
              <w:left w:val="nil"/>
              <w:bottom w:val="single" w:color="auto" w:sz="4" w:space="0"/>
              <w:right w:val="single" w:color="auto" w:sz="4" w:space="0"/>
            </w:tcBorders>
            <w:noWrap w:val="0"/>
            <w:vAlign w:val="center"/>
          </w:tcPr>
          <w:p w14:paraId="1D4B04C4">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50≤Y＜1000</w:t>
            </w:r>
          </w:p>
        </w:tc>
        <w:tc>
          <w:tcPr>
            <w:tcW w:w="1098" w:type="dxa"/>
            <w:tcBorders>
              <w:top w:val="nil"/>
              <w:left w:val="nil"/>
              <w:bottom w:val="single" w:color="auto" w:sz="4" w:space="0"/>
              <w:right w:val="single" w:color="auto" w:sz="4" w:space="0"/>
            </w:tcBorders>
            <w:noWrap w:val="0"/>
            <w:vAlign w:val="center"/>
          </w:tcPr>
          <w:p w14:paraId="36E4225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w:t>
            </w:r>
          </w:p>
        </w:tc>
      </w:tr>
      <w:tr w14:paraId="560A3AB8">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5CA58103">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房地产开发经营</w:t>
            </w:r>
          </w:p>
        </w:tc>
        <w:tc>
          <w:tcPr>
            <w:tcW w:w="1642" w:type="dxa"/>
            <w:tcBorders>
              <w:top w:val="nil"/>
              <w:left w:val="nil"/>
              <w:bottom w:val="single" w:color="auto" w:sz="4" w:space="0"/>
              <w:right w:val="single" w:color="auto" w:sz="4" w:space="0"/>
            </w:tcBorders>
            <w:noWrap w:val="0"/>
            <w:vAlign w:val="center"/>
          </w:tcPr>
          <w:p w14:paraId="6DE03C7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4EC7F4FB">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526A96D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1000≤Y＜200000</w:t>
            </w:r>
          </w:p>
        </w:tc>
        <w:tc>
          <w:tcPr>
            <w:tcW w:w="1709" w:type="dxa"/>
            <w:tcBorders>
              <w:top w:val="nil"/>
              <w:left w:val="nil"/>
              <w:bottom w:val="single" w:color="auto" w:sz="4" w:space="0"/>
              <w:right w:val="single" w:color="auto" w:sz="4" w:space="0"/>
            </w:tcBorders>
            <w:noWrap w:val="0"/>
            <w:vAlign w:val="center"/>
          </w:tcPr>
          <w:p w14:paraId="4D25634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100≤X＜1000</w:t>
            </w:r>
          </w:p>
        </w:tc>
        <w:tc>
          <w:tcPr>
            <w:tcW w:w="1098" w:type="dxa"/>
            <w:tcBorders>
              <w:top w:val="nil"/>
              <w:left w:val="nil"/>
              <w:bottom w:val="single" w:color="auto" w:sz="4" w:space="0"/>
              <w:right w:val="single" w:color="auto" w:sz="4" w:space="0"/>
            </w:tcBorders>
            <w:noWrap w:val="0"/>
            <w:vAlign w:val="center"/>
          </w:tcPr>
          <w:p w14:paraId="733F909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130A0054">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7E75F1E1">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67312A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715662B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166FD1D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5000≤Z＜10000</w:t>
            </w:r>
          </w:p>
        </w:tc>
        <w:tc>
          <w:tcPr>
            <w:tcW w:w="1709" w:type="dxa"/>
            <w:tcBorders>
              <w:top w:val="nil"/>
              <w:left w:val="nil"/>
              <w:bottom w:val="single" w:color="auto" w:sz="4" w:space="0"/>
              <w:right w:val="single" w:color="auto" w:sz="4" w:space="0"/>
            </w:tcBorders>
            <w:noWrap w:val="0"/>
            <w:vAlign w:val="center"/>
          </w:tcPr>
          <w:p w14:paraId="5F19BA0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2000≤Y＜5000</w:t>
            </w:r>
          </w:p>
        </w:tc>
        <w:tc>
          <w:tcPr>
            <w:tcW w:w="1098" w:type="dxa"/>
            <w:tcBorders>
              <w:top w:val="nil"/>
              <w:left w:val="nil"/>
              <w:bottom w:val="single" w:color="auto" w:sz="4" w:space="0"/>
              <w:right w:val="single" w:color="auto" w:sz="4" w:space="0"/>
            </w:tcBorders>
            <w:noWrap w:val="0"/>
            <w:vAlign w:val="center"/>
          </w:tcPr>
          <w:p w14:paraId="2021676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Y＜2000</w:t>
            </w:r>
          </w:p>
        </w:tc>
      </w:tr>
      <w:tr w14:paraId="31DCE161">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3312666D">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物业管理</w:t>
            </w:r>
          </w:p>
        </w:tc>
        <w:tc>
          <w:tcPr>
            <w:tcW w:w="1642" w:type="dxa"/>
            <w:tcBorders>
              <w:top w:val="nil"/>
              <w:left w:val="nil"/>
              <w:bottom w:val="single" w:color="auto" w:sz="4" w:space="0"/>
              <w:right w:val="single" w:color="auto" w:sz="4" w:space="0"/>
            </w:tcBorders>
            <w:noWrap w:val="0"/>
            <w:vAlign w:val="center"/>
          </w:tcPr>
          <w:p w14:paraId="196A941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121FBF7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1D727A4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300≤X＜1000</w:t>
            </w:r>
          </w:p>
        </w:tc>
        <w:tc>
          <w:tcPr>
            <w:tcW w:w="1709" w:type="dxa"/>
            <w:tcBorders>
              <w:top w:val="nil"/>
              <w:left w:val="nil"/>
              <w:bottom w:val="single" w:color="auto" w:sz="4" w:space="0"/>
              <w:right w:val="single" w:color="auto" w:sz="4" w:space="0"/>
            </w:tcBorders>
            <w:noWrap w:val="0"/>
            <w:vAlign w:val="center"/>
          </w:tcPr>
          <w:p w14:paraId="2690EF51">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098" w:type="dxa"/>
            <w:tcBorders>
              <w:top w:val="nil"/>
              <w:left w:val="nil"/>
              <w:bottom w:val="single" w:color="auto" w:sz="4" w:space="0"/>
              <w:right w:val="single" w:color="auto" w:sz="4" w:space="0"/>
            </w:tcBorders>
            <w:noWrap w:val="0"/>
            <w:vAlign w:val="center"/>
          </w:tcPr>
          <w:p w14:paraId="6B962E7F">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X＜100</w:t>
            </w:r>
          </w:p>
        </w:tc>
      </w:tr>
      <w:tr w14:paraId="47E250E4">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38DAA35C">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1BA9462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营业收入（Y）</w:t>
            </w:r>
          </w:p>
        </w:tc>
        <w:tc>
          <w:tcPr>
            <w:tcW w:w="1084" w:type="dxa"/>
            <w:tcBorders>
              <w:top w:val="nil"/>
              <w:left w:val="nil"/>
              <w:bottom w:val="single" w:color="auto" w:sz="4" w:space="0"/>
              <w:right w:val="single" w:color="auto" w:sz="4" w:space="0"/>
            </w:tcBorders>
            <w:noWrap w:val="0"/>
            <w:vAlign w:val="center"/>
          </w:tcPr>
          <w:p w14:paraId="6F624AFD">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49D93A89">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1000≤Y＜5000</w:t>
            </w:r>
          </w:p>
        </w:tc>
        <w:tc>
          <w:tcPr>
            <w:tcW w:w="1709" w:type="dxa"/>
            <w:tcBorders>
              <w:top w:val="nil"/>
              <w:left w:val="nil"/>
              <w:bottom w:val="single" w:color="auto" w:sz="4" w:space="0"/>
              <w:right w:val="single" w:color="auto" w:sz="4" w:space="0"/>
            </w:tcBorders>
            <w:noWrap w:val="0"/>
            <w:vAlign w:val="center"/>
          </w:tcPr>
          <w:p w14:paraId="692AEA15">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500≤Y＜1000</w:t>
            </w:r>
          </w:p>
        </w:tc>
        <w:tc>
          <w:tcPr>
            <w:tcW w:w="1098" w:type="dxa"/>
            <w:tcBorders>
              <w:top w:val="nil"/>
              <w:left w:val="nil"/>
              <w:bottom w:val="single" w:color="auto" w:sz="4" w:space="0"/>
              <w:right w:val="single" w:color="auto" w:sz="4" w:space="0"/>
            </w:tcBorders>
            <w:noWrap w:val="0"/>
            <w:vAlign w:val="center"/>
          </w:tcPr>
          <w:p w14:paraId="0D2E385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Y＜500</w:t>
            </w:r>
          </w:p>
        </w:tc>
      </w:tr>
      <w:tr w14:paraId="41778307">
        <w:tblPrEx>
          <w:tblCellMar>
            <w:top w:w="0" w:type="dxa"/>
            <w:left w:w="108" w:type="dxa"/>
            <w:bottom w:w="0" w:type="dxa"/>
            <w:right w:w="108" w:type="dxa"/>
          </w:tblCellMar>
        </w:tblPrEx>
        <w:trPr>
          <w:trHeight w:val="336" w:hRule="atLeast"/>
          <w:jc w:val="center"/>
        </w:trPr>
        <w:tc>
          <w:tcPr>
            <w:tcW w:w="2020" w:type="dxa"/>
            <w:vMerge w:val="restart"/>
            <w:tcBorders>
              <w:top w:val="nil"/>
              <w:left w:val="single" w:color="auto" w:sz="4" w:space="0"/>
              <w:bottom w:val="single" w:color="auto" w:sz="4" w:space="0"/>
              <w:right w:val="single" w:color="auto" w:sz="4" w:space="0"/>
            </w:tcBorders>
            <w:noWrap w:val="0"/>
            <w:vAlign w:val="bottom"/>
          </w:tcPr>
          <w:p w14:paraId="5A00AA9A">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租赁和商务服务业</w:t>
            </w:r>
          </w:p>
        </w:tc>
        <w:tc>
          <w:tcPr>
            <w:tcW w:w="1642" w:type="dxa"/>
            <w:tcBorders>
              <w:top w:val="nil"/>
              <w:left w:val="nil"/>
              <w:bottom w:val="single" w:color="auto" w:sz="4" w:space="0"/>
              <w:right w:val="single" w:color="auto" w:sz="4" w:space="0"/>
            </w:tcBorders>
            <w:noWrap w:val="0"/>
            <w:vAlign w:val="center"/>
          </w:tcPr>
          <w:p w14:paraId="4C672A1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28A3A1B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3BEBD018">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0BCC0387">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133D02C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r w14:paraId="398BCE49">
        <w:tblPrEx>
          <w:tblCellMar>
            <w:top w:w="0" w:type="dxa"/>
            <w:left w:w="108" w:type="dxa"/>
            <w:bottom w:w="0" w:type="dxa"/>
            <w:right w:w="108" w:type="dxa"/>
          </w:tblCellMar>
        </w:tblPrEx>
        <w:trPr>
          <w:trHeight w:val="336" w:hRule="atLeast"/>
          <w:jc w:val="center"/>
        </w:trPr>
        <w:tc>
          <w:tcPr>
            <w:tcW w:w="2020" w:type="dxa"/>
            <w:vMerge w:val="continue"/>
            <w:tcBorders>
              <w:top w:val="nil"/>
              <w:left w:val="single" w:color="auto" w:sz="4" w:space="0"/>
              <w:bottom w:val="single" w:color="auto" w:sz="4" w:space="0"/>
              <w:right w:val="single" w:color="auto" w:sz="4" w:space="0"/>
            </w:tcBorders>
            <w:noWrap w:val="0"/>
            <w:vAlign w:val="center"/>
          </w:tcPr>
          <w:p w14:paraId="44D13BE5">
            <w:pPr>
              <w:widowControl/>
              <w:jc w:val="left"/>
              <w:rPr>
                <w:rFonts w:hint="eastAsia" w:ascii="宋体" w:hAnsi="宋体" w:cs="宋体"/>
                <w:b/>
                <w:bCs/>
                <w:color w:val="auto"/>
                <w:kern w:val="0"/>
                <w:szCs w:val="21"/>
                <w:highlight w:val="none"/>
              </w:rPr>
            </w:pPr>
          </w:p>
        </w:tc>
        <w:tc>
          <w:tcPr>
            <w:tcW w:w="1642" w:type="dxa"/>
            <w:tcBorders>
              <w:top w:val="nil"/>
              <w:left w:val="nil"/>
              <w:bottom w:val="single" w:color="auto" w:sz="4" w:space="0"/>
              <w:right w:val="single" w:color="auto" w:sz="4" w:space="0"/>
            </w:tcBorders>
            <w:noWrap w:val="0"/>
            <w:vAlign w:val="center"/>
          </w:tcPr>
          <w:p w14:paraId="54A5755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资产总额（Z）</w:t>
            </w:r>
          </w:p>
        </w:tc>
        <w:tc>
          <w:tcPr>
            <w:tcW w:w="1084" w:type="dxa"/>
            <w:tcBorders>
              <w:top w:val="nil"/>
              <w:left w:val="nil"/>
              <w:bottom w:val="single" w:color="auto" w:sz="4" w:space="0"/>
              <w:right w:val="single" w:color="auto" w:sz="4" w:space="0"/>
            </w:tcBorders>
            <w:noWrap w:val="0"/>
            <w:vAlign w:val="center"/>
          </w:tcPr>
          <w:p w14:paraId="40D6B99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万元</w:t>
            </w:r>
          </w:p>
        </w:tc>
        <w:tc>
          <w:tcPr>
            <w:tcW w:w="1923" w:type="dxa"/>
            <w:tcBorders>
              <w:top w:val="nil"/>
              <w:left w:val="nil"/>
              <w:bottom w:val="single" w:color="auto" w:sz="4" w:space="0"/>
              <w:right w:val="single" w:color="auto" w:sz="4" w:space="0"/>
            </w:tcBorders>
            <w:noWrap w:val="0"/>
            <w:vAlign w:val="center"/>
          </w:tcPr>
          <w:p w14:paraId="45D270B2">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8000≤Z＜120000</w:t>
            </w:r>
          </w:p>
        </w:tc>
        <w:tc>
          <w:tcPr>
            <w:tcW w:w="1709" w:type="dxa"/>
            <w:tcBorders>
              <w:top w:val="nil"/>
              <w:left w:val="nil"/>
              <w:bottom w:val="single" w:color="auto" w:sz="4" w:space="0"/>
              <w:right w:val="single" w:color="auto" w:sz="4" w:space="0"/>
            </w:tcBorders>
            <w:noWrap w:val="0"/>
            <w:vAlign w:val="center"/>
          </w:tcPr>
          <w:p w14:paraId="2DB3430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100≤Z＜8000</w:t>
            </w:r>
          </w:p>
        </w:tc>
        <w:tc>
          <w:tcPr>
            <w:tcW w:w="1098" w:type="dxa"/>
            <w:tcBorders>
              <w:top w:val="nil"/>
              <w:left w:val="nil"/>
              <w:bottom w:val="single" w:color="auto" w:sz="4" w:space="0"/>
              <w:right w:val="single" w:color="auto" w:sz="4" w:space="0"/>
            </w:tcBorders>
            <w:noWrap w:val="0"/>
            <w:vAlign w:val="center"/>
          </w:tcPr>
          <w:p w14:paraId="107A0E36">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Y＜100</w:t>
            </w:r>
          </w:p>
        </w:tc>
      </w:tr>
      <w:tr w14:paraId="2408BEAF">
        <w:tblPrEx>
          <w:tblCellMar>
            <w:top w:w="0" w:type="dxa"/>
            <w:left w:w="108" w:type="dxa"/>
            <w:bottom w:w="0" w:type="dxa"/>
            <w:right w:w="108" w:type="dxa"/>
          </w:tblCellMar>
        </w:tblPrEx>
        <w:trPr>
          <w:trHeight w:val="346" w:hRule="atLeast"/>
          <w:jc w:val="center"/>
        </w:trPr>
        <w:tc>
          <w:tcPr>
            <w:tcW w:w="2020" w:type="dxa"/>
            <w:tcBorders>
              <w:top w:val="nil"/>
              <w:left w:val="single" w:color="auto" w:sz="4" w:space="0"/>
              <w:bottom w:val="single" w:color="auto" w:sz="4" w:space="0"/>
              <w:right w:val="single" w:color="auto" w:sz="4" w:space="0"/>
            </w:tcBorders>
            <w:noWrap w:val="0"/>
            <w:vAlign w:val="bottom"/>
          </w:tcPr>
          <w:p w14:paraId="0D3E963A">
            <w:pPr>
              <w:widowControl/>
              <w:jc w:val="center"/>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其他未列明行业</w:t>
            </w:r>
          </w:p>
        </w:tc>
        <w:tc>
          <w:tcPr>
            <w:tcW w:w="1642" w:type="dxa"/>
            <w:tcBorders>
              <w:top w:val="nil"/>
              <w:left w:val="nil"/>
              <w:bottom w:val="single" w:color="auto" w:sz="4" w:space="0"/>
              <w:right w:val="single" w:color="auto" w:sz="4" w:space="0"/>
            </w:tcBorders>
            <w:noWrap w:val="0"/>
            <w:vAlign w:val="center"/>
          </w:tcPr>
          <w:p w14:paraId="0D78158E">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从业人员（X）</w:t>
            </w:r>
          </w:p>
        </w:tc>
        <w:tc>
          <w:tcPr>
            <w:tcW w:w="1084" w:type="dxa"/>
            <w:tcBorders>
              <w:top w:val="nil"/>
              <w:left w:val="nil"/>
              <w:bottom w:val="single" w:color="auto" w:sz="4" w:space="0"/>
              <w:right w:val="single" w:color="auto" w:sz="4" w:space="0"/>
            </w:tcBorders>
            <w:noWrap w:val="0"/>
            <w:vAlign w:val="center"/>
          </w:tcPr>
          <w:p w14:paraId="2C9B1163">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人</w:t>
            </w:r>
          </w:p>
        </w:tc>
        <w:tc>
          <w:tcPr>
            <w:tcW w:w="1923" w:type="dxa"/>
            <w:tcBorders>
              <w:top w:val="nil"/>
              <w:left w:val="nil"/>
              <w:bottom w:val="single" w:color="auto" w:sz="4" w:space="0"/>
              <w:right w:val="single" w:color="auto" w:sz="4" w:space="0"/>
            </w:tcBorders>
            <w:noWrap w:val="0"/>
            <w:vAlign w:val="center"/>
          </w:tcPr>
          <w:p w14:paraId="56CC1B1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100≤X＜300</w:t>
            </w:r>
          </w:p>
        </w:tc>
        <w:tc>
          <w:tcPr>
            <w:tcW w:w="1709" w:type="dxa"/>
            <w:tcBorders>
              <w:top w:val="nil"/>
              <w:left w:val="nil"/>
              <w:bottom w:val="single" w:color="auto" w:sz="4" w:space="0"/>
              <w:right w:val="single" w:color="auto" w:sz="4" w:space="0"/>
            </w:tcBorders>
            <w:noWrap w:val="0"/>
            <w:vAlign w:val="center"/>
          </w:tcPr>
          <w:p w14:paraId="2610A25C">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10≤X＜100</w:t>
            </w:r>
          </w:p>
        </w:tc>
        <w:tc>
          <w:tcPr>
            <w:tcW w:w="1098" w:type="dxa"/>
            <w:tcBorders>
              <w:top w:val="nil"/>
              <w:left w:val="nil"/>
              <w:bottom w:val="single" w:color="auto" w:sz="4" w:space="0"/>
              <w:right w:val="single" w:color="auto" w:sz="4" w:space="0"/>
            </w:tcBorders>
            <w:noWrap w:val="0"/>
            <w:vAlign w:val="center"/>
          </w:tcPr>
          <w:p w14:paraId="40CF33DA">
            <w:pPr>
              <w:widowControl/>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X＜10</w:t>
            </w:r>
          </w:p>
        </w:tc>
      </w:tr>
    </w:tbl>
    <w:p w14:paraId="3E0B16C4">
      <w:pPr>
        <w:spacing w:line="360" w:lineRule="auto"/>
        <w:ind w:firstLine="525" w:firstLineChars="250"/>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w:t>
      </w:r>
      <w:r>
        <w:rPr>
          <w:rFonts w:hint="eastAsia" w:ascii="宋体" w:hAnsi="宋体" w:cs="宋体"/>
          <w:color w:val="auto"/>
          <w:szCs w:val="21"/>
          <w:highlight w:val="none"/>
          <w:lang w:eastAsia="zh-CN"/>
        </w:rPr>
        <w:t>〔2011〕300号</w:t>
      </w:r>
      <w:r>
        <w:rPr>
          <w:rFonts w:hint="eastAsia" w:ascii="宋体" w:hAnsi="宋体" w:cs="宋体"/>
          <w:color w:val="auto"/>
          <w:szCs w:val="21"/>
          <w:highlight w:val="none"/>
        </w:rPr>
        <w:t>），大型、中型和小型企业须同时满足所列指标的下限，否则下划一档；微型企业只须满足所列指标中的一项即可。</w:t>
      </w:r>
    </w:p>
    <w:p w14:paraId="7CCF4EFB">
      <w:pPr>
        <w:spacing w:line="400" w:lineRule="exact"/>
        <w:rPr>
          <w:rFonts w:hint="eastAsia" w:ascii="宋体" w:hAnsi="宋体" w:cs="宋体"/>
          <w:color w:val="auto"/>
          <w:szCs w:val="21"/>
          <w:highlight w:val="none"/>
        </w:rPr>
      </w:pPr>
    </w:p>
    <w:p w14:paraId="122A0067">
      <w:pPr>
        <w:pStyle w:val="25"/>
        <w:rPr>
          <w:rFonts w:hint="eastAsia"/>
          <w:color w:val="auto"/>
          <w:highlight w:val="none"/>
        </w:rPr>
      </w:pPr>
    </w:p>
    <w:p w14:paraId="502ADFB4">
      <w:pPr>
        <w:pStyle w:val="2"/>
        <w:keepNext w:val="0"/>
        <w:keepLines w:val="0"/>
        <w:tabs>
          <w:tab w:val="left" w:pos="0"/>
          <w:tab w:val="left" w:pos="3165"/>
          <w:tab w:val="center" w:pos="4153"/>
        </w:tabs>
        <w:autoSpaceDE w:val="0"/>
        <w:autoSpaceDN w:val="0"/>
        <w:adjustRightInd w:val="0"/>
        <w:spacing w:before="0" w:after="0" w:line="240" w:lineRule="auto"/>
        <w:jc w:val="center"/>
        <w:rPr>
          <w:rFonts w:hint="eastAsia" w:ascii="宋体" w:hAnsi="宋体" w:cs="宋体"/>
          <w:color w:val="auto"/>
          <w:highlight w:val="none"/>
        </w:rPr>
      </w:pPr>
      <w:bookmarkStart w:id="56" w:name="_Toc21295"/>
      <w:bookmarkStart w:id="57" w:name="_Toc13025"/>
      <w:bookmarkStart w:id="58" w:name="_Toc24453"/>
      <w:bookmarkStart w:id="59" w:name="_Toc6950"/>
      <w:r>
        <w:rPr>
          <w:rFonts w:hint="eastAsia" w:ascii="宋体" w:hAnsi="宋体" w:cs="宋体"/>
          <w:color w:val="auto"/>
          <w:highlight w:val="none"/>
        </w:rPr>
        <w:t>第三章  投标人须知</w:t>
      </w:r>
      <w:bookmarkEnd w:id="56"/>
      <w:bookmarkEnd w:id="57"/>
      <w:bookmarkEnd w:id="58"/>
      <w:bookmarkEnd w:id="59"/>
    </w:p>
    <w:p w14:paraId="1B98B307">
      <w:pPr>
        <w:pStyle w:val="3"/>
        <w:spacing w:line="240" w:lineRule="auto"/>
        <w:jc w:val="center"/>
        <w:rPr>
          <w:rFonts w:hint="eastAsia" w:ascii="宋体" w:hAnsi="宋体" w:eastAsia="宋体" w:cs="宋体"/>
          <w:color w:val="auto"/>
          <w:sz w:val="36"/>
          <w:szCs w:val="36"/>
          <w:highlight w:val="none"/>
        </w:rPr>
      </w:pPr>
      <w:bookmarkStart w:id="60" w:name="_Toc254970526"/>
      <w:bookmarkStart w:id="61" w:name="_Toc3016"/>
      <w:bookmarkStart w:id="62" w:name="_Toc25167"/>
      <w:bookmarkStart w:id="63" w:name="_Toc1940"/>
      <w:bookmarkStart w:id="64" w:name="_Toc4963"/>
      <w:bookmarkStart w:id="65" w:name="_Toc254970667"/>
      <w:r>
        <w:rPr>
          <w:rFonts w:hint="eastAsia" w:ascii="宋体" w:hAnsi="宋体" w:eastAsia="宋体" w:cs="宋体"/>
          <w:color w:val="auto"/>
          <w:sz w:val="36"/>
          <w:szCs w:val="36"/>
          <w:highlight w:val="none"/>
        </w:rPr>
        <w:t>投标人须知前附表</w:t>
      </w:r>
      <w:bookmarkEnd w:id="60"/>
      <w:bookmarkEnd w:id="61"/>
      <w:bookmarkEnd w:id="62"/>
      <w:bookmarkEnd w:id="63"/>
      <w:bookmarkEnd w:id="64"/>
      <w:bookmarkEnd w:id="65"/>
    </w:p>
    <w:tbl>
      <w:tblPr>
        <w:tblStyle w:val="39"/>
        <w:tblW w:w="9153"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978"/>
        <w:gridCol w:w="8175"/>
      </w:tblGrid>
      <w:tr w14:paraId="7519DC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7905DADE">
            <w:pPr>
              <w:keepNext w:val="0"/>
              <w:keepLines w:val="0"/>
              <w:pageBreakBefore w:val="0"/>
              <w:widowControl w:val="0"/>
              <w:kinsoku/>
              <w:overflowPunct/>
              <w:topLinePunct w:val="0"/>
              <w:bidi w:val="0"/>
              <w:spacing w:before="120" w:beforeLines="50"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条款号</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86C35BE">
            <w:pPr>
              <w:keepNext w:val="0"/>
              <w:keepLines w:val="0"/>
              <w:pageBreakBefore w:val="0"/>
              <w:widowControl w:val="0"/>
              <w:kinsoku/>
              <w:overflowPunct/>
              <w:topLinePunct w:val="0"/>
              <w:bidi w:val="0"/>
              <w:spacing w:before="120" w:beforeLines="50"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编列内容</w:t>
            </w:r>
          </w:p>
        </w:tc>
      </w:tr>
      <w:tr w14:paraId="389B828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4B1C8081">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4A1D82B">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1.投标人的资格要求详见招标公告。</w:t>
            </w:r>
          </w:p>
          <w:p w14:paraId="703F40BB">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2.投标人出现下列情形之一的，不得参加政府采购活动：</w:t>
            </w:r>
          </w:p>
          <w:p w14:paraId="5BEBB7FC">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2.1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7B48E9E">
            <w:pPr>
              <w:keepNext w:val="0"/>
              <w:keepLines w:val="0"/>
              <w:pageBreakBefore w:val="0"/>
              <w:widowControl w:val="0"/>
              <w:kinsoku/>
              <w:wordWrap w:val="0"/>
              <w:overflowPunct/>
              <w:topLinePunct w:val="0"/>
              <w:bidi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2.2对在“信用中国”网站（www.creditchina.gov.cn）、中国政府采购网（www.ccgp.gov.cn）被列入失信被执行人、重大税收违法失信主体、政府采购严重违法失信行为记录名单及其他不符合《中华人民共和国政府采购法》第二十二条规定条件的供应商，不得参与政府采购活动。</w:t>
            </w:r>
          </w:p>
        </w:tc>
      </w:tr>
      <w:tr w14:paraId="17C396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4AC31358">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66" w:name="_8.1"/>
            <w:bookmarkEnd w:id="66"/>
            <w:bookmarkStart w:id="67" w:name="_5"/>
            <w:bookmarkEnd w:id="67"/>
            <w:bookmarkStart w:id="68" w:name="_9.2"/>
            <w:bookmarkEnd w:id="68"/>
            <w:r>
              <w:rPr>
                <w:rFonts w:hint="eastAsia" w:ascii="宋体" w:hAnsi="宋体" w:cs="宋体"/>
                <w:color w:val="auto"/>
                <w:szCs w:val="21"/>
                <w:highlight w:val="none"/>
              </w:rPr>
              <w:t>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D660D01">
            <w:pPr>
              <w:pStyle w:val="12"/>
              <w:keepNext w:val="0"/>
              <w:keepLines w:val="0"/>
              <w:pageBreakBefore w:val="0"/>
              <w:widowControl w:val="0"/>
              <w:kinsoku/>
              <w:overflowPunct/>
              <w:topLinePunct w:val="0"/>
              <w:bidi w:val="0"/>
              <w:spacing w:line="400" w:lineRule="exact"/>
              <w:rPr>
                <w:rFonts w:hint="eastAsia" w:ascii="宋体" w:hAnsi="宋体" w:cs="宋体"/>
                <w:b/>
                <w:color w:val="auto"/>
                <w:szCs w:val="21"/>
                <w:highlight w:val="none"/>
              </w:rPr>
            </w:pPr>
            <w:r>
              <w:rPr>
                <w:rFonts w:hint="eastAsia" w:ascii="宋体" w:hAnsi="宋体" w:cs="宋体"/>
                <w:color w:val="auto"/>
                <w:szCs w:val="21"/>
                <w:highlight w:val="none"/>
              </w:rPr>
              <w:t>本项目是否接受联合体投标：详见招标公告。</w:t>
            </w:r>
          </w:p>
        </w:tc>
      </w:tr>
      <w:tr w14:paraId="75165E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61265DA3">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6.2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6519A32">
            <w:pPr>
              <w:pStyle w:val="12"/>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69" w:name="_Hlk54105293"/>
            <w:r>
              <w:rPr>
                <w:rFonts w:hint="eastAsia" w:ascii="宋体" w:hAnsi="宋体" w:cs="宋体"/>
                <w:color w:val="auto"/>
                <w:szCs w:val="21"/>
                <w:highlight w:val="none"/>
              </w:rPr>
              <w:t>如接受联合体投标，</w:t>
            </w:r>
            <w:bookmarkEnd w:id="69"/>
            <w:r>
              <w:rPr>
                <w:rFonts w:hint="eastAsia" w:ascii="宋体" w:hAnsi="宋体" w:cs="宋体"/>
                <w:color w:val="auto"/>
                <w:szCs w:val="21"/>
                <w:highlight w:val="none"/>
              </w:rPr>
              <w:t>联合体投标要求如下：</w:t>
            </w:r>
          </w:p>
          <w:p w14:paraId="7D8A8ED4">
            <w:pPr>
              <w:pStyle w:val="12"/>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1.两个或两个以上投标人可以组成一个投标联合体，以一个投标人的身份共同参加投标。</w:t>
            </w:r>
            <w:r>
              <w:rPr>
                <w:rFonts w:hint="eastAsia" w:ascii="宋体" w:hAnsi="宋体" w:cs="宋体"/>
                <w:b/>
                <w:bCs/>
                <w:color w:val="auto"/>
                <w:szCs w:val="21"/>
                <w:highlight w:val="none"/>
              </w:rPr>
              <w:t>联合体投标人的名称应统一按“XXX公司与XXX公司的联合体”的规则填写</w:t>
            </w:r>
            <w:r>
              <w:rPr>
                <w:rFonts w:hint="eastAsia" w:ascii="宋体" w:hAnsi="宋体" w:cs="宋体"/>
                <w:color w:val="auto"/>
                <w:szCs w:val="21"/>
                <w:highlight w:val="none"/>
              </w:rPr>
              <w:t>。联合体投标的，须提供《联合体投标协议书》（格式后附）。</w:t>
            </w:r>
          </w:p>
          <w:p w14:paraId="6616707E">
            <w:pPr>
              <w:pStyle w:val="12"/>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以联合体形式参加投标的，联合体各方均必须具备《中华人民共和国政府采购法》第二十二条第一款规定的基本条件（涉及行政许可范围的内容，联合体各方均应具备相应资质）。本项目有特殊要求规定投标人特定条件的，联合体各方中至少有一方必须符合招标文件规定的特定条件。</w:t>
            </w:r>
          </w:p>
          <w:p w14:paraId="26180D2A">
            <w:pPr>
              <w:pStyle w:val="12"/>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3.联合体各方之间必须签订联合投标协议，协议书必须明确主体方（或者牵头方）并明确约定联合体各方承担的工作和相应的责任（</w:t>
            </w:r>
            <w:r>
              <w:rPr>
                <w:rFonts w:hint="eastAsia" w:ascii="宋体" w:hAnsi="宋体" w:cs="宋体"/>
                <w:b/>
                <w:color w:val="auto"/>
                <w:szCs w:val="21"/>
                <w:highlight w:val="none"/>
              </w:rPr>
              <w:t>各方承担责任与义务的分工必须符合采购需求，否则，联合体投标无效</w:t>
            </w:r>
            <w:r>
              <w:rPr>
                <w:rFonts w:hint="eastAsia" w:ascii="宋体" w:hAnsi="宋体" w:cs="宋体"/>
                <w:color w:val="auto"/>
                <w:szCs w:val="21"/>
                <w:highlight w:val="none"/>
              </w:rPr>
              <w:t>），并将联合投标协议放入投标文件。联合体各方必须共同与采购人签订采购合同，就采购合同约定的事项对采购人承担连带责任。</w:t>
            </w:r>
          </w:p>
          <w:p w14:paraId="16CFBA24">
            <w:pPr>
              <w:pStyle w:val="12"/>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4.以联合体形式参加政府采购活动的，联合体各方不得再单独参加或者与其他投标人另外组成联合体参加同一合同项下的政府采购活动。</w:t>
            </w:r>
          </w:p>
          <w:p w14:paraId="25F6BE46">
            <w:pPr>
              <w:pStyle w:val="12"/>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5.联合体中有同类资质的投标人按照联合体分工承担相同工作的，应当按照资质等级较低的投标人确定资质等级。</w:t>
            </w:r>
          </w:p>
          <w:p w14:paraId="12CC5566">
            <w:pPr>
              <w:pStyle w:val="12"/>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6.联合体投标业绩、履约能力按照联合体各方其中较高的一方认定并计算（招标文件另有规定的除外）。</w:t>
            </w:r>
          </w:p>
          <w:p w14:paraId="65B2A33C">
            <w:pPr>
              <w:pStyle w:val="12"/>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7.投标人为联合体的，可以由联合体中的一方或者多方共同交纳投标保证金，其交纳的保证金对联合体各方均具有约束力。</w:t>
            </w:r>
          </w:p>
          <w:p w14:paraId="28FF6CA5">
            <w:pPr>
              <w:pStyle w:val="12"/>
              <w:keepNext w:val="0"/>
              <w:keepLines w:val="0"/>
              <w:pageBreakBefore w:val="0"/>
              <w:widowControl w:val="0"/>
              <w:kinsoku/>
              <w:overflowPunct/>
              <w:topLinePunct w:val="0"/>
              <w:bidi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8.联合体各方均应按照招标文件的规定提交资格证明文件。</w:t>
            </w:r>
          </w:p>
        </w:tc>
      </w:tr>
      <w:tr w14:paraId="462E2F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23E799DE">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7.2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5E880116">
            <w:pPr>
              <w:pStyle w:val="12"/>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☑不允许分包</w:t>
            </w:r>
          </w:p>
          <w:p w14:paraId="40069895">
            <w:pPr>
              <w:pStyle w:val="12"/>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70" w:name="OLE_LINK12"/>
            <w:r>
              <w:rPr>
                <w:rFonts w:hint="eastAsia" w:ascii="宋体" w:hAnsi="宋体" w:cs="宋体"/>
                <w:color w:val="auto"/>
                <w:szCs w:val="21"/>
                <w:highlight w:val="none"/>
              </w:rPr>
              <w:t>□</w:t>
            </w:r>
            <w:bookmarkEnd w:id="70"/>
            <w:r>
              <w:rPr>
                <w:rFonts w:hint="eastAsia" w:ascii="宋体" w:hAnsi="宋体" w:cs="宋体"/>
                <w:color w:val="auto"/>
                <w:szCs w:val="21"/>
                <w:highlight w:val="none"/>
              </w:rPr>
              <w:t>允许分包</w:t>
            </w:r>
          </w:p>
          <w:p w14:paraId="2A7F4B67">
            <w:pPr>
              <w:pStyle w:val="12"/>
              <w:keepNext w:val="0"/>
              <w:keepLines w:val="0"/>
              <w:pageBreakBefore w:val="0"/>
              <w:widowControl w:val="0"/>
              <w:kinsoku/>
              <w:overflowPunct/>
              <w:topLinePunct w:val="0"/>
              <w:bidi w:val="0"/>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分包内容：</w:t>
            </w:r>
            <w:r>
              <w:rPr>
                <w:rFonts w:hint="eastAsia" w:ascii="宋体" w:hAnsi="宋体" w:cs="宋体"/>
                <w:color w:val="auto"/>
                <w:szCs w:val="21"/>
                <w:highlight w:val="none"/>
                <w:u w:val="single"/>
              </w:rPr>
              <w:t xml:space="preserve">                                     。</w:t>
            </w:r>
          </w:p>
          <w:p w14:paraId="7FE73462">
            <w:pPr>
              <w:pStyle w:val="12"/>
              <w:keepNext w:val="0"/>
              <w:keepLines w:val="0"/>
              <w:pageBreakBefore w:val="0"/>
              <w:widowControl w:val="0"/>
              <w:kinsoku/>
              <w:overflowPunct/>
              <w:topLinePunct w:val="0"/>
              <w:bidi w:val="0"/>
              <w:spacing w:line="400" w:lineRule="exact"/>
              <w:jc w:val="both"/>
              <w:rPr>
                <w:rFonts w:hint="eastAsia" w:ascii="宋体" w:hAnsi="宋体" w:cs="宋体"/>
                <w:color w:val="auto"/>
                <w:szCs w:val="21"/>
                <w:highlight w:val="none"/>
                <w:u w:val="single"/>
              </w:rPr>
            </w:pPr>
            <w:r>
              <w:rPr>
                <w:rFonts w:hint="eastAsia" w:ascii="宋体" w:hAnsi="宋体" w:cs="宋体"/>
                <w:color w:val="auto"/>
                <w:szCs w:val="21"/>
                <w:highlight w:val="none"/>
              </w:rPr>
              <w:t>分包金额或者比例：</w:t>
            </w:r>
            <w:r>
              <w:rPr>
                <w:rFonts w:hint="eastAsia" w:ascii="宋体" w:hAnsi="宋体" w:cs="宋体"/>
                <w:color w:val="auto"/>
                <w:szCs w:val="21"/>
                <w:highlight w:val="none"/>
                <w:u w:val="single"/>
              </w:rPr>
              <w:t xml:space="preserve">                                     。</w:t>
            </w:r>
          </w:p>
        </w:tc>
      </w:tr>
      <w:tr w14:paraId="77B8E1C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0" w:hRule="atLeast"/>
        </w:trPr>
        <w:tc>
          <w:tcPr>
            <w:tcW w:w="978" w:type="dxa"/>
            <w:vMerge w:val="restart"/>
            <w:tcBorders>
              <w:top w:val="single" w:color="auto" w:sz="4" w:space="0"/>
              <w:left w:val="single" w:color="auto" w:sz="4" w:space="0"/>
              <w:right w:val="single" w:color="auto" w:sz="4" w:space="0"/>
            </w:tcBorders>
            <w:noWrap w:val="0"/>
            <w:vAlign w:val="center"/>
          </w:tcPr>
          <w:p w14:paraId="076E21D4">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11.2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67C837D">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组织现场考察</w:t>
            </w:r>
          </w:p>
          <w:p w14:paraId="37E06D98">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现场踏勘说明：</w:t>
            </w:r>
          </w:p>
          <w:p w14:paraId="460FFB22">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1）为保证本项目的设计和设备安装与现场情况相符并符合采购人实际使用要求，供应商可自愿前往实施现场进行踏勘，以充分了解项目情况。供应商不进行现场踏勘的视为已了解该项目的所有情况。因成交供应商踏勘有误或未进行踏勘而造成项目无法按采购人要求实施的将被拒绝验收，引起的一切后果，均由供应商自行承担。</w:t>
            </w:r>
          </w:p>
          <w:p w14:paraId="2A85F3B3">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（2）踏勘集中时间：2026年</w:t>
            </w:r>
            <w:r>
              <w:rPr>
                <w:rFonts w:hint="eastAsia" w:ascii="宋体" w:hAnsi="宋体" w:cs="宋体"/>
                <w:color w:val="auto"/>
                <w:szCs w:val="21"/>
                <w:highlight w:val="none"/>
                <w:lang w:val="en-US" w:eastAsia="zh-CN"/>
              </w:rPr>
              <w:t xml:space="preserve">  </w:t>
            </w:r>
            <w:r>
              <w:rPr>
                <w:rFonts w:hint="eastAsia" w:ascii="宋体" w:hAnsi="宋体" w:cs="宋体"/>
                <w:color w:val="auto"/>
                <w:szCs w:val="21"/>
                <w:highlight w:val="none"/>
              </w:rPr>
              <w:t>月  日上午9时00分，逾期后果自负。</w:t>
            </w:r>
          </w:p>
          <w:p w14:paraId="35B6A1C4">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（3）集中地点：南宁市河堤路85号广西壮族自治区江滨医院高压氧科门前。</w:t>
            </w:r>
          </w:p>
          <w:p w14:paraId="73C038A2">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（4）携带的材料：供应商代理持法定代表人（负责人）授权委托书、个人有效身份证原件前往。</w:t>
            </w:r>
          </w:p>
          <w:p w14:paraId="0B1F2B0A">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（5）踏勘联系人：广西江滨医院医学装备部徐老师，踏勘联系电话：</w:t>
            </w:r>
            <w:r>
              <w:rPr>
                <w:rFonts w:hint="eastAsia" w:ascii="宋体" w:hAnsi="宋体" w:cs="宋体"/>
                <w:color w:val="auto"/>
                <w:szCs w:val="21"/>
                <w:highlight w:val="none"/>
                <w:lang w:val="en-US" w:eastAsia="zh-CN"/>
              </w:rPr>
              <w:t>0771-2080033</w:t>
            </w:r>
            <w:r>
              <w:rPr>
                <w:rFonts w:hint="eastAsia" w:ascii="宋体" w:hAnsi="宋体" w:cs="宋体"/>
                <w:color w:val="auto"/>
                <w:szCs w:val="21"/>
                <w:highlight w:val="none"/>
              </w:rPr>
              <w:t>。</w:t>
            </w:r>
          </w:p>
        </w:tc>
      </w:tr>
      <w:tr w14:paraId="010699F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3" w:hRule="atLeast"/>
        </w:trPr>
        <w:tc>
          <w:tcPr>
            <w:tcW w:w="978" w:type="dxa"/>
            <w:vMerge w:val="continue"/>
            <w:tcBorders>
              <w:left w:val="single" w:color="auto" w:sz="4" w:space="0"/>
              <w:bottom w:val="single" w:color="auto" w:sz="4" w:space="0"/>
              <w:right w:val="single" w:color="auto" w:sz="4" w:space="0"/>
            </w:tcBorders>
            <w:noWrap w:val="0"/>
            <w:vAlign w:val="center"/>
          </w:tcPr>
          <w:p w14:paraId="700DE815">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p>
        </w:tc>
        <w:tc>
          <w:tcPr>
            <w:tcW w:w="8175" w:type="dxa"/>
            <w:tcBorders>
              <w:top w:val="single" w:color="auto" w:sz="4" w:space="0"/>
              <w:left w:val="single" w:color="auto" w:sz="4" w:space="0"/>
              <w:bottom w:val="single" w:color="auto" w:sz="4" w:space="0"/>
              <w:right w:val="single" w:color="auto" w:sz="4" w:space="0"/>
            </w:tcBorders>
            <w:noWrap w:val="0"/>
            <w:vAlign w:val="center"/>
          </w:tcPr>
          <w:p w14:paraId="5E0C258D">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☑不组织召开开标前答疑会</w:t>
            </w:r>
          </w:p>
        </w:tc>
      </w:tr>
      <w:tr w14:paraId="6BF7E8B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restart"/>
            <w:tcBorders>
              <w:top w:val="single" w:color="auto" w:sz="4" w:space="0"/>
              <w:left w:val="single" w:color="auto" w:sz="4" w:space="0"/>
              <w:right w:val="single" w:color="auto" w:sz="4" w:space="0"/>
            </w:tcBorders>
            <w:noWrap w:val="0"/>
            <w:vAlign w:val="center"/>
          </w:tcPr>
          <w:p w14:paraId="20302DD1">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1" w:name="_13.1"/>
            <w:bookmarkEnd w:id="71"/>
            <w:r>
              <w:rPr>
                <w:rFonts w:hint="eastAsia" w:ascii="宋体" w:hAnsi="宋体" w:cs="宋体"/>
                <w:color w:val="auto"/>
                <w:szCs w:val="21"/>
                <w:highlight w:val="none"/>
              </w:rPr>
              <w:t>13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B8DCA44">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报价文件：</w:t>
            </w:r>
          </w:p>
          <w:p w14:paraId="4C9627FE">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1.投标函（格式后附）；</w:t>
            </w:r>
            <w:r>
              <w:rPr>
                <w:rFonts w:hint="eastAsia" w:ascii="宋体" w:hAnsi="宋体" w:cs="宋体"/>
                <w:b/>
                <w:color w:val="auto"/>
                <w:szCs w:val="21"/>
                <w:highlight w:val="none"/>
              </w:rPr>
              <w:t>（必须提供，否则按无效投标处理）</w:t>
            </w:r>
          </w:p>
          <w:p w14:paraId="79E088ED">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2.开标一览表（格式后附）；（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29306FA7">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3.中小企业声明函或监狱企业证明文件或残疾人福利性单位声明函；（如有请提供）</w:t>
            </w:r>
          </w:p>
          <w:p w14:paraId="0A935D36">
            <w:pPr>
              <w:keepNext w:val="0"/>
              <w:keepLines w:val="0"/>
              <w:pageBreakBefore w:val="0"/>
              <w:widowControl w:val="0"/>
              <w:tabs>
                <w:tab w:val="left" w:pos="459"/>
              </w:tabs>
              <w:kinsoku/>
              <w:overflowPunct/>
              <w:topLinePunct w:val="0"/>
              <w:bidi w:val="0"/>
              <w:snapToGrid w:val="0"/>
              <w:spacing w:line="400" w:lineRule="exact"/>
              <w:ind w:left="-2" w:leftChars="-1"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4.投标人针对报价需要说明的其他文件和说明（格式自拟）。（如有请提供）</w:t>
            </w:r>
          </w:p>
          <w:p w14:paraId="64A99580">
            <w:pPr>
              <w:keepNext w:val="0"/>
              <w:keepLines w:val="0"/>
              <w:pageBreakBefore w:val="0"/>
              <w:widowControl w:val="0"/>
              <w:tabs>
                <w:tab w:val="left" w:pos="459"/>
              </w:tabs>
              <w:kinsoku/>
              <w:overflowPunct/>
              <w:topLinePunct w:val="0"/>
              <w:bidi w:val="0"/>
              <w:snapToGrid w:val="0"/>
              <w:spacing w:line="400" w:lineRule="exact"/>
              <w:ind w:left="-2" w:leftChars="-1" w:firstLine="422" w:firstLineChars="200"/>
              <w:rPr>
                <w:rFonts w:hint="eastAsia" w:ascii="宋体" w:hAnsi="宋体" w:cs="宋体"/>
                <w:b/>
                <w:color w:val="auto"/>
                <w:szCs w:val="21"/>
                <w:highlight w:val="none"/>
              </w:rPr>
            </w:pPr>
            <w:r>
              <w:rPr>
                <w:rFonts w:hint="eastAsia" w:ascii="宋体" w:hAnsi="宋体" w:cs="宋体"/>
                <w:b/>
                <w:color w:val="auto"/>
                <w:szCs w:val="21"/>
                <w:highlight w:val="none"/>
              </w:rPr>
              <w:t>注：1.以上标明“必须提供”的材料的，必须加盖投标人电子签章，否则按无效投标处理；</w:t>
            </w:r>
          </w:p>
          <w:p w14:paraId="4A28A6CF">
            <w:pPr>
              <w:keepNext w:val="0"/>
              <w:keepLines w:val="0"/>
              <w:pageBreakBefore w:val="0"/>
              <w:widowControl w:val="0"/>
              <w:tabs>
                <w:tab w:val="left" w:pos="459"/>
              </w:tabs>
              <w:kinsoku/>
              <w:overflowPunct/>
              <w:topLinePunct w:val="0"/>
              <w:bidi w:val="0"/>
              <w:snapToGrid w:val="0"/>
              <w:spacing w:line="400" w:lineRule="exact"/>
              <w:ind w:left="-2" w:leftChars="-1" w:firstLine="843" w:firstLineChars="400"/>
              <w:rPr>
                <w:rFonts w:hint="eastAsia" w:ascii="宋体" w:hAnsi="宋体" w:cs="宋体"/>
                <w:b/>
                <w:color w:val="auto"/>
                <w:szCs w:val="21"/>
                <w:highlight w:val="none"/>
              </w:rPr>
            </w:pPr>
            <w:r>
              <w:rPr>
                <w:rFonts w:hint="eastAsia" w:ascii="宋体" w:hAnsi="宋体" w:cs="宋体"/>
                <w:b/>
                <w:color w:val="auto"/>
                <w:szCs w:val="21"/>
                <w:highlight w:val="none"/>
              </w:rPr>
              <w:t>2.联合体投标时，盖章处须加盖联合体牵头人电子签章</w:t>
            </w:r>
            <w:r>
              <w:rPr>
                <w:rFonts w:hint="eastAsia" w:ascii="宋体" w:hAnsi="宋体" w:cs="宋体"/>
                <w:b/>
                <w:color w:val="auto"/>
                <w:szCs w:val="21"/>
                <w:highlight w:val="none"/>
                <w:lang w:eastAsia="zh-CN"/>
              </w:rPr>
              <w:t>，在</w:t>
            </w:r>
            <w:r>
              <w:rPr>
                <w:rFonts w:hint="eastAsia" w:ascii="宋体" w:hAnsi="宋体" w:cs="宋体"/>
                <w:b/>
                <w:color w:val="auto"/>
                <w:szCs w:val="21"/>
                <w:highlight w:val="none"/>
              </w:rPr>
              <w:t>规定签字处签字（或者电子签名），否则</w:t>
            </w:r>
            <w:r>
              <w:rPr>
                <w:rFonts w:hint="eastAsia" w:ascii="宋体" w:hAnsi="宋体" w:cs="宋体"/>
                <w:b/>
                <w:color w:val="auto"/>
                <w:szCs w:val="21"/>
                <w:highlight w:val="none"/>
                <w:lang w:eastAsia="zh-CN"/>
              </w:rPr>
              <w:t>投标文件</w:t>
            </w:r>
            <w:r>
              <w:rPr>
                <w:rFonts w:hint="eastAsia" w:ascii="宋体" w:hAnsi="宋体" w:cs="宋体"/>
                <w:b/>
                <w:color w:val="auto"/>
                <w:szCs w:val="21"/>
                <w:highlight w:val="none"/>
              </w:rPr>
              <w:t>按无效处理。</w:t>
            </w:r>
          </w:p>
        </w:tc>
      </w:tr>
      <w:tr w14:paraId="7AB99E2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noWrap w:val="0"/>
            <w:vAlign w:val="center"/>
          </w:tcPr>
          <w:p w14:paraId="16CAE5A5">
            <w:pPr>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72" w:name="_13.2"/>
            <w:bookmarkEnd w:id="72"/>
          </w:p>
        </w:tc>
        <w:tc>
          <w:tcPr>
            <w:tcW w:w="8175" w:type="dxa"/>
            <w:tcBorders>
              <w:top w:val="single" w:color="auto" w:sz="4" w:space="0"/>
              <w:left w:val="single" w:color="auto" w:sz="4" w:space="0"/>
              <w:bottom w:val="single" w:color="auto" w:sz="4" w:space="0"/>
              <w:right w:val="single" w:color="auto" w:sz="4" w:space="0"/>
            </w:tcBorders>
            <w:noWrap w:val="0"/>
            <w:vAlign w:val="center"/>
          </w:tcPr>
          <w:p w14:paraId="573BDCE3">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b/>
                <w:color w:val="auto"/>
                <w:szCs w:val="21"/>
                <w:highlight w:val="none"/>
              </w:rPr>
              <w:t>资格证明文件：</w:t>
            </w:r>
          </w:p>
          <w:p w14:paraId="1FFD254C">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1.投标人为法人或者其他组织的，提供营业执照等证明文件（如营业执照或者事业单位法人证书或者</w:t>
            </w:r>
            <w:r>
              <w:rPr>
                <w:rStyle w:val="75"/>
                <w:rFonts w:hint="eastAsia"/>
                <w:color w:val="auto"/>
                <w:sz w:val="21"/>
                <w:szCs w:val="21"/>
                <w:highlight w:val="none"/>
              </w:rPr>
              <w:t>执业许可证</w:t>
            </w:r>
            <w:r>
              <w:rPr>
                <w:rFonts w:hint="eastAsia" w:ascii="宋体" w:hAnsi="宋体" w:cs="宋体"/>
                <w:color w:val="auto"/>
                <w:szCs w:val="21"/>
                <w:highlight w:val="none"/>
              </w:rPr>
              <w:t>或者登记证书等），投标人为自然人的，提供身份证复印件；（</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F93B40A">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rPr>
              <w:t>2.投标人依法缴纳税收的相关材料</w:t>
            </w:r>
            <w:r>
              <w:rPr>
                <w:rFonts w:hint="eastAsia" w:ascii="宋体" w:hAnsi="宋体" w:cs="宋体"/>
                <w:color w:val="auto"/>
                <w:szCs w:val="21"/>
                <w:highlight w:val="none"/>
                <w:lang w:val="en-US" w:eastAsia="zh-CN"/>
              </w:rPr>
              <w:t>[</w:t>
            </w:r>
            <w:r>
              <w:rPr>
                <w:rFonts w:hint="eastAsia" w:ascii="宋体" w:hAnsi="宋体" w:cs="宋体"/>
                <w:color w:val="auto"/>
                <w:szCs w:val="21"/>
                <w:highlight w:val="none"/>
                <w:u w:val="single"/>
                <w:lang w:eastAsia="zh-CN"/>
              </w:rPr>
              <w:t>投标截止时间前近半年内</w:t>
            </w:r>
            <w:r>
              <w:rPr>
                <w:rFonts w:hint="eastAsia" w:ascii="宋体" w:hAnsi="宋体" w:cs="宋体"/>
                <w:color w:val="auto"/>
                <w:szCs w:val="21"/>
                <w:highlight w:val="none"/>
              </w:rPr>
              <w:t>任意连续</w:t>
            </w:r>
            <w:r>
              <w:rPr>
                <w:rFonts w:hint="eastAsia" w:ascii="宋体" w:hAnsi="宋体" w:cs="宋体"/>
                <w:color w:val="auto"/>
                <w:szCs w:val="21"/>
                <w:highlight w:val="none"/>
                <w:u w:val="single"/>
              </w:rPr>
              <w:t>3</w:t>
            </w:r>
            <w:r>
              <w:rPr>
                <w:rFonts w:hint="eastAsia" w:ascii="宋体" w:hAnsi="宋体" w:cs="宋体"/>
                <w:color w:val="auto"/>
                <w:szCs w:val="21"/>
                <w:highlight w:val="none"/>
              </w:rPr>
              <w:t>个月的依法缴纳税收的证明材料的凭据复印件；依法免税的投标人，必须提供相应文件证明其依法免税。从成立之日起到投标文件提交截止时间止不足要求月数的，只需提供从成立之日起的依法缴纳税收相应证明文件</w:t>
            </w:r>
            <w:r>
              <w:rPr>
                <w:rFonts w:hint="eastAsia" w:ascii="宋体" w:hAnsi="宋体" w:cs="宋体"/>
                <w:color w:val="auto"/>
                <w:szCs w:val="21"/>
                <w:highlight w:val="none"/>
                <w:lang w:val="en-US" w:eastAsia="zh-CN"/>
              </w:rPr>
              <w:t>]</w:t>
            </w:r>
            <w:r>
              <w:rPr>
                <w:rFonts w:hint="eastAsia" w:ascii="宋体" w:hAnsi="宋体" w:cs="宋体"/>
                <w:color w:val="auto"/>
                <w:szCs w:val="21"/>
                <w:highlight w:val="none"/>
              </w:rPr>
              <w:t>（格式自拟）；（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A6CD327">
            <w:pPr>
              <w:keepNext w:val="0"/>
              <w:keepLines w:val="0"/>
              <w:pageBreakBefore w:val="0"/>
              <w:widowControl w:val="0"/>
              <w:kinsoku/>
              <w:overflowPunct/>
              <w:topLinePunct w:val="0"/>
              <w:bidi w:val="0"/>
              <w:snapToGrid w:val="0"/>
              <w:spacing w:line="400" w:lineRule="exact"/>
              <w:ind w:firstLine="420" w:firstLineChars="200"/>
              <w:jc w:val="left"/>
              <w:rPr>
                <w:rFonts w:hint="eastAsia" w:ascii="宋体" w:hAnsi="宋体" w:cs="宋体"/>
                <w:b/>
                <w:color w:val="auto"/>
                <w:szCs w:val="21"/>
                <w:highlight w:val="none"/>
              </w:rPr>
            </w:pPr>
            <w:r>
              <w:rPr>
                <w:rFonts w:hint="eastAsia" w:ascii="宋体" w:hAnsi="宋体" w:cs="宋体"/>
                <w:color w:val="auto"/>
                <w:szCs w:val="21"/>
                <w:highlight w:val="none"/>
              </w:rPr>
              <w:t>3.投标人依法缴纳社会保障资金的相关材料[</w:t>
            </w:r>
            <w:r>
              <w:rPr>
                <w:rFonts w:hint="eastAsia" w:ascii="宋体" w:hAnsi="宋体" w:cs="宋体"/>
                <w:color w:val="auto"/>
                <w:szCs w:val="21"/>
                <w:highlight w:val="none"/>
                <w:u w:val="single"/>
                <w:lang w:eastAsia="zh-CN"/>
              </w:rPr>
              <w:t>投标截止时间前近半年内</w:t>
            </w:r>
            <w:r>
              <w:rPr>
                <w:rFonts w:hint="eastAsia" w:ascii="宋体" w:hAnsi="宋体" w:cs="宋体"/>
                <w:color w:val="auto"/>
                <w:szCs w:val="21"/>
                <w:highlight w:val="none"/>
              </w:rPr>
              <w:t>任意连续</w:t>
            </w:r>
            <w:r>
              <w:rPr>
                <w:rFonts w:hint="eastAsia" w:ascii="宋体" w:hAnsi="宋体" w:cs="宋体"/>
                <w:color w:val="auto"/>
                <w:szCs w:val="21"/>
                <w:highlight w:val="none"/>
                <w:u w:val="single"/>
              </w:rPr>
              <w:t xml:space="preserve"> 3 </w:t>
            </w:r>
            <w:r>
              <w:rPr>
                <w:rFonts w:hint="eastAsia" w:ascii="宋体" w:hAnsi="宋体" w:cs="宋体"/>
                <w:color w:val="auto"/>
                <w:szCs w:val="21"/>
                <w:highlight w:val="none"/>
              </w:rPr>
              <w:t>个月的依法缴纳社会保障资金的缴费凭证（专用收据或者社会保险缴纳清单或者社保部门的证明）复印件；依法不需要缴纳社会保障资金的投标人，必须提供相应文件证明不需要缴纳社会保障资金。从成立之日起到投标文件提交截止时间止不足要求月数的只需提供从成立之日起的依法缴纳社会保障资金的相应证明文件]（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17EE754E">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4.投标人财务状况报告【</w:t>
            </w:r>
            <w:r>
              <w:rPr>
                <w:rFonts w:hint="eastAsia" w:ascii="宋体" w:hAnsi="宋体" w:cs="宋体"/>
                <w:color w:val="auto"/>
                <w:szCs w:val="21"/>
                <w:highlight w:val="none"/>
                <w:u w:val="single"/>
              </w:rPr>
              <w:t>2024年度</w:t>
            </w:r>
            <w:r>
              <w:rPr>
                <w:rFonts w:hint="eastAsia" w:ascii="宋体" w:hAnsi="宋体" w:cs="宋体"/>
                <w:color w:val="auto"/>
                <w:szCs w:val="21"/>
                <w:highlight w:val="none"/>
                <w:u w:val="single"/>
                <w:lang w:val="en-US" w:eastAsia="zh-CN"/>
              </w:rPr>
              <w:t>或2025年度</w:t>
            </w:r>
            <w:r>
              <w:rPr>
                <w:rFonts w:hint="eastAsia" w:ascii="宋体" w:hAnsi="宋体" w:cs="宋体"/>
                <w:color w:val="auto"/>
                <w:szCs w:val="21"/>
                <w:highlight w:val="none"/>
              </w:rPr>
              <w:t>的财务审计报告（至少包括资产负债表、利润表、现金流量表）复印件，或者银行出具的资信证明，或者中国人民银行征信中心出具的信用报告（企业投标的提供企业信用报告，自然人投标的提供个人信用报告，投标人属于成立时间在规定年度之后的法人或其他组织，需提供成立之日起至投标截止时间前的月报表或银行出具的资信证明或者中国人民银行征信中心出具的企业信用报告；资信证明应在有效期内，未注明有效期的，银行出具时间至投标截止时间不超过一年）】；（</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56209B2">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5.投标人直接控股、管理关系信息表（格式后附）；（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3AB6D713">
            <w:pPr>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6.投标声明（格式后附）；（</w:t>
            </w:r>
            <w:r>
              <w:rPr>
                <w:rFonts w:hint="eastAsia" w:ascii="宋体" w:hAnsi="宋体" w:cs="宋体"/>
                <w:b/>
                <w:color w:val="auto"/>
                <w:szCs w:val="21"/>
                <w:highlight w:val="none"/>
              </w:rPr>
              <w:t>需法定代表人签字或电子签名，必须提供，否则按无效投标处理</w:t>
            </w:r>
            <w:r>
              <w:rPr>
                <w:rFonts w:hint="eastAsia" w:ascii="宋体" w:hAnsi="宋体" w:cs="宋体"/>
                <w:color w:val="auto"/>
                <w:szCs w:val="21"/>
                <w:highlight w:val="none"/>
              </w:rPr>
              <w:t>）</w:t>
            </w:r>
          </w:p>
          <w:p w14:paraId="025A8BCE">
            <w:pPr>
              <w:keepNext w:val="0"/>
              <w:keepLines w:val="0"/>
              <w:pageBreakBefore w:val="0"/>
              <w:kinsoku/>
              <w:overflowPunct/>
              <w:topLinePunct w:val="0"/>
              <w:bidi w:val="0"/>
              <w:spacing w:line="400" w:lineRule="exact"/>
              <w:ind w:firstLine="422" w:firstLineChars="200"/>
              <w:textAlignment w:val="auto"/>
              <w:rPr>
                <w:rFonts w:hint="eastAsia" w:ascii="宋体" w:hAnsi="宋体" w:cs="宋体"/>
                <w:color w:val="auto"/>
                <w:szCs w:val="21"/>
                <w:highlight w:val="none"/>
              </w:rPr>
            </w:pPr>
            <w:r>
              <w:rPr>
                <w:rFonts w:hint="eastAsia" w:ascii="宋体" w:hAnsi="宋体" w:eastAsia="宋体" w:cs="宋体"/>
                <w:b/>
                <w:bCs/>
                <w:color w:val="auto"/>
                <w:szCs w:val="21"/>
                <w:highlight w:val="none"/>
                <w:u w:val="none"/>
                <w:lang w:val="en-US" w:eastAsia="zh-CN"/>
              </w:rPr>
              <w:t>7.</w:t>
            </w:r>
            <w:r>
              <w:rPr>
                <w:rFonts w:hint="eastAsia" w:ascii="宋体" w:hAnsi="宋体" w:cs="宋体"/>
                <w:color w:val="auto"/>
                <w:szCs w:val="21"/>
                <w:highlight w:val="none"/>
              </w:rPr>
              <w:t>本项目的特定资格要求：</w:t>
            </w:r>
            <w:r>
              <w:rPr>
                <w:rFonts w:hint="eastAsia" w:ascii="宋体" w:hAnsi="宋体" w:eastAsia="宋体" w:cs="宋体"/>
                <w:b/>
                <w:bCs/>
                <w:color w:val="auto"/>
                <w:szCs w:val="21"/>
                <w:highlight w:val="none"/>
              </w:rPr>
              <w:t>（提供有效期内的证书</w:t>
            </w:r>
            <w:r>
              <w:rPr>
                <w:rFonts w:hint="eastAsia" w:ascii="宋体" w:hAnsi="宋体" w:cs="宋体"/>
                <w:b/>
                <w:bCs/>
                <w:color w:val="auto"/>
                <w:szCs w:val="21"/>
                <w:highlight w:val="none"/>
                <w:lang w:val="en-US" w:eastAsia="zh-CN"/>
              </w:rPr>
              <w:t>等证明材料</w:t>
            </w:r>
            <w:r>
              <w:rPr>
                <w:rFonts w:hint="eastAsia" w:ascii="宋体" w:hAnsi="宋体" w:cs="宋体"/>
                <w:b/>
                <w:bCs/>
                <w:color w:val="auto"/>
                <w:szCs w:val="21"/>
                <w:highlight w:val="none"/>
                <w:lang w:eastAsia="zh-CN"/>
              </w:rPr>
              <w:t>，</w:t>
            </w:r>
            <w:r>
              <w:rPr>
                <w:rFonts w:hint="eastAsia" w:ascii="宋体" w:hAnsi="宋体" w:eastAsia="宋体" w:cs="宋体"/>
                <w:b/>
                <w:bCs/>
                <w:color w:val="auto"/>
                <w:szCs w:val="21"/>
                <w:highlight w:val="none"/>
              </w:rPr>
              <w:t>必须提供，否则按无效投标处理）</w:t>
            </w:r>
          </w:p>
          <w:p w14:paraId="0F037227">
            <w:pPr>
              <w:keepNext w:val="0"/>
              <w:keepLines w:val="0"/>
              <w:pageBreakBefore w:val="0"/>
              <w:shd w:val="clear" w:color="auto" w:fill="auto"/>
              <w:kinsoku/>
              <w:overflowPunct/>
              <w:autoSpaceDE/>
              <w:autoSpaceDN/>
              <w:bidi w:val="0"/>
              <w:adjustRightInd/>
              <w:snapToGrid/>
              <w:spacing w:line="360" w:lineRule="auto"/>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①供应商须具备有效的《药品生产许可证》或《药品经营许可证》；</w:t>
            </w:r>
          </w:p>
          <w:p w14:paraId="29EF9EA4">
            <w:pPr>
              <w:keepNext w:val="0"/>
              <w:keepLines w:val="0"/>
              <w:pageBreakBefore w:val="0"/>
              <w:shd w:val="clear" w:color="auto" w:fill="auto"/>
              <w:kinsoku/>
              <w:overflowPunct/>
              <w:autoSpaceDE/>
              <w:autoSpaceDN/>
              <w:bidi w:val="0"/>
              <w:adjustRightInd/>
              <w:snapToGrid/>
              <w:spacing w:line="360" w:lineRule="auto"/>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②供应商须提供有效、含“氧”的《药品注册证书》或《药品再注册批准通知书》；</w:t>
            </w:r>
          </w:p>
          <w:p w14:paraId="45020414">
            <w:pPr>
              <w:keepNext w:val="0"/>
              <w:keepLines w:val="0"/>
              <w:pageBreakBefore w:val="0"/>
              <w:shd w:val="clear" w:color="auto" w:fill="auto"/>
              <w:kinsoku/>
              <w:overflowPunct/>
              <w:autoSpaceDE/>
              <w:autoSpaceDN/>
              <w:bidi w:val="0"/>
              <w:adjustRightInd/>
              <w:snapToGrid/>
              <w:spacing w:line="360" w:lineRule="auto"/>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③供应商须具备有效的《危险化学品经营许可证》或《安全生产许可证》；</w:t>
            </w:r>
          </w:p>
          <w:p w14:paraId="521D0F99">
            <w:pPr>
              <w:keepNext w:val="0"/>
              <w:keepLines w:val="0"/>
              <w:pageBreakBefore w:val="0"/>
              <w:shd w:val="clear" w:color="auto" w:fill="auto"/>
              <w:kinsoku/>
              <w:overflowPunct/>
              <w:autoSpaceDE/>
              <w:autoSpaceDN/>
              <w:bidi w:val="0"/>
              <w:adjustRightInd/>
              <w:snapToGrid/>
              <w:spacing w:line="360" w:lineRule="auto"/>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④供应商或其委托的运输单位具备有效的《道路运输经营许可证》（经营范围含危险货物运输 2 类 2 项）；</w:t>
            </w:r>
          </w:p>
          <w:p w14:paraId="1B8B4D0E">
            <w:pPr>
              <w:keepNext w:val="0"/>
              <w:keepLines w:val="0"/>
              <w:pageBreakBefore w:val="0"/>
              <w:shd w:val="clear" w:color="auto" w:fill="auto"/>
              <w:kinsoku/>
              <w:overflowPunct/>
              <w:autoSpaceDE/>
              <w:autoSpaceDN/>
              <w:bidi w:val="0"/>
              <w:adjustRightInd/>
              <w:snapToGrid/>
              <w:spacing w:line="360" w:lineRule="auto"/>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⑤供应商具有有效的《特种设备检验检测机构核准证（气瓶检验机构）》以及气瓶充装许可证；</w:t>
            </w:r>
          </w:p>
          <w:p w14:paraId="3CDD5F3E">
            <w:pPr>
              <w:keepNext w:val="0"/>
              <w:keepLines w:val="0"/>
              <w:pageBreakBefore w:val="0"/>
              <w:shd w:val="clear" w:color="auto" w:fill="auto"/>
              <w:kinsoku/>
              <w:overflowPunct/>
              <w:autoSpaceDE/>
              <w:autoSpaceDN/>
              <w:bidi w:val="0"/>
              <w:adjustRightInd/>
              <w:snapToGrid/>
              <w:spacing w:line="360" w:lineRule="auto"/>
              <w:ind w:firstLine="420" w:firstLineChars="200"/>
              <w:textAlignment w:val="auto"/>
              <w:rPr>
                <w:rFonts w:hint="eastAsia" w:ascii="宋体" w:hAnsi="宋体" w:cs="宋体"/>
                <w:color w:val="auto"/>
                <w:szCs w:val="21"/>
                <w:highlight w:val="none"/>
                <w:lang w:eastAsia="zh-CN"/>
              </w:rPr>
            </w:pPr>
            <w:r>
              <w:rPr>
                <w:rFonts w:hint="eastAsia" w:ascii="宋体" w:hAnsi="宋体" w:cs="宋体"/>
                <w:color w:val="auto"/>
                <w:szCs w:val="21"/>
                <w:highlight w:val="none"/>
                <w:lang w:eastAsia="zh-CN"/>
              </w:rPr>
              <w:t>⑥所投产品生产厂商须具备有效的移动式压力容器充装许可证（许可范围含液氧）。</w:t>
            </w:r>
          </w:p>
          <w:p w14:paraId="73293BA4">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b/>
                <w:color w:val="auto"/>
                <w:szCs w:val="21"/>
                <w:highlight w:val="none"/>
              </w:rPr>
            </w:pPr>
            <w:r>
              <w:rPr>
                <w:rFonts w:hint="eastAsia" w:ascii="宋体" w:hAnsi="宋体" w:cs="宋体"/>
                <w:color w:val="auto"/>
                <w:szCs w:val="21"/>
                <w:highlight w:val="none"/>
                <w:lang w:val="en-US" w:eastAsia="zh-CN"/>
              </w:rPr>
              <w:t>8</w:t>
            </w:r>
            <w:r>
              <w:rPr>
                <w:rFonts w:hint="eastAsia" w:ascii="宋体" w:hAnsi="宋体" w:cs="宋体"/>
                <w:color w:val="auto"/>
                <w:szCs w:val="21"/>
                <w:highlight w:val="none"/>
              </w:rPr>
              <w:t>.除招标文件规定必须提供以外，投标人认为需要提供的其他证明材料。（如有请提供）</w:t>
            </w:r>
          </w:p>
          <w:p w14:paraId="344065CF">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注：1.以上标明“必须提供”的材料的，必须加盖投标人电子签章，否则按无效投标处理。</w:t>
            </w:r>
            <w:r>
              <w:rPr>
                <w:rFonts w:hint="eastAsia" w:ascii="宋体" w:hAnsi="宋体" w:cs="宋体"/>
                <w:b/>
                <w:color w:val="auto"/>
                <w:szCs w:val="21"/>
                <w:highlight w:val="none"/>
              </w:rPr>
              <w:t>格式中有要求法定代表人或者委托代理人签字的，必须按要求签字（或是电子签名），并加盖供应商电子签章，否则</w:t>
            </w:r>
            <w:r>
              <w:rPr>
                <w:rFonts w:hint="eastAsia" w:ascii="宋体" w:hAnsi="宋体" w:cs="宋体"/>
                <w:b/>
                <w:color w:val="auto"/>
                <w:szCs w:val="21"/>
                <w:highlight w:val="none"/>
                <w:lang w:eastAsia="zh-CN"/>
              </w:rPr>
              <w:t>投标文件</w:t>
            </w:r>
            <w:r>
              <w:rPr>
                <w:rFonts w:hint="eastAsia" w:ascii="宋体" w:hAnsi="宋体" w:cs="宋体"/>
                <w:b/>
                <w:color w:val="auto"/>
                <w:szCs w:val="21"/>
                <w:highlight w:val="none"/>
              </w:rPr>
              <w:t>按无效处理。</w:t>
            </w:r>
          </w:p>
          <w:p w14:paraId="5817C2D9">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2.联合体投标时，第1-5项资格证明文件联合体各方均必须分别提供，</w:t>
            </w:r>
            <w:r>
              <w:rPr>
                <w:rFonts w:hint="eastAsia" w:ascii="宋体" w:hAnsi="宋体" w:cs="宋体"/>
                <w:b/>
                <w:color w:val="auto"/>
                <w:szCs w:val="21"/>
                <w:highlight w:val="none"/>
              </w:rPr>
              <w:t>并由联合体牵头人加盖电子签章</w:t>
            </w:r>
            <w:r>
              <w:rPr>
                <w:rFonts w:hint="eastAsia" w:ascii="宋体" w:hAnsi="宋体" w:cs="宋体"/>
                <w:b/>
                <w:color w:val="auto"/>
                <w:szCs w:val="21"/>
                <w:highlight w:val="none"/>
                <w:lang w:eastAsia="zh-CN"/>
              </w:rPr>
              <w:t>，在</w:t>
            </w:r>
            <w:r>
              <w:rPr>
                <w:rFonts w:hint="eastAsia" w:ascii="宋体" w:hAnsi="宋体" w:cs="宋体"/>
                <w:b/>
                <w:color w:val="auto"/>
                <w:szCs w:val="21"/>
                <w:highlight w:val="none"/>
              </w:rPr>
              <w:t>规定签字处签字</w:t>
            </w:r>
            <w:r>
              <w:rPr>
                <w:rFonts w:hint="eastAsia" w:ascii="宋体" w:hAnsi="宋体" w:cs="宋体"/>
                <w:b/>
                <w:bCs/>
                <w:color w:val="auto"/>
                <w:szCs w:val="21"/>
                <w:highlight w:val="none"/>
              </w:rPr>
              <w:t>（或者电子签名），否则按无效投标</w:t>
            </w:r>
            <w:r>
              <w:rPr>
                <w:rFonts w:hint="eastAsia" w:ascii="宋体" w:hAnsi="宋体" w:cs="宋体"/>
                <w:b/>
                <w:color w:val="auto"/>
                <w:szCs w:val="21"/>
                <w:highlight w:val="none"/>
              </w:rPr>
              <w:t>处理</w:t>
            </w:r>
            <w:r>
              <w:rPr>
                <w:rFonts w:hint="eastAsia" w:ascii="宋体" w:hAnsi="宋体" w:cs="宋体"/>
                <w:b/>
                <w:bCs/>
                <w:color w:val="auto"/>
                <w:szCs w:val="21"/>
                <w:highlight w:val="none"/>
              </w:rPr>
              <w:t>。</w:t>
            </w:r>
          </w:p>
        </w:tc>
      </w:tr>
      <w:tr w14:paraId="791E89B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vMerge w:val="continue"/>
            <w:tcBorders>
              <w:left w:val="single" w:color="auto" w:sz="4" w:space="0"/>
              <w:right w:val="single" w:color="auto" w:sz="4" w:space="0"/>
            </w:tcBorders>
            <w:noWrap w:val="0"/>
            <w:vAlign w:val="center"/>
          </w:tcPr>
          <w:p w14:paraId="7EE8B4B1">
            <w:pPr>
              <w:keepNext w:val="0"/>
              <w:keepLines w:val="0"/>
              <w:pageBreakBefore w:val="0"/>
              <w:widowControl w:val="0"/>
              <w:kinsoku/>
              <w:overflowPunct/>
              <w:topLinePunct w:val="0"/>
              <w:bidi w:val="0"/>
              <w:spacing w:line="400" w:lineRule="exact"/>
              <w:rPr>
                <w:rFonts w:hint="eastAsia" w:ascii="宋体" w:hAnsi="宋体" w:cs="宋体"/>
                <w:color w:val="auto"/>
                <w:szCs w:val="21"/>
                <w:highlight w:val="none"/>
              </w:rPr>
            </w:pPr>
            <w:bookmarkStart w:id="73" w:name="_13.3"/>
            <w:bookmarkEnd w:id="73"/>
          </w:p>
        </w:tc>
        <w:tc>
          <w:tcPr>
            <w:tcW w:w="8175" w:type="dxa"/>
            <w:tcBorders>
              <w:top w:val="single" w:color="auto" w:sz="4" w:space="0"/>
              <w:left w:val="single" w:color="auto" w:sz="4" w:space="0"/>
              <w:bottom w:val="single" w:color="auto" w:sz="4" w:space="0"/>
              <w:right w:val="single" w:color="auto" w:sz="4" w:space="0"/>
            </w:tcBorders>
            <w:noWrap w:val="0"/>
            <w:vAlign w:val="center"/>
          </w:tcPr>
          <w:p w14:paraId="06E30D18">
            <w:pPr>
              <w:keepNext w:val="0"/>
              <w:keepLines w:val="0"/>
              <w:pageBreakBefore w:val="0"/>
              <w:widowControl w:val="0"/>
              <w:kinsoku/>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b/>
                <w:color w:val="auto"/>
                <w:kern w:val="0"/>
                <w:szCs w:val="21"/>
                <w:highlight w:val="none"/>
              </w:rPr>
              <w:t>商务及技术文件</w:t>
            </w:r>
            <w:r>
              <w:rPr>
                <w:rFonts w:hint="eastAsia" w:ascii="宋体" w:hAnsi="宋体" w:cs="宋体"/>
                <w:b/>
                <w:color w:val="auto"/>
                <w:szCs w:val="21"/>
                <w:highlight w:val="none"/>
              </w:rPr>
              <w:t>：</w:t>
            </w:r>
          </w:p>
          <w:p w14:paraId="39AB28D5">
            <w:pPr>
              <w:pStyle w:val="34"/>
              <w:keepNext w:val="0"/>
              <w:keepLines w:val="0"/>
              <w:pageBreakBefore w:val="0"/>
              <w:widowControl w:val="0"/>
              <w:kinsoku/>
              <w:overflowPunct/>
              <w:topLinePunct w:val="0"/>
              <w:bidi w:val="0"/>
              <w:spacing w:line="400" w:lineRule="exact"/>
              <w:ind w:firstLine="422"/>
              <w:rPr>
                <w:rFonts w:hint="eastAsia" w:hAnsi="宋体" w:cs="宋体"/>
                <w:color w:val="auto"/>
                <w:szCs w:val="21"/>
                <w:highlight w:val="none"/>
              </w:rPr>
            </w:pPr>
            <w:r>
              <w:rPr>
                <w:rFonts w:hint="eastAsia" w:hAnsi="宋体" w:cs="宋体"/>
                <w:color w:val="auto"/>
                <w:szCs w:val="21"/>
                <w:highlight w:val="none"/>
              </w:rPr>
              <w:t>商务文件：</w:t>
            </w:r>
          </w:p>
          <w:p w14:paraId="2441BE8C">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1.无串通投标行为的承诺函（格式后附）；（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0559400B">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2.投标保证金缴纳证明；（</w:t>
            </w:r>
            <w:r>
              <w:rPr>
                <w:rFonts w:hint="eastAsia" w:ascii="宋体" w:hAnsi="宋体" w:cs="宋体"/>
                <w:b/>
                <w:bCs/>
                <w:color w:val="auto"/>
                <w:szCs w:val="21"/>
                <w:highlight w:val="none"/>
              </w:rPr>
              <w:t>必须提供</w:t>
            </w:r>
            <w:r>
              <w:rPr>
                <w:rFonts w:hint="eastAsia" w:ascii="宋体" w:hAnsi="宋体" w:cs="宋体"/>
                <w:b/>
                <w:color w:val="auto"/>
                <w:szCs w:val="21"/>
                <w:highlight w:val="none"/>
              </w:rPr>
              <w:t>，否则按无效投标处理</w:t>
            </w:r>
            <w:r>
              <w:rPr>
                <w:rFonts w:hint="eastAsia" w:ascii="宋体" w:hAnsi="宋体" w:cs="宋体"/>
                <w:color w:val="auto"/>
                <w:szCs w:val="21"/>
                <w:highlight w:val="none"/>
              </w:rPr>
              <w:t>）</w:t>
            </w:r>
          </w:p>
          <w:p w14:paraId="1203AD82">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3.法定代表人身份证明及法定代表人有效身份证正反面复印件（格式后附）；（</w:t>
            </w:r>
            <w:r>
              <w:rPr>
                <w:rFonts w:hint="eastAsia" w:ascii="宋体" w:hAnsi="宋体" w:cs="宋体"/>
                <w:b/>
                <w:bCs/>
                <w:color w:val="auto"/>
                <w:szCs w:val="21"/>
                <w:highlight w:val="none"/>
              </w:rPr>
              <w:t>除自然人投标外</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6339C9EF">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4.授权委托书及委托代理人有效身份证正反面复印件（格式后附）；（</w:t>
            </w:r>
            <w:r>
              <w:rPr>
                <w:rFonts w:hint="eastAsia" w:ascii="宋体" w:hAnsi="宋体" w:cs="宋体"/>
                <w:b/>
                <w:color w:val="auto"/>
                <w:szCs w:val="21"/>
                <w:highlight w:val="none"/>
              </w:rPr>
              <w:t>委托时必须提供，否则按无效投标处理</w:t>
            </w:r>
            <w:r>
              <w:rPr>
                <w:rFonts w:hint="eastAsia" w:ascii="宋体" w:hAnsi="宋体" w:cs="宋体"/>
                <w:color w:val="auto"/>
                <w:szCs w:val="21"/>
                <w:highlight w:val="none"/>
              </w:rPr>
              <w:t>）</w:t>
            </w:r>
          </w:p>
          <w:p w14:paraId="4F797B93">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5.商务要求偏离表（格式后附）；（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2C326ADD">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6.售后服务承诺（格式自拟）；（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2685789C">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7.投标人情况介绍（格式自拟）；（如有请提供）</w:t>
            </w:r>
          </w:p>
          <w:p w14:paraId="184AECAF">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8.投标人业绩证明材料（格式后附）；（如有请提供）</w:t>
            </w:r>
          </w:p>
          <w:p w14:paraId="38E17BF4">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9.除招标文件规定必须提供以外，投标人认为需要提供的其他证明材料（格式自拟）。（投标人根据“第二章 采购需求”及“第四章 评标方法及评标标准”提供有关证明材料）。（如有请提供）</w:t>
            </w:r>
          </w:p>
          <w:p w14:paraId="7135FC05">
            <w:pPr>
              <w:pStyle w:val="34"/>
              <w:keepNext w:val="0"/>
              <w:keepLines w:val="0"/>
              <w:pageBreakBefore w:val="0"/>
              <w:widowControl w:val="0"/>
              <w:kinsoku/>
              <w:overflowPunct/>
              <w:topLinePunct w:val="0"/>
              <w:bidi w:val="0"/>
              <w:spacing w:line="400" w:lineRule="exact"/>
              <w:ind w:firstLine="422"/>
              <w:rPr>
                <w:rFonts w:hint="eastAsia" w:hAnsi="宋体" w:cs="宋体"/>
                <w:color w:val="auto"/>
                <w:szCs w:val="21"/>
                <w:highlight w:val="none"/>
              </w:rPr>
            </w:pPr>
            <w:r>
              <w:rPr>
                <w:rFonts w:hint="eastAsia" w:hAnsi="宋体" w:cs="宋体"/>
                <w:color w:val="auto"/>
                <w:szCs w:val="21"/>
                <w:highlight w:val="none"/>
              </w:rPr>
              <w:t>技术文件：</w:t>
            </w:r>
          </w:p>
          <w:p w14:paraId="2712632C">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1.技术要求偏离表（格式后附）；（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88FDA9C">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2.服务实施方案（格式自拟）；（</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42A5EE40">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3.项目实施人员一览表（格式后附）；（</w:t>
            </w:r>
            <w:r>
              <w:rPr>
                <w:rFonts w:hint="eastAsia" w:ascii="宋体" w:hAnsi="宋体" w:cs="宋体"/>
                <w:b/>
                <w:color w:val="auto"/>
                <w:szCs w:val="21"/>
                <w:highlight w:val="none"/>
              </w:rPr>
              <w:t>必须提供，否则按无效投标处理</w:t>
            </w:r>
            <w:r>
              <w:rPr>
                <w:rFonts w:hint="eastAsia" w:ascii="宋体" w:hAnsi="宋体" w:cs="宋体"/>
                <w:color w:val="auto"/>
                <w:szCs w:val="21"/>
                <w:highlight w:val="none"/>
              </w:rPr>
              <w:t>）</w:t>
            </w:r>
          </w:p>
          <w:p w14:paraId="5ED37F35">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4.投标人对本项目的合理化建议和改进措施（格式自拟）；（如有请提供）</w:t>
            </w:r>
          </w:p>
          <w:p w14:paraId="34E7B298">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5.除招标文件规定必须提供以外，投标人认为需要提供的其他证明材料（格式自拟）。（投标人根据“第二章 采购需求”及“第四章 评标方法及评标标准”提供有关证明材料）。（如有请提供）</w:t>
            </w:r>
          </w:p>
          <w:p w14:paraId="633B5B7A">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b/>
                <w:bCs/>
                <w:color w:val="auto"/>
                <w:szCs w:val="21"/>
                <w:highlight w:val="none"/>
              </w:rPr>
            </w:pPr>
            <w:r>
              <w:rPr>
                <w:rFonts w:hint="eastAsia" w:ascii="宋体" w:hAnsi="宋体" w:cs="宋体"/>
                <w:b/>
                <w:bCs/>
                <w:color w:val="auto"/>
                <w:szCs w:val="21"/>
                <w:highlight w:val="none"/>
              </w:rPr>
              <w:t>注：1.以上标明“必须提供”的材料的，必须加盖投标人电子签章，否则按无效投标处理；</w:t>
            </w:r>
          </w:p>
          <w:p w14:paraId="1704DD7F">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cs="宋体"/>
                <w:color w:val="auto"/>
                <w:szCs w:val="21"/>
                <w:highlight w:val="none"/>
              </w:rPr>
            </w:pPr>
            <w:r>
              <w:rPr>
                <w:rFonts w:hint="eastAsia" w:ascii="宋体" w:hAnsi="宋体" w:cs="宋体"/>
                <w:b/>
                <w:bCs/>
                <w:color w:val="auto"/>
                <w:szCs w:val="21"/>
                <w:highlight w:val="none"/>
              </w:rPr>
              <w:t>2.联合体投标时，盖章处须加盖联合体牵头人电子签章</w:t>
            </w:r>
            <w:r>
              <w:rPr>
                <w:rFonts w:hint="eastAsia" w:ascii="宋体" w:hAnsi="宋体" w:cs="宋体"/>
                <w:b/>
                <w:bCs/>
                <w:color w:val="auto"/>
                <w:szCs w:val="21"/>
                <w:highlight w:val="none"/>
                <w:lang w:eastAsia="zh-CN"/>
              </w:rPr>
              <w:t>，在</w:t>
            </w:r>
            <w:r>
              <w:rPr>
                <w:rFonts w:hint="eastAsia" w:ascii="宋体" w:hAnsi="宋体" w:cs="宋体"/>
                <w:b/>
                <w:bCs/>
                <w:color w:val="auto"/>
                <w:szCs w:val="21"/>
                <w:highlight w:val="none"/>
              </w:rPr>
              <w:t>规定签字处签字（或者电子签名），否则</w:t>
            </w:r>
            <w:r>
              <w:rPr>
                <w:rFonts w:hint="eastAsia" w:ascii="宋体" w:hAnsi="宋体" w:cs="宋体"/>
                <w:b/>
                <w:bCs/>
                <w:color w:val="auto"/>
                <w:szCs w:val="21"/>
                <w:highlight w:val="none"/>
                <w:lang w:eastAsia="zh-CN"/>
              </w:rPr>
              <w:t>投标文件</w:t>
            </w:r>
            <w:r>
              <w:rPr>
                <w:rFonts w:hint="eastAsia" w:ascii="宋体" w:hAnsi="宋体" w:cs="宋体"/>
                <w:b/>
                <w:bCs/>
                <w:color w:val="auto"/>
                <w:szCs w:val="21"/>
                <w:highlight w:val="none"/>
              </w:rPr>
              <w:t>按无效处理。</w:t>
            </w:r>
          </w:p>
        </w:tc>
      </w:tr>
      <w:tr w14:paraId="4D0FC8F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490707B1">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74" w:name="_13.5"/>
            <w:bookmarkEnd w:id="74"/>
            <w:bookmarkStart w:id="75" w:name="_16.2"/>
            <w:bookmarkEnd w:id="75"/>
            <w:bookmarkStart w:id="76" w:name="_13.4"/>
            <w:bookmarkEnd w:id="76"/>
            <w:r>
              <w:rPr>
                <w:rFonts w:hint="eastAsia" w:ascii="宋体" w:hAnsi="宋体" w:cs="宋体"/>
                <w:color w:val="auto"/>
                <w:szCs w:val="21"/>
                <w:highlight w:val="none"/>
              </w:rPr>
              <w:t>16</w:t>
            </w:r>
            <w:bookmarkStart w:id="77" w:name="_Hlt19693759"/>
            <w:bookmarkStart w:id="78" w:name="_Hlt19194066"/>
            <w:bookmarkStart w:id="79" w:name="_Hlt19194067"/>
            <w:bookmarkStart w:id="80" w:name="_Hlt19693758"/>
            <w:r>
              <w:rPr>
                <w:rFonts w:hint="eastAsia" w:ascii="宋体" w:hAnsi="宋体" w:cs="宋体"/>
                <w:color w:val="auto"/>
                <w:szCs w:val="21"/>
                <w:highlight w:val="none"/>
              </w:rPr>
              <w:t>.</w:t>
            </w:r>
            <w:bookmarkEnd w:id="77"/>
            <w:bookmarkEnd w:id="78"/>
            <w:bookmarkEnd w:id="79"/>
            <w:bookmarkEnd w:id="80"/>
            <w:r>
              <w:rPr>
                <w:rFonts w:hint="eastAsia" w:ascii="宋体" w:hAnsi="宋体" w:cs="宋体"/>
                <w:color w:val="auto"/>
                <w:szCs w:val="21"/>
                <w:highlight w:val="none"/>
              </w:rPr>
              <w:t>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F78D957">
            <w:pPr>
              <w:keepNext w:val="0"/>
              <w:keepLines w:val="0"/>
              <w:pageBreakBefore w:val="0"/>
              <w:widowControl w:val="0"/>
              <w:kinsoku/>
              <w:overflowPunct/>
              <w:topLinePunct w:val="0"/>
              <w:bidi w:val="0"/>
              <w:snapToGrid w:val="0"/>
              <w:spacing w:line="400" w:lineRule="exact"/>
              <w:rPr>
                <w:rFonts w:hint="eastAsia" w:ascii="宋体" w:hAnsi="宋体" w:cs="宋体"/>
                <w:b/>
                <w:i/>
                <w:color w:val="auto"/>
                <w:szCs w:val="21"/>
                <w:highlight w:val="none"/>
              </w:rPr>
            </w:pPr>
            <w:r>
              <w:rPr>
                <w:rFonts w:hint="eastAsia" w:ascii="宋体" w:hAnsi="宋体" w:cs="宋体"/>
                <w:color w:val="auto"/>
                <w:szCs w:val="21"/>
                <w:highlight w:val="none"/>
              </w:rPr>
              <w:t>投标报价是履行合同的最终价格。</w:t>
            </w:r>
          </w:p>
        </w:tc>
      </w:tr>
      <w:tr w14:paraId="5F47EE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C16EBD9">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1" w:name="_17.1"/>
            <w:bookmarkEnd w:id="81"/>
            <w:r>
              <w:rPr>
                <w:rFonts w:hint="eastAsia" w:ascii="宋体" w:hAnsi="宋体" w:cs="宋体"/>
                <w:color w:val="auto"/>
                <w:szCs w:val="21"/>
                <w:highlight w:val="none"/>
              </w:rPr>
              <w:t>17.2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F550635">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投标有效期：自投标截止之日起</w:t>
            </w:r>
            <w:r>
              <w:rPr>
                <w:rFonts w:hint="eastAsia" w:ascii="宋体" w:hAnsi="宋体" w:cs="宋体"/>
                <w:color w:val="auto"/>
                <w:szCs w:val="21"/>
                <w:highlight w:val="none"/>
                <w:u w:val="single"/>
              </w:rPr>
              <w:t>90</w:t>
            </w:r>
            <w:r>
              <w:rPr>
                <w:rFonts w:hint="eastAsia" w:ascii="宋体" w:hAnsi="宋体" w:cs="宋体"/>
                <w:color w:val="auto"/>
                <w:szCs w:val="21"/>
                <w:highlight w:val="none"/>
              </w:rPr>
              <w:t>日。</w:t>
            </w:r>
          </w:p>
        </w:tc>
      </w:tr>
      <w:tr w14:paraId="4D8B6CA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12354A1F">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2" w:name="_18"/>
            <w:bookmarkEnd w:id="82"/>
            <w:r>
              <w:rPr>
                <w:rFonts w:hint="eastAsia" w:ascii="宋体" w:hAnsi="宋体" w:cs="宋体"/>
                <w:color w:val="auto"/>
                <w:szCs w:val="21"/>
                <w:highlight w:val="none"/>
              </w:rPr>
              <w:t>18.1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BB3EAF1">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lang w:eastAsia="zh-CN"/>
              </w:rPr>
              <w:t>□</w:t>
            </w:r>
            <w:r>
              <w:rPr>
                <w:rFonts w:hint="eastAsia" w:ascii="宋体" w:hAnsi="宋体" w:cs="宋体"/>
                <w:color w:val="auto"/>
                <w:szCs w:val="21"/>
                <w:highlight w:val="none"/>
              </w:rPr>
              <w:t>本项目不收取投标保证金。</w:t>
            </w:r>
          </w:p>
          <w:p w14:paraId="6CA94960">
            <w:pPr>
              <w:keepNext w:val="0"/>
              <w:keepLines w:val="0"/>
              <w:pageBreakBefore w:val="0"/>
              <w:widowControl w:val="0"/>
              <w:kinsoku/>
              <w:overflowPunct/>
              <w:topLinePunct w:val="0"/>
              <w:bidi w:val="0"/>
              <w:snapToGrid w:val="0"/>
              <w:spacing w:line="400" w:lineRule="exac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本项目收取投标保证金，具体规定</w:t>
            </w:r>
            <w:r>
              <w:rPr>
                <w:rFonts w:hint="eastAsia" w:ascii="宋体" w:hAnsi="宋体" w:eastAsia="宋体" w:cs="宋体"/>
                <w:color w:val="auto"/>
                <w:szCs w:val="21"/>
                <w:highlight w:val="none"/>
                <w:lang w:val="en-US" w:eastAsia="zh-CN"/>
              </w:rPr>
              <w:t>如下：</w:t>
            </w:r>
          </w:p>
          <w:p w14:paraId="20CB0DA3">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 xml:space="preserve">投标保证金人民币 </w:t>
            </w:r>
            <w:r>
              <w:rPr>
                <w:rFonts w:hint="eastAsia" w:ascii="宋体" w:hAnsi="宋体" w:cs="宋体"/>
                <w:color w:val="auto"/>
                <w:szCs w:val="21"/>
                <w:highlight w:val="none"/>
                <w:lang w:val="en-US" w:eastAsia="zh-CN"/>
              </w:rPr>
              <w:t>66000</w:t>
            </w:r>
            <w:r>
              <w:rPr>
                <w:rFonts w:hint="eastAsia" w:ascii="宋体" w:hAnsi="宋体" w:eastAsia="宋体" w:cs="宋体"/>
                <w:color w:val="auto"/>
                <w:szCs w:val="21"/>
                <w:highlight w:val="none"/>
              </w:rPr>
              <w:t>元。</w:t>
            </w:r>
          </w:p>
          <w:p w14:paraId="111E441F">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投标保证金的交纳方式：银行转账、支票、汇票、本票或者金融、担保机构出具的保函（包含电子保函），禁止采用现钞方式。采用银行转账方式的，在投标截止时间前从投标人账户交至指定账户并且到账【开户银行：招商银行南宁分行营业部，开户名称：</w:t>
            </w:r>
            <w:r>
              <w:rPr>
                <w:rFonts w:hint="eastAsia" w:ascii="宋体" w:hAnsi="宋体" w:eastAsia="宋体" w:cs="宋体"/>
                <w:color w:val="auto"/>
                <w:szCs w:val="21"/>
                <w:highlight w:val="none"/>
                <w:lang w:eastAsia="zh-CN"/>
              </w:rPr>
              <w:t>广西建设工程机电设备招标中心有限公司</w:t>
            </w:r>
            <w:r>
              <w:rPr>
                <w:rFonts w:hint="eastAsia" w:ascii="宋体" w:hAnsi="宋体" w:eastAsia="宋体" w:cs="宋体"/>
                <w:color w:val="auto"/>
                <w:szCs w:val="21"/>
                <w:highlight w:val="none"/>
              </w:rPr>
              <w:t>，银行账号：</w:t>
            </w:r>
            <w:r>
              <w:rPr>
                <w:rFonts w:hint="eastAsia" w:ascii="宋体" w:hAnsi="宋体" w:cs="宋体"/>
                <w:color w:val="auto"/>
                <w:szCs w:val="21"/>
                <w:highlight w:val="none"/>
              </w:rPr>
              <w:t>7719  0142  3310  201</w:t>
            </w:r>
            <w:r>
              <w:rPr>
                <w:rFonts w:hint="eastAsia" w:ascii="宋体" w:hAnsi="宋体" w:eastAsia="宋体" w:cs="宋体"/>
                <w:color w:val="auto"/>
                <w:szCs w:val="21"/>
                <w:highlight w:val="none"/>
              </w:rPr>
              <w:t>】；采用支票、汇票、本票或者保函等方式的，在投标截止时间前，投标人必须递交单独密封的支票、汇票、本票或者保函原件。否则视为无效投标保证金。</w:t>
            </w:r>
          </w:p>
          <w:p w14:paraId="4527E659">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相关要求：</w:t>
            </w:r>
          </w:p>
          <w:p w14:paraId="44C6F645">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1.投标保证金采用银行转账交纳方式的，在投标截止时间前交至指定账户并且到账，投标人应将银行转账底单的复印件作为投标保证金提交凭证，放置于商务及技术文件中，</w:t>
            </w:r>
            <w:r>
              <w:rPr>
                <w:rFonts w:hint="eastAsia" w:ascii="宋体" w:hAnsi="宋体" w:eastAsia="宋体" w:cs="宋体"/>
                <w:b/>
                <w:bCs/>
                <w:color w:val="auto"/>
                <w:szCs w:val="21"/>
                <w:highlight w:val="none"/>
                <w:lang w:val="en-US" w:eastAsia="zh-CN"/>
              </w:rPr>
              <w:t>否则投标无效</w:t>
            </w:r>
            <w:r>
              <w:rPr>
                <w:rFonts w:hint="eastAsia" w:ascii="宋体" w:hAnsi="宋体" w:eastAsia="宋体" w:cs="宋体"/>
                <w:color w:val="auto"/>
                <w:szCs w:val="21"/>
                <w:highlight w:val="none"/>
                <w:lang w:val="en-US" w:eastAsia="zh-CN"/>
              </w:rPr>
              <w:t>。</w:t>
            </w:r>
          </w:p>
          <w:p w14:paraId="49BBA4C5">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2.投标保证金采用支票、汇票、本票或者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出具的保函（包含电子保函）交纳方式的，投标人应将支票、汇票、本票或者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出具的保函（包含电子保函）的复印件作为投标保证金提交凭证，放置于商务及技术文件中，</w:t>
            </w:r>
            <w:r>
              <w:rPr>
                <w:rFonts w:hint="eastAsia" w:ascii="宋体" w:hAnsi="宋体" w:eastAsia="宋体" w:cs="宋体"/>
                <w:b/>
                <w:bCs/>
                <w:color w:val="auto"/>
                <w:szCs w:val="21"/>
                <w:highlight w:val="none"/>
              </w:rPr>
              <w:t>否则投标无效</w:t>
            </w:r>
            <w:r>
              <w:rPr>
                <w:rFonts w:hint="eastAsia" w:ascii="宋体" w:hAnsi="宋体" w:eastAsia="宋体" w:cs="宋体"/>
                <w:color w:val="auto"/>
                <w:szCs w:val="21"/>
                <w:highlight w:val="none"/>
              </w:rPr>
              <w:t>。投标人必须在投标截止时间前采用现场或邮寄方式（现场提交地址：广西壮族自治区公共资源交易中心（广西南宁市青秀区</w:t>
            </w:r>
            <w:r>
              <w:rPr>
                <w:rFonts w:hint="eastAsia" w:ascii="宋体" w:hAnsi="宋体" w:eastAsia="宋体" w:cs="宋体"/>
                <w:color w:val="auto"/>
                <w:szCs w:val="21"/>
                <w:highlight w:val="none"/>
                <w:lang w:eastAsia="zh-CN"/>
              </w:rPr>
              <w:t>星湖路22号开标楼</w:t>
            </w:r>
            <w:r>
              <w:rPr>
                <w:rFonts w:hint="eastAsia" w:ascii="宋体" w:hAnsi="宋体" w:eastAsia="宋体" w:cs="宋体"/>
                <w:color w:val="auto"/>
                <w:szCs w:val="21"/>
                <w:highlight w:val="none"/>
              </w:rPr>
              <w:t>）（具体根据开标当日电子屏幕显示的安排）；邮寄地址：</w:t>
            </w:r>
            <w:r>
              <w:rPr>
                <w:rFonts w:hint="eastAsia" w:ascii="宋体" w:hAnsi="宋体" w:eastAsia="宋体" w:cs="宋体"/>
                <w:color w:val="auto"/>
                <w:szCs w:val="21"/>
                <w:highlight w:val="none"/>
                <w:lang w:eastAsia="zh-CN"/>
              </w:rPr>
              <w:t>南宁市青秀区枫林路18号广西国控集团（枫林路办公区）裙楼三层</w:t>
            </w:r>
            <w:r>
              <w:rPr>
                <w:rFonts w:hint="eastAsia" w:ascii="宋体" w:hAnsi="宋体" w:eastAsia="宋体" w:cs="宋体"/>
                <w:color w:val="auto"/>
                <w:szCs w:val="21"/>
                <w:highlight w:val="none"/>
              </w:rPr>
              <w:t>，收件人：</w:t>
            </w:r>
            <w:r>
              <w:rPr>
                <w:rFonts w:hint="eastAsia" w:ascii="宋体" w:hAnsi="宋体" w:cs="宋体"/>
                <w:color w:val="auto"/>
                <w:szCs w:val="21"/>
                <w:highlight w:val="none"/>
                <w:lang w:val="en-US" w:eastAsia="zh-CN"/>
              </w:rPr>
              <w:t xml:space="preserve">韦吉、罗雷 </w:t>
            </w:r>
            <w:r>
              <w:rPr>
                <w:rFonts w:hint="eastAsia" w:ascii="宋体" w:hAnsi="宋体" w:eastAsia="宋体" w:cs="宋体"/>
                <w:color w:val="auto"/>
                <w:szCs w:val="21"/>
                <w:highlight w:val="none"/>
              </w:rPr>
              <w:t>，联系方式：0771-</w:t>
            </w:r>
            <w:r>
              <w:rPr>
                <w:rFonts w:hint="eastAsia" w:ascii="宋体" w:hAnsi="宋体" w:cs="宋体"/>
                <w:color w:val="auto"/>
                <w:szCs w:val="21"/>
                <w:highlight w:val="none"/>
                <w:lang w:val="en-US" w:eastAsia="zh-CN"/>
              </w:rPr>
              <w:t>2869912</w:t>
            </w:r>
            <w:r>
              <w:rPr>
                <w:rFonts w:hint="eastAsia" w:ascii="宋体" w:hAnsi="宋体" w:eastAsia="宋体" w:cs="宋体"/>
                <w:color w:val="auto"/>
                <w:szCs w:val="21"/>
                <w:highlight w:val="none"/>
              </w:rPr>
              <w:t>）将单独密封的支票、汇票、本票或者</w:t>
            </w:r>
            <w:r>
              <w:rPr>
                <w:rFonts w:hint="eastAsia" w:ascii="宋体" w:hAnsi="宋体" w:cs="宋体"/>
                <w:color w:val="auto"/>
                <w:szCs w:val="21"/>
                <w:highlight w:val="none"/>
                <w:lang w:eastAsia="zh-CN"/>
              </w:rPr>
              <w:t>金融、担保机构</w:t>
            </w:r>
            <w:r>
              <w:rPr>
                <w:rFonts w:hint="eastAsia" w:ascii="宋体" w:hAnsi="宋体" w:eastAsia="宋体" w:cs="宋体"/>
                <w:color w:val="auto"/>
                <w:szCs w:val="21"/>
                <w:highlight w:val="none"/>
              </w:rPr>
              <w:t>出具的保函原件提交给采购人或者采购代理机构，未按时提交的，投标无效，由采购人或者采购代理机构向投标人出具回执（邮寄方式的除外），并妥善保管。</w:t>
            </w:r>
          </w:p>
          <w:p w14:paraId="3517BA14">
            <w:pPr>
              <w:keepNext w:val="0"/>
              <w:keepLines w:val="0"/>
              <w:pageBreakBefore w:val="0"/>
              <w:widowControl w:val="0"/>
              <w:kinsoku/>
              <w:overflowPunct/>
              <w:topLinePunct w:val="0"/>
              <w:bidi w:val="0"/>
              <w:snapToGrid w:val="0"/>
              <w:spacing w:line="400" w:lineRule="exact"/>
              <w:ind w:firstLine="420" w:firstLineChars="200"/>
              <w:rPr>
                <w:rFonts w:hint="eastAsia" w:ascii="宋体" w:hAnsi="宋体" w:eastAsia="宋体" w:cs="宋体"/>
                <w:color w:val="auto"/>
                <w:szCs w:val="21"/>
                <w:highlight w:val="none"/>
              </w:rPr>
            </w:pPr>
            <w:r>
              <w:rPr>
                <w:rFonts w:hint="eastAsia" w:ascii="宋体" w:hAnsi="宋体" w:eastAsia="宋体" w:cs="宋体"/>
                <w:color w:val="auto"/>
                <w:szCs w:val="21"/>
                <w:highlight w:val="none"/>
                <w:lang w:eastAsia="zh-CN"/>
              </w:rPr>
              <w:t>3.</w:t>
            </w:r>
            <w:r>
              <w:rPr>
                <w:rFonts w:hint="eastAsia" w:ascii="宋体" w:hAnsi="宋体" w:eastAsia="宋体" w:cs="宋体"/>
                <w:color w:val="auto"/>
                <w:szCs w:val="21"/>
                <w:highlight w:val="none"/>
              </w:rPr>
              <w:t>投标人为联合体的，可以由联合体中的一方或者多方共同交纳投标保证金，其交纳的保证金对联合体各方均具有约束力。</w:t>
            </w:r>
          </w:p>
          <w:p w14:paraId="52DDF9C2">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 xml:space="preserve">备注： </w:t>
            </w:r>
          </w:p>
          <w:p w14:paraId="1F7BCBAD">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1.投标保证金在投标截止时间后提交的，或者不按规定交纳方式交纳的，或者未足额交纳的（包含保函额度不足的），视为无效投标保证金。</w:t>
            </w:r>
          </w:p>
          <w:p w14:paraId="538F5FD2">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2.投标人采用现钞方式或者从个人账户（自然人投标除外）转出的投标保证金，视为无效投标保证金。</w:t>
            </w:r>
          </w:p>
          <w:p w14:paraId="669E88BD">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3.支票、汇票或者本票出现无效或者背书情形的，视为无效投标保证金。</w:t>
            </w:r>
          </w:p>
          <w:p w14:paraId="333D2EF4">
            <w:pPr>
              <w:keepNext w:val="0"/>
              <w:keepLines w:val="0"/>
              <w:pageBreakBefore w:val="0"/>
              <w:widowControl w:val="0"/>
              <w:kinsoku/>
              <w:overflowPunct/>
              <w:topLinePunct w:val="0"/>
              <w:bidi w:val="0"/>
              <w:snapToGrid w:val="0"/>
              <w:spacing w:line="400" w:lineRule="exact"/>
              <w:ind w:firstLine="422" w:firstLineChars="200"/>
              <w:rPr>
                <w:rFonts w:hint="eastAsia" w:ascii="宋体" w:hAnsi="宋体" w:eastAsia="宋体" w:cs="宋体"/>
                <w:b/>
                <w:bCs/>
                <w:color w:val="auto"/>
                <w:szCs w:val="21"/>
                <w:highlight w:val="none"/>
              </w:rPr>
            </w:pPr>
            <w:r>
              <w:rPr>
                <w:rFonts w:hint="eastAsia" w:ascii="宋体" w:hAnsi="宋体" w:eastAsia="宋体" w:cs="宋体"/>
                <w:b/>
                <w:bCs/>
                <w:color w:val="auto"/>
                <w:szCs w:val="21"/>
                <w:highlight w:val="none"/>
              </w:rPr>
              <w:t>4.保函有效期低于投标有效期的，视为无效投标保证金。</w:t>
            </w:r>
          </w:p>
          <w:p w14:paraId="14EA8EE1">
            <w:pPr>
              <w:keepNext w:val="0"/>
              <w:keepLines w:val="0"/>
              <w:pageBreakBefore w:val="0"/>
              <w:widowControl w:val="0"/>
              <w:kinsoku/>
              <w:overflowPunct/>
              <w:topLinePunct w:val="0"/>
              <w:bidi w:val="0"/>
              <w:snapToGrid w:val="0"/>
              <w:spacing w:line="400" w:lineRule="exact"/>
              <w:ind w:firstLine="422" w:firstLineChars="200"/>
              <w:rPr>
                <w:rFonts w:hint="eastAsia"/>
                <w:color w:val="auto"/>
                <w:highlight w:val="none"/>
              </w:rPr>
            </w:pPr>
            <w:r>
              <w:rPr>
                <w:rFonts w:hint="eastAsia" w:ascii="宋体" w:hAnsi="宋体" w:eastAsia="宋体" w:cs="宋体"/>
                <w:b/>
                <w:bCs/>
                <w:color w:val="auto"/>
                <w:szCs w:val="21"/>
                <w:highlight w:val="none"/>
              </w:rPr>
              <w:t>5.采用</w:t>
            </w:r>
            <w:r>
              <w:rPr>
                <w:rFonts w:hint="eastAsia" w:ascii="宋体" w:hAnsi="宋体" w:cs="宋体"/>
                <w:b/>
                <w:bCs/>
                <w:color w:val="auto"/>
                <w:szCs w:val="21"/>
                <w:highlight w:val="none"/>
                <w:lang w:eastAsia="zh-CN"/>
              </w:rPr>
              <w:t>金融、担保机构</w:t>
            </w:r>
            <w:r>
              <w:rPr>
                <w:rFonts w:hint="eastAsia" w:ascii="宋体" w:hAnsi="宋体" w:eastAsia="宋体" w:cs="宋体"/>
                <w:b/>
                <w:bCs/>
                <w:color w:val="auto"/>
                <w:szCs w:val="21"/>
                <w:highlight w:val="none"/>
              </w:rPr>
              <w:t>出具保函的，必须为无条件保函，否则视为无效投标保证金。</w:t>
            </w:r>
          </w:p>
        </w:tc>
      </w:tr>
      <w:tr w14:paraId="5D48B2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099C088B">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3" w:name="_19.2"/>
            <w:bookmarkEnd w:id="83"/>
            <w:bookmarkStart w:id="84" w:name="_21.1"/>
            <w:bookmarkEnd w:id="84"/>
            <w:r>
              <w:rPr>
                <w:rFonts w:hint="eastAsia" w:ascii="宋体" w:hAnsi="宋体" w:cs="宋体"/>
                <w:color w:val="auto"/>
                <w:szCs w:val="21"/>
                <w:highlight w:val="none"/>
              </w:rPr>
              <w:t>20</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F9A5327">
            <w:pPr>
              <w:keepNext w:val="0"/>
              <w:keepLines w:val="0"/>
              <w:pageBreakBefore w:val="0"/>
              <w:widowControl w:val="0"/>
              <w:kinsoku/>
              <w:overflowPunct/>
              <w:topLinePunct w:val="0"/>
              <w:autoSpaceDE w:val="0"/>
              <w:autoSpaceDN w:val="0"/>
              <w:bidi w:val="0"/>
              <w:adjustRightIn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 xml:space="preserve">本项目不接受电子备份投标文件 </w:t>
            </w:r>
          </w:p>
        </w:tc>
      </w:tr>
      <w:tr w14:paraId="226853F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76"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20A227B3">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21.1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0D25B2FA">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u w:val="single"/>
              </w:rPr>
            </w:pPr>
            <w:r>
              <w:rPr>
                <w:rFonts w:hint="eastAsia" w:ascii="宋体" w:hAnsi="宋体" w:cs="宋体"/>
                <w:color w:val="auto"/>
                <w:szCs w:val="21"/>
                <w:highlight w:val="none"/>
              </w:rPr>
              <w:t>1.提交投标文件截止时间：详见招标公告</w:t>
            </w:r>
          </w:p>
          <w:p w14:paraId="65E211C6">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2.投标地点：详见招标公告</w:t>
            </w:r>
          </w:p>
        </w:tc>
      </w:tr>
      <w:tr w14:paraId="635B73E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7002200">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5" w:name="_23"/>
            <w:bookmarkEnd w:id="85"/>
            <w:r>
              <w:rPr>
                <w:rFonts w:hint="eastAsia" w:ascii="宋体" w:hAnsi="宋体" w:cs="宋体"/>
                <w:color w:val="auto"/>
                <w:szCs w:val="21"/>
                <w:highlight w:val="none"/>
              </w:rPr>
              <w:t>23</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34B5310D">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1.开标时间：详见招标公告</w:t>
            </w:r>
          </w:p>
          <w:p w14:paraId="2B5B0703">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2.开标地点：详见招标公告</w:t>
            </w:r>
          </w:p>
        </w:tc>
      </w:tr>
      <w:tr w14:paraId="05FCA76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0A5FA3B3">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24.3</w:t>
            </w:r>
            <w:r>
              <w:rPr>
                <w:rFonts w:hint="eastAsia" w:ascii="宋体" w:hAnsi="宋体" w:cs="宋体"/>
                <w:color w:val="auto"/>
                <w:szCs w:val="21"/>
                <w:highlight w:val="none"/>
                <w:lang w:eastAsia="zh-CN"/>
              </w:rPr>
              <w:t>(</w:t>
            </w:r>
            <w:r>
              <w:rPr>
                <w:rFonts w:hint="eastAsia" w:ascii="宋体" w:hAnsi="宋体" w:cs="宋体"/>
                <w:color w:val="auto"/>
                <w:szCs w:val="21"/>
                <w:highlight w:val="none"/>
              </w:rPr>
              <w:t>1</w:t>
            </w:r>
            <w:r>
              <w:rPr>
                <w:rFonts w:hint="eastAsia" w:ascii="宋体" w:hAnsi="宋体" w:cs="宋体"/>
                <w:color w:val="auto"/>
                <w:szCs w:val="21"/>
                <w:highlight w:val="none"/>
                <w:lang w:eastAsia="zh-CN"/>
              </w:rPr>
              <w:t>)</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61A13DE">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电子投标文件解密时间：</w:t>
            </w:r>
            <w:r>
              <w:rPr>
                <w:rFonts w:hint="eastAsia" w:ascii="宋体" w:hAnsi="宋体" w:cs="宋体"/>
                <w:color w:val="auto"/>
                <w:szCs w:val="21"/>
                <w:highlight w:val="none"/>
                <w:u w:val="single"/>
              </w:rPr>
              <w:t>30</w:t>
            </w:r>
            <w:r>
              <w:rPr>
                <w:rFonts w:hint="eastAsia" w:ascii="宋体" w:hAnsi="宋体" w:cs="宋体"/>
                <w:color w:val="auto"/>
                <w:szCs w:val="21"/>
                <w:highlight w:val="none"/>
              </w:rPr>
              <w:t>分钟</w:t>
            </w:r>
          </w:p>
        </w:tc>
      </w:tr>
      <w:tr w14:paraId="19E7831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6B661365">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6" w:name="_25.3"/>
            <w:bookmarkEnd w:id="86"/>
            <w:r>
              <w:rPr>
                <w:rFonts w:hint="eastAsia" w:ascii="宋体" w:hAnsi="宋体" w:cs="宋体"/>
                <w:color w:val="auto"/>
                <w:szCs w:val="21"/>
                <w:highlight w:val="none"/>
              </w:rPr>
              <w:t>25.3</w:t>
            </w:r>
            <w:r>
              <w:rPr>
                <w:rFonts w:hint="eastAsia" w:ascii="宋体" w:hAnsi="宋体" w:cs="宋体"/>
                <w:color w:val="auto"/>
                <w:szCs w:val="21"/>
                <w:highlight w:val="none"/>
                <w:lang w:eastAsia="zh-CN"/>
              </w:rPr>
              <w:t>(</w:t>
            </w:r>
            <w:r>
              <w:rPr>
                <w:rFonts w:hint="eastAsia" w:ascii="宋体" w:hAnsi="宋体" w:cs="宋体"/>
                <w:color w:val="auto"/>
                <w:szCs w:val="21"/>
                <w:highlight w:val="none"/>
              </w:rPr>
              <w:t>2</w:t>
            </w:r>
            <w:r>
              <w:rPr>
                <w:rFonts w:hint="eastAsia" w:ascii="宋体" w:hAnsi="宋体" w:cs="宋体"/>
                <w:color w:val="auto"/>
                <w:szCs w:val="21"/>
                <w:highlight w:val="none"/>
                <w:lang w:eastAsia="zh-CN"/>
              </w:rPr>
              <w:t>)</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A4C4BBD">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采购人或者采购代理机构在资格审查结束前，对投标人进行信用查询。</w:t>
            </w:r>
          </w:p>
          <w:p w14:paraId="73F6E07C">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查询渠道：“信用中国”网站（www.creditchina.gov.cn）、中国政府采购网（www.ccgp.gov.cn）。</w:t>
            </w:r>
          </w:p>
          <w:p w14:paraId="0DF5D742">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信用查询截止时点：资格审查结束前</w:t>
            </w:r>
          </w:p>
          <w:p w14:paraId="300430C4">
            <w:pPr>
              <w:keepNext w:val="0"/>
              <w:keepLines w:val="0"/>
              <w:pageBreakBefore w:val="0"/>
              <w:widowControl w:val="0"/>
              <w:kinsoku/>
              <w:wordWrap w:val="0"/>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查询记录和证据留存方式：在查询网站中直接截图查询记录，截图</w:t>
            </w:r>
            <w:r>
              <w:rPr>
                <w:rFonts w:hint="eastAsia" w:ascii="宋体" w:hAnsi="宋体" w:cs="宋体"/>
                <w:color w:val="auto"/>
                <w:szCs w:val="21"/>
                <w:highlight w:val="none"/>
                <w:lang w:eastAsia="zh-CN"/>
              </w:rPr>
              <w:t>作为</w:t>
            </w:r>
            <w:r>
              <w:rPr>
                <w:rFonts w:hint="eastAsia" w:ascii="宋体" w:hAnsi="宋体" w:cs="宋体"/>
                <w:color w:val="auto"/>
                <w:szCs w:val="21"/>
                <w:highlight w:val="none"/>
              </w:rPr>
              <w:t>广西政府采购云平台（</w:t>
            </w:r>
            <w:r>
              <w:rPr>
                <w:rFonts w:hint="eastAsia" w:ascii="宋体" w:hAnsi="宋体" w:cs="宋体"/>
                <w:bCs/>
                <w:color w:val="auto"/>
                <w:szCs w:val="21"/>
                <w:highlight w:val="none"/>
              </w:rPr>
              <w:t>https://www.gcy.zfcg.gxzf.gov.cn/</w:t>
            </w:r>
            <w:r>
              <w:rPr>
                <w:rFonts w:hint="eastAsia" w:ascii="宋体" w:hAnsi="宋体" w:cs="宋体"/>
                <w:color w:val="auto"/>
                <w:szCs w:val="21"/>
                <w:highlight w:val="none"/>
              </w:rPr>
              <w:t>）作为附件上传保存。</w:t>
            </w:r>
          </w:p>
          <w:p w14:paraId="2CA40456">
            <w:pPr>
              <w:keepNext w:val="0"/>
              <w:keepLines w:val="0"/>
              <w:pageBreakBefore w:val="0"/>
              <w:widowControl w:val="0"/>
              <w:kinsoku/>
              <w:wordWrap w:val="0"/>
              <w:overflowPunct/>
              <w:topLinePunct w:val="0"/>
              <w:bidi w:val="0"/>
              <w:snapToGrid w:val="0"/>
              <w:spacing w:line="400" w:lineRule="exact"/>
              <w:rPr>
                <w:rFonts w:hint="eastAsia" w:ascii="宋体" w:hAnsi="宋体" w:cs="宋体"/>
                <w:b/>
                <w:color w:val="auto"/>
                <w:szCs w:val="21"/>
                <w:highlight w:val="none"/>
              </w:rPr>
            </w:pPr>
            <w:r>
              <w:rPr>
                <w:rFonts w:hint="eastAsia" w:ascii="宋体" w:hAnsi="宋体" w:cs="宋体"/>
                <w:color w:val="auto"/>
                <w:szCs w:val="21"/>
                <w:highlight w:val="none"/>
              </w:rPr>
              <w:t>信用信息使用规则：对在“信用中国”网站（www.creditchina.gov.cn）、中国政府采购网（www.ccgp.gov.cn）被列入失信被执行人、重大税收违法失信主体、政府采购严重违法失信行为记录名单及其他不符合《中华人民共和国政府采购法》第二十二条规定条件的供应商，采购人或者采购代理机构应当拒绝其参与政府采购活动。两个或两个以上的自然人、法人或者其他组织组成一个联合体，以一个供应商的身份共同参加政府采购活动的，应当对所有联合体成员进行信用记录查询，联合体成员存在不良信用记录（被列入失信被执行人、重大税收违法失信主体、政府采购严重违法失信行为记录名单及其他不符合《中华人民共和国政府采购法》第二十二条规定条件的供应商）的，视同联合体存在不良信用记录。</w:t>
            </w:r>
          </w:p>
        </w:tc>
      </w:tr>
      <w:tr w14:paraId="02C815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22B1B66C">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7" w:name="_26"/>
            <w:bookmarkEnd w:id="87"/>
            <w:r>
              <w:rPr>
                <w:rFonts w:hint="eastAsia" w:ascii="宋体" w:hAnsi="宋体" w:cs="宋体"/>
                <w:color w:val="auto"/>
                <w:szCs w:val="21"/>
                <w:highlight w:val="none"/>
              </w:rPr>
              <w:t>26.1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C48AA8D">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评标委员会的人数：</w:t>
            </w:r>
            <w:r>
              <w:rPr>
                <w:rFonts w:hint="eastAsia" w:ascii="宋体" w:hAnsi="宋体" w:cs="宋体"/>
                <w:color w:val="auto"/>
                <w:szCs w:val="21"/>
                <w:highlight w:val="none"/>
                <w:u w:val="single"/>
              </w:rPr>
              <w:t>5</w:t>
            </w:r>
            <w:r>
              <w:rPr>
                <w:rFonts w:hint="eastAsia" w:ascii="宋体" w:hAnsi="宋体" w:cs="宋体"/>
                <w:color w:val="auto"/>
                <w:szCs w:val="21"/>
                <w:highlight w:val="none"/>
              </w:rPr>
              <w:t>人</w:t>
            </w:r>
          </w:p>
        </w:tc>
      </w:tr>
      <w:tr w14:paraId="4F4667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58C55735">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8" w:name="_28.3"/>
            <w:bookmarkEnd w:id="88"/>
            <w:r>
              <w:rPr>
                <w:rFonts w:hint="eastAsia" w:ascii="宋体" w:hAnsi="宋体" w:cs="宋体"/>
                <w:color w:val="auto"/>
                <w:szCs w:val="21"/>
                <w:highlight w:val="none"/>
              </w:rPr>
              <w:t>29.1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E16028F">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评标方法：综合评分法</w:t>
            </w:r>
          </w:p>
        </w:tc>
      </w:tr>
      <w:tr w14:paraId="4B51380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525ED93A">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89" w:name="_29.2.2（2）"/>
            <w:bookmarkEnd w:id="89"/>
            <w:r>
              <w:rPr>
                <w:rFonts w:hint="eastAsia" w:ascii="宋体" w:hAnsi="宋体" w:cs="宋体"/>
                <w:color w:val="auto"/>
                <w:szCs w:val="21"/>
                <w:highlight w:val="none"/>
              </w:rPr>
              <w:t>29.2</w:t>
            </w:r>
          </w:p>
        </w:tc>
        <w:tc>
          <w:tcPr>
            <w:tcW w:w="8175" w:type="dxa"/>
            <w:tcBorders>
              <w:top w:val="single" w:color="auto" w:sz="4" w:space="0"/>
              <w:left w:val="single" w:color="auto" w:sz="4" w:space="0"/>
              <w:right w:val="single" w:color="auto" w:sz="4" w:space="0"/>
            </w:tcBorders>
            <w:noWrap w:val="0"/>
            <w:vAlign w:val="center"/>
          </w:tcPr>
          <w:p w14:paraId="0C50B9CC">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商务要求评审中允许负偏离的条款数为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p w14:paraId="75063D16">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技术要求评审中允许负偏离的条款数为</w:t>
            </w:r>
            <w:r>
              <w:rPr>
                <w:rFonts w:hint="eastAsia" w:ascii="宋体" w:hAnsi="宋体" w:cs="宋体"/>
                <w:color w:val="auto"/>
                <w:szCs w:val="21"/>
                <w:highlight w:val="none"/>
                <w:u w:val="single"/>
              </w:rPr>
              <w:t>0</w:t>
            </w:r>
            <w:r>
              <w:rPr>
                <w:rFonts w:hint="eastAsia" w:ascii="宋体" w:hAnsi="宋体" w:cs="宋体"/>
                <w:color w:val="auto"/>
                <w:szCs w:val="21"/>
                <w:highlight w:val="none"/>
              </w:rPr>
              <w:t>项。</w:t>
            </w:r>
          </w:p>
        </w:tc>
      </w:tr>
      <w:tr w14:paraId="46149E3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55" w:hRule="atLeast"/>
        </w:trPr>
        <w:tc>
          <w:tcPr>
            <w:tcW w:w="978" w:type="dxa"/>
            <w:tcBorders>
              <w:top w:val="single" w:color="auto" w:sz="4" w:space="0"/>
              <w:left w:val="single" w:color="auto" w:sz="4" w:space="0"/>
              <w:right w:val="single" w:color="auto" w:sz="4" w:space="0"/>
            </w:tcBorders>
            <w:noWrap w:val="0"/>
            <w:vAlign w:val="center"/>
          </w:tcPr>
          <w:p w14:paraId="0ABDFAC2">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29.3</w:t>
            </w:r>
          </w:p>
        </w:tc>
        <w:tc>
          <w:tcPr>
            <w:tcW w:w="8175" w:type="dxa"/>
            <w:tcBorders>
              <w:top w:val="single" w:color="auto" w:sz="4" w:space="0"/>
              <w:left w:val="single" w:color="auto" w:sz="4" w:space="0"/>
              <w:right w:val="single" w:color="auto" w:sz="4" w:space="0"/>
            </w:tcBorders>
            <w:noWrap w:val="0"/>
            <w:vAlign w:val="center"/>
          </w:tcPr>
          <w:p w14:paraId="77B4DC60">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中标候选人推荐数量：</w:t>
            </w:r>
            <w:r>
              <w:rPr>
                <w:rFonts w:hint="eastAsia" w:ascii="宋体" w:hAnsi="宋体" w:cs="宋体"/>
                <w:color w:val="auto"/>
                <w:szCs w:val="21"/>
                <w:highlight w:val="none"/>
                <w:u w:val="single"/>
              </w:rPr>
              <w:t>3</w:t>
            </w:r>
            <w:r>
              <w:rPr>
                <w:rFonts w:hint="eastAsia" w:ascii="宋体" w:hAnsi="宋体" w:cs="宋体"/>
                <w:color w:val="auto"/>
                <w:szCs w:val="21"/>
                <w:highlight w:val="none"/>
              </w:rPr>
              <w:t>名</w:t>
            </w:r>
          </w:p>
        </w:tc>
      </w:tr>
      <w:tr w14:paraId="73BB1D6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4B620233">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30.1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E8FCF55">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采用综合评分法的采购项目，采购人确定中标人时，出现中标候选人并列的情形，采购人按</w:t>
            </w:r>
            <w:r>
              <w:rPr>
                <w:rFonts w:hint="eastAsia" w:ascii="宋体" w:hAnsi="宋体" w:cs="宋体"/>
                <w:color w:val="auto"/>
                <w:szCs w:val="21"/>
                <w:highlight w:val="none"/>
                <w:lang w:eastAsia="zh-CN"/>
              </w:rPr>
              <w:t>以下</w:t>
            </w:r>
            <w:r>
              <w:rPr>
                <w:rFonts w:hint="eastAsia" w:ascii="宋体" w:hAnsi="宋体" w:cs="宋体"/>
                <w:color w:val="auto"/>
                <w:szCs w:val="21"/>
                <w:highlight w:val="none"/>
              </w:rPr>
              <w:t>方式确定中标人：</w:t>
            </w:r>
            <w:r>
              <w:rPr>
                <w:rFonts w:hint="eastAsia" w:ascii="宋体" w:hAnsi="宋体" w:cs="宋体"/>
                <w:iCs/>
                <w:color w:val="auto"/>
                <w:szCs w:val="21"/>
                <w:highlight w:val="none"/>
              </w:rPr>
              <w:t>依次按投标报价低的优先、投标报价评分得分高的优先、服务方案评分高的顺序确定；按上述方式无法确定的，由采购人随机抽取。</w:t>
            </w:r>
          </w:p>
        </w:tc>
      </w:tr>
      <w:tr w14:paraId="3EA13E0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60" w:hRule="atLeast"/>
        </w:trPr>
        <w:tc>
          <w:tcPr>
            <w:tcW w:w="978" w:type="dxa"/>
            <w:tcBorders>
              <w:top w:val="single" w:color="auto" w:sz="4" w:space="0"/>
              <w:left w:val="single" w:color="auto" w:sz="4" w:space="0"/>
              <w:bottom w:val="single" w:color="auto" w:sz="4" w:space="0"/>
              <w:right w:val="single" w:color="auto" w:sz="4" w:space="0"/>
            </w:tcBorders>
            <w:noWrap w:val="0"/>
            <w:vAlign w:val="center"/>
          </w:tcPr>
          <w:p w14:paraId="4ED2AF5F">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90" w:name="_39.1"/>
            <w:bookmarkEnd w:id="90"/>
            <w:r>
              <w:rPr>
                <w:rFonts w:hint="eastAsia" w:ascii="宋体" w:hAnsi="宋体" w:cs="宋体"/>
                <w:color w:val="auto"/>
                <w:szCs w:val="21"/>
                <w:highlight w:val="none"/>
              </w:rPr>
              <w:t>35.1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4BA9B072">
            <w:pPr>
              <w:pStyle w:val="126"/>
              <w:keepNext w:val="0"/>
              <w:keepLines w:val="0"/>
              <w:pageBreakBefore w:val="0"/>
              <w:widowControl/>
              <w:shd w:val="clear" w:color="auto" w:fill="auto"/>
              <w:kinsoku/>
              <w:wordWrap/>
              <w:overflowPunct/>
              <w:topLinePunct w:val="0"/>
              <w:autoSpaceDE/>
              <w:autoSpaceDN/>
              <w:bidi w:val="0"/>
              <w:adjustRightInd w:val="0"/>
              <w:snapToGrid w:val="0"/>
              <w:spacing w:before="176" w:line="360" w:lineRule="auto"/>
              <w:ind w:left="125"/>
              <w:textAlignment w:val="baseline"/>
              <w:outlineLvl w:val="0"/>
              <w:rPr>
                <w:rFonts w:hint="eastAsia" w:ascii="宋体" w:hAnsi="宋体" w:eastAsia="宋体" w:cs="宋体"/>
                <w:color w:val="auto"/>
                <w:spacing w:val="6"/>
                <w:sz w:val="21"/>
                <w:szCs w:val="21"/>
                <w:highlight w:val="none"/>
                <w:lang w:val="en-US" w:eastAsia="zh-CN"/>
              </w:rPr>
            </w:pPr>
            <w:bookmarkStart w:id="91" w:name="_Toc27913"/>
            <w:r>
              <w:rPr>
                <w:rFonts w:hint="eastAsia" w:ascii="宋体" w:hAnsi="宋体" w:eastAsia="宋体" w:cs="宋体"/>
                <w:color w:val="auto"/>
                <w:spacing w:val="6"/>
                <w:sz w:val="21"/>
                <w:szCs w:val="21"/>
                <w:highlight w:val="none"/>
                <w:lang w:val="en-US" w:eastAsia="zh-CN"/>
              </w:rPr>
              <w:t>中标人收到中标通知后5个工作日内，将中标金额的2%缴纳给采购人作为履约保证金，项目验收合格后无质量问题，履约保证金一次性无息退还中标人。如最终验收与合同不符，由中标人承担一切违约责任；</w:t>
            </w:r>
            <w:bookmarkEnd w:id="91"/>
          </w:p>
          <w:p w14:paraId="7F554CA8">
            <w:pPr>
              <w:pStyle w:val="126"/>
              <w:keepNext w:val="0"/>
              <w:keepLines w:val="0"/>
              <w:pageBreakBefore w:val="0"/>
              <w:widowControl/>
              <w:shd w:val="clear" w:color="auto" w:fill="auto"/>
              <w:kinsoku/>
              <w:wordWrap/>
              <w:overflowPunct/>
              <w:topLinePunct w:val="0"/>
              <w:autoSpaceDE/>
              <w:autoSpaceDN/>
              <w:bidi w:val="0"/>
              <w:adjustRightInd w:val="0"/>
              <w:snapToGrid w:val="0"/>
              <w:spacing w:before="176" w:line="360" w:lineRule="auto"/>
              <w:ind w:left="125"/>
              <w:textAlignment w:val="baseline"/>
              <w:outlineLvl w:val="0"/>
              <w:rPr>
                <w:rFonts w:hint="eastAsia" w:ascii="宋体" w:hAnsi="宋体" w:eastAsia="宋体" w:cs="宋体"/>
                <w:color w:val="auto"/>
                <w:spacing w:val="6"/>
                <w:sz w:val="21"/>
                <w:szCs w:val="21"/>
                <w:highlight w:val="none"/>
                <w:lang w:val="en-US" w:eastAsia="zh-CN"/>
              </w:rPr>
            </w:pPr>
            <w:bookmarkStart w:id="92" w:name="_Toc26289"/>
            <w:r>
              <w:rPr>
                <w:rFonts w:hint="eastAsia" w:ascii="宋体" w:hAnsi="宋体" w:eastAsia="宋体" w:cs="宋体"/>
                <w:color w:val="auto"/>
                <w:spacing w:val="6"/>
                <w:sz w:val="21"/>
                <w:szCs w:val="21"/>
                <w:highlight w:val="none"/>
                <w:lang w:val="en-US" w:eastAsia="zh-CN"/>
              </w:rPr>
              <w:t>履约保证金的形式：供应商可以选择电汇、转账、支票、汇票、本票、保函等形式缴纳或提交。</w:t>
            </w:r>
            <w:bookmarkEnd w:id="92"/>
          </w:p>
          <w:p w14:paraId="475F8BF4">
            <w:pPr>
              <w:pStyle w:val="126"/>
              <w:keepNext w:val="0"/>
              <w:keepLines w:val="0"/>
              <w:pageBreakBefore w:val="0"/>
              <w:widowControl/>
              <w:shd w:val="clear" w:color="auto" w:fill="auto"/>
              <w:kinsoku/>
              <w:wordWrap/>
              <w:overflowPunct/>
              <w:topLinePunct w:val="0"/>
              <w:autoSpaceDE/>
              <w:autoSpaceDN/>
              <w:bidi w:val="0"/>
              <w:adjustRightInd w:val="0"/>
              <w:snapToGrid w:val="0"/>
              <w:spacing w:before="176" w:line="360" w:lineRule="auto"/>
              <w:ind w:left="125"/>
              <w:textAlignment w:val="baseline"/>
              <w:outlineLvl w:val="0"/>
              <w:rPr>
                <w:rFonts w:hint="eastAsia" w:ascii="宋体" w:hAnsi="宋体" w:eastAsia="宋体" w:cs="宋体"/>
                <w:color w:val="auto"/>
                <w:spacing w:val="6"/>
                <w:sz w:val="21"/>
                <w:szCs w:val="21"/>
                <w:highlight w:val="none"/>
                <w:lang w:val="en-US" w:eastAsia="zh-CN"/>
              </w:rPr>
            </w:pPr>
            <w:bookmarkStart w:id="93" w:name="_Toc15760"/>
            <w:r>
              <w:rPr>
                <w:rFonts w:hint="eastAsia" w:ascii="宋体" w:hAnsi="宋体" w:eastAsia="宋体" w:cs="宋体"/>
                <w:color w:val="auto"/>
                <w:spacing w:val="6"/>
                <w:sz w:val="21"/>
                <w:szCs w:val="21"/>
                <w:highlight w:val="none"/>
                <w:lang w:val="en-US" w:eastAsia="zh-CN"/>
              </w:rPr>
              <w:t>履约保证金缴纳的账号信息：</w:t>
            </w:r>
            <w:bookmarkEnd w:id="93"/>
          </w:p>
          <w:p w14:paraId="72D33FC6">
            <w:pPr>
              <w:pStyle w:val="126"/>
              <w:keepNext w:val="0"/>
              <w:keepLines w:val="0"/>
              <w:pageBreakBefore w:val="0"/>
              <w:widowControl/>
              <w:shd w:val="clear" w:color="auto" w:fill="auto"/>
              <w:kinsoku/>
              <w:wordWrap/>
              <w:overflowPunct/>
              <w:topLinePunct w:val="0"/>
              <w:autoSpaceDE/>
              <w:autoSpaceDN/>
              <w:bidi w:val="0"/>
              <w:adjustRightInd w:val="0"/>
              <w:snapToGrid w:val="0"/>
              <w:spacing w:before="176" w:line="360" w:lineRule="auto"/>
              <w:ind w:left="125"/>
              <w:textAlignment w:val="baseline"/>
              <w:outlineLvl w:val="0"/>
              <w:rPr>
                <w:rFonts w:hint="eastAsia" w:ascii="宋体" w:hAnsi="宋体" w:eastAsia="宋体" w:cs="宋体"/>
                <w:color w:val="auto"/>
                <w:spacing w:val="6"/>
                <w:sz w:val="21"/>
                <w:szCs w:val="21"/>
                <w:highlight w:val="none"/>
                <w:lang w:val="en-US" w:eastAsia="zh-CN"/>
              </w:rPr>
            </w:pPr>
            <w:bookmarkStart w:id="94" w:name="_Toc26521"/>
            <w:r>
              <w:rPr>
                <w:rFonts w:hint="eastAsia" w:ascii="宋体" w:hAnsi="宋体" w:eastAsia="宋体" w:cs="宋体"/>
                <w:color w:val="auto"/>
                <w:spacing w:val="6"/>
                <w:sz w:val="21"/>
                <w:szCs w:val="21"/>
                <w:highlight w:val="none"/>
                <w:lang w:val="en-US" w:eastAsia="zh-CN"/>
              </w:rPr>
              <w:t>开户名：广西壮族自治区江滨医院</w:t>
            </w:r>
            <w:bookmarkEnd w:id="94"/>
          </w:p>
          <w:p w14:paraId="40DB61EE">
            <w:pPr>
              <w:pStyle w:val="126"/>
              <w:widowControl/>
              <w:shd w:val="clear" w:color="auto" w:fill="auto"/>
              <w:autoSpaceDE/>
              <w:autoSpaceDN/>
              <w:adjustRightInd w:val="0"/>
              <w:spacing w:before="176" w:line="360" w:lineRule="auto"/>
              <w:ind w:left="125"/>
              <w:textAlignment w:val="baseline"/>
              <w:outlineLvl w:val="0"/>
              <w:rPr>
                <w:rFonts w:hint="eastAsia" w:ascii="宋体" w:hAnsi="宋体" w:eastAsia="宋体" w:cs="宋体"/>
                <w:color w:val="auto"/>
                <w:spacing w:val="6"/>
                <w:sz w:val="21"/>
                <w:szCs w:val="21"/>
                <w:highlight w:val="none"/>
                <w:lang w:val="en-US" w:eastAsia="zh-CN"/>
              </w:rPr>
            </w:pPr>
            <w:bookmarkStart w:id="95" w:name="_Toc12029"/>
            <w:r>
              <w:rPr>
                <w:rFonts w:hint="eastAsia" w:ascii="宋体" w:hAnsi="宋体" w:eastAsia="宋体" w:cs="宋体"/>
                <w:color w:val="auto"/>
                <w:spacing w:val="6"/>
                <w:sz w:val="21"/>
                <w:szCs w:val="21"/>
                <w:highlight w:val="none"/>
                <w:lang w:val="en-US" w:eastAsia="zh-CN"/>
              </w:rPr>
              <w:t>开户行：交通银行南宁分行青秀山支行</w:t>
            </w:r>
            <w:bookmarkEnd w:id="95"/>
          </w:p>
          <w:p w14:paraId="44C20CD9">
            <w:pPr>
              <w:pStyle w:val="126"/>
              <w:widowControl/>
              <w:shd w:val="clear" w:color="auto" w:fill="auto"/>
              <w:autoSpaceDE/>
              <w:autoSpaceDN/>
              <w:adjustRightInd w:val="0"/>
              <w:spacing w:before="176" w:line="360" w:lineRule="auto"/>
              <w:ind w:left="125"/>
              <w:textAlignment w:val="baseline"/>
              <w:outlineLvl w:val="0"/>
              <w:rPr>
                <w:rFonts w:hint="eastAsia" w:ascii="宋体" w:hAnsi="宋体" w:eastAsia="宋体" w:cs="宋体"/>
                <w:color w:val="auto"/>
                <w:spacing w:val="6"/>
                <w:sz w:val="21"/>
                <w:szCs w:val="21"/>
                <w:highlight w:val="none"/>
                <w:lang w:val="en-US" w:eastAsia="zh-CN"/>
              </w:rPr>
            </w:pPr>
            <w:bookmarkStart w:id="96" w:name="_Toc21508"/>
            <w:r>
              <w:rPr>
                <w:rFonts w:hint="eastAsia" w:ascii="宋体" w:hAnsi="宋体" w:eastAsia="宋体" w:cs="宋体"/>
                <w:color w:val="auto"/>
                <w:spacing w:val="6"/>
                <w:sz w:val="21"/>
                <w:szCs w:val="21"/>
                <w:highlight w:val="none"/>
                <w:lang w:val="en-US" w:eastAsia="zh-CN"/>
              </w:rPr>
              <w:t>账号：451060505018010027923</w:t>
            </w:r>
            <w:bookmarkEnd w:id="96"/>
          </w:p>
          <w:p w14:paraId="68C3C427">
            <w:pPr>
              <w:shd w:val="clear" w:color="auto" w:fill="auto"/>
              <w:spacing w:line="360" w:lineRule="auto"/>
              <w:jc w:val="left"/>
              <w:rPr>
                <w:rFonts w:hint="eastAsia" w:ascii="宋体" w:hAnsi="宋体" w:eastAsia="宋体" w:cs="宋体"/>
                <w:color w:val="auto"/>
                <w:szCs w:val="21"/>
                <w:highlight w:val="none"/>
              </w:rPr>
            </w:pPr>
            <w:r>
              <w:rPr>
                <w:rFonts w:hint="eastAsia" w:ascii="宋体" w:hAnsi="宋体" w:eastAsia="宋体" w:cs="宋体"/>
                <w:color w:val="auto"/>
                <w:szCs w:val="21"/>
                <w:highlight w:val="none"/>
              </w:rPr>
              <w:t>备注：</w:t>
            </w:r>
          </w:p>
          <w:p w14:paraId="39E3624A">
            <w:pPr>
              <w:shd w:val="clear" w:color="auto" w:fill="auto"/>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1.根据《广西壮族自治区财政厅关于贯彻落实政府采购优化营商环境百日攻坚行动方案的通知》（桂财采〔2020〕49号）及《广西壮族自治区财政厅关于规范政府采购货物和服务项目保证金管理的通知》（桂财规〔2022〕8号）规定，对中小企业收取的履约保证金数额不得超过政府采购合同金额的2%。</w:t>
            </w:r>
          </w:p>
          <w:p w14:paraId="14B15006">
            <w:pPr>
              <w:shd w:val="clear" w:color="auto" w:fill="auto"/>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2.履约保证金不足额缴纳的（包含保函额度不足的），或者不按规定提交方式提交的，或者保函有效期低于合同履行期限（即合同中规定的当事人履行自己的义务，如交付标的物、价款或者报酬，履行劳务、完成工作的时间界限）的，不予签订合同。</w:t>
            </w:r>
          </w:p>
          <w:p w14:paraId="0A5262A7">
            <w:pPr>
              <w:shd w:val="clear" w:color="auto" w:fill="auto"/>
              <w:spacing w:line="360" w:lineRule="auto"/>
              <w:jc w:val="left"/>
              <w:rPr>
                <w:rFonts w:hint="eastAsia" w:ascii="宋体" w:hAnsi="宋体" w:eastAsia="宋体" w:cs="宋体"/>
                <w:b/>
                <w:color w:val="auto"/>
                <w:szCs w:val="21"/>
                <w:highlight w:val="none"/>
              </w:rPr>
            </w:pPr>
            <w:r>
              <w:rPr>
                <w:rFonts w:hint="eastAsia" w:ascii="宋体" w:hAnsi="宋体" w:eastAsia="宋体" w:cs="宋体"/>
                <w:b/>
                <w:color w:val="auto"/>
                <w:szCs w:val="21"/>
                <w:highlight w:val="none"/>
              </w:rPr>
              <w:t>3.采用银行、</w:t>
            </w:r>
            <w:r>
              <w:rPr>
                <w:rFonts w:hint="eastAsia" w:ascii="宋体" w:hAnsi="宋体" w:eastAsia="宋体" w:cs="宋体"/>
                <w:b/>
                <w:color w:val="auto"/>
                <w:szCs w:val="21"/>
                <w:highlight w:val="none"/>
                <w:lang w:eastAsia="zh-CN"/>
              </w:rPr>
              <w:t>担保机构</w:t>
            </w:r>
            <w:r>
              <w:rPr>
                <w:rFonts w:hint="eastAsia" w:ascii="宋体" w:hAnsi="宋体" w:eastAsia="宋体" w:cs="宋体"/>
                <w:b/>
                <w:color w:val="auto"/>
                <w:szCs w:val="21"/>
                <w:highlight w:val="none"/>
              </w:rPr>
              <w:t>出具的保函的，必须为无条件保函，否则不予签订合同。</w:t>
            </w:r>
          </w:p>
          <w:p w14:paraId="0049B8F5">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eastAsia="宋体" w:cs="宋体"/>
                <w:b/>
                <w:color w:val="auto"/>
                <w:szCs w:val="21"/>
                <w:highlight w:val="none"/>
              </w:rPr>
              <w:t>4.投标人为联合体的，由联合体其中一方按规定提交的履约保证金，视为有效履约保证金。</w:t>
            </w:r>
          </w:p>
        </w:tc>
      </w:tr>
      <w:tr w14:paraId="446AAA2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623872F1">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97" w:name="_40.1"/>
            <w:bookmarkEnd w:id="97"/>
            <w:r>
              <w:rPr>
                <w:rFonts w:hint="eastAsia" w:ascii="宋体" w:hAnsi="宋体" w:cs="宋体"/>
                <w:color w:val="auto"/>
                <w:szCs w:val="21"/>
                <w:highlight w:val="none"/>
              </w:rPr>
              <w:t>36.1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7BB42C73">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签订合同携带的证明材料：</w:t>
            </w:r>
          </w:p>
          <w:p w14:paraId="0170AE7D">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委托代理人负责签订合同的，须携带授权委托书及委托代理人身份证原件等其他资格证件。</w:t>
            </w:r>
          </w:p>
          <w:p w14:paraId="52377092">
            <w:pPr>
              <w:keepNext w:val="0"/>
              <w:keepLines w:val="0"/>
              <w:pageBreakBefore w:val="0"/>
              <w:widowControl w:val="0"/>
              <w:kinsoku/>
              <w:overflowPunct/>
              <w:topLinePunct w:val="0"/>
              <w:autoSpaceDE w:val="0"/>
              <w:autoSpaceDN w:val="0"/>
              <w:bidi w:val="0"/>
              <w:snapToGrid w:val="0"/>
              <w:spacing w:line="4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法定代表人负责签订合同的，须携带法定代表人身份证明原件及身份证原件等其他证明材料。</w:t>
            </w:r>
          </w:p>
        </w:tc>
      </w:tr>
      <w:tr w14:paraId="2495407B">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748DDC1A">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38.2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10EA4CB">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接收质疑函方式：以书面形式</w:t>
            </w:r>
          </w:p>
          <w:p w14:paraId="02D26039">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质疑联系部门及联系方式：</w:t>
            </w:r>
            <w:r>
              <w:rPr>
                <w:rFonts w:hint="eastAsia" w:ascii="宋体" w:hAnsi="宋体" w:cs="宋体"/>
                <w:color w:val="auto"/>
                <w:szCs w:val="21"/>
                <w:highlight w:val="none"/>
                <w:lang w:eastAsia="zh-CN"/>
              </w:rPr>
              <w:t>广西建设工程机电设备招标中心有限公司</w:t>
            </w:r>
            <w:r>
              <w:rPr>
                <w:rFonts w:hint="eastAsia" w:ascii="宋体" w:hAnsi="宋体" w:cs="宋体"/>
                <w:color w:val="auto"/>
                <w:szCs w:val="21"/>
                <w:highlight w:val="none"/>
              </w:rPr>
              <w:t>，联系电话：</w:t>
            </w:r>
            <w:r>
              <w:rPr>
                <w:rFonts w:hint="eastAsia" w:ascii="宋体" w:hAnsi="宋体" w:eastAsia="宋体" w:cs="宋体"/>
                <w:color w:val="auto"/>
                <w:szCs w:val="21"/>
                <w:highlight w:val="none"/>
              </w:rPr>
              <w:t>0771-</w:t>
            </w:r>
            <w:r>
              <w:rPr>
                <w:rFonts w:hint="eastAsia" w:ascii="宋体" w:hAnsi="宋体" w:cs="宋体"/>
                <w:color w:val="auto"/>
                <w:szCs w:val="21"/>
                <w:highlight w:val="none"/>
                <w:lang w:val="en-US" w:eastAsia="zh-CN"/>
              </w:rPr>
              <w:t>2869912</w:t>
            </w:r>
            <w:r>
              <w:rPr>
                <w:rFonts w:hint="eastAsia" w:ascii="宋体" w:hAnsi="宋体" w:cs="宋体"/>
                <w:color w:val="auto"/>
                <w:szCs w:val="21"/>
                <w:highlight w:val="none"/>
              </w:rPr>
              <w:t>，通讯地址：</w:t>
            </w:r>
            <w:r>
              <w:rPr>
                <w:rFonts w:hint="eastAsia" w:ascii="宋体" w:hAnsi="宋体" w:cs="宋体"/>
                <w:color w:val="auto"/>
                <w:szCs w:val="21"/>
                <w:highlight w:val="none"/>
                <w:lang w:eastAsia="zh-CN"/>
              </w:rPr>
              <w:t>广西建设工程机电设备招标中心有限公司</w:t>
            </w:r>
            <w:r>
              <w:rPr>
                <w:rFonts w:hint="eastAsia" w:ascii="宋体" w:hAnsi="宋体" w:cs="宋体"/>
                <w:color w:val="auto"/>
                <w:szCs w:val="21"/>
                <w:highlight w:val="none"/>
              </w:rPr>
              <w:t>（</w:t>
            </w:r>
            <w:r>
              <w:rPr>
                <w:rFonts w:hint="eastAsia" w:ascii="宋体" w:hAnsi="宋体" w:cs="宋体"/>
                <w:color w:val="auto"/>
                <w:szCs w:val="21"/>
                <w:highlight w:val="none"/>
                <w:lang w:eastAsia="zh-CN"/>
              </w:rPr>
              <w:t>广西南宁市青秀区枫林路18号广西国控大厦（枫林路办公区）裙楼三楼</w:t>
            </w:r>
            <w:r>
              <w:rPr>
                <w:rFonts w:hint="eastAsia" w:ascii="宋体" w:hAnsi="宋体" w:cs="宋体"/>
                <w:color w:val="auto"/>
                <w:szCs w:val="21"/>
                <w:highlight w:val="none"/>
              </w:rPr>
              <w:t>）</w:t>
            </w:r>
          </w:p>
          <w:p w14:paraId="23CC7032">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业务时间：工作日每天上午8时30分到12时00分，下午</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0分到</w:t>
            </w:r>
            <w:r>
              <w:rPr>
                <w:rFonts w:hint="eastAsia" w:ascii="宋体" w:hAnsi="宋体" w:cs="宋体"/>
                <w:color w:val="auto"/>
                <w:szCs w:val="21"/>
                <w:highlight w:val="none"/>
                <w:lang w:val="en-US" w:eastAsia="zh-CN"/>
              </w:rPr>
              <w:t>6</w:t>
            </w:r>
            <w:r>
              <w:rPr>
                <w:rFonts w:hint="eastAsia" w:ascii="宋体" w:hAnsi="宋体" w:cs="宋体"/>
                <w:color w:val="auto"/>
                <w:szCs w:val="21"/>
                <w:highlight w:val="none"/>
              </w:rPr>
              <w:t>时</w:t>
            </w:r>
            <w:r>
              <w:rPr>
                <w:rFonts w:hint="eastAsia" w:ascii="宋体" w:hAnsi="宋体" w:cs="宋体"/>
                <w:color w:val="auto"/>
                <w:szCs w:val="21"/>
                <w:highlight w:val="none"/>
                <w:lang w:val="en-US" w:eastAsia="zh-CN"/>
              </w:rPr>
              <w:t>0</w:t>
            </w:r>
            <w:r>
              <w:rPr>
                <w:rFonts w:hint="eastAsia" w:ascii="宋体" w:hAnsi="宋体" w:cs="宋体"/>
                <w:color w:val="auto"/>
                <w:szCs w:val="21"/>
                <w:highlight w:val="none"/>
              </w:rPr>
              <w:t>0分。</w:t>
            </w:r>
          </w:p>
        </w:tc>
      </w:tr>
      <w:tr w14:paraId="667B2FD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5A253F9A">
            <w:pPr>
              <w:keepNext w:val="0"/>
              <w:keepLines w:val="0"/>
              <w:pageBreakBefore w:val="0"/>
              <w:widowControl w:val="0"/>
              <w:kinsoku/>
              <w:overflowPunct/>
              <w:topLinePunct w:val="0"/>
              <w:bidi w:val="0"/>
              <w:spacing w:line="400" w:lineRule="exact"/>
              <w:jc w:val="center"/>
              <w:rPr>
                <w:rFonts w:hint="eastAsia" w:ascii="宋体" w:hAnsi="宋体" w:cs="宋体"/>
                <w:color w:val="auto"/>
                <w:szCs w:val="21"/>
                <w:highlight w:val="none"/>
              </w:rPr>
            </w:pPr>
            <w:bookmarkStart w:id="98" w:name="_41"/>
            <w:bookmarkEnd w:id="98"/>
            <w:bookmarkStart w:id="99" w:name="_42"/>
            <w:bookmarkEnd w:id="99"/>
            <w:bookmarkStart w:id="100" w:name="_Hlt17709148"/>
            <w:r>
              <w:rPr>
                <w:rFonts w:hint="eastAsia" w:ascii="宋体" w:hAnsi="宋体" w:cs="宋体"/>
                <w:color w:val="auto"/>
                <w:szCs w:val="21"/>
                <w:highlight w:val="none"/>
              </w:rPr>
              <w:t>3</w:t>
            </w:r>
            <w:bookmarkEnd w:id="100"/>
            <w:r>
              <w:rPr>
                <w:rFonts w:hint="eastAsia" w:ascii="宋体" w:hAnsi="宋体" w:cs="宋体"/>
                <w:color w:val="auto"/>
                <w:szCs w:val="21"/>
                <w:highlight w:val="none"/>
              </w:rPr>
              <w:t>9.1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286EAEF5">
            <w:pPr>
              <w:pStyle w:val="20"/>
              <w:keepNext w:val="0"/>
              <w:keepLines w:val="0"/>
              <w:pageBreakBefore w:val="0"/>
              <w:widowControl w:val="0"/>
              <w:kinsoku/>
              <w:overflowPunct/>
              <w:topLinePunct w:val="0"/>
              <w:bidi w:val="0"/>
              <w:snapToGrid w:val="0"/>
              <w:spacing w:line="400" w:lineRule="exact"/>
              <w:rPr>
                <w:rFonts w:hint="eastAsia" w:hAnsi="宋体" w:cs="宋体"/>
                <w:color w:val="auto"/>
                <w:highlight w:val="none"/>
              </w:rPr>
            </w:pPr>
            <w:r>
              <w:rPr>
                <w:rFonts w:hint="eastAsia" w:hAnsi="宋体" w:cs="宋体"/>
                <w:color w:val="auto"/>
                <w:highlight w:val="none"/>
              </w:rPr>
              <w:t>1.采购代理费支付方式：本项目代理服务费由</w:t>
            </w:r>
            <w:r>
              <w:rPr>
                <w:rFonts w:hint="eastAsia" w:hAnsi="宋体" w:cs="宋体"/>
                <w:color w:val="auto"/>
                <w:highlight w:val="none"/>
                <w:u w:val="single"/>
              </w:rPr>
              <w:t>中标人</w:t>
            </w:r>
            <w:r>
              <w:rPr>
                <w:rFonts w:hint="eastAsia" w:hAnsi="宋体" w:cs="宋体"/>
                <w:color w:val="auto"/>
                <w:highlight w:val="none"/>
              </w:rPr>
              <w:t>一次性向采购代理机构支付。</w:t>
            </w:r>
          </w:p>
          <w:p w14:paraId="7E4B3B7C">
            <w:pPr>
              <w:pStyle w:val="20"/>
              <w:keepNext w:val="0"/>
              <w:keepLines w:val="0"/>
              <w:pageBreakBefore w:val="0"/>
              <w:widowControl w:val="0"/>
              <w:kinsoku/>
              <w:overflowPunct/>
              <w:topLinePunct w:val="0"/>
              <w:bidi w:val="0"/>
              <w:snapToGrid w:val="0"/>
              <w:spacing w:line="400" w:lineRule="exact"/>
              <w:rPr>
                <w:rFonts w:hint="eastAsia" w:hAnsi="宋体" w:cs="宋体"/>
                <w:color w:val="auto"/>
                <w:highlight w:val="none"/>
              </w:rPr>
            </w:pPr>
            <w:r>
              <w:rPr>
                <w:rFonts w:hint="eastAsia" w:hAnsi="宋体" w:cs="宋体"/>
                <w:color w:val="auto"/>
                <w:highlight w:val="none"/>
              </w:rPr>
              <w:t>2.采购代理费收取标准：</w:t>
            </w:r>
          </w:p>
          <w:p w14:paraId="00730FF7">
            <w:pPr>
              <w:pStyle w:val="20"/>
              <w:keepNext w:val="0"/>
              <w:keepLines w:val="0"/>
              <w:pageBreakBefore w:val="0"/>
              <w:widowControl w:val="0"/>
              <w:kinsoku/>
              <w:overflowPunct/>
              <w:topLinePunct w:val="0"/>
              <w:bidi w:val="0"/>
              <w:snapToGrid w:val="0"/>
              <w:spacing w:line="400" w:lineRule="exact"/>
              <w:rPr>
                <w:rFonts w:hint="eastAsia" w:hAnsi="宋体" w:cs="宋体"/>
                <w:color w:val="auto"/>
                <w:highlight w:val="none"/>
              </w:rPr>
            </w:pPr>
            <w:r>
              <w:rPr>
                <w:rFonts w:hint="eastAsia" w:ascii="宋体" w:hAnsi="宋体" w:eastAsia="宋体" w:cs="宋体"/>
                <w:color w:val="auto"/>
                <w:kern w:val="0"/>
                <w:szCs w:val="21"/>
                <w:highlight w:val="none"/>
              </w:rPr>
              <w:t>以</w:t>
            </w:r>
            <w:r>
              <w:rPr>
                <w:rFonts w:hint="eastAsia" w:ascii="宋体" w:hAnsi="宋体" w:eastAsia="宋体" w:cs="宋体"/>
                <w:color w:val="auto"/>
                <w:kern w:val="0"/>
                <w:sz w:val="21"/>
                <w:szCs w:val="21"/>
                <w:highlight w:val="none"/>
                <w:lang w:val="en-US" w:eastAsia="zh-CN"/>
              </w:rPr>
              <w:t>中标金额（本项目采购预算金额）</w:t>
            </w:r>
            <w:r>
              <w:rPr>
                <w:rFonts w:hint="eastAsia" w:ascii="宋体" w:hAnsi="宋体" w:eastAsia="宋体" w:cs="宋体"/>
                <w:color w:val="auto"/>
                <w:kern w:val="0"/>
                <w:szCs w:val="21"/>
                <w:highlight w:val="none"/>
              </w:rPr>
              <w:t>为计费额，按本须知正文第39.1条规定的收费计算标准（服务类）采用差额定率累进法计算出收费</w:t>
            </w:r>
            <w:r>
              <w:rPr>
                <w:rFonts w:hint="eastAsia" w:hAnsi="宋体" w:cs="宋体"/>
                <w:color w:val="auto"/>
                <w:highlight w:val="none"/>
              </w:rPr>
              <w:t>基准价格</w:t>
            </w:r>
            <w:r>
              <w:rPr>
                <w:rFonts w:hint="eastAsia" w:hAnsi="宋体" w:cs="宋体"/>
                <w:color w:val="auto"/>
                <w:highlight w:val="none"/>
                <w:lang w:val="en-US" w:eastAsia="zh-CN"/>
              </w:rPr>
              <w:t>下浮20%</w:t>
            </w:r>
            <w:r>
              <w:rPr>
                <w:rFonts w:hint="eastAsia" w:hAnsi="宋体" w:cs="宋体"/>
                <w:color w:val="auto"/>
                <w:highlight w:val="none"/>
              </w:rPr>
              <w:t>，采购代理收费以收费</w:t>
            </w:r>
            <w:r>
              <w:rPr>
                <w:rFonts w:hint="eastAsia" w:hAnsi="宋体" w:cs="宋体"/>
                <w:color w:val="auto"/>
                <w:highlight w:val="none"/>
                <w:lang w:val="en-US" w:eastAsia="zh-CN"/>
              </w:rPr>
              <w:t>标准</w:t>
            </w:r>
            <w:r>
              <w:rPr>
                <w:rFonts w:hint="eastAsia" w:hAnsi="宋体" w:cs="宋体"/>
                <w:color w:val="auto"/>
                <w:highlight w:val="none"/>
              </w:rPr>
              <w:t>收取。</w:t>
            </w:r>
          </w:p>
          <w:p w14:paraId="4D02C444">
            <w:pPr>
              <w:keepNext w:val="0"/>
              <w:keepLines w:val="0"/>
              <w:pageBreakBefore w:val="0"/>
              <w:widowControl w:val="0"/>
              <w:kinsoku/>
              <w:overflowPunct/>
              <w:topLinePunct w:val="0"/>
              <w:bidi w:val="0"/>
              <w:snapToGrid w:val="0"/>
              <w:spacing w:line="400" w:lineRule="exact"/>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3.账户名称：</w:t>
            </w:r>
            <w:r>
              <w:rPr>
                <w:rFonts w:hint="eastAsia" w:ascii="宋体" w:hAnsi="宋体" w:cs="宋体"/>
                <w:color w:val="auto"/>
                <w:kern w:val="0"/>
                <w:szCs w:val="21"/>
                <w:highlight w:val="none"/>
                <w:lang w:eastAsia="zh-CN"/>
              </w:rPr>
              <w:t>广西建设工程机电设备招标中心有限公司</w:t>
            </w:r>
          </w:p>
          <w:p w14:paraId="56642821">
            <w:pPr>
              <w:pStyle w:val="20"/>
              <w:keepNext w:val="0"/>
              <w:keepLines w:val="0"/>
              <w:pageBreakBefore w:val="0"/>
              <w:widowControl w:val="0"/>
              <w:kinsoku/>
              <w:overflowPunct/>
              <w:topLinePunct w:val="0"/>
              <w:bidi w:val="0"/>
              <w:snapToGrid w:val="0"/>
              <w:spacing w:line="400" w:lineRule="exact"/>
              <w:rPr>
                <w:rFonts w:hint="eastAsia" w:hAnsi="宋体" w:cs="宋体"/>
                <w:color w:val="auto"/>
                <w:highlight w:val="none"/>
                <w:lang w:eastAsia="zh-CN"/>
              </w:rPr>
            </w:pPr>
            <w:r>
              <w:rPr>
                <w:rFonts w:hint="eastAsia" w:hAnsi="宋体" w:cs="宋体"/>
                <w:color w:val="auto"/>
                <w:highlight w:val="none"/>
              </w:rPr>
              <w:t>银行账号：7719  0142  3310  201</w:t>
            </w:r>
          </w:p>
          <w:p w14:paraId="3D79656B">
            <w:pPr>
              <w:pStyle w:val="20"/>
              <w:keepNext w:val="0"/>
              <w:keepLines w:val="0"/>
              <w:pageBreakBefore w:val="0"/>
              <w:widowControl w:val="0"/>
              <w:kinsoku/>
              <w:overflowPunct/>
              <w:topLinePunct w:val="0"/>
              <w:bidi w:val="0"/>
              <w:snapToGrid w:val="0"/>
              <w:spacing w:line="400" w:lineRule="exact"/>
              <w:rPr>
                <w:rFonts w:hint="eastAsia" w:hAnsi="宋体" w:cs="宋体"/>
                <w:color w:val="auto"/>
                <w:highlight w:val="none"/>
              </w:rPr>
            </w:pPr>
            <w:r>
              <w:rPr>
                <w:rFonts w:hint="eastAsia" w:hAnsi="宋体" w:cs="宋体"/>
                <w:color w:val="auto"/>
                <w:highlight w:val="none"/>
              </w:rPr>
              <w:t>开户银行：</w:t>
            </w:r>
            <w:r>
              <w:rPr>
                <w:rFonts w:hint="eastAsia" w:hAnsi="宋体" w:cs="宋体"/>
                <w:color w:val="auto"/>
                <w:highlight w:val="none"/>
                <w:lang w:eastAsia="zh-CN"/>
              </w:rPr>
              <w:t>招商银行南宁分行营业部</w:t>
            </w:r>
          </w:p>
        </w:tc>
      </w:tr>
      <w:tr w14:paraId="7940734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14012CB0">
            <w:pPr>
              <w:keepNext w:val="0"/>
              <w:keepLines w:val="0"/>
              <w:pageBreakBefore w:val="0"/>
              <w:widowControl w:val="0"/>
              <w:kinsoku/>
              <w:overflowPunct/>
              <w:topLinePunct w:val="0"/>
              <w:bidi w:val="0"/>
              <w:snapToGrid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40.1</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594CAAB1">
            <w:pPr>
              <w:keepNext w:val="0"/>
              <w:keepLines w:val="0"/>
              <w:pageBreakBefore w:val="0"/>
              <w:widowControl w:val="0"/>
              <w:kinsoku/>
              <w:overflowPunct/>
              <w:topLinePunct w:val="0"/>
              <w:bidi w:val="0"/>
              <w:snapToGrid w:val="0"/>
              <w:spacing w:line="400" w:lineRule="exact"/>
              <w:rPr>
                <w:rFonts w:hint="eastAsia" w:ascii="宋体" w:hAnsi="宋体" w:cs="宋体"/>
                <w:color w:val="auto"/>
                <w:szCs w:val="21"/>
                <w:highlight w:val="none"/>
              </w:rPr>
            </w:pPr>
            <w:r>
              <w:rPr>
                <w:rFonts w:hint="eastAsia" w:ascii="宋体" w:hAnsi="宋体" w:cs="宋体"/>
                <w:color w:val="auto"/>
                <w:szCs w:val="21"/>
                <w:highlight w:val="none"/>
              </w:rPr>
              <w:t>解释：构成本招标文件的各个组成文件应互为解释，互为说明；除招标文件中有特别规定外，仅适用于招标投标阶段的规定，按更正公告（澄清公告）、招标公告、采购需求、投标人须知、评标方法及评标标准、拟签订的合同文本、投标文件格式的先后顺序解释；同一组成文件中就同一事项的规定或者约定不一致的，以编排顺序在后者为准；同一组成文件不同版本之间有不一致的，以形成时间在后者为准；更正公告（澄清公告）与同步更新的招标文件不一致时以更正公告（澄清公告）为准。按本款前述规定仍不能形成结论的，由采购人或者采购代理机构负责解释。</w:t>
            </w:r>
          </w:p>
        </w:tc>
      </w:tr>
      <w:tr w14:paraId="4A5C64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978" w:type="dxa"/>
            <w:tcBorders>
              <w:top w:val="single" w:color="auto" w:sz="4" w:space="0"/>
              <w:left w:val="single" w:color="auto" w:sz="4" w:space="0"/>
              <w:bottom w:val="single" w:color="auto" w:sz="4" w:space="0"/>
              <w:right w:val="single" w:color="auto" w:sz="4" w:space="0"/>
            </w:tcBorders>
            <w:noWrap w:val="0"/>
            <w:vAlign w:val="center"/>
          </w:tcPr>
          <w:p w14:paraId="3E1D6AC1">
            <w:pPr>
              <w:keepNext w:val="0"/>
              <w:keepLines w:val="0"/>
              <w:pageBreakBefore w:val="0"/>
              <w:widowControl w:val="0"/>
              <w:kinsoku/>
              <w:overflowPunct/>
              <w:topLinePunct w:val="0"/>
              <w:bidi w:val="0"/>
              <w:snapToGrid w:val="0"/>
              <w:spacing w:line="400" w:lineRule="exact"/>
              <w:jc w:val="center"/>
              <w:rPr>
                <w:rFonts w:hint="eastAsia" w:ascii="宋体" w:hAnsi="宋体" w:cs="宋体"/>
                <w:color w:val="auto"/>
                <w:szCs w:val="21"/>
                <w:highlight w:val="none"/>
              </w:rPr>
            </w:pPr>
            <w:r>
              <w:rPr>
                <w:rFonts w:hint="eastAsia" w:ascii="宋体" w:hAnsi="宋体" w:cs="宋体"/>
                <w:color w:val="auto"/>
                <w:szCs w:val="21"/>
                <w:highlight w:val="none"/>
              </w:rPr>
              <w:t>40.2</w:t>
            </w:r>
          </w:p>
        </w:tc>
        <w:tc>
          <w:tcPr>
            <w:tcW w:w="8175" w:type="dxa"/>
            <w:tcBorders>
              <w:top w:val="single" w:color="auto" w:sz="4" w:space="0"/>
              <w:left w:val="single" w:color="auto" w:sz="4" w:space="0"/>
              <w:bottom w:val="single" w:color="auto" w:sz="4" w:space="0"/>
              <w:right w:val="single" w:color="auto" w:sz="4" w:space="0"/>
            </w:tcBorders>
            <w:noWrap w:val="0"/>
            <w:vAlign w:val="center"/>
          </w:tcPr>
          <w:p w14:paraId="63A1CDA4">
            <w:pPr>
              <w:pStyle w:val="20"/>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1.本招标文件中描述投标人的“公章”是指根据我国对公章的管理规定</w:t>
            </w:r>
            <w:r>
              <w:rPr>
                <w:rFonts w:hint="eastAsia" w:hAnsi="宋体" w:cs="宋体"/>
                <w:bCs/>
                <w:color w:val="auto"/>
                <w:highlight w:val="none"/>
                <w:lang w:eastAsia="zh-CN"/>
              </w:rPr>
              <w:t>，使</w:t>
            </w:r>
            <w:r>
              <w:rPr>
                <w:rFonts w:hint="eastAsia" w:hAnsi="宋体" w:cs="宋体"/>
                <w:bCs/>
                <w:color w:val="auto"/>
                <w:highlight w:val="none"/>
              </w:rPr>
              <w:t>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721E505C">
            <w:pPr>
              <w:pStyle w:val="20"/>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2.本招标文件所称的“</w:t>
            </w:r>
            <w:r>
              <w:rPr>
                <w:rFonts w:hint="eastAsia" w:hAnsi="宋体" w:cs="宋体"/>
                <w:color w:val="auto"/>
                <w:highlight w:val="none"/>
              </w:rPr>
              <w:t>电子签章</w:t>
            </w:r>
            <w:r>
              <w:rPr>
                <w:rFonts w:hint="eastAsia" w:hAnsi="宋体" w:cs="宋体"/>
                <w:color w:val="auto"/>
                <w:highlight w:val="none"/>
                <w:lang w:eastAsia="zh-CN"/>
              </w:rPr>
              <w:t>”“</w:t>
            </w:r>
            <w:r>
              <w:rPr>
                <w:rFonts w:hint="eastAsia" w:hAnsi="宋体" w:cs="宋体"/>
                <w:bCs/>
                <w:color w:val="auto"/>
                <w:highlight w:val="none"/>
              </w:rPr>
              <w:t>电子签名”</w:t>
            </w:r>
            <w:r>
              <w:rPr>
                <w:rFonts w:hint="eastAsia" w:hAnsi="宋体" w:cs="宋体"/>
                <w:color w:val="auto"/>
                <w:highlight w:val="none"/>
              </w:rPr>
              <w:t>，是指经广西政府采购云平台认可的CA认证的电子签名数据为表现形式的印章，可用于签署电子投标文件，电子印章与实物印章具有同等法律效力，不因其采用电子化表现形式而否定其法律效力。</w:t>
            </w:r>
          </w:p>
          <w:p w14:paraId="49F6D7F8">
            <w:pPr>
              <w:pStyle w:val="20"/>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3.投标人为其他组织或者自然人时，本招标文件规定的法定代表人指负责人或者自然人。本招标文件所称负责人是指参加投标的其他组织营业执照或者执业许可证等证照上的负责人，本招标文件所称自然人指参与投标的自然人本人，且应具备独立承担民事责任能力，自然人应当为年满18岁以上成年人（十六周岁以上的未成年人，以自己的劳动收入为主要生活来源的，视为完全民事行为能力人）。</w:t>
            </w:r>
          </w:p>
          <w:p w14:paraId="348E441A">
            <w:pPr>
              <w:pStyle w:val="20"/>
              <w:keepNext w:val="0"/>
              <w:keepLines w:val="0"/>
              <w:pageBreakBefore w:val="0"/>
              <w:widowControl w:val="0"/>
              <w:kinsoku/>
              <w:overflowPunct/>
              <w:topLinePunct w:val="0"/>
              <w:bidi w:val="0"/>
              <w:snapToGrid w:val="0"/>
              <w:spacing w:line="400" w:lineRule="exact"/>
              <w:rPr>
                <w:rFonts w:hint="eastAsia" w:hAnsi="宋体" w:cs="宋体"/>
                <w:bCs/>
                <w:color w:val="auto"/>
                <w:highlight w:val="none"/>
              </w:rPr>
            </w:pPr>
            <w:r>
              <w:rPr>
                <w:rFonts w:hint="eastAsia" w:hAnsi="宋体" w:cs="宋体"/>
                <w:bCs/>
                <w:color w:val="auto"/>
                <w:highlight w:val="none"/>
              </w:rPr>
              <w:t>4.本招标文件中描述投标人的“签字”是指投标人的法定代表人或者委托代理人亲自在文件规定签字处亲笔写上个人的名字的行为，私章、签字章、印鉴、影印等其他形式均不能代替亲笔签字。</w:t>
            </w:r>
          </w:p>
          <w:p w14:paraId="409FEE3B">
            <w:pPr>
              <w:keepNext w:val="0"/>
              <w:keepLines w:val="0"/>
              <w:pageBreakBefore w:val="0"/>
              <w:widowControl w:val="0"/>
              <w:kinsoku/>
              <w:overflowPunct/>
              <w:topLinePunct w:val="0"/>
              <w:bidi w:val="0"/>
              <w:spacing w:line="400" w:lineRule="exact"/>
              <w:jc w:val="left"/>
              <w:rPr>
                <w:rFonts w:hint="eastAsia" w:ascii="宋体" w:hAnsi="宋体" w:cs="宋体"/>
                <w:color w:val="auto"/>
                <w:szCs w:val="21"/>
                <w:highlight w:val="none"/>
              </w:rPr>
            </w:pPr>
            <w:r>
              <w:rPr>
                <w:rFonts w:hint="eastAsia" w:ascii="宋体" w:hAnsi="宋体" w:cs="宋体"/>
                <w:bCs/>
                <w:color w:val="auto"/>
                <w:szCs w:val="21"/>
                <w:highlight w:val="none"/>
              </w:rPr>
              <w:t>5.</w:t>
            </w:r>
            <w:r>
              <w:rPr>
                <w:rFonts w:hint="eastAsia" w:ascii="宋体" w:hAnsi="宋体" w:cs="宋体"/>
                <w:bCs/>
                <w:color w:val="auto"/>
                <w:kern w:val="0"/>
                <w:szCs w:val="21"/>
                <w:highlight w:val="none"/>
              </w:rPr>
              <w:t>本招标文件所称的“以上”“以下”“以内”“届满”，包括本数；所称的“不满”“超过”“以外”，不包括本数。</w:t>
            </w:r>
          </w:p>
        </w:tc>
      </w:tr>
    </w:tbl>
    <w:p w14:paraId="3511F2AF">
      <w:pPr>
        <w:snapToGrid w:val="0"/>
        <w:rPr>
          <w:rFonts w:hint="eastAsia" w:ascii="宋体" w:hAnsi="宋体" w:cs="宋体"/>
          <w:color w:val="auto"/>
          <w:sz w:val="24"/>
          <w:szCs w:val="20"/>
          <w:highlight w:val="none"/>
        </w:rPr>
      </w:pPr>
    </w:p>
    <w:p w14:paraId="4A043A76">
      <w:pPr>
        <w:snapToGrid w:val="0"/>
        <w:rPr>
          <w:rFonts w:hint="eastAsia" w:ascii="宋体" w:hAnsi="宋体" w:cs="宋体"/>
          <w:color w:val="auto"/>
          <w:sz w:val="24"/>
          <w:szCs w:val="20"/>
          <w:highlight w:val="none"/>
        </w:rPr>
      </w:pPr>
    </w:p>
    <w:p w14:paraId="5E3E2D1E">
      <w:pPr>
        <w:pStyle w:val="3"/>
        <w:jc w:val="center"/>
        <w:rPr>
          <w:rFonts w:hint="eastAsia" w:ascii="宋体" w:hAnsi="宋体" w:eastAsia="宋体" w:cs="宋体"/>
          <w:color w:val="auto"/>
          <w:highlight w:val="none"/>
        </w:rPr>
      </w:pPr>
      <w:r>
        <w:rPr>
          <w:rFonts w:hint="eastAsia" w:ascii="宋体" w:hAnsi="宋体" w:eastAsia="宋体" w:cs="宋体"/>
          <w:color w:val="auto"/>
          <w:highlight w:val="none"/>
        </w:rPr>
        <w:br w:type="page"/>
      </w:r>
      <w:bookmarkStart w:id="101" w:name="_Toc21607"/>
      <w:bookmarkStart w:id="102" w:name="_Toc4106"/>
      <w:bookmarkStart w:id="103" w:name="_Toc20552"/>
      <w:bookmarkStart w:id="104" w:name="_Toc978"/>
      <w:r>
        <w:rPr>
          <w:rFonts w:hint="eastAsia" w:ascii="宋体" w:hAnsi="宋体" w:eastAsia="宋体" w:cs="宋体"/>
          <w:color w:val="auto"/>
          <w:highlight w:val="none"/>
        </w:rPr>
        <w:t>投标人须知正文</w:t>
      </w:r>
      <w:bookmarkEnd w:id="101"/>
      <w:bookmarkEnd w:id="102"/>
      <w:bookmarkEnd w:id="103"/>
      <w:bookmarkEnd w:id="104"/>
    </w:p>
    <w:p w14:paraId="17599EA7">
      <w:pPr>
        <w:pStyle w:val="4"/>
        <w:keepNext w:val="0"/>
        <w:keepLines w:val="0"/>
        <w:jc w:val="center"/>
        <w:rPr>
          <w:rFonts w:hint="eastAsia" w:ascii="宋体" w:hAnsi="宋体" w:cs="宋体"/>
          <w:color w:val="auto"/>
          <w:highlight w:val="none"/>
        </w:rPr>
      </w:pPr>
      <w:bookmarkStart w:id="105" w:name="_Toc17060"/>
      <w:bookmarkStart w:id="106" w:name="_Toc7551"/>
      <w:bookmarkStart w:id="107" w:name="_Toc1149"/>
      <w:r>
        <w:rPr>
          <w:rFonts w:hint="eastAsia" w:ascii="宋体" w:hAnsi="宋体" w:cs="宋体"/>
          <w:color w:val="auto"/>
          <w:highlight w:val="none"/>
        </w:rPr>
        <w:t>一、总  则</w:t>
      </w:r>
      <w:bookmarkEnd w:id="105"/>
      <w:bookmarkEnd w:id="106"/>
      <w:bookmarkEnd w:id="107"/>
    </w:p>
    <w:p w14:paraId="0C0D356B">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08" w:name="_Toc254970527"/>
      <w:bookmarkStart w:id="109" w:name="_Toc254970668"/>
      <w:r>
        <w:rPr>
          <w:rFonts w:hint="eastAsia" w:ascii="宋体" w:hAnsi="宋体" w:cs="宋体"/>
          <w:b/>
          <w:color w:val="auto"/>
          <w:sz w:val="24"/>
          <w:highlight w:val="none"/>
        </w:rPr>
        <w:t>1.适用范围</w:t>
      </w:r>
      <w:bookmarkEnd w:id="108"/>
      <w:bookmarkEnd w:id="109"/>
    </w:p>
    <w:p w14:paraId="09EB9DE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适用法律：本项目采购人、采购代理机构、投标人、评标委员会的相关行为均受《中华人民共和国政府采购法》《中华人民共和国政府采购法实施条例》《政府采购货物和服务招标投标管理办法》及本项目本级和上级财政部门政府采购有关规定的约束和保护。</w:t>
      </w:r>
    </w:p>
    <w:p w14:paraId="066DB934">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1.2本招标文件</w:t>
      </w:r>
      <w:r>
        <w:rPr>
          <w:rFonts w:hint="eastAsia" w:ascii="宋体" w:hAnsi="宋体" w:cs="宋体"/>
          <w:color w:val="auto"/>
          <w:spacing w:val="-6"/>
          <w:szCs w:val="21"/>
          <w:highlight w:val="none"/>
        </w:rPr>
        <w:t>适用于本项目的所有采购程序和环节（</w:t>
      </w:r>
      <w:r>
        <w:rPr>
          <w:rFonts w:hint="eastAsia" w:ascii="宋体" w:hAnsi="宋体" w:cs="宋体"/>
          <w:color w:val="auto"/>
          <w:spacing w:val="-6"/>
          <w:szCs w:val="21"/>
          <w:highlight w:val="none"/>
          <w:lang w:eastAsia="zh-CN"/>
        </w:rPr>
        <w:t>法律法规</w:t>
      </w:r>
      <w:r>
        <w:rPr>
          <w:rFonts w:hint="eastAsia" w:ascii="宋体" w:hAnsi="宋体" w:cs="宋体"/>
          <w:color w:val="auto"/>
          <w:spacing w:val="-6"/>
          <w:szCs w:val="21"/>
          <w:highlight w:val="none"/>
        </w:rPr>
        <w:t>另有规定的，从其规定）。</w:t>
      </w:r>
    </w:p>
    <w:p w14:paraId="4672B6BB">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10" w:name="_Toc254970528"/>
      <w:bookmarkStart w:id="111" w:name="_Toc254970669"/>
      <w:r>
        <w:rPr>
          <w:rFonts w:hint="eastAsia" w:ascii="宋体" w:hAnsi="宋体" w:cs="宋体"/>
          <w:b/>
          <w:color w:val="auto"/>
          <w:sz w:val="24"/>
          <w:highlight w:val="none"/>
        </w:rPr>
        <w:t>2.定义</w:t>
      </w:r>
      <w:bookmarkEnd w:id="110"/>
      <w:bookmarkEnd w:id="111"/>
    </w:p>
    <w:p w14:paraId="666508B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2.1“采购人”是指依法进行政府采购的国家机关、事业单位、团体组织。</w:t>
      </w:r>
    </w:p>
    <w:p w14:paraId="5BD8CCD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2.2“采购代理机构”是指政府采购集中采购机构和集中采购机构以外的采购代理机构。</w:t>
      </w:r>
    </w:p>
    <w:p w14:paraId="0C76233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2.3“供应商”是指向采购人提供货物、工程或者服务的法人、其他组织或者自然人。</w:t>
      </w:r>
    </w:p>
    <w:p w14:paraId="2F513BA7">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2.4“投标人”是指响应招标、参加投标竞争的法人、其他组织或者自然人。</w:t>
      </w:r>
    </w:p>
    <w:p w14:paraId="040F3B8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2.5“服务”是指除货物和工程以外的其他政府采购对象。</w:t>
      </w:r>
    </w:p>
    <w:p w14:paraId="32BA998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2.6“书面形式”是指合同书、信件和数据电文（包括电报、电传、传真、电子数据交换和电子邮件）等可以有形地表现所载内容的形式。</w:t>
      </w:r>
    </w:p>
    <w:p w14:paraId="1AD7301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2.7“实质性要求”是指招标文件中已经指明不满足则投标无效的条款，或者不能负偏离的条款，或者采购需求中带“▲”的条款。</w:t>
      </w:r>
    </w:p>
    <w:p w14:paraId="738BC92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2.8“正偏离”，是指投标文件对招标文件“采购需求”中有关条款作出的响应优于条款要求并有利于采购人的情形。</w:t>
      </w:r>
    </w:p>
    <w:p w14:paraId="3F86462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2.9“负偏离”，是指投标文件对招标文件“采购需求”中有关条款作出的响应不满足条款要求，导致采购人要求不能得到满足的情形。</w:t>
      </w:r>
    </w:p>
    <w:p w14:paraId="5F5659C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2.10“允许负偏离的条款”是指采购需求中的不属于“实质性要求”的条款。</w:t>
      </w:r>
      <w:bookmarkStart w:id="112" w:name="_Toc254970529"/>
      <w:bookmarkStart w:id="113" w:name="_Toc254970670"/>
    </w:p>
    <w:p w14:paraId="16B8287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w:t>
      </w:r>
      <w:bookmarkEnd w:id="112"/>
      <w:bookmarkEnd w:id="113"/>
      <w:r>
        <w:rPr>
          <w:rFonts w:hint="eastAsia" w:ascii="宋体" w:hAnsi="宋体" w:cs="宋体"/>
          <w:b/>
          <w:color w:val="auto"/>
          <w:sz w:val="24"/>
          <w:highlight w:val="none"/>
        </w:rPr>
        <w:t>投标人的资格要求</w:t>
      </w:r>
    </w:p>
    <w:p w14:paraId="0076576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投标人的资格要求详见“投标人须知前附表”。</w:t>
      </w:r>
    </w:p>
    <w:p w14:paraId="64AA85B8">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14" w:name="_Toc254970671"/>
      <w:bookmarkStart w:id="115" w:name="_Toc254970530"/>
      <w:r>
        <w:rPr>
          <w:rFonts w:hint="eastAsia" w:ascii="宋体" w:hAnsi="宋体" w:cs="宋体"/>
          <w:b/>
          <w:color w:val="auto"/>
          <w:sz w:val="24"/>
          <w:highlight w:val="none"/>
        </w:rPr>
        <w:t>4.投标委托</w:t>
      </w:r>
      <w:bookmarkEnd w:id="114"/>
      <w:bookmarkEnd w:id="115"/>
    </w:p>
    <w:p w14:paraId="7123526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投标人代表参加投标活动过程中必须携带个人有效身份证件。如投标人代表不是法定代表人，须持有授权委托书（按第六章要求格式填写）。</w:t>
      </w:r>
    </w:p>
    <w:p w14:paraId="2A6B9B7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16" w:name="_5.投标费用"/>
      <w:bookmarkEnd w:id="116"/>
      <w:bookmarkStart w:id="117" w:name="_Toc254970672"/>
      <w:bookmarkStart w:id="118" w:name="_Toc254970531"/>
      <w:r>
        <w:rPr>
          <w:rFonts w:hint="eastAsia" w:ascii="宋体" w:hAnsi="宋体" w:cs="宋体"/>
          <w:b/>
          <w:color w:val="auto"/>
          <w:sz w:val="24"/>
          <w:highlight w:val="none"/>
        </w:rPr>
        <w:t>5.投标费用</w:t>
      </w:r>
      <w:bookmarkEnd w:id="117"/>
      <w:bookmarkEnd w:id="118"/>
    </w:p>
    <w:p w14:paraId="1978905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投标费用：投标人应承担参与本次采购活动有关的所有费用，包括但不限于获取招标文件、勘查现场、编制和提交投标文件、参加澄清说明、签订合同等，不论投标结果如何，均应自行承担。</w:t>
      </w:r>
    </w:p>
    <w:p w14:paraId="580DBCD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6.联合体投标</w:t>
      </w:r>
    </w:p>
    <w:p w14:paraId="382C641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6.1本项目是否接受联合体投标，详见“投标人须知前附表”。</w:t>
      </w:r>
    </w:p>
    <w:p w14:paraId="5770C090">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bCs/>
          <w:color w:val="auto"/>
          <w:szCs w:val="21"/>
          <w:highlight w:val="none"/>
        </w:rPr>
      </w:pPr>
      <w:r>
        <w:rPr>
          <w:rFonts w:hint="eastAsia" w:ascii="宋体" w:hAnsi="宋体" w:cs="宋体"/>
          <w:bCs/>
          <w:color w:val="auto"/>
          <w:szCs w:val="21"/>
          <w:highlight w:val="none"/>
        </w:rPr>
        <w:t>6.2如接受联合体投标，联合体投标要求详见“投标人须知前附表”。</w:t>
      </w:r>
    </w:p>
    <w:p w14:paraId="6A48C9B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bCs/>
          <w:color w:val="auto"/>
          <w:szCs w:val="21"/>
          <w:highlight w:val="none"/>
        </w:rPr>
        <w:t>6.3</w:t>
      </w:r>
      <w:r>
        <w:rPr>
          <w:rFonts w:hint="eastAsia" w:ascii="宋体" w:hAnsi="宋体" w:cs="宋体"/>
          <w:color w:val="auto"/>
          <w:szCs w:val="21"/>
          <w:highlight w:val="none"/>
        </w:rPr>
        <w:t>根据《政府采购促进中小企业发展管理办法》（财库〔2020〕46号）第九条第二款、《财政部关于进一步加大政府采购支持中小企业力度的通知》（财库〔2022〕19号）和《广西壮族自治区财政厅关于持续优化政府采购营商环境推动高质量发展的通知》（桂财采〔2024〕55号）的规定，接受大中型企业与小微企业组成联合体或者允许大中型企业向一家或者多家小微企业分包的采购项目，对于联合协议或者分包意向协议约定小微企业的合同份额占到合同总金额30%以上的，采购人、采购代理机构应当对联合体或者大中型企业的报价给予4%的扣除，用扣除后的价格参加评审。</w:t>
      </w:r>
    </w:p>
    <w:p w14:paraId="233EBD9B">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7.转包与分包</w:t>
      </w:r>
    </w:p>
    <w:p w14:paraId="273E8FC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19" w:name="_Toc254970532"/>
      <w:bookmarkStart w:id="120" w:name="_Toc254970673"/>
      <w:r>
        <w:rPr>
          <w:rFonts w:hint="eastAsia" w:ascii="宋体" w:hAnsi="宋体" w:cs="宋体"/>
          <w:color w:val="auto"/>
          <w:szCs w:val="21"/>
          <w:highlight w:val="none"/>
        </w:rPr>
        <w:t>7.1本项目不允许转包。</w:t>
      </w:r>
    </w:p>
    <w:p w14:paraId="18F2B83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7.2本项目是否允许分包详见“投标人须知前附表”，本项目不允许违法分包。允许分包的非主体、非关键性工作，根据法律法规规定承担该工作需要行政许可的，如该工作由投标人自行承担，投标人应具备相应的行政许可，如投标人不具备相应的行政许可必须采用分包的方式，但分包投标人应具备相应行政许可。</w:t>
      </w:r>
    </w:p>
    <w:p w14:paraId="0369C11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7.3投标人根据招标文件的规定和采购项目的实际情况，拟在中标后将中标项目的非主体、非关键性工作分包的，应当在投标文件中载明分包承担主体，分包承担主体应当具备相应资质条件且不得再次分包。</w:t>
      </w:r>
    </w:p>
    <w:p w14:paraId="73A244F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8.特别说明</w:t>
      </w:r>
      <w:bookmarkEnd w:id="119"/>
      <w:bookmarkEnd w:id="120"/>
    </w:p>
    <w:p w14:paraId="19A37F5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8.1如果本招标文件要求提供投标人或制造商的资格、信誉、荣誉、业绩与企业认证等材料的，资格、信誉、荣誉、业绩与企业认证等必须为投标人或者制造商所拥有或自身获得 。</w:t>
      </w:r>
    </w:p>
    <w:p w14:paraId="0300925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8.2投标人应仔细阅读招标文件的所有内容，按照招标文件的要求提交投标文件，并对所提供的全部资料的真实性承担法律责任。</w:t>
      </w:r>
    </w:p>
    <w:p w14:paraId="35BF2EC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8.3投标人在投标活动中提供任何虚假材料，将报监管部门查处；中标后发现的，中标人须依照《中华人民共和国消费者权益保护法》规定赔偿采购人，且民事赔偿并不免除违法投标人的行政与刑事责任。</w:t>
      </w:r>
    </w:p>
    <w:p w14:paraId="2D7A2FF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9.回避与串通投标</w:t>
      </w:r>
    </w:p>
    <w:p w14:paraId="5674440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9.1在政府采购活动中，采购人员及相关人员与供应商有下列利害关系之一的，应当回避：</w:t>
      </w:r>
    </w:p>
    <w:p w14:paraId="259CF2C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（1）参加采购活动前3年内与供应商存在劳动关系；</w:t>
      </w:r>
    </w:p>
    <w:p w14:paraId="429BAA6E">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（2）参加采购活动前3年内担任供应商的董事、监事；</w:t>
      </w:r>
    </w:p>
    <w:p w14:paraId="63AD26E7">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（3）参加采购活动前3年内是供应商的控股股东或者实际控制人；</w:t>
      </w:r>
    </w:p>
    <w:p w14:paraId="4F8A4E7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（4）与供应商的法定代表人或者负责人有夫妻、直系血亲、三代以内旁系血亲或者近姻亲关系；</w:t>
      </w:r>
    </w:p>
    <w:p w14:paraId="012F9B84">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（5）与供应商有其他可能影响政府采购活动公平、公正进行的关系。</w:t>
      </w:r>
    </w:p>
    <w:p w14:paraId="4823B727">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10A90314">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9.2有下列情形之一的视为投标人相互串通投标，投标文件将被视为无效：</w:t>
      </w:r>
    </w:p>
    <w:p w14:paraId="60C8838A">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（1）不同投标人的投标文件由同一单位或者个人编制；或者不同投标人报名的IP地址一致的；或者编制标书硬件设备CPU编号、硬盘编号、网卡地址一致的情况。</w:t>
      </w:r>
    </w:p>
    <w:p w14:paraId="387920DD">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（2）不同投标人委托同一单位或者个人办理投标事宜；</w:t>
      </w:r>
    </w:p>
    <w:p w14:paraId="6E80BB6D">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（3）不同的投标人的投标文件载明的项目管理员为同一个人；</w:t>
      </w:r>
    </w:p>
    <w:p w14:paraId="4CAC407B">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（4）不同投标人的投标文件异常一致或者投标报价呈规律性差异；</w:t>
      </w:r>
    </w:p>
    <w:p w14:paraId="5FEB2692">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（5）不同投标人的投标文件相互混装；</w:t>
      </w:r>
    </w:p>
    <w:p w14:paraId="0DC653CA">
      <w:pPr>
        <w:keepNext w:val="0"/>
        <w:keepLines w:val="0"/>
        <w:pageBreakBefore w:val="0"/>
        <w:widowControl w:val="0"/>
        <w:kinsoku/>
        <w:wordWrap/>
        <w:overflowPunct/>
        <w:topLinePunct w:val="0"/>
        <w:autoSpaceDE/>
        <w:autoSpaceDN/>
        <w:bidi w:val="0"/>
        <w:snapToGrid w:val="0"/>
        <w:spacing w:line="400" w:lineRule="exact"/>
        <w:ind w:firstLine="422" w:firstLineChars="200"/>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（6）不同投标人的投标保证金从同一单位或者个人账户转出。</w:t>
      </w:r>
    </w:p>
    <w:p w14:paraId="5C9BFAB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9.3供应商有下列情形之一的，属于恶意串通行为，将报同级监督管理部门：</w:t>
      </w:r>
    </w:p>
    <w:p w14:paraId="165A6AA7">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（1）供应商直接或者间接从采购人或者采购代理机构处获得其他供应商的相关信息并修改其投标文件或者响应文件；</w:t>
      </w:r>
    </w:p>
    <w:p w14:paraId="1B84547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（2）供应商按照采购人或者采购代理机构的授意撤换、修改投标文件或者响应文件；</w:t>
      </w:r>
    </w:p>
    <w:p w14:paraId="4601723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（3）供应商之间协商报价、技术方案等投标文件或者响应文件的实质性内容；</w:t>
      </w:r>
    </w:p>
    <w:p w14:paraId="3678E17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（4）属于同一集团、协会、商会等组织成员的供应商按照该组织要求协同参加政府采购活动；</w:t>
      </w:r>
    </w:p>
    <w:p w14:paraId="418DFCB2">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（5）供应商之间事先约定一致抬高或者压低投标报价，或者在招标项目中事先约定轮流以高价位或者低价位中标，或者事先约定由某一特定供应商中标，然后再参加投标；</w:t>
      </w:r>
    </w:p>
    <w:p w14:paraId="16328F7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（6）供应商之间商定部分供应商放弃参加政府采购活动或者放弃中标；</w:t>
      </w:r>
    </w:p>
    <w:p w14:paraId="4B9AB9E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（7）供应商与采购人或者采购代理机构之间、供应商相互之间，为谋求特定供应商中标或者排斥其他供应商的其他串通行为。</w:t>
      </w:r>
    </w:p>
    <w:p w14:paraId="3D6EDF4B">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21" w:name="_Toc16733"/>
      <w:bookmarkStart w:id="122" w:name="_Toc254970675"/>
      <w:bookmarkStart w:id="123" w:name="_Toc254970534"/>
      <w:bookmarkStart w:id="124" w:name="_Toc30666"/>
      <w:bookmarkStart w:id="125" w:name="_Toc31373"/>
      <w:r>
        <w:rPr>
          <w:rFonts w:hint="eastAsia" w:ascii="宋体" w:hAnsi="宋体" w:cs="宋体"/>
          <w:color w:val="auto"/>
          <w:highlight w:val="none"/>
        </w:rPr>
        <w:t>二、招标文件</w:t>
      </w:r>
      <w:bookmarkEnd w:id="121"/>
      <w:bookmarkEnd w:id="122"/>
      <w:bookmarkEnd w:id="123"/>
      <w:bookmarkEnd w:id="124"/>
      <w:bookmarkEnd w:id="125"/>
    </w:p>
    <w:p w14:paraId="41975FEB">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10.招标文件的组成</w:t>
      </w:r>
    </w:p>
    <w:p w14:paraId="134B26CC">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（1）招标公告；</w:t>
      </w:r>
    </w:p>
    <w:p w14:paraId="651B0D2D">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（2）采购需求； </w:t>
      </w:r>
    </w:p>
    <w:p w14:paraId="42E37866">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（3）投标人须知；</w:t>
      </w:r>
    </w:p>
    <w:p w14:paraId="242C0376">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（4）评标方法及评标标准；</w:t>
      </w:r>
    </w:p>
    <w:p w14:paraId="31965BBC">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（5）拟签订的合同文本；</w:t>
      </w:r>
    </w:p>
    <w:p w14:paraId="3307642A">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（6）投标文件格式。</w:t>
      </w:r>
    </w:p>
    <w:p w14:paraId="7F528976">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11.招标文件的澄清、修改 、现场考察和答疑会</w:t>
      </w:r>
    </w:p>
    <w:p w14:paraId="26C3C9FA">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3D67C274">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澄清或者修改的内容可能影响投标文件编制的，采购人或者采购代理机构应当在投标截止时间至少15日前，以书面形式通知所有获取招标文件的潜在投标人；不足15日的，采购人或者采购代理机构应当顺延提交投标文件的截止时间。</w:t>
      </w:r>
    </w:p>
    <w:p w14:paraId="62C41A84">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highlight w:val="none"/>
        </w:rPr>
      </w:pPr>
      <w:r>
        <w:rPr>
          <w:rFonts w:hint="eastAsia" w:hAnsi="宋体" w:cs="宋体"/>
          <w:color w:val="auto"/>
          <w:highlight w:val="none"/>
        </w:rPr>
        <w:t>11.2</w:t>
      </w:r>
      <w:bookmarkStart w:id="126" w:name="_Hlk53134511"/>
      <w:r>
        <w:rPr>
          <w:rFonts w:hint="eastAsia" w:hAnsi="宋体" w:cs="宋体"/>
          <w:color w:val="auto"/>
          <w:highlight w:val="none"/>
        </w:rPr>
        <w:t>采购人或者采购代理机构可以在招标文件提供期限截止后，组织已获取招标文件的潜在投标人现场考察或者召开开标前答疑会，具体详见“投标人须知前附表”。</w:t>
      </w:r>
      <w:bookmarkEnd w:id="126"/>
      <w:bookmarkStart w:id="127" w:name="_Toc254970535"/>
      <w:bookmarkStart w:id="128" w:name="_Toc11493"/>
      <w:bookmarkStart w:id="129" w:name="_Toc28609"/>
      <w:bookmarkStart w:id="130" w:name="_Toc254970676"/>
    </w:p>
    <w:p w14:paraId="006B37D6">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31" w:name="_Toc6282"/>
      <w:r>
        <w:rPr>
          <w:rFonts w:hint="eastAsia" w:ascii="宋体" w:hAnsi="宋体" w:cs="宋体"/>
          <w:color w:val="auto"/>
          <w:highlight w:val="none"/>
        </w:rPr>
        <w:t>三、投标文件的编制</w:t>
      </w:r>
      <w:bookmarkEnd w:id="127"/>
      <w:bookmarkEnd w:id="128"/>
      <w:bookmarkEnd w:id="129"/>
      <w:bookmarkEnd w:id="130"/>
      <w:bookmarkEnd w:id="131"/>
    </w:p>
    <w:p w14:paraId="257EBF73">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32" w:name="_Toc254970536"/>
      <w:bookmarkStart w:id="133" w:name="_Toc254970677"/>
      <w:r>
        <w:rPr>
          <w:rFonts w:hint="eastAsia" w:ascii="宋体" w:hAnsi="宋体" w:cs="宋体"/>
          <w:b/>
          <w:color w:val="auto"/>
          <w:sz w:val="24"/>
          <w:highlight w:val="none"/>
        </w:rPr>
        <w:t>12.投标文件的编制原则</w:t>
      </w:r>
    </w:p>
    <w:p w14:paraId="6F453839">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投标人必须按照招标文件的要求编制投标文件。投标文件必须对招标文件提出的要求和条件作出明确响应。</w:t>
      </w:r>
    </w:p>
    <w:p w14:paraId="1CBBC0D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13.投标文件的组成</w:t>
      </w:r>
      <w:bookmarkEnd w:id="132"/>
      <w:bookmarkEnd w:id="133"/>
    </w:p>
    <w:p w14:paraId="6747DF4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投标文件由报价文件、资格证明文件、商务及技术文件三部分组成。</w:t>
      </w:r>
    </w:p>
    <w:p w14:paraId="60B2AB7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34" w:name="_13.1报价文件:_具体材料见“投标人须知前附表”。"/>
      <w:bookmarkEnd w:id="134"/>
      <w:r>
        <w:rPr>
          <w:rFonts w:hint="eastAsia" w:ascii="宋体" w:hAnsi="宋体" w:cs="宋体"/>
          <w:color w:val="auto"/>
          <w:szCs w:val="21"/>
          <w:highlight w:val="none"/>
        </w:rPr>
        <w:t>（1）报价文件：具体材料见“投标人须知前附表”。</w:t>
      </w:r>
    </w:p>
    <w:p w14:paraId="5817511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35" w:name="_13.2资格证明文件：具体材料见“投标人须知前附表”。"/>
      <w:bookmarkEnd w:id="135"/>
      <w:r>
        <w:rPr>
          <w:rFonts w:hint="eastAsia" w:ascii="宋体" w:hAnsi="宋体" w:cs="宋体"/>
          <w:color w:val="auto"/>
          <w:szCs w:val="21"/>
          <w:highlight w:val="none"/>
        </w:rPr>
        <w:t>（2）资格证明文件：具体材料见“投标人须知前附表”。</w:t>
      </w:r>
    </w:p>
    <w:p w14:paraId="5049788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36" w:name="_13.3商务文件:_具体材料见“投标人须知前附表”。"/>
      <w:bookmarkEnd w:id="136"/>
      <w:r>
        <w:rPr>
          <w:rFonts w:hint="eastAsia" w:ascii="宋体" w:hAnsi="宋体" w:cs="宋体"/>
          <w:color w:val="auto"/>
          <w:szCs w:val="21"/>
          <w:highlight w:val="none"/>
        </w:rPr>
        <w:t>（3）商务及技术文件：具体材料见“投标人须知前附表”。</w:t>
      </w:r>
    </w:p>
    <w:p w14:paraId="26D7F1B4">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37" w:name="_13.4技术文件：具体材料见“投标人须知前附表”。"/>
      <w:bookmarkEnd w:id="137"/>
      <w:bookmarkStart w:id="138" w:name="_13.5投标文件电子版：具体材料见“投标人须知前附表”。"/>
      <w:bookmarkEnd w:id="138"/>
      <w:bookmarkStart w:id="139" w:name="_Toc254970537"/>
      <w:bookmarkStart w:id="140" w:name="_Toc254970678"/>
      <w:r>
        <w:rPr>
          <w:rFonts w:hint="eastAsia" w:ascii="宋体" w:hAnsi="宋体" w:cs="宋体"/>
          <w:b/>
          <w:color w:val="auto"/>
          <w:sz w:val="24"/>
          <w:highlight w:val="none"/>
        </w:rPr>
        <w:t>14.投标文件的语言及计量</w:t>
      </w:r>
      <w:bookmarkEnd w:id="139"/>
      <w:bookmarkEnd w:id="140"/>
    </w:p>
    <w:p w14:paraId="248E6BB1">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14.1语言文字</w:t>
      </w:r>
    </w:p>
    <w:p w14:paraId="49B52B0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5A80555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14.2投标计量单位</w:t>
      </w:r>
    </w:p>
    <w:p w14:paraId="5778B153">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招标文件已有明确规定的，使用招标文件规定的计量单位；招标文件没有规定的，应采用中华人民共和国法定计量单位，货币种类为人民币，</w:t>
      </w:r>
      <w:r>
        <w:rPr>
          <w:rFonts w:hint="eastAsia" w:ascii="宋体" w:hAnsi="宋体" w:cs="宋体"/>
          <w:b/>
          <w:color w:val="auto"/>
          <w:szCs w:val="21"/>
          <w:highlight w:val="none"/>
        </w:rPr>
        <w:t>否则视同未响应</w:t>
      </w:r>
      <w:r>
        <w:rPr>
          <w:rFonts w:hint="eastAsia" w:ascii="宋体" w:hAnsi="宋体" w:cs="宋体"/>
          <w:color w:val="auto"/>
          <w:szCs w:val="21"/>
          <w:highlight w:val="none"/>
        </w:rPr>
        <w:t>。</w:t>
      </w:r>
    </w:p>
    <w:p w14:paraId="511003CC">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15.投标的风险</w:t>
      </w:r>
    </w:p>
    <w:p w14:paraId="32ABA358">
      <w:pPr>
        <w:pStyle w:val="20"/>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hAnsi="宋体" w:cs="宋体"/>
          <w:color w:val="auto"/>
          <w:highlight w:val="none"/>
        </w:rPr>
      </w:pPr>
      <w:r>
        <w:rPr>
          <w:rFonts w:hint="eastAsia" w:hAnsi="宋体" w:cs="宋体"/>
          <w:color w:val="auto"/>
          <w:highlight w:val="none"/>
        </w:rPr>
        <w:t>投标人没有按照招标文件要求提供全部资料，或者投标人没有对招标文件作出实质性响应是投标人的风险，并可能导致其投标被拒绝。</w:t>
      </w:r>
    </w:p>
    <w:p w14:paraId="1311A13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41" w:name="_Toc254970538"/>
      <w:bookmarkStart w:id="142" w:name="_Toc254970679"/>
      <w:r>
        <w:rPr>
          <w:rFonts w:hint="eastAsia" w:ascii="宋体" w:hAnsi="宋体" w:cs="宋体"/>
          <w:b/>
          <w:color w:val="auto"/>
          <w:sz w:val="24"/>
          <w:highlight w:val="none"/>
        </w:rPr>
        <w:t>16.投标报价</w:t>
      </w:r>
      <w:bookmarkEnd w:id="141"/>
      <w:bookmarkEnd w:id="142"/>
    </w:p>
    <w:p w14:paraId="5742FE07">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16.1投标报价应按“第六章　投标文件格式”中“开标一览表”格式填写。</w:t>
      </w:r>
    </w:p>
    <w:p w14:paraId="77BEDAB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43" w:name="_16.2投标报价具体定义见投标人须知前附表。"/>
      <w:bookmarkEnd w:id="143"/>
      <w:r>
        <w:rPr>
          <w:rFonts w:hint="eastAsia" w:ascii="宋体" w:hAnsi="宋体" w:cs="宋体"/>
          <w:color w:val="auto"/>
          <w:szCs w:val="21"/>
          <w:highlight w:val="none"/>
        </w:rPr>
        <w:t>16.2投标报价具体包括内容详见“投标人须知前附表”。</w:t>
      </w:r>
    </w:p>
    <w:p w14:paraId="2CC064BB">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16.3投标人必须就所投每个分标的全部内容分别作完整唯一总价报价，不得存在漏项报价；投标人必须就所投分标的单项内容作唯一报价。</w:t>
      </w:r>
    </w:p>
    <w:p w14:paraId="624C441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17.投标有效期</w:t>
      </w:r>
    </w:p>
    <w:p w14:paraId="0CE24A9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44" w:name="_17.1投标有效期应按“投标人须知中的前附表”规定的期限。"/>
      <w:bookmarkEnd w:id="144"/>
      <w:r>
        <w:rPr>
          <w:rFonts w:hint="eastAsia" w:ascii="宋体" w:hAnsi="宋体" w:cs="宋体"/>
          <w:color w:val="auto"/>
          <w:szCs w:val="21"/>
          <w:highlight w:val="none"/>
        </w:rPr>
        <w:t>17.1投标有效期是指为保证采购人有足够的时间在开标后完成评标、定标、合同签订等工作而要求投标人提交的投标文件在一定时间内保持有效的期限。</w:t>
      </w:r>
    </w:p>
    <w:p w14:paraId="589DB525">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17.2</w:t>
      </w:r>
      <w:bookmarkStart w:id="145" w:name="_Toc254970540"/>
      <w:bookmarkStart w:id="146" w:name="_Toc254970681"/>
      <w:r>
        <w:rPr>
          <w:rFonts w:hint="eastAsia" w:ascii="宋体" w:hAnsi="宋体" w:cs="宋体"/>
          <w:color w:val="auto"/>
          <w:szCs w:val="21"/>
          <w:highlight w:val="none"/>
        </w:rPr>
        <w:t xml:space="preserve"> 投标有效期应按招标文件规定的期限作出承诺，具体详见“投标人须知前附表”。</w:t>
      </w:r>
      <w:r>
        <w:rPr>
          <w:rFonts w:hint="eastAsia" w:ascii="宋体" w:hAnsi="宋体" w:cs="宋体"/>
          <w:b/>
          <w:color w:val="auto"/>
          <w:szCs w:val="21"/>
          <w:highlight w:val="none"/>
        </w:rPr>
        <w:t>承诺的投标有效期低于招标文件规定期限的，按无效投标处理</w:t>
      </w:r>
      <w:r>
        <w:rPr>
          <w:rFonts w:hint="eastAsia" w:ascii="宋体" w:hAnsi="宋体" w:cs="宋体"/>
          <w:color w:val="auto"/>
          <w:szCs w:val="21"/>
          <w:highlight w:val="none"/>
        </w:rPr>
        <w:t>。</w:t>
      </w:r>
    </w:p>
    <w:p w14:paraId="2317B284">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17.3投标人的投标文件在投标有效期内均保持有效。</w:t>
      </w:r>
      <w:bookmarkEnd w:id="145"/>
      <w:bookmarkEnd w:id="146"/>
    </w:p>
    <w:p w14:paraId="14EDC6D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47" w:name="_18.投标保证金"/>
      <w:bookmarkEnd w:id="147"/>
      <w:bookmarkStart w:id="148" w:name="_Toc254970682"/>
      <w:bookmarkStart w:id="149" w:name="_Toc254970541"/>
      <w:r>
        <w:rPr>
          <w:rFonts w:hint="eastAsia" w:ascii="宋体" w:hAnsi="宋体" w:cs="宋体"/>
          <w:b/>
          <w:color w:val="auto"/>
          <w:sz w:val="24"/>
          <w:highlight w:val="none"/>
        </w:rPr>
        <w:t>18.投标保证金</w:t>
      </w:r>
      <w:bookmarkEnd w:id="148"/>
      <w:bookmarkEnd w:id="149"/>
    </w:p>
    <w:p w14:paraId="7A7D4CB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18.1投标人须按“投标人须知前附表” 的规定提交投标保证金。</w:t>
      </w:r>
    </w:p>
    <w:p w14:paraId="095CC2A7">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18.2投标保证金的退还</w:t>
      </w:r>
    </w:p>
    <w:p w14:paraId="5257FC6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未中标人的投标保证金自中标通知书发出之日起5个工作日内退还；中标人的投标保证金自政府采购合同签订之日起5个工作日内退还。 </w:t>
      </w:r>
    </w:p>
    <w:p w14:paraId="550B77B8">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18.3除逾期退还投标保证金和终止招标的情形以外，投标保证金不计息。</w:t>
      </w:r>
    </w:p>
    <w:p w14:paraId="696C6E66">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18.4投标人有下列情形之一的，投标保证金将不予退还：</w:t>
      </w:r>
    </w:p>
    <w:p w14:paraId="0FC1605C">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（1）投标人在投标有效期内撤销投标文件的；</w:t>
      </w:r>
    </w:p>
    <w:p w14:paraId="327CB22D">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（2）未按规定提交履约保证金的；</w:t>
      </w:r>
    </w:p>
    <w:p w14:paraId="384192F9">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（3）投标人在投标过程中弄虚作假，提供虚假材料的；</w:t>
      </w:r>
    </w:p>
    <w:p w14:paraId="1D627B14">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（4）中标人无正当理由不与采购人签订合同的；</w:t>
      </w:r>
    </w:p>
    <w:p w14:paraId="29339C47">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bookmarkStart w:id="150" w:name="_Toc254970683"/>
      <w:bookmarkStart w:id="151" w:name="_Toc254970542"/>
      <w:r>
        <w:rPr>
          <w:rFonts w:hint="eastAsia" w:ascii="宋体" w:hAnsi="宋体" w:cs="宋体"/>
          <w:color w:val="auto"/>
          <w:szCs w:val="21"/>
          <w:highlight w:val="none"/>
        </w:rPr>
        <w:t>（5）投标人出现本章第9.2、9.3情形的；</w:t>
      </w:r>
    </w:p>
    <w:p w14:paraId="5261AACF">
      <w:pPr>
        <w:keepNext w:val="0"/>
        <w:keepLines w:val="0"/>
        <w:pageBreakBefore w:val="0"/>
        <w:widowControl w:val="0"/>
        <w:kinsoku/>
        <w:wordWrap/>
        <w:overflowPunct/>
        <w:topLinePunct w:val="0"/>
        <w:autoSpaceDE/>
        <w:autoSpaceDN/>
        <w:bidi w:val="0"/>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（6）法律法规规定的其他情形。</w:t>
      </w:r>
    </w:p>
    <w:bookmarkEnd w:id="150"/>
    <w:bookmarkEnd w:id="151"/>
    <w:p w14:paraId="435466BF">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19.投标文件的编制</w:t>
      </w:r>
    </w:p>
    <w:p w14:paraId="1EDB1B5B">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19.1投标人应先安装“广西政府采购云电子投标客户端”（请自行前往广西政府采购云平台进行下载），并按照本项目招标文件规定的格式和顺序和广西政府采购云平台的要求编制并加密。投标文件内容不完整、编排混乱导致投标文件被误读、漏读或者查找不到相关内容的，由此引发的后果由投标人承担。</w:t>
      </w:r>
    </w:p>
    <w:p w14:paraId="1D14EB3B">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52" w:name="_19.2投标文件应按报价文件、资格证明文件、商务文件、技术文件分别编制"/>
      <w:bookmarkEnd w:id="152"/>
      <w:r>
        <w:rPr>
          <w:rFonts w:hint="eastAsia" w:hAnsi="宋体" w:cs="宋体"/>
          <w:color w:val="auto"/>
          <w:highlight w:val="none"/>
        </w:rPr>
        <w:t>19.2为确保网上操作合法、有效和安全，投标人应当在投标截止时间前完成在广西政府采购云平台的身份认证，确保在电子投标过程中能够对相关数据电文进行加密和使用电子签章。</w:t>
      </w:r>
    </w:p>
    <w:p w14:paraId="26D22E91">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19.3投标文件须由投标人在规定位置签字（或者电子签名）、盖章（具体以投标人须知前附表或投标文件格式规定为准），</w:t>
      </w:r>
      <w:r>
        <w:rPr>
          <w:rFonts w:hint="eastAsia" w:hAnsi="宋体" w:cs="宋体"/>
          <w:b/>
          <w:color w:val="auto"/>
          <w:highlight w:val="none"/>
        </w:rPr>
        <w:t>否则按无效投标处理</w:t>
      </w:r>
      <w:r>
        <w:rPr>
          <w:rFonts w:hint="eastAsia" w:hAnsi="宋体" w:cs="宋体"/>
          <w:color w:val="auto"/>
          <w:highlight w:val="none"/>
        </w:rPr>
        <w:t>。</w:t>
      </w:r>
    </w:p>
    <w:p w14:paraId="255D0DD7">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19.4投标文件中标注的投标人名称应与主体资格证明（如营业执照或者事业单位法人证书或者执业许可证或者登记证书等）及公章一致，并与广西政府采购云平台中获取招标文件的投标人名称一致，投标人为自然人的，标注的投标人名称应与身份证姓名及签名一致，</w:t>
      </w:r>
      <w:r>
        <w:rPr>
          <w:rFonts w:hint="eastAsia" w:hAnsi="宋体" w:cs="宋体"/>
          <w:b/>
          <w:color w:val="auto"/>
          <w:highlight w:val="none"/>
        </w:rPr>
        <w:t>否则按无效投标处理</w:t>
      </w:r>
      <w:r>
        <w:rPr>
          <w:rFonts w:hint="eastAsia" w:hAnsi="宋体" w:cs="宋体"/>
          <w:color w:val="auto"/>
          <w:highlight w:val="none"/>
        </w:rPr>
        <w:t>。</w:t>
      </w:r>
    </w:p>
    <w:p w14:paraId="2899E2E7">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19.5投标文件应尽量避免涂改、行间插字或者删除。如果出现上述情况，改动之处应由投标人的法定代表人或者其委托代理人签字（或者电子签名）或者加盖公章或者加盖电子签章。投标文件因字迹潦草或者表达不清所引起的后果由投标人承担。</w:t>
      </w:r>
    </w:p>
    <w:p w14:paraId="2BD84CEC">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20.电子备份投标文件</w:t>
      </w:r>
    </w:p>
    <w:p w14:paraId="5139DED1">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电子备份投标文件是指通过“广西政府采购云电子投标客户端”在线编制生成且后缀名为“bfbs”的文件，是否接受电子备份投标文件详见“投标人须知前附表”。</w:t>
      </w:r>
    </w:p>
    <w:p w14:paraId="5810D0F6">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21.投标文件的提交</w:t>
      </w:r>
    </w:p>
    <w:p w14:paraId="567ACB6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b/>
          <w:color w:val="auto"/>
          <w:highlight w:val="none"/>
        </w:rPr>
      </w:pPr>
      <w:bookmarkStart w:id="153" w:name="_21.1投标人必须在“投标人须知中的前附表”规定的投标文件接收时间和投"/>
      <w:bookmarkEnd w:id="153"/>
      <w:r>
        <w:rPr>
          <w:rFonts w:hint="eastAsia" w:ascii="宋体" w:hAnsi="宋体" w:cs="宋体"/>
          <w:bCs/>
          <w:color w:val="auto"/>
          <w:szCs w:val="21"/>
          <w:highlight w:val="none"/>
        </w:rPr>
        <w:t>21.1投标人必须在“投标人须知前附表”规定的</w:t>
      </w:r>
      <w:r>
        <w:rPr>
          <w:rFonts w:hint="eastAsia" w:ascii="宋体" w:hAnsi="宋体" w:cs="宋体"/>
          <w:color w:val="auto"/>
          <w:szCs w:val="21"/>
          <w:highlight w:val="none"/>
        </w:rPr>
        <w:t>提交投标文件截止时间前将</w:t>
      </w:r>
      <w:r>
        <w:rPr>
          <w:rFonts w:hint="eastAsia" w:ascii="宋体" w:hAnsi="宋体" w:cs="宋体"/>
          <w:bCs/>
          <w:color w:val="auto"/>
          <w:szCs w:val="21"/>
          <w:highlight w:val="none"/>
        </w:rPr>
        <w:t>电子投标文件提交至投标地点。电子投标文件应在制作完成后，在投标截止时间前通过有效数字证书（CA认证锁）进行电子签章、加密，然后通过网络将加密的电子投标文件递交至</w:t>
      </w:r>
      <w:r>
        <w:rPr>
          <w:rFonts w:hint="eastAsia" w:ascii="宋体" w:hAnsi="宋体" w:cs="宋体"/>
          <w:b/>
          <w:color w:val="auto"/>
          <w:szCs w:val="21"/>
          <w:highlight w:val="none"/>
        </w:rPr>
        <w:t>广西政府采购云平台</w:t>
      </w:r>
      <w:r>
        <w:rPr>
          <w:rFonts w:hint="eastAsia" w:ascii="宋体" w:hAnsi="宋体" w:cs="宋体"/>
          <w:bCs/>
          <w:color w:val="auto"/>
          <w:szCs w:val="21"/>
          <w:highlight w:val="none"/>
        </w:rPr>
        <w:t>。</w:t>
      </w:r>
    </w:p>
    <w:p w14:paraId="248AA6D4">
      <w:pPr>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0"/>
          <w:highlight w:val="none"/>
        </w:rPr>
      </w:pPr>
      <w:r>
        <w:rPr>
          <w:rFonts w:hint="eastAsia" w:ascii="宋体" w:hAnsi="宋体" w:cs="宋体"/>
          <w:b/>
          <w:color w:val="auto"/>
          <w:szCs w:val="21"/>
          <w:highlight w:val="none"/>
        </w:rPr>
        <w:t>21.2未在规定时间内提交或者未按照招标文件要求加密的电子投标文件，广西政府采购云平台将拒收。</w:t>
      </w:r>
    </w:p>
    <w:p w14:paraId="72751E4F">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22. 投标文件的补充、修改、撤回与退回</w:t>
      </w:r>
    </w:p>
    <w:p w14:paraId="78204329">
      <w:pPr>
        <w:keepNext w:val="0"/>
        <w:keepLines w:val="0"/>
        <w:pageBreakBefore w:val="0"/>
        <w:widowControl w:val="0"/>
        <w:kinsoku/>
        <w:wordWrap/>
        <w:overflowPunct/>
        <w:topLinePunct w:val="0"/>
        <w:autoSpaceDE/>
        <w:autoSpaceDN/>
        <w:bidi w:val="0"/>
        <w:snapToGrid w:val="0"/>
        <w:spacing w:line="400" w:lineRule="exact"/>
        <w:ind w:firstLine="420"/>
        <w:jc w:val="left"/>
        <w:textAlignment w:val="auto"/>
        <w:rPr>
          <w:rFonts w:hint="eastAsia" w:ascii="宋体" w:hAnsi="宋体" w:cs="宋体"/>
          <w:color w:val="auto"/>
          <w:szCs w:val="21"/>
          <w:highlight w:val="none"/>
        </w:rPr>
      </w:pPr>
      <w:bookmarkStart w:id="154" w:name="_Toc254970684"/>
      <w:bookmarkStart w:id="155" w:name="_Toc254970543"/>
      <w:r>
        <w:rPr>
          <w:rFonts w:hint="eastAsia" w:ascii="宋体" w:hAnsi="宋体" w:cs="宋体"/>
          <w:color w:val="auto"/>
          <w:szCs w:val="21"/>
          <w:highlight w:val="none"/>
        </w:rPr>
        <w:t>22.1</w:t>
      </w:r>
      <w:r>
        <w:rPr>
          <w:rFonts w:hint="eastAsia" w:ascii="宋体" w:hAnsi="宋体" w:cs="宋体"/>
          <w:bCs/>
          <w:color w:val="auto"/>
          <w:szCs w:val="21"/>
          <w:highlight w:val="none"/>
        </w:rPr>
        <w:t>投标人应当在投标截止时间前完成电子投标文件的上传、提交，投标截止时间前可以补充、修改或者撤回投标文件。补充或者修改投标文件的，应当先行撤回原投标文件，补充、修改后重新上传、提交，投标截止时间前未完成上传、提交的，视为撤回投标文件。投标截止时间以后上传递交的投标文件，广西政府采购云平台将予以拒收。</w:t>
      </w:r>
      <w:r>
        <w:rPr>
          <w:rFonts w:hint="eastAsia" w:ascii="宋体" w:hAnsi="宋体" w:cs="宋体"/>
          <w:color w:val="auto"/>
          <w:szCs w:val="21"/>
          <w:highlight w:val="none"/>
        </w:rPr>
        <w:t>（补充、修改或者撤回方式可登录</w:t>
      </w:r>
      <w:r>
        <w:rPr>
          <w:rFonts w:hint="eastAsia" w:ascii="宋体" w:hAnsi="宋体" w:cs="宋体"/>
          <w:color w:val="auto"/>
          <w:kern w:val="0"/>
          <w:szCs w:val="21"/>
          <w:highlight w:val="none"/>
        </w:rPr>
        <w:t>广西政府采购云平台，</w:t>
      </w:r>
      <w:r>
        <w:rPr>
          <w:rFonts w:hint="eastAsia" w:ascii="宋体" w:hAnsi="宋体" w:cs="宋体"/>
          <w:color w:val="auto"/>
          <w:szCs w:val="21"/>
          <w:highlight w:val="none"/>
        </w:rPr>
        <w:t>依次进入“服务中心”中查看 “电子投标文件制作与投送教程”）</w:t>
      </w:r>
    </w:p>
    <w:bookmarkEnd w:id="154"/>
    <w:bookmarkEnd w:id="155"/>
    <w:p w14:paraId="5C6258C2">
      <w:pPr>
        <w:pStyle w:val="79"/>
        <w:keepNext w:val="0"/>
        <w:keepLines w:val="0"/>
        <w:pageBreakBefore w:val="0"/>
        <w:widowControl w:val="0"/>
        <w:kinsoku/>
        <w:wordWrap/>
        <w:overflowPunct/>
        <w:topLinePunct w:val="0"/>
        <w:autoSpaceDE/>
        <w:autoSpaceDN/>
        <w:bidi w:val="0"/>
        <w:spacing w:before="0" w:line="400" w:lineRule="exact"/>
        <w:ind w:firstLine="420"/>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22.2广西政府采购云平台收到投标文件后向供应商发出确认回执通知。在投标截止时间前，除供应商补充、修改或者撤回投标文件外，任何单位和个人不得解密或提取投标文件。</w:t>
      </w:r>
    </w:p>
    <w:p w14:paraId="1FA24D3E">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22.3在投标截止时间后，采购人和采购代理机构对已提交的投标文件概不退回。</w:t>
      </w:r>
    </w:p>
    <w:p w14:paraId="47CC2BB7">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56" w:name="_Toc254970544"/>
      <w:bookmarkStart w:id="157" w:name="_Toc254970685"/>
      <w:bookmarkStart w:id="158" w:name="_Toc23160"/>
      <w:bookmarkStart w:id="159" w:name="_Toc21393"/>
      <w:bookmarkStart w:id="160" w:name="_Toc21846"/>
      <w:r>
        <w:rPr>
          <w:rFonts w:hint="eastAsia" w:ascii="宋体" w:hAnsi="宋体" w:cs="宋体"/>
          <w:color w:val="auto"/>
          <w:highlight w:val="none"/>
        </w:rPr>
        <w:t>四、开  标</w:t>
      </w:r>
      <w:bookmarkEnd w:id="156"/>
      <w:bookmarkEnd w:id="157"/>
      <w:bookmarkEnd w:id="158"/>
      <w:bookmarkEnd w:id="159"/>
      <w:bookmarkEnd w:id="160"/>
    </w:p>
    <w:p w14:paraId="7381025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61" w:name="_23.开标时间和地点"/>
      <w:bookmarkEnd w:id="161"/>
      <w:r>
        <w:rPr>
          <w:rFonts w:hint="eastAsia" w:ascii="宋体" w:hAnsi="宋体" w:cs="宋体"/>
          <w:b/>
          <w:color w:val="auto"/>
          <w:sz w:val="24"/>
          <w:highlight w:val="none"/>
        </w:rPr>
        <w:t>23.开标时间和地点</w:t>
      </w:r>
    </w:p>
    <w:p w14:paraId="7A8E3E13">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bCs/>
          <w:color w:val="auto"/>
          <w:highlight w:val="none"/>
        </w:rPr>
      </w:pPr>
      <w:r>
        <w:rPr>
          <w:rFonts w:hint="eastAsia" w:ascii="宋体" w:hAnsi="宋体" w:cs="宋体"/>
          <w:bCs/>
          <w:color w:val="auto"/>
          <w:highlight w:val="none"/>
        </w:rPr>
        <w:t>开标时间及地点详见“投标人须知前附表”</w:t>
      </w:r>
    </w:p>
    <w:p w14:paraId="538D78E9">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24.开标程序</w:t>
      </w:r>
    </w:p>
    <w:p w14:paraId="78D3AD80">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24.1提交投标文件截止时间止，投标人不足3家的，不得开标。</w:t>
      </w:r>
    </w:p>
    <w:p w14:paraId="0405C432">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24.2采购代理机构将按照招标文件规定的时间通过广西政府采购云平台组织线上开标活动，所有供应商均应当准时在线参加，投标人因未在线参加开标而导致投标文件无法按时解密等一切后果由投标人自己承担。</w:t>
      </w:r>
    </w:p>
    <w:p w14:paraId="3E3AFB87">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24.3开标程序</w:t>
      </w:r>
    </w:p>
    <w:p w14:paraId="028493F4">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（1）解密电子投标文件。广西政府采购云平台按开标时间自动提取所有投标文件。采购代理机构依托广西政府采购云平台向各投标人发出电子加密投标文件【开始解密】通知，由投标人按</w:t>
      </w:r>
      <w:r>
        <w:rPr>
          <w:rFonts w:hint="eastAsia" w:ascii="宋体" w:hAnsi="宋体" w:cs="宋体"/>
          <w:bCs/>
          <w:color w:val="auto"/>
          <w:szCs w:val="21"/>
          <w:highlight w:val="none"/>
        </w:rPr>
        <w:t>“投标人须知前附表”</w:t>
      </w:r>
      <w:r>
        <w:rPr>
          <w:rFonts w:hint="eastAsia" w:ascii="宋体" w:hAnsi="宋体" w:cs="宋体"/>
          <w:color w:val="auto"/>
          <w:highlight w:val="none"/>
        </w:rPr>
        <w:t>规定的时间内自行进行投标文件解密。投标人的法定代表人或其委托代理人须凭加密时所用的CA锁准时登录到广西政府采购云平台电子开标大厅签到并对电子投标文件解密。</w:t>
      </w:r>
      <w:r>
        <w:rPr>
          <w:rFonts w:hint="eastAsia" w:ascii="宋体" w:hAnsi="宋体" w:cs="宋体"/>
          <w:b/>
          <w:color w:val="auto"/>
          <w:highlight w:val="none"/>
        </w:rPr>
        <w:t>投标人未在规定的时间内解密投标文件或者解密失败的，</w:t>
      </w:r>
      <w:r>
        <w:rPr>
          <w:rFonts w:hint="eastAsia" w:ascii="宋体" w:hAnsi="宋体" w:cs="宋体"/>
          <w:b/>
          <w:color w:val="auto"/>
          <w:szCs w:val="21"/>
          <w:highlight w:val="none"/>
        </w:rPr>
        <w:t>投标人的投标文件作无效处理</w:t>
      </w:r>
      <w:r>
        <w:rPr>
          <w:rFonts w:hint="eastAsia" w:ascii="宋体" w:hAnsi="宋体" w:cs="宋体"/>
          <w:b/>
          <w:color w:val="auto"/>
          <w:highlight w:val="none"/>
        </w:rPr>
        <w:t>。</w:t>
      </w:r>
    </w:p>
    <w:p w14:paraId="29319E2C">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（2）电子唱标。投标文件解密结束，宣布的内容均在广西政府采购云平台远程开标大厅展示，具体详见</w:t>
      </w:r>
      <w:r>
        <w:rPr>
          <w:rFonts w:hint="eastAsia" w:ascii="宋体" w:hAnsi="宋体" w:cs="宋体"/>
          <w:bCs/>
          <w:color w:val="auto"/>
          <w:highlight w:val="none"/>
        </w:rPr>
        <w:t>“投标人须知前附表”</w:t>
      </w:r>
      <w:r>
        <w:rPr>
          <w:rFonts w:hint="eastAsia" w:ascii="宋体" w:hAnsi="宋体" w:cs="宋体"/>
          <w:color w:val="auto"/>
          <w:highlight w:val="none"/>
        </w:rPr>
        <w:t>；</w:t>
      </w:r>
    </w:p>
    <w:p w14:paraId="5F7FDD8D">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（3）开标过程由采购代理机构如实记录，并电子留痕，由参加电子开标的各投标人代表对电子开标记录在开标记录公布后15分钟内进行当场校核及勘误，并线上确认是否有异议，未确认的视同认可开标结果。</w:t>
      </w:r>
    </w:p>
    <w:p w14:paraId="3DE394A0">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highlight w:val="none"/>
        </w:rPr>
      </w:pPr>
      <w:r>
        <w:rPr>
          <w:rFonts w:hint="eastAsia" w:ascii="宋体" w:hAnsi="宋体" w:cs="宋体"/>
          <w:color w:val="auto"/>
          <w:highlight w:val="none"/>
        </w:rPr>
        <w:t>（4）投标人代表对开标过程和开标记录有疑义，以及认为采购人、采购代理机构相关工作人员有需要回避的情形的，应当场提出询问或者回避申请。采购人、采购代理机构对投标人代表提出的询问或者回避申请应当及时处理。</w:t>
      </w:r>
    </w:p>
    <w:p w14:paraId="22B68C63">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（5）开标结束。</w:t>
      </w:r>
    </w:p>
    <w:p w14:paraId="12F212B6">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特别说明：如遇广西政府采购云平台电子化开标或评审程序调整的，按调整后执行。</w:t>
      </w:r>
    </w:p>
    <w:p w14:paraId="6216E219">
      <w:pPr>
        <w:pStyle w:val="20"/>
        <w:keepNext w:val="0"/>
        <w:keepLines w:val="0"/>
        <w:pageBreakBefore w:val="0"/>
        <w:widowControl w:val="0"/>
        <w:kinsoku/>
        <w:wordWrap/>
        <w:overflowPunct/>
        <w:topLinePunct w:val="0"/>
        <w:autoSpaceDE/>
        <w:autoSpaceDN/>
        <w:bidi w:val="0"/>
        <w:snapToGrid w:val="0"/>
        <w:spacing w:line="400" w:lineRule="exact"/>
        <w:ind w:left="689" w:leftChars="228" w:hanging="210" w:hangingChars="100"/>
        <w:textAlignment w:val="auto"/>
        <w:rPr>
          <w:rFonts w:hint="eastAsia" w:hAnsi="宋体" w:cs="宋体"/>
          <w:color w:val="auto"/>
          <w:highlight w:val="none"/>
        </w:rPr>
      </w:pPr>
    </w:p>
    <w:p w14:paraId="12813B01">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62" w:name="_Toc6086"/>
      <w:bookmarkStart w:id="163" w:name="_Toc2525"/>
      <w:bookmarkStart w:id="164" w:name="_Toc25301"/>
      <w:r>
        <w:rPr>
          <w:rFonts w:hint="eastAsia" w:ascii="宋体" w:hAnsi="宋体" w:cs="宋体"/>
          <w:color w:val="auto"/>
          <w:highlight w:val="none"/>
        </w:rPr>
        <w:t>五、资格审查</w:t>
      </w:r>
      <w:bookmarkEnd w:id="162"/>
      <w:bookmarkEnd w:id="163"/>
      <w:bookmarkEnd w:id="164"/>
    </w:p>
    <w:p w14:paraId="289AF81C">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25.资格审查</w:t>
      </w:r>
    </w:p>
    <w:p w14:paraId="3E5B307B">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25.1开标结束后，采购人或者采购代理机构通过电子开评标系统依据招标文件对电子投标文件进行线上资格审查。</w:t>
      </w:r>
    </w:p>
    <w:p w14:paraId="6955CF84">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25.2资格审查标准为本招标文件中载明对投标人资格要求的条件。本项目资格审查采用合格制，凡符合招标文件规定的投标人资格要求的投标人均通过资格审查。</w:t>
      </w:r>
    </w:p>
    <w:p w14:paraId="7FE6F496">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bookmarkStart w:id="165" w:name="_25.3_投标人有下列情形之一的，资格审查不通过而导致其投标无效："/>
      <w:bookmarkEnd w:id="165"/>
      <w:r>
        <w:rPr>
          <w:rFonts w:hint="eastAsia" w:hAnsi="宋体" w:cs="宋体"/>
          <w:b/>
          <w:color w:val="auto"/>
          <w:highlight w:val="none"/>
        </w:rPr>
        <w:t>25.3 投标人有下列情形之一的，资格审查不通过，作无效投标处理：</w:t>
      </w:r>
    </w:p>
    <w:p w14:paraId="31490B9D">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（1）不具备招标文件中规定的资格要求的；</w:t>
      </w:r>
    </w:p>
    <w:p w14:paraId="6B29C480">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2）在“信用中国”网站（www.creditchina.gov.cn）、中国政府采购网（www.ccgp.gov.cn）被列入失信被执行人、重大税收违法失信主体、政府采购严重违法失信行为记录名单及其他不符合《中华人民共和国政府采购法》第二十二条规定条件的；（注：其中信用查询规则见“投标人须知前附表”）</w:t>
      </w:r>
    </w:p>
    <w:p w14:paraId="04794699">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（3）同一合同项下的不同投标人，单位负责人为同一人或者存在直接控股、管理关系的；为本项目提供过整体设计、规范编制或者项目管理、监理、检测等服务的供应商，再参加该采购项目的其他采购活动的；</w:t>
      </w:r>
    </w:p>
    <w:p w14:paraId="5A29CF83">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（4）投标文件中的资格证明文件缺少任一项“投标人须知前附表”资格证明文件规定“必须提供”的文件资料的；</w:t>
      </w:r>
    </w:p>
    <w:p w14:paraId="6913C552">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（5）投标文件中的资格证明文件出现任一项不符合“投标人须知前附表”资格证明文件规定“必须提供”的文件资料要求或者无效的。</w:t>
      </w:r>
    </w:p>
    <w:p w14:paraId="0D874E26">
      <w:pPr>
        <w:pStyle w:val="20"/>
        <w:keepNext w:val="0"/>
        <w:keepLines w:val="0"/>
        <w:pageBreakBefore w:val="0"/>
        <w:widowControl w:val="0"/>
        <w:kinsoku/>
        <w:wordWrap/>
        <w:overflowPunct/>
        <w:topLinePunct w:val="0"/>
        <w:autoSpaceDE/>
        <w:autoSpaceDN/>
        <w:bidi w:val="0"/>
        <w:spacing w:line="400" w:lineRule="exact"/>
        <w:ind w:firstLine="422" w:firstLineChars="200"/>
        <w:textAlignment w:val="auto"/>
        <w:rPr>
          <w:rFonts w:hint="eastAsia" w:hAnsi="宋体" w:cs="宋体"/>
          <w:b/>
          <w:color w:val="auto"/>
          <w:highlight w:val="none"/>
        </w:rPr>
      </w:pPr>
      <w:r>
        <w:rPr>
          <w:rFonts w:hint="eastAsia" w:hAnsi="宋体" w:cs="宋体"/>
          <w:b/>
          <w:color w:val="auto"/>
          <w:highlight w:val="none"/>
        </w:rPr>
        <w:t>25.4合格投标人不足3家的，不得评标。</w:t>
      </w:r>
    </w:p>
    <w:p w14:paraId="74BB3ECD">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66" w:name="_Toc31107"/>
      <w:bookmarkStart w:id="167" w:name="_Toc5663"/>
      <w:bookmarkStart w:id="168" w:name="_Toc17386"/>
      <w:r>
        <w:rPr>
          <w:rFonts w:hint="eastAsia" w:ascii="宋体" w:hAnsi="宋体" w:cs="宋体"/>
          <w:color w:val="auto"/>
          <w:highlight w:val="none"/>
        </w:rPr>
        <w:t>六、评  标</w:t>
      </w:r>
      <w:bookmarkEnd w:id="166"/>
      <w:bookmarkEnd w:id="167"/>
      <w:bookmarkEnd w:id="168"/>
    </w:p>
    <w:p w14:paraId="6DE7B94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69" w:name="_26.组建评标委员会"/>
      <w:bookmarkEnd w:id="169"/>
      <w:r>
        <w:rPr>
          <w:rFonts w:hint="eastAsia" w:ascii="宋体" w:hAnsi="宋体" w:cs="宋体"/>
          <w:b/>
          <w:color w:val="auto"/>
          <w:sz w:val="24"/>
          <w:highlight w:val="none"/>
        </w:rPr>
        <w:t>26.组建评标委员会</w:t>
      </w:r>
    </w:p>
    <w:p w14:paraId="0DBF5CC5">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26.1评标委员会由采购人代表和评审专家组成，具体人数详见“投标人须知前附表”，其中评审专家不得少于成员总数的三分之二。</w:t>
      </w:r>
    </w:p>
    <w:p w14:paraId="47A6CAC1">
      <w:pPr>
        <w:pStyle w:val="20"/>
        <w:keepNext w:val="0"/>
        <w:keepLines w:val="0"/>
        <w:pageBreakBefore w:val="0"/>
        <w:widowControl w:val="0"/>
        <w:kinsoku/>
        <w:wordWrap/>
        <w:overflowPunct/>
        <w:topLinePunct w:val="0"/>
        <w:autoSpaceDE/>
        <w:autoSpaceDN/>
        <w:bidi w:val="0"/>
        <w:snapToGrid w:val="0"/>
        <w:spacing w:line="400" w:lineRule="exact"/>
        <w:ind w:left="2" w:leftChars="1" w:firstLine="420" w:firstLineChars="200"/>
        <w:textAlignment w:val="auto"/>
        <w:rPr>
          <w:rFonts w:hint="eastAsia" w:hAnsi="宋体" w:cs="宋体"/>
          <w:color w:val="auto"/>
          <w:highlight w:val="none"/>
        </w:rPr>
      </w:pPr>
      <w:r>
        <w:rPr>
          <w:rFonts w:hint="eastAsia" w:hAnsi="宋体" w:cs="宋体"/>
          <w:color w:val="auto"/>
          <w:highlight w:val="none"/>
        </w:rPr>
        <w:t>26.2参加过采购项目前期咨询论证的专家，不得参加该采购项目的评审活动。</w:t>
      </w:r>
    </w:p>
    <w:p w14:paraId="406F62DD">
      <w:pPr>
        <w:pStyle w:val="20"/>
        <w:keepNext w:val="0"/>
        <w:keepLines w:val="0"/>
        <w:pageBreakBefore w:val="0"/>
        <w:widowControl w:val="0"/>
        <w:kinsoku/>
        <w:wordWrap/>
        <w:overflowPunct/>
        <w:topLinePunct w:val="0"/>
        <w:autoSpaceDE/>
        <w:autoSpaceDN/>
        <w:bidi w:val="0"/>
        <w:snapToGrid w:val="0"/>
        <w:spacing w:line="400" w:lineRule="exact"/>
        <w:ind w:left="2" w:leftChars="1" w:firstLine="420" w:firstLineChars="200"/>
        <w:textAlignment w:val="auto"/>
        <w:rPr>
          <w:rFonts w:hint="eastAsia" w:hAnsi="宋体" w:cs="宋体"/>
          <w:color w:val="auto"/>
          <w:highlight w:val="none"/>
        </w:rPr>
      </w:pPr>
      <w:r>
        <w:rPr>
          <w:rFonts w:hint="eastAsia" w:hAnsi="宋体" w:cs="宋体"/>
          <w:color w:val="auto"/>
          <w:highlight w:val="none"/>
        </w:rPr>
        <w:t>26.3</w:t>
      </w:r>
      <w:r>
        <w:rPr>
          <w:rFonts w:hint="eastAsia" w:hAnsi="宋体" w:cs="宋体"/>
          <w:bCs/>
          <w:color w:val="auto"/>
          <w:highlight w:val="none"/>
        </w:rPr>
        <w:t>采购代理机构应当基于广西政府采购云平台抽（选）取评审专家。</w:t>
      </w:r>
    </w:p>
    <w:p w14:paraId="53DB810F">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27.评标的依据</w:t>
      </w:r>
    </w:p>
    <w:p w14:paraId="1568A986">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评标委员会以“第四章 评标方法和评标标准”为依据对投标文件进行评审，没有规定的方法、评审因素和标准，不作为评标依据。</w:t>
      </w:r>
    </w:p>
    <w:p w14:paraId="6909F8B7">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28.评标原则</w:t>
      </w:r>
    </w:p>
    <w:p w14:paraId="74726114">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28.1评标原则。评标委员</w:t>
      </w:r>
      <w:r>
        <w:rPr>
          <w:rFonts w:hint="eastAsia" w:hAnsi="宋体" w:cs="宋体"/>
          <w:color w:val="auto"/>
          <w:highlight w:val="none"/>
          <w:lang w:eastAsia="zh-CN"/>
        </w:rPr>
        <w:t>会在</w:t>
      </w:r>
      <w:r>
        <w:rPr>
          <w:rFonts w:hint="eastAsia" w:hAnsi="宋体" w:cs="宋体"/>
          <w:color w:val="auto"/>
          <w:highlight w:val="none"/>
        </w:rPr>
        <w:t>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24885F5C">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28.2</w:t>
      </w:r>
      <w:bookmarkStart w:id="170" w:name="_28.3评标方法。本项目将按须知前附表规定的评标办法进行评标，具体评标"/>
      <w:bookmarkEnd w:id="170"/>
      <w:r>
        <w:rPr>
          <w:rFonts w:hint="eastAsia" w:hAnsi="宋体" w:cs="宋体"/>
          <w:color w:val="auto"/>
          <w:highlight w:val="none"/>
        </w:rPr>
        <w:t>评委表决。评标委员会成员对需要共同认定的事项存在争议的，应当按照少数服从多数的原则作出结论。</w:t>
      </w:r>
    </w:p>
    <w:p w14:paraId="656B9447">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28.3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748BE91C">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28.4评标过程的监控。本项目电子评标过程实行网上留痕、全程录音、录像监控，</w:t>
      </w:r>
      <w:r>
        <w:rPr>
          <w:rFonts w:hint="eastAsia" w:hAnsi="宋体" w:cs="宋体"/>
          <w:b/>
          <w:color w:val="auto"/>
          <w:highlight w:val="none"/>
        </w:rPr>
        <w:t>投标人在评标过程中所进行的试图影响评标结果的不公正活动，可能导致其投标按无效处理。</w:t>
      </w:r>
    </w:p>
    <w:p w14:paraId="524A827F">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29.评标方法及中标候选人推荐</w:t>
      </w:r>
    </w:p>
    <w:p w14:paraId="06EDD41B">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29.1本项目的评标方法详见“投标人须知前附表”。</w:t>
      </w:r>
    </w:p>
    <w:p w14:paraId="71CAACF5">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29.2 商务/技术要求允许负偏离的条款数详见“投标人须知前附表”。</w:t>
      </w:r>
    </w:p>
    <w:p w14:paraId="547F447A">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29.3 中标候选人推荐数量详见“投标人须知前附表”。</w:t>
      </w:r>
    </w:p>
    <w:p w14:paraId="31BFB10A">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29.4 电子交易活动的中止。采购过程中出现以下情形，导致电子交易平台无法正常运行，或者无法保证电子交易的公平、公正和安全时，采购代理机构可以中止电子交易活动：</w:t>
      </w:r>
    </w:p>
    <w:p w14:paraId="33D4D5F8">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（1）电子交易平台发生故障而无法登录访问的；</w:t>
      </w:r>
    </w:p>
    <w:p w14:paraId="7FC35AB8">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（2）电子交易平台应用或数据库出现错误，不能进行正常操作的；</w:t>
      </w:r>
    </w:p>
    <w:p w14:paraId="4D9DEE9A">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（3）电子交易平台发现严重安全漏洞，有潜在泄密危险的；</w:t>
      </w:r>
    </w:p>
    <w:p w14:paraId="4CC4F7F1">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（4）病毒发作导致不能进行正常操作的；</w:t>
      </w:r>
    </w:p>
    <w:p w14:paraId="4054FDD5">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（5）其他无法保证电子交易的公平、公正和安全的情况。</w:t>
      </w:r>
    </w:p>
    <w:p w14:paraId="22BC1D89">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出现以上情形，不影响采购公平、公正性的，采购代理机构可以待上述情形消除后继续组织电子交易活动；影响或可能影响采购公平、公正性的，经采购代理机构确认、报采购人同意后，终止电子采购活动，应当重新采购。采购代理机构必须对原有的资料及信息作出妥善保密处理，并报财政部门备案。</w:t>
      </w:r>
    </w:p>
    <w:p w14:paraId="27385C7B">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29.5出现下列情形之一的，应予废标：</w:t>
      </w:r>
    </w:p>
    <w:p w14:paraId="33A72C01">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（1）符合专业条件的供应商或者对招标文件作实质响应的供应商不足三家的；</w:t>
      </w:r>
    </w:p>
    <w:p w14:paraId="1CE5D6C5">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（2）出现影响采购公正的违法、违规行为的；</w:t>
      </w:r>
    </w:p>
    <w:p w14:paraId="41F3C68D">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（3）投标人的报价均超过了采购预算，采购人不能支付的；</w:t>
      </w:r>
    </w:p>
    <w:p w14:paraId="4747A3EF">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（4）因重大变故，采购任务取消的。</w:t>
      </w:r>
    </w:p>
    <w:p w14:paraId="367CCCAF">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废标后，采购人应当将废标理由通知所有投标人。</w:t>
      </w:r>
    </w:p>
    <w:p w14:paraId="67F71B9C">
      <w:pPr>
        <w:pStyle w:val="20"/>
        <w:keepNext w:val="0"/>
        <w:keepLines w:val="0"/>
        <w:pageBreakBefore w:val="0"/>
        <w:widowControl w:val="0"/>
        <w:kinsoku/>
        <w:wordWrap/>
        <w:overflowPunct/>
        <w:topLinePunct w:val="0"/>
        <w:autoSpaceDE/>
        <w:autoSpaceDN/>
        <w:bidi w:val="0"/>
        <w:snapToGrid w:val="0"/>
        <w:spacing w:line="400" w:lineRule="exact"/>
        <w:textAlignment w:val="auto"/>
        <w:rPr>
          <w:rFonts w:hint="eastAsia" w:hAnsi="宋体" w:cs="宋体"/>
          <w:color w:val="auto"/>
          <w:highlight w:val="none"/>
        </w:rPr>
      </w:pPr>
    </w:p>
    <w:p w14:paraId="573DFF78">
      <w:pPr>
        <w:pStyle w:val="4"/>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highlight w:val="none"/>
        </w:rPr>
      </w:pPr>
      <w:bookmarkStart w:id="171" w:name="_Toc254970687"/>
      <w:bookmarkStart w:id="172" w:name="_Toc254970546"/>
      <w:bookmarkStart w:id="173" w:name="_Toc3006"/>
      <w:bookmarkStart w:id="174" w:name="_Toc12517"/>
      <w:bookmarkStart w:id="175" w:name="_Toc12958"/>
      <w:r>
        <w:rPr>
          <w:rFonts w:hint="eastAsia" w:ascii="宋体" w:hAnsi="宋体" w:cs="宋体"/>
          <w:color w:val="auto"/>
          <w:highlight w:val="none"/>
        </w:rPr>
        <w:t>七、</w:t>
      </w:r>
      <w:bookmarkEnd w:id="171"/>
      <w:bookmarkEnd w:id="172"/>
      <w:r>
        <w:rPr>
          <w:rFonts w:hint="eastAsia" w:ascii="宋体" w:hAnsi="宋体" w:cs="宋体"/>
          <w:color w:val="auto"/>
          <w:highlight w:val="none"/>
        </w:rPr>
        <w:t>中标和合同</w:t>
      </w:r>
      <w:bookmarkEnd w:id="173"/>
      <w:bookmarkEnd w:id="174"/>
      <w:bookmarkEnd w:id="175"/>
    </w:p>
    <w:p w14:paraId="6BF8658D">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30 确定中标人</w:t>
      </w:r>
    </w:p>
    <w:p w14:paraId="2C3A82AE">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30.1采购代理机构在评标结束之日起2个工作日内将评标报告送采购人，采购人在收到评标报告之日起5个工作日内，在评标报告确定的中标候选人名单中按顺序确定中标人。中标候选人并列的，按照“投标人须知前附表”规定的方式确定中标人。采购人也可以事先授权评标委员会直接确定中标人。</w:t>
      </w:r>
    </w:p>
    <w:p w14:paraId="551A2423">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30.2采购人在收到评标报告5个工作日内未按评标报告推荐的中标候选人顺序确定中标人，又不能说明合法理由的，视同按评标报告推荐的顺序确定排名第一的中标候选人为中标人。</w:t>
      </w:r>
    </w:p>
    <w:p w14:paraId="1940977E">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31.结果公告</w:t>
      </w:r>
    </w:p>
    <w:p w14:paraId="2DC3DC52">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31.1采购人或者采购代理机构应当自中标人确定之日起2个工作日内，在省级以上财政部门指定的媒体上公告中标结果，招标文件应当随中标结果同时公告。采购人或者采购代理发出中标通知书前，应当对中标人信用进行查询，对列入失信被执行人、重大税收违法失信主体、政府采购严重违法失信行为记录名单及其他不符合《中华人民共和国政府采购法》第二十二条规定条件的投标人，取消其中标资格，并确定排名第二的中标候选人为中标人。排名第二的中标候选人因前款规定的同样原因被取消中标资格的，采购人可以确定排名第三的中标候选人为中标人，以此类推。</w:t>
      </w:r>
    </w:p>
    <w:p w14:paraId="26059115">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以上信息查询记录及相关证据与招标文件一并保存。</w:t>
      </w:r>
    </w:p>
    <w:p w14:paraId="08E54565">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31.2中标供应商享受《政府采购促进中小企业发展管理办法》（财库〔2020〕46号）规定的中小企业扶持政策的，采购人、采购代理机构应当随中标结果公开中标供应商的《中小企业声明函》。</w:t>
      </w:r>
    </w:p>
    <w:p w14:paraId="1A632F9A">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32.发出中标通知书</w:t>
      </w:r>
    </w:p>
    <w:p w14:paraId="5DE3BF8B">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在发布中标公告的同时，采购代理机构向中标人通过广西政府采购云平台发出电子中标通知书。对未通过资格审查的投标人，应当告知其未通过的原因；采用综合评分办法评审的，还应当告知未中标人本人的评审得分与排序。</w:t>
      </w:r>
    </w:p>
    <w:p w14:paraId="65616176">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33.无义务解释未中标原因</w:t>
      </w:r>
    </w:p>
    <w:p w14:paraId="0D53BEB1">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采购代理机构无义务向未中标的投标人解释未中标原因。</w:t>
      </w:r>
    </w:p>
    <w:p w14:paraId="6AF92610">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34.合同授予标准</w:t>
      </w:r>
    </w:p>
    <w:p w14:paraId="10D49525">
      <w:pPr>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合同将授予被确定实质上响应招标文件要求，具备履行合同能力的中标人。</w:t>
      </w:r>
    </w:p>
    <w:p w14:paraId="767ECB4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35.履约保证金</w:t>
      </w:r>
    </w:p>
    <w:p w14:paraId="0958F31A">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76" w:name="_39.1中标人须于签订合同前按本须知前附表规定的金额转账或电汇到指定账"/>
      <w:bookmarkEnd w:id="176"/>
      <w:r>
        <w:rPr>
          <w:rFonts w:hint="eastAsia" w:hAnsi="宋体" w:cs="宋体"/>
          <w:color w:val="auto"/>
          <w:highlight w:val="none"/>
        </w:rPr>
        <w:t>35.1 履约保证金的金额、提交方式、缴纳期限、退付的时间和条件详见 “投标人须知前附表”。中标人未按规定提交履约保证金的，视为拒绝与采购人签订合同。</w:t>
      </w:r>
    </w:p>
    <w:p w14:paraId="5C240071">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35.2在履约保证金退还日期前，若中标人的开户名称、开户银行、账号有变动的，请以书面形式通知履约保证金收取单位，否则由此产生的后果由中标人自行承担。</w:t>
      </w:r>
    </w:p>
    <w:p w14:paraId="69A409F2">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36.签订合同</w:t>
      </w:r>
    </w:p>
    <w:p w14:paraId="3EA926A2">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77" w:name="_40.1投标人接到中标通知书后，按须知前附表规定向采购人出示相关资格证"/>
      <w:bookmarkEnd w:id="177"/>
      <w:r>
        <w:rPr>
          <w:rFonts w:hint="eastAsia" w:hAnsi="宋体" w:cs="宋体"/>
          <w:color w:val="auto"/>
          <w:highlight w:val="none"/>
        </w:rPr>
        <w:t>36.1签订电子采购合同：中标人领取电子中标通知书后，在规定的日期、时间、地点，由法定代表人或其授权代表与采购人代表签订电子采购合同。如中标人为联合体的，由联合体成员各方法定代表人或其授权代表与采购人代表签订合同。</w:t>
      </w:r>
    </w:p>
    <w:p w14:paraId="7C07752B">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线下签订纸质合同：投标人领取中标通知书后，按“投标人须知前附表”规定向采购人出示相关证明材料，经采购人核验合格后方可签订合同。</w:t>
      </w:r>
    </w:p>
    <w:p w14:paraId="77B24E2C">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36.2签订合同时间：按中标通知书规定的时间与采购人签订合同。</w:t>
      </w:r>
    </w:p>
    <w:p w14:paraId="6732A856">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36.3中标人拒绝签订政府采购合同（包括但不限于放弃中标、因不可抗力不能履行合同而放弃签订合同），采购人可以按照评审报告推荐的中标候选人名单排序，确定下一候选人为中标供应商，也可以重新开展政府采购活动。如采购人无正当理由拒签合同的，给中标供应商造成损失的，中标供应商可追究采购人承担相应的法律责任。</w:t>
      </w:r>
    </w:p>
    <w:p w14:paraId="06A2E396">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36.4政府采购合同是政府采购项目验收的依据，中标供应商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12D7EB33">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36.5采购人或中标供应商不得单方面向合同另一方提出任何招标文件没有约定的条件或不合理的要求，作为签订合同的条件；也不得协商另行订立背离招标文件和合同实质性内容的协议。</w:t>
      </w:r>
    </w:p>
    <w:p w14:paraId="62A49CC5">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36.6如签订合同并生效后，供应商无故拒绝或延期，除按照合同条款处理外，将承担相应的法律责任。</w:t>
      </w:r>
    </w:p>
    <w:p w14:paraId="274F8EF5">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36.7政府采购合同履行中，采购人需追加与合同标的相同的货物、工程或者服务的，在不改变合同其他条款的前提下，可以与供应商协商签订补充合同，但所有补充合同的采购金额不得超过原合同采购金额的10%。</w:t>
      </w:r>
    </w:p>
    <w:p w14:paraId="5DDF549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78" w:name="_41.政府采购合同公告"/>
      <w:bookmarkEnd w:id="178"/>
      <w:r>
        <w:rPr>
          <w:rFonts w:hint="eastAsia" w:ascii="宋体" w:hAnsi="宋体" w:cs="宋体"/>
          <w:b/>
          <w:color w:val="auto"/>
          <w:sz w:val="24"/>
          <w:highlight w:val="none"/>
        </w:rPr>
        <w:t>37.政府采购合同公告</w:t>
      </w:r>
    </w:p>
    <w:p w14:paraId="1996147E">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采购人或者受托采购代理机构应当自政府采购合同签订之日起2个工作日内，将政府采购合同在省级以上人民政府财政部门指定的媒体上公告，但政府采购合同中涉及国家秘密、商业秘密的内容除外。</w:t>
      </w:r>
    </w:p>
    <w:p w14:paraId="3D53FF96">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38.询问、质疑和投诉</w:t>
      </w:r>
    </w:p>
    <w:p w14:paraId="5C20676D">
      <w:pPr>
        <w:pStyle w:val="9"/>
        <w:keepNext w:val="0"/>
        <w:keepLines w:val="0"/>
        <w:pageBreakBefore w:val="0"/>
        <w:widowControl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38.1供应商对政府采购活动事项有疑问的，可以向采购人提出询问，采购人或者采购代理机构应当在3个工作日内对供应商依法提出的询问作出答复，但答复的内容不得涉及商业秘密。</w:t>
      </w:r>
    </w:p>
    <w:p w14:paraId="681706C5">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38.2供应商认为招标文件、采购过程或者中标结果使自己的合法权益受到损害的，必须在知道或者应知其权益受到损害之日起7个工作日内，以书面形式向采购人、采购代理机构提出质疑。采购人、采购代理机构接收质疑函的方式、联系部门、联系电话和通讯地址等信息详见“投标人须知前附表”。具体质疑起算时间如下：</w:t>
      </w:r>
    </w:p>
    <w:p w14:paraId="7AF4E692">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（1）对可以质疑的招标文件提出质疑的，为收到招标文件之日或者招标文件公告期限届满之日；</w:t>
      </w:r>
    </w:p>
    <w:p w14:paraId="5C050CB6">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（2）对采购过程提出质疑的，为各采购程序环节结束之日；</w:t>
      </w:r>
    </w:p>
    <w:p w14:paraId="66C8D935">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color w:val="auto"/>
          <w:highlight w:val="none"/>
        </w:rPr>
        <w:t>（3）对中标结果提出质疑的，为中标结果公告期限届满之日。</w:t>
      </w:r>
    </w:p>
    <w:p w14:paraId="6B50EC3E">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bookmarkStart w:id="179" w:name="_9.2质疑、投诉应当采用书面形式，质疑函、投诉书均应明确阐述招标文件、"/>
      <w:bookmarkEnd w:id="179"/>
      <w:r>
        <w:rPr>
          <w:rFonts w:hint="eastAsia" w:hAnsi="宋体" w:cs="宋体"/>
          <w:color w:val="auto"/>
          <w:highlight w:val="none"/>
        </w:rPr>
        <w:t>38.3供应商提出质疑应当提交质疑函和必要的证明材料，针对同一采购程序环节的质疑必须在法定质疑期内一次性提出。质疑函应当包括下列内容（质疑函格式后附）：</w:t>
      </w:r>
    </w:p>
    <w:p w14:paraId="4037BD8A">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（1）供应商的姓名或者名称、地址、邮编、联系人及联系电话；</w:t>
      </w:r>
    </w:p>
    <w:p w14:paraId="45208407">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（2）质疑项目的名称、编号；</w:t>
      </w:r>
    </w:p>
    <w:p w14:paraId="1861633B">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（3）具体、明确的质疑事项和与质疑事项相关的请求；</w:t>
      </w:r>
    </w:p>
    <w:p w14:paraId="002FF58C">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（4）事实依据；</w:t>
      </w:r>
    </w:p>
    <w:p w14:paraId="261E70F6">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（5）必要的法律依据；</w:t>
      </w:r>
    </w:p>
    <w:p w14:paraId="54C7FB37">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（6）提出质疑的日期。</w:t>
      </w:r>
    </w:p>
    <w:p w14:paraId="41C61BD1">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供应商为自然人的，应当由本人签字；供应商为法人或者其他组织的，应当由法定代表人、主要负责人，或者其委托代理人签字或者盖章，并加盖公章。</w:t>
      </w:r>
    </w:p>
    <w:p w14:paraId="27776883">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38.4采购人、采购代理机构认为供应商质疑不成立，或者成立但未对中标结果构成影响的，继续开展采购活动；认为供应商质疑成立且影响或者可能影响中标结果的，按照下列情况处理：</w:t>
      </w:r>
    </w:p>
    <w:p w14:paraId="5EA7CF28">
      <w:pPr>
        <w:pStyle w:val="20"/>
        <w:keepNext w:val="0"/>
        <w:keepLines w:val="0"/>
        <w:pageBreakBefore w:val="0"/>
        <w:widowControl w:val="0"/>
        <w:kinsoku/>
        <w:wordWrap/>
        <w:overflowPunct/>
        <w:topLinePunct w:val="0"/>
        <w:autoSpaceDE/>
        <w:autoSpaceDN/>
        <w:bidi w:val="0"/>
        <w:snapToGrid w:val="0"/>
        <w:spacing w:line="400" w:lineRule="exact"/>
        <w:textAlignment w:val="auto"/>
        <w:rPr>
          <w:rFonts w:hint="eastAsia" w:hAnsi="宋体" w:cs="宋体"/>
          <w:bCs/>
          <w:color w:val="auto"/>
          <w:highlight w:val="none"/>
        </w:rPr>
      </w:pPr>
      <w:r>
        <w:rPr>
          <w:rFonts w:hint="eastAsia" w:hAnsi="宋体" w:cs="宋体"/>
          <w:bCs/>
          <w:color w:val="auto"/>
          <w:highlight w:val="none"/>
        </w:rPr>
        <w:t>　　（一）对招标文件提出的质疑，依法通过澄清或者修改可以继续开展采购活动的，澄清或者修改招标文件后继续开展采购活动；否则应当修改招标文件后重新开展采购活动。</w:t>
      </w:r>
    </w:p>
    <w:p w14:paraId="4C5DDBF9">
      <w:pPr>
        <w:pStyle w:val="20"/>
        <w:keepNext w:val="0"/>
        <w:keepLines w:val="0"/>
        <w:pageBreakBefore w:val="0"/>
        <w:widowControl w:val="0"/>
        <w:kinsoku/>
        <w:wordWrap/>
        <w:overflowPunct/>
        <w:topLinePunct w:val="0"/>
        <w:autoSpaceDE/>
        <w:autoSpaceDN/>
        <w:bidi w:val="0"/>
        <w:snapToGrid w:val="0"/>
        <w:spacing w:line="400" w:lineRule="exact"/>
        <w:textAlignment w:val="auto"/>
        <w:rPr>
          <w:rFonts w:hint="eastAsia" w:hAnsi="宋体" w:cs="宋体"/>
          <w:bCs/>
          <w:color w:val="auto"/>
          <w:highlight w:val="none"/>
        </w:rPr>
      </w:pPr>
      <w:r>
        <w:rPr>
          <w:rFonts w:hint="eastAsia" w:hAnsi="宋体" w:cs="宋体"/>
          <w:bCs/>
          <w:color w:val="auto"/>
          <w:highlight w:val="none"/>
        </w:rPr>
        <w:t>　　（二）对采购过程、中标结果提出的质疑，合格供应商符合法定数量时，可以从合格的中标候选人中另行确定中标供应商的，应当依法另行确定中标供应商；否则应当重新开展采购活动。</w:t>
      </w:r>
    </w:p>
    <w:p w14:paraId="062AB6C3">
      <w:pPr>
        <w:pStyle w:val="20"/>
        <w:keepNext w:val="0"/>
        <w:keepLines w:val="0"/>
        <w:pageBreakBefore w:val="0"/>
        <w:widowControl w:val="0"/>
        <w:kinsoku/>
        <w:wordWrap/>
        <w:overflowPunct/>
        <w:topLinePunct w:val="0"/>
        <w:autoSpaceDE/>
        <w:autoSpaceDN/>
        <w:bidi w:val="0"/>
        <w:snapToGrid w:val="0"/>
        <w:spacing w:line="400" w:lineRule="exact"/>
        <w:ind w:firstLine="420"/>
        <w:textAlignment w:val="auto"/>
        <w:rPr>
          <w:rFonts w:hint="eastAsia" w:hAnsi="宋体" w:cs="宋体"/>
          <w:bCs/>
          <w:color w:val="auto"/>
          <w:highlight w:val="none"/>
        </w:rPr>
      </w:pPr>
      <w:r>
        <w:rPr>
          <w:rFonts w:hint="eastAsia" w:hAnsi="宋体" w:cs="宋体"/>
          <w:bCs/>
          <w:color w:val="auto"/>
          <w:highlight w:val="none"/>
        </w:rPr>
        <w:t>质疑答复导致中标结果改变的，采购人或者采购代理机构应当将有关情况书面报告本级财政部门。</w:t>
      </w:r>
    </w:p>
    <w:p w14:paraId="10B88192">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38.5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w:t>
      </w:r>
    </w:p>
    <w:p w14:paraId="6F23577E">
      <w:pPr>
        <w:pStyle w:val="4"/>
        <w:keepNext w:val="0"/>
        <w:keepLines w:val="0"/>
        <w:pageBreakBefore w:val="0"/>
        <w:widowControl w:val="0"/>
        <w:kinsoku/>
        <w:wordWrap/>
        <w:overflowPunct/>
        <w:topLinePunct w:val="0"/>
        <w:autoSpaceDE/>
        <w:autoSpaceDN/>
        <w:bidi w:val="0"/>
        <w:spacing w:before="240" w:after="240" w:line="400" w:lineRule="exact"/>
        <w:jc w:val="center"/>
        <w:textAlignment w:val="auto"/>
        <w:rPr>
          <w:rFonts w:hint="eastAsia" w:ascii="宋体" w:hAnsi="宋体" w:cs="宋体"/>
          <w:color w:val="auto"/>
          <w:highlight w:val="none"/>
        </w:rPr>
      </w:pPr>
      <w:bookmarkStart w:id="180" w:name="_八、其他事项"/>
      <w:bookmarkEnd w:id="180"/>
      <w:bookmarkStart w:id="181" w:name="_Toc7420"/>
      <w:bookmarkStart w:id="182" w:name="_Toc24956"/>
      <w:bookmarkStart w:id="183" w:name="_Toc17072"/>
      <w:r>
        <w:rPr>
          <w:rFonts w:hint="eastAsia" w:ascii="宋体" w:hAnsi="宋体" w:cs="宋体"/>
          <w:color w:val="auto"/>
          <w:highlight w:val="none"/>
        </w:rPr>
        <w:t>八、其他事项</w:t>
      </w:r>
      <w:bookmarkEnd w:id="181"/>
      <w:bookmarkEnd w:id="182"/>
      <w:bookmarkEnd w:id="183"/>
    </w:p>
    <w:p w14:paraId="026748E5">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bookmarkStart w:id="184" w:name="_42.代理服务费"/>
      <w:bookmarkEnd w:id="184"/>
      <w:r>
        <w:rPr>
          <w:rFonts w:hint="eastAsia" w:ascii="宋体" w:hAnsi="宋体" w:cs="宋体"/>
          <w:b/>
          <w:color w:val="auto"/>
          <w:sz w:val="24"/>
          <w:highlight w:val="none"/>
        </w:rPr>
        <w:t>39.代理服务费</w:t>
      </w:r>
    </w:p>
    <w:p w14:paraId="50060917">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39.1代理服务费收取标准参照国家发展计划委员会《招标代理服务费管理暂行办法》（计价格</w:t>
      </w:r>
      <w:r>
        <w:rPr>
          <w:rFonts w:hint="eastAsia" w:hAnsi="宋体" w:cs="宋体"/>
          <w:color w:val="auto"/>
          <w:highlight w:val="none"/>
          <w:lang w:eastAsia="zh-CN"/>
        </w:rPr>
        <w:t>〔2002〕1980号</w:t>
      </w:r>
      <w:r>
        <w:rPr>
          <w:rFonts w:hint="eastAsia" w:hAnsi="宋体" w:cs="宋体"/>
          <w:color w:val="auto"/>
          <w:highlight w:val="none"/>
        </w:rPr>
        <w:t>、《国家发展改革委关于降低部分建设项目收费标准规范收费行为等有关问题的通知》（发改价格</w:t>
      </w:r>
      <w:r>
        <w:rPr>
          <w:rFonts w:hint="eastAsia" w:hAnsi="宋体" w:cs="宋体"/>
          <w:color w:val="auto"/>
          <w:highlight w:val="none"/>
          <w:lang w:eastAsia="zh-CN"/>
        </w:rPr>
        <w:t>〔2011〕534号</w:t>
      </w:r>
      <w:r>
        <w:rPr>
          <w:rFonts w:hint="eastAsia" w:hAnsi="宋体" w:cs="宋体"/>
          <w:color w:val="auto"/>
          <w:highlight w:val="none"/>
        </w:rPr>
        <w:t>）收费标准（服务类）下浮20%向供应商收取，供应商为联合体的，可以由联合体中的一方或者多方共同交纳代理服务费。代理服务费缴费账户详见“投标人须知前附表”。</w:t>
      </w:r>
    </w:p>
    <w:p w14:paraId="30AC7468">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代理服务费收取标准附表：</w:t>
      </w:r>
    </w:p>
    <w:tbl>
      <w:tblPr>
        <w:tblStyle w:val="39"/>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597"/>
        <w:gridCol w:w="1719"/>
        <w:gridCol w:w="1747"/>
        <w:gridCol w:w="1453"/>
      </w:tblGrid>
      <w:tr w14:paraId="6053D3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tcBorders>
              <w:tl2br w:val="single" w:color="auto" w:sz="4" w:space="0"/>
            </w:tcBorders>
            <w:noWrap w:val="0"/>
            <w:vAlign w:val="center"/>
          </w:tcPr>
          <w:p w14:paraId="6B6FF0A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费率</w:t>
            </w:r>
          </w:p>
          <w:p w14:paraId="319B9DC4">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中标金额</w:t>
            </w:r>
          </w:p>
        </w:tc>
        <w:tc>
          <w:tcPr>
            <w:tcW w:w="1009" w:type="pct"/>
            <w:noWrap w:val="0"/>
            <w:vAlign w:val="center"/>
          </w:tcPr>
          <w:p w14:paraId="13A69782">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货物招标</w:t>
            </w:r>
          </w:p>
        </w:tc>
        <w:tc>
          <w:tcPr>
            <w:tcW w:w="1026" w:type="pct"/>
            <w:noWrap w:val="0"/>
            <w:vAlign w:val="center"/>
          </w:tcPr>
          <w:p w14:paraId="1028C3F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服务招标</w:t>
            </w:r>
          </w:p>
        </w:tc>
        <w:tc>
          <w:tcPr>
            <w:tcW w:w="853" w:type="pct"/>
            <w:noWrap w:val="0"/>
            <w:vAlign w:val="center"/>
          </w:tcPr>
          <w:p w14:paraId="5A9469F8">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工程招标</w:t>
            </w:r>
          </w:p>
        </w:tc>
      </w:tr>
      <w:tr w14:paraId="56CD9D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5E537802">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100万元以下</w:t>
            </w:r>
          </w:p>
        </w:tc>
        <w:tc>
          <w:tcPr>
            <w:tcW w:w="1009" w:type="pct"/>
            <w:noWrap w:val="0"/>
            <w:vAlign w:val="center"/>
          </w:tcPr>
          <w:p w14:paraId="513190D6">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1026" w:type="pct"/>
            <w:noWrap w:val="0"/>
            <w:vAlign w:val="center"/>
          </w:tcPr>
          <w:p w14:paraId="2A2535CF">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1.5%</w:t>
            </w:r>
          </w:p>
        </w:tc>
        <w:tc>
          <w:tcPr>
            <w:tcW w:w="853" w:type="pct"/>
            <w:noWrap w:val="0"/>
            <w:vAlign w:val="center"/>
          </w:tcPr>
          <w:p w14:paraId="6A75C4A0">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1.0%</w:t>
            </w:r>
          </w:p>
        </w:tc>
      </w:tr>
      <w:tr w14:paraId="471068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1FD792B9">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100万元～500万元</w:t>
            </w:r>
          </w:p>
        </w:tc>
        <w:tc>
          <w:tcPr>
            <w:tcW w:w="1009" w:type="pct"/>
            <w:noWrap w:val="0"/>
            <w:vAlign w:val="center"/>
          </w:tcPr>
          <w:p w14:paraId="1733362D">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1.1%</w:t>
            </w:r>
          </w:p>
        </w:tc>
        <w:tc>
          <w:tcPr>
            <w:tcW w:w="1026" w:type="pct"/>
            <w:noWrap w:val="0"/>
            <w:vAlign w:val="center"/>
          </w:tcPr>
          <w:p w14:paraId="3579F88A">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853" w:type="pct"/>
            <w:noWrap w:val="0"/>
            <w:vAlign w:val="center"/>
          </w:tcPr>
          <w:p w14:paraId="41D464E6">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0.7%</w:t>
            </w:r>
          </w:p>
        </w:tc>
      </w:tr>
      <w:tr w14:paraId="2115F0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59E5D834">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500万元～1000万元</w:t>
            </w:r>
          </w:p>
        </w:tc>
        <w:tc>
          <w:tcPr>
            <w:tcW w:w="1009" w:type="pct"/>
            <w:noWrap w:val="0"/>
            <w:vAlign w:val="center"/>
          </w:tcPr>
          <w:p w14:paraId="43E9B592">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0.8%</w:t>
            </w:r>
          </w:p>
        </w:tc>
        <w:tc>
          <w:tcPr>
            <w:tcW w:w="1026" w:type="pct"/>
            <w:noWrap w:val="0"/>
            <w:vAlign w:val="center"/>
          </w:tcPr>
          <w:p w14:paraId="2ECB2768">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0.45%</w:t>
            </w:r>
          </w:p>
        </w:tc>
        <w:tc>
          <w:tcPr>
            <w:tcW w:w="853" w:type="pct"/>
            <w:noWrap w:val="0"/>
            <w:vAlign w:val="center"/>
          </w:tcPr>
          <w:p w14:paraId="351A00EA">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0.55%</w:t>
            </w:r>
          </w:p>
        </w:tc>
      </w:tr>
      <w:tr w14:paraId="70DC33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363A7170">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1000万元～5000万元</w:t>
            </w:r>
          </w:p>
        </w:tc>
        <w:tc>
          <w:tcPr>
            <w:tcW w:w="1009" w:type="pct"/>
            <w:noWrap w:val="0"/>
            <w:vAlign w:val="center"/>
          </w:tcPr>
          <w:p w14:paraId="594BA980">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0.5%</w:t>
            </w:r>
          </w:p>
        </w:tc>
        <w:tc>
          <w:tcPr>
            <w:tcW w:w="1026" w:type="pct"/>
            <w:noWrap w:val="0"/>
            <w:vAlign w:val="center"/>
          </w:tcPr>
          <w:p w14:paraId="5121097B">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853" w:type="pct"/>
            <w:noWrap w:val="0"/>
            <w:vAlign w:val="center"/>
          </w:tcPr>
          <w:p w14:paraId="4429EE72">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0.35%</w:t>
            </w:r>
          </w:p>
        </w:tc>
      </w:tr>
      <w:tr w14:paraId="66D1B3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155BDB94">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5000万元～1亿元</w:t>
            </w:r>
          </w:p>
        </w:tc>
        <w:tc>
          <w:tcPr>
            <w:tcW w:w="1009" w:type="pct"/>
            <w:noWrap w:val="0"/>
            <w:vAlign w:val="center"/>
          </w:tcPr>
          <w:p w14:paraId="319E5748">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0.25%</w:t>
            </w:r>
          </w:p>
        </w:tc>
        <w:tc>
          <w:tcPr>
            <w:tcW w:w="1026" w:type="pct"/>
            <w:noWrap w:val="0"/>
            <w:vAlign w:val="center"/>
          </w:tcPr>
          <w:p w14:paraId="787141ED">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0.1%</w:t>
            </w:r>
          </w:p>
        </w:tc>
        <w:tc>
          <w:tcPr>
            <w:tcW w:w="853" w:type="pct"/>
            <w:noWrap w:val="0"/>
            <w:vAlign w:val="center"/>
          </w:tcPr>
          <w:p w14:paraId="7616A003">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kern w:val="0"/>
                <w:szCs w:val="21"/>
                <w:highlight w:val="none"/>
              </w:rPr>
              <w:t>0.2%</w:t>
            </w:r>
          </w:p>
        </w:tc>
      </w:tr>
      <w:tr w14:paraId="1174B4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302E4C9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1亿元～5亿元</w:t>
            </w:r>
          </w:p>
        </w:tc>
        <w:tc>
          <w:tcPr>
            <w:tcW w:w="1009" w:type="pct"/>
            <w:noWrap w:val="0"/>
            <w:vAlign w:val="center"/>
          </w:tcPr>
          <w:p w14:paraId="4C587DD9">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c>
          <w:tcPr>
            <w:tcW w:w="1026" w:type="pct"/>
            <w:noWrap w:val="0"/>
            <w:vAlign w:val="center"/>
          </w:tcPr>
          <w:p w14:paraId="60F21765">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c>
          <w:tcPr>
            <w:tcW w:w="853" w:type="pct"/>
            <w:noWrap w:val="0"/>
            <w:vAlign w:val="center"/>
          </w:tcPr>
          <w:p w14:paraId="5ECEB1C1">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0.05%</w:t>
            </w:r>
          </w:p>
        </w:tc>
      </w:tr>
      <w:tr w14:paraId="6E9DE9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7B5AF4C4">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5亿元～10亿元</w:t>
            </w:r>
          </w:p>
        </w:tc>
        <w:tc>
          <w:tcPr>
            <w:tcW w:w="1009" w:type="pct"/>
            <w:noWrap w:val="0"/>
            <w:vAlign w:val="center"/>
          </w:tcPr>
          <w:p w14:paraId="4D260189">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c>
          <w:tcPr>
            <w:tcW w:w="1026" w:type="pct"/>
            <w:noWrap w:val="0"/>
            <w:vAlign w:val="center"/>
          </w:tcPr>
          <w:p w14:paraId="62903CCE">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c>
          <w:tcPr>
            <w:tcW w:w="853" w:type="pct"/>
            <w:noWrap w:val="0"/>
            <w:vAlign w:val="center"/>
          </w:tcPr>
          <w:p w14:paraId="52F84897">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0.035%</w:t>
            </w:r>
          </w:p>
        </w:tc>
      </w:tr>
      <w:tr w14:paraId="7385C9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74DF6732">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10亿元～50亿元</w:t>
            </w:r>
          </w:p>
        </w:tc>
        <w:tc>
          <w:tcPr>
            <w:tcW w:w="1009" w:type="pct"/>
            <w:noWrap w:val="0"/>
            <w:vAlign w:val="center"/>
          </w:tcPr>
          <w:p w14:paraId="003D54E3">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c>
          <w:tcPr>
            <w:tcW w:w="1026" w:type="pct"/>
            <w:noWrap w:val="0"/>
            <w:vAlign w:val="center"/>
          </w:tcPr>
          <w:p w14:paraId="401A9F33">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c>
          <w:tcPr>
            <w:tcW w:w="853" w:type="pct"/>
            <w:noWrap w:val="0"/>
            <w:vAlign w:val="center"/>
          </w:tcPr>
          <w:p w14:paraId="15D8687C">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0.008%</w:t>
            </w:r>
          </w:p>
        </w:tc>
      </w:tr>
      <w:tr w14:paraId="4B005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38FFF558">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50亿元～100亿元</w:t>
            </w:r>
          </w:p>
        </w:tc>
        <w:tc>
          <w:tcPr>
            <w:tcW w:w="1009" w:type="pct"/>
            <w:noWrap w:val="0"/>
            <w:vAlign w:val="center"/>
          </w:tcPr>
          <w:p w14:paraId="3DB50A1E">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c>
          <w:tcPr>
            <w:tcW w:w="1026" w:type="pct"/>
            <w:noWrap w:val="0"/>
            <w:vAlign w:val="center"/>
          </w:tcPr>
          <w:p w14:paraId="56678987">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c>
          <w:tcPr>
            <w:tcW w:w="853" w:type="pct"/>
            <w:noWrap w:val="0"/>
            <w:vAlign w:val="center"/>
          </w:tcPr>
          <w:p w14:paraId="15EBBC8D">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0.006%</w:t>
            </w:r>
          </w:p>
        </w:tc>
      </w:tr>
      <w:tr w14:paraId="4407F5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112" w:type="pct"/>
            <w:noWrap w:val="0"/>
            <w:vAlign w:val="center"/>
          </w:tcPr>
          <w:p w14:paraId="35C8434C">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100</w:t>
            </w:r>
            <w:r>
              <w:rPr>
                <w:rFonts w:hint="eastAsia" w:ascii="宋体" w:hAnsi="宋体" w:cs="宋体"/>
                <w:color w:val="auto"/>
                <w:szCs w:val="21"/>
                <w:highlight w:val="none"/>
                <w:lang w:eastAsia="zh-CN"/>
              </w:rPr>
              <w:t>亿元</w:t>
            </w:r>
            <w:r>
              <w:rPr>
                <w:rFonts w:hint="eastAsia" w:ascii="宋体" w:hAnsi="宋体" w:cs="宋体"/>
                <w:color w:val="auto"/>
                <w:szCs w:val="21"/>
                <w:highlight w:val="none"/>
              </w:rPr>
              <w:t>以上</w:t>
            </w:r>
          </w:p>
        </w:tc>
        <w:tc>
          <w:tcPr>
            <w:tcW w:w="1009" w:type="pct"/>
            <w:noWrap w:val="0"/>
            <w:vAlign w:val="center"/>
          </w:tcPr>
          <w:p w14:paraId="111D711C">
            <w:pPr>
              <w:keepNext w:val="0"/>
              <w:keepLines w:val="0"/>
              <w:pageBreakBefore w:val="0"/>
              <w:widowControl w:val="0"/>
              <w:kinsoku/>
              <w:wordWrap/>
              <w:overflowPunct/>
              <w:topLinePunct w:val="0"/>
              <w:autoSpaceDE/>
              <w:autoSpaceDN/>
              <w:bidi w:val="0"/>
              <w:spacing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c>
          <w:tcPr>
            <w:tcW w:w="1026" w:type="pct"/>
            <w:noWrap w:val="0"/>
            <w:vAlign w:val="center"/>
          </w:tcPr>
          <w:p w14:paraId="0EEF8809">
            <w:pPr>
              <w:keepNext w:val="0"/>
              <w:keepLines w:val="0"/>
              <w:pageBreakBefore w:val="0"/>
              <w:widowControl w:val="0"/>
              <w:kinsoku/>
              <w:wordWrap/>
              <w:overflowPunct/>
              <w:topLinePunct w:val="0"/>
              <w:autoSpaceDE/>
              <w:autoSpaceDN/>
              <w:bidi w:val="0"/>
              <w:spacing w:line="400" w:lineRule="exact"/>
              <w:ind w:firstLine="210" w:firstLineChars="10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c>
          <w:tcPr>
            <w:tcW w:w="853" w:type="pct"/>
            <w:noWrap w:val="0"/>
            <w:vAlign w:val="center"/>
          </w:tcPr>
          <w:p w14:paraId="1D5AEA00">
            <w:pPr>
              <w:keepNext w:val="0"/>
              <w:keepLines w:val="0"/>
              <w:pageBreakBefore w:val="0"/>
              <w:widowControl w:val="0"/>
              <w:kinsoku/>
              <w:wordWrap/>
              <w:overflowPunct/>
              <w:topLinePunct w:val="0"/>
              <w:autoSpaceDE/>
              <w:autoSpaceDN/>
              <w:bidi w:val="0"/>
              <w:spacing w:line="400" w:lineRule="exact"/>
              <w:ind w:firstLine="105" w:firstLineChars="50"/>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0.004%</w:t>
            </w:r>
          </w:p>
        </w:tc>
      </w:tr>
    </w:tbl>
    <w:p w14:paraId="1DD1B5F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注：</w:t>
      </w:r>
    </w:p>
    <w:p w14:paraId="66ECC0B5">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（1）按本表费率计算的收费为采购代理的收费基准价格；</w:t>
      </w:r>
    </w:p>
    <w:p w14:paraId="5DE9CCB5">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（2）采购代理收费按差额定率累进法计算。</w:t>
      </w:r>
    </w:p>
    <w:p w14:paraId="75A421DD">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例如：某服务采购代理业务中标金额或者暂定价为200万元，计算采购代理收费额如下：</w:t>
      </w:r>
    </w:p>
    <w:p w14:paraId="2128556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100 万元×l.5 %＝ 1.5 万元</w:t>
      </w:r>
    </w:p>
    <w:p w14:paraId="6146F0D8">
      <w:pPr>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（200－100）万元 ×0.8%＝0.8万元</w:t>
      </w:r>
    </w:p>
    <w:p w14:paraId="4235F91D">
      <w:pPr>
        <w:pStyle w:val="20"/>
        <w:keepNext w:val="0"/>
        <w:keepLines w:val="0"/>
        <w:pageBreakBefore w:val="0"/>
        <w:widowControl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合计收费＝ 1.5+0.8＝ 2.3（万元）</w:t>
      </w:r>
    </w:p>
    <w:p w14:paraId="0D7D0E2B">
      <w:pPr>
        <w:keepNext w:val="0"/>
        <w:keepLines w:val="0"/>
        <w:pageBreakBefore w:val="0"/>
        <w:widowControl w:val="0"/>
        <w:kinsoku/>
        <w:wordWrap/>
        <w:overflowPunct/>
        <w:topLinePunct w:val="0"/>
        <w:autoSpaceDE/>
        <w:autoSpaceDN/>
        <w:bidi w:val="0"/>
        <w:spacing w:line="400" w:lineRule="exact"/>
        <w:ind w:firstLine="482" w:firstLineChars="200"/>
        <w:textAlignment w:val="auto"/>
        <w:rPr>
          <w:rFonts w:hint="eastAsia" w:ascii="宋体" w:hAnsi="宋体" w:cs="宋体"/>
          <w:b/>
          <w:color w:val="auto"/>
          <w:sz w:val="24"/>
          <w:highlight w:val="none"/>
        </w:rPr>
      </w:pPr>
      <w:r>
        <w:rPr>
          <w:rFonts w:hint="eastAsia" w:ascii="宋体" w:hAnsi="宋体" w:cs="宋体"/>
          <w:b/>
          <w:color w:val="auto"/>
          <w:sz w:val="24"/>
          <w:highlight w:val="none"/>
        </w:rPr>
        <w:t>40. 需要补充的其他内容</w:t>
      </w:r>
    </w:p>
    <w:p w14:paraId="3F136D1D">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40.1本招标文件解释规则详见“投标人须知前附表”。</w:t>
      </w:r>
    </w:p>
    <w:p w14:paraId="1B95F360">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40.2 其他事项详见“投标人须知前附表”。</w:t>
      </w:r>
    </w:p>
    <w:p w14:paraId="513A7D3F">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40.3本招标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招标文件规定的中小企业扶持政策：</w:t>
      </w:r>
    </w:p>
    <w:p w14:paraId="5B293E89">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（1）在货物采购项目中，货物由中小企业制造，即货物由中小企业生产且使用该中小企业商号或者注册商标，不对其中涉及的工程承建商和服务的承接商作出要求；</w:t>
      </w:r>
    </w:p>
    <w:p w14:paraId="0FB3140A">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（2）在工程采购项目中，工程由中小企业承建，即工程施工单位为中小企业，不对其中涉及的货物的制造商和服务的承接商作出要求；</w:t>
      </w:r>
    </w:p>
    <w:p w14:paraId="4C2DF794">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2050DC3C">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在货物采购项目中，供应商提供的货物既有中小企业制造货物，也有大型企业制造货物的，不享受本招标文件规定的中小企业扶持政策。以联合体形式参加政府采购活动，联合体各方均为中小企业的，联合体视同中小企业。其中，联合体各方均为小微企业的，联合体视同小微企业。</w:t>
      </w:r>
    </w:p>
    <w:p w14:paraId="216FFDA4">
      <w:pPr>
        <w:pStyle w:val="20"/>
        <w:keepNext w:val="0"/>
        <w:keepLines w:val="0"/>
        <w:pageBreakBefore w:val="0"/>
        <w:widowControl w:val="0"/>
        <w:kinsoku/>
        <w:wordWrap/>
        <w:overflowPunct/>
        <w:topLinePunct w:val="0"/>
        <w:autoSpaceDE/>
        <w:autoSpaceDN/>
        <w:bidi w:val="0"/>
        <w:spacing w:line="400" w:lineRule="exact"/>
        <w:ind w:firstLine="420" w:firstLineChars="200"/>
        <w:textAlignment w:val="auto"/>
        <w:rPr>
          <w:rFonts w:hAnsi="宋体" w:cs="宋体"/>
          <w:color w:val="auto"/>
          <w:highlight w:val="none"/>
        </w:rPr>
      </w:pPr>
      <w:r>
        <w:rPr>
          <w:rFonts w:hint="eastAsia" w:hAnsi="宋体" w:cs="宋体"/>
          <w:color w:val="auto"/>
          <w:highlight w:val="none"/>
        </w:rPr>
        <w:t>依据本招标文件规定享受扶持政策获得政府采购合同的，小微企业不得将合同分包给大中型企业，中型企业不得将合同分包给大型企业。</w:t>
      </w:r>
    </w:p>
    <w:p w14:paraId="1B4D4D5B">
      <w:pPr>
        <w:pStyle w:val="15"/>
        <w:spacing w:line="360" w:lineRule="auto"/>
        <w:rPr>
          <w:rFonts w:hint="eastAsia" w:ascii="宋体" w:hAnsi="宋体" w:cs="宋体"/>
          <w:color w:val="auto"/>
          <w:highlight w:val="none"/>
        </w:rPr>
      </w:pPr>
      <w:r>
        <w:rPr>
          <w:color w:val="auto"/>
          <w:highlight w:val="none"/>
        </w:rPr>
        <w:br w:type="page"/>
      </w:r>
      <w:r>
        <w:rPr>
          <w:rFonts w:hint="eastAsia" w:ascii="宋体" w:hAnsi="宋体" w:cs="宋体"/>
          <w:b/>
          <w:bCs/>
          <w:color w:val="auto"/>
          <w:sz w:val="36"/>
          <w:szCs w:val="36"/>
          <w:highlight w:val="none"/>
        </w:rPr>
        <w:t>附件1：</w:t>
      </w:r>
    </w:p>
    <w:p w14:paraId="53F04E0A">
      <w:pPr>
        <w:widowControl/>
        <w:shd w:val="clear" w:color="auto" w:fill="FFFFFF"/>
        <w:spacing w:line="360" w:lineRule="auto"/>
        <w:jc w:val="center"/>
        <w:rPr>
          <w:rFonts w:hint="eastAsia" w:ascii="宋体" w:hAnsi="宋体" w:cs="宋体"/>
          <w:color w:val="auto"/>
          <w:kern w:val="0"/>
          <w:sz w:val="44"/>
          <w:szCs w:val="44"/>
          <w:highlight w:val="none"/>
        </w:rPr>
      </w:pPr>
      <w:r>
        <w:rPr>
          <w:rFonts w:hint="eastAsia" w:ascii="宋体" w:hAnsi="宋体" w:cs="宋体"/>
          <w:color w:val="auto"/>
          <w:kern w:val="0"/>
          <w:sz w:val="44"/>
          <w:szCs w:val="44"/>
          <w:highlight w:val="none"/>
        </w:rPr>
        <w:t>广西壮族自治区政府采购项目合同验收书</w:t>
      </w:r>
    </w:p>
    <w:p w14:paraId="59EE01AA">
      <w:pPr>
        <w:keepNext w:val="0"/>
        <w:keepLines w:val="0"/>
        <w:pageBreakBefore w:val="0"/>
        <w:widowControl/>
        <w:shd w:val="clear" w:color="auto" w:fill="FFFFFF"/>
        <w:kinsoku/>
        <w:wordWrap/>
        <w:overflowPunct/>
        <w:topLinePunct w:val="0"/>
        <w:autoSpaceDE/>
        <w:autoSpaceDN/>
        <w:bidi w:val="0"/>
        <w:adjustRightInd/>
        <w:spacing w:line="400" w:lineRule="exact"/>
        <w:jc w:val="center"/>
        <w:textAlignment w:val="auto"/>
        <w:rPr>
          <w:rFonts w:hint="eastAsia" w:ascii="宋体" w:hAnsi="宋体" w:cs="宋体"/>
          <w:color w:val="auto"/>
          <w:kern w:val="0"/>
          <w:sz w:val="32"/>
          <w:szCs w:val="32"/>
          <w:highlight w:val="none"/>
        </w:rPr>
      </w:pPr>
      <w:r>
        <w:rPr>
          <w:rFonts w:hint="eastAsia" w:ascii="宋体" w:hAnsi="宋体" w:cs="宋体"/>
          <w:color w:val="auto"/>
          <w:kern w:val="0"/>
          <w:sz w:val="32"/>
          <w:szCs w:val="32"/>
          <w:highlight w:val="none"/>
        </w:rPr>
        <w:t>（格式）</w:t>
      </w:r>
    </w:p>
    <w:p w14:paraId="41B83D51">
      <w:pPr>
        <w:keepNext w:val="0"/>
        <w:keepLines w:val="0"/>
        <w:pageBreakBefore w:val="0"/>
        <w:widowControl/>
        <w:shd w:val="clear" w:color="auto" w:fill="FFFFFF"/>
        <w:kinsoku/>
        <w:wordWrap/>
        <w:overflowPunct/>
        <w:topLinePunct w:val="0"/>
        <w:autoSpaceDE/>
        <w:autoSpaceDN/>
        <w:bidi w:val="0"/>
        <w:adjustRightInd/>
        <w:snapToGrid w:val="0"/>
        <w:spacing w:line="400" w:lineRule="exact"/>
        <w:ind w:firstLine="480"/>
        <w:jc w:val="left"/>
        <w:textAlignment w:val="auto"/>
        <w:rPr>
          <w:rFonts w:hint="eastAsia" w:ascii="宋体" w:hAnsi="宋体" w:cs="宋体"/>
          <w:color w:val="auto"/>
          <w:kern w:val="0"/>
          <w:szCs w:val="21"/>
          <w:highlight w:val="none"/>
        </w:rPr>
      </w:pPr>
      <w:r>
        <w:rPr>
          <w:rFonts w:hint="eastAsia" w:ascii="宋体" w:hAnsi="宋体" w:cs="宋体"/>
          <w:color w:val="auto"/>
          <w:kern w:val="0"/>
          <w:highlight w:val="none"/>
        </w:rPr>
        <w:t>根据政府采购项目（</w:t>
      </w:r>
      <w:r>
        <w:rPr>
          <w:rFonts w:hint="eastAsia" w:ascii="宋体" w:hAnsi="宋体" w:cs="宋体"/>
          <w:color w:val="auto"/>
          <w:kern w:val="0"/>
          <w:highlight w:val="none"/>
          <w:u w:val="single"/>
        </w:rPr>
        <w:t>采购合同编号：</w:t>
      </w:r>
      <w:r>
        <w:rPr>
          <w:rFonts w:hint="eastAsia" w:ascii="宋体" w:hAnsi="宋体" w:cs="宋体"/>
          <w:color w:val="auto"/>
          <w:kern w:val="0"/>
          <w:highlight w:val="none"/>
          <w:u w:val="single"/>
        </w:rPr>
        <w:softHyphen/>
      </w:r>
      <w:r>
        <w:rPr>
          <w:rFonts w:hint="eastAsia" w:ascii="宋体" w:hAnsi="宋体" w:cs="宋体"/>
          <w:color w:val="auto"/>
          <w:kern w:val="0"/>
          <w:highlight w:val="none"/>
          <w:u w:val="single"/>
        </w:rPr>
        <w:t xml:space="preserve"> </w:t>
      </w:r>
      <w:r>
        <w:rPr>
          <w:rFonts w:hint="eastAsia" w:ascii="宋体" w:hAnsi="宋体" w:cs="宋体"/>
          <w:color w:val="auto"/>
          <w:kern w:val="0"/>
          <w:highlight w:val="none"/>
        </w:rPr>
        <w:t>）的约定，我单位对（</w:t>
      </w:r>
      <w:r>
        <w:rPr>
          <w:rFonts w:hint="eastAsia" w:ascii="宋体" w:hAnsi="宋体" w:cs="宋体"/>
          <w:color w:val="auto"/>
          <w:kern w:val="0"/>
          <w:highlight w:val="none"/>
          <w:u w:val="single"/>
        </w:rPr>
        <w:t xml:space="preserve"> 项目名称 </w:t>
      </w:r>
      <w:r>
        <w:rPr>
          <w:rFonts w:hint="eastAsia" w:ascii="宋体" w:hAnsi="宋体" w:cs="宋体"/>
          <w:color w:val="auto"/>
          <w:kern w:val="0"/>
          <w:highlight w:val="none"/>
        </w:rPr>
        <w:t>） 政府采购项目中标（或成交）供应商（</w:t>
      </w:r>
      <w:r>
        <w:rPr>
          <w:rFonts w:hint="eastAsia" w:ascii="宋体" w:hAnsi="宋体" w:cs="宋体"/>
          <w:color w:val="auto"/>
          <w:kern w:val="0"/>
          <w:highlight w:val="none"/>
          <w:u w:val="single"/>
        </w:rPr>
        <w:t xml:space="preserve"> 公司名称 </w:t>
      </w:r>
      <w:r>
        <w:rPr>
          <w:rFonts w:hint="eastAsia" w:ascii="宋体" w:hAnsi="宋体" w:cs="宋体"/>
          <w:color w:val="auto"/>
          <w:kern w:val="0"/>
          <w:highlight w:val="none"/>
        </w:rPr>
        <w:t>） 提供的货物（或工程、服务）进行了验收，验收情况如下：</w:t>
      </w:r>
    </w:p>
    <w:tbl>
      <w:tblPr>
        <w:tblStyle w:val="39"/>
        <w:tblW w:w="9371" w:type="dxa"/>
        <w:jc w:val="center"/>
        <w:tblLayout w:type="fixed"/>
        <w:tblCellMar>
          <w:top w:w="0" w:type="dxa"/>
          <w:left w:w="0" w:type="dxa"/>
          <w:bottom w:w="0" w:type="dxa"/>
          <w:right w:w="0" w:type="dxa"/>
        </w:tblCellMar>
      </w:tblPr>
      <w:tblGrid>
        <w:gridCol w:w="1486"/>
        <w:gridCol w:w="1766"/>
        <w:gridCol w:w="798"/>
        <w:gridCol w:w="102"/>
        <w:gridCol w:w="2002"/>
        <w:gridCol w:w="178"/>
        <w:gridCol w:w="685"/>
        <w:gridCol w:w="2354"/>
      </w:tblGrid>
      <w:tr w14:paraId="0EBF677E">
        <w:tblPrEx>
          <w:tblCellMar>
            <w:top w:w="0" w:type="dxa"/>
            <w:left w:w="0" w:type="dxa"/>
            <w:bottom w:w="0" w:type="dxa"/>
            <w:right w:w="0" w:type="dxa"/>
          </w:tblCellMar>
        </w:tblPrEx>
        <w:trPr>
          <w:trHeight w:val="382" w:hRule="atLeast"/>
          <w:jc w:val="center"/>
        </w:trPr>
        <w:tc>
          <w:tcPr>
            <w:tcW w:w="3252" w:type="dxa"/>
            <w:gridSpan w:val="2"/>
            <w:tcBorders>
              <w:top w:val="single" w:color="auto" w:sz="8" w:space="0"/>
              <w:left w:val="single" w:color="auto" w:sz="8" w:space="0"/>
              <w:bottom w:val="single" w:color="auto" w:sz="8" w:space="0"/>
              <w:right w:val="single" w:color="auto" w:sz="8" w:space="0"/>
            </w:tcBorders>
            <w:noWrap w:val="0"/>
            <w:vAlign w:val="center"/>
          </w:tcPr>
          <w:p w14:paraId="2180DD84">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验收方式：</w:t>
            </w:r>
          </w:p>
        </w:tc>
        <w:tc>
          <w:tcPr>
            <w:tcW w:w="6119" w:type="dxa"/>
            <w:gridSpan w:val="6"/>
            <w:tcBorders>
              <w:top w:val="single" w:color="auto" w:sz="8" w:space="0"/>
              <w:left w:val="nil"/>
              <w:bottom w:val="single" w:color="auto" w:sz="8" w:space="0"/>
              <w:right w:val="single" w:color="auto" w:sz="8" w:space="0"/>
            </w:tcBorders>
            <w:noWrap w:val="0"/>
            <w:vAlign w:val="center"/>
          </w:tcPr>
          <w:p w14:paraId="5195BE9D">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480"/>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□自行验收 □委托验收</w:t>
            </w:r>
          </w:p>
        </w:tc>
      </w:tr>
      <w:tr w14:paraId="79D2F7B1">
        <w:tblPrEx>
          <w:tblCellMar>
            <w:top w:w="0" w:type="dxa"/>
            <w:left w:w="0" w:type="dxa"/>
            <w:bottom w:w="0" w:type="dxa"/>
            <w:right w:w="0" w:type="dxa"/>
          </w:tblCellMar>
        </w:tblPrEx>
        <w:trPr>
          <w:trHeight w:val="622" w:hRule="atLeast"/>
          <w:jc w:val="center"/>
        </w:trPr>
        <w:tc>
          <w:tcPr>
            <w:tcW w:w="1486" w:type="dxa"/>
            <w:tcBorders>
              <w:top w:val="nil"/>
              <w:left w:val="single" w:color="auto" w:sz="8" w:space="0"/>
              <w:bottom w:val="single" w:color="auto" w:sz="8" w:space="0"/>
              <w:right w:val="single" w:color="auto" w:sz="8" w:space="0"/>
            </w:tcBorders>
            <w:noWrap w:val="0"/>
            <w:vAlign w:val="center"/>
          </w:tcPr>
          <w:p w14:paraId="2A3BD353">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序号</w:t>
            </w:r>
          </w:p>
        </w:tc>
        <w:tc>
          <w:tcPr>
            <w:tcW w:w="1766" w:type="dxa"/>
            <w:tcBorders>
              <w:top w:val="nil"/>
              <w:left w:val="nil"/>
              <w:bottom w:val="single" w:color="auto" w:sz="8" w:space="0"/>
              <w:right w:val="single" w:color="auto" w:sz="8" w:space="0"/>
            </w:tcBorders>
            <w:noWrap w:val="0"/>
            <w:vAlign w:val="center"/>
          </w:tcPr>
          <w:p w14:paraId="475AC654">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名 称</w:t>
            </w:r>
          </w:p>
        </w:tc>
        <w:tc>
          <w:tcPr>
            <w:tcW w:w="2902" w:type="dxa"/>
            <w:gridSpan w:val="3"/>
            <w:tcBorders>
              <w:top w:val="nil"/>
              <w:left w:val="nil"/>
              <w:bottom w:val="single" w:color="auto" w:sz="8" w:space="0"/>
              <w:right w:val="single" w:color="auto" w:sz="8" w:space="0"/>
            </w:tcBorders>
            <w:noWrap w:val="0"/>
            <w:vAlign w:val="center"/>
          </w:tcPr>
          <w:p w14:paraId="3DBB097B">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货物型号规格、标准及配置等（或服务内容、标准）</w:t>
            </w:r>
          </w:p>
        </w:tc>
        <w:tc>
          <w:tcPr>
            <w:tcW w:w="863" w:type="dxa"/>
            <w:gridSpan w:val="2"/>
            <w:tcBorders>
              <w:top w:val="nil"/>
              <w:left w:val="nil"/>
              <w:bottom w:val="single" w:color="auto" w:sz="8" w:space="0"/>
              <w:right w:val="single" w:color="auto" w:sz="8" w:space="0"/>
            </w:tcBorders>
            <w:noWrap w:val="0"/>
            <w:vAlign w:val="center"/>
          </w:tcPr>
          <w:p w14:paraId="46F5919F">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数量</w:t>
            </w:r>
          </w:p>
        </w:tc>
        <w:tc>
          <w:tcPr>
            <w:tcW w:w="2354" w:type="dxa"/>
            <w:tcBorders>
              <w:top w:val="nil"/>
              <w:left w:val="nil"/>
              <w:bottom w:val="single" w:color="auto" w:sz="8" w:space="0"/>
              <w:right w:val="single" w:color="auto" w:sz="8" w:space="0"/>
            </w:tcBorders>
            <w:noWrap w:val="0"/>
            <w:vAlign w:val="center"/>
          </w:tcPr>
          <w:p w14:paraId="2551A08B">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金 额</w:t>
            </w:r>
          </w:p>
        </w:tc>
      </w:tr>
      <w:tr w14:paraId="50B21BFD">
        <w:tblPrEx>
          <w:tblCellMar>
            <w:top w:w="0" w:type="dxa"/>
            <w:left w:w="0" w:type="dxa"/>
            <w:bottom w:w="0" w:type="dxa"/>
            <w:right w:w="0" w:type="dxa"/>
          </w:tblCellMar>
        </w:tblPrEx>
        <w:trPr>
          <w:trHeight w:val="487" w:hRule="atLeast"/>
          <w:jc w:val="center"/>
        </w:trPr>
        <w:tc>
          <w:tcPr>
            <w:tcW w:w="1486" w:type="dxa"/>
            <w:tcBorders>
              <w:top w:val="nil"/>
              <w:left w:val="single" w:color="auto" w:sz="8" w:space="0"/>
              <w:bottom w:val="single" w:color="auto" w:sz="8" w:space="0"/>
              <w:right w:val="single" w:color="auto" w:sz="8" w:space="0"/>
            </w:tcBorders>
            <w:noWrap w:val="0"/>
            <w:vAlign w:val="center"/>
          </w:tcPr>
          <w:p w14:paraId="3932C114">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1766" w:type="dxa"/>
            <w:tcBorders>
              <w:top w:val="nil"/>
              <w:left w:val="nil"/>
              <w:bottom w:val="single" w:color="auto" w:sz="8" w:space="0"/>
              <w:right w:val="single" w:color="auto" w:sz="8" w:space="0"/>
            </w:tcBorders>
            <w:noWrap w:val="0"/>
            <w:vAlign w:val="center"/>
          </w:tcPr>
          <w:p w14:paraId="4E14AD6A">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902" w:type="dxa"/>
            <w:gridSpan w:val="3"/>
            <w:tcBorders>
              <w:top w:val="nil"/>
              <w:left w:val="nil"/>
              <w:bottom w:val="single" w:color="auto" w:sz="8" w:space="0"/>
              <w:right w:val="single" w:color="auto" w:sz="8" w:space="0"/>
            </w:tcBorders>
            <w:noWrap w:val="0"/>
            <w:vAlign w:val="center"/>
          </w:tcPr>
          <w:p w14:paraId="6CC37A94">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863" w:type="dxa"/>
            <w:gridSpan w:val="2"/>
            <w:tcBorders>
              <w:top w:val="nil"/>
              <w:left w:val="nil"/>
              <w:bottom w:val="single" w:color="auto" w:sz="8" w:space="0"/>
              <w:right w:val="single" w:color="auto" w:sz="8" w:space="0"/>
            </w:tcBorders>
            <w:noWrap w:val="0"/>
            <w:vAlign w:val="center"/>
          </w:tcPr>
          <w:p w14:paraId="72055570">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354" w:type="dxa"/>
            <w:tcBorders>
              <w:top w:val="nil"/>
              <w:left w:val="nil"/>
              <w:bottom w:val="single" w:color="auto" w:sz="8" w:space="0"/>
              <w:right w:val="single" w:color="auto" w:sz="8" w:space="0"/>
            </w:tcBorders>
            <w:noWrap w:val="0"/>
            <w:vAlign w:val="center"/>
          </w:tcPr>
          <w:p w14:paraId="67880EB7">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081EC4A1">
        <w:tblPrEx>
          <w:tblCellMar>
            <w:top w:w="0" w:type="dxa"/>
            <w:left w:w="0" w:type="dxa"/>
            <w:bottom w:w="0" w:type="dxa"/>
            <w:right w:w="0" w:type="dxa"/>
          </w:tblCellMar>
        </w:tblPrEx>
        <w:trPr>
          <w:trHeight w:val="487" w:hRule="atLeast"/>
          <w:jc w:val="center"/>
        </w:trPr>
        <w:tc>
          <w:tcPr>
            <w:tcW w:w="6154" w:type="dxa"/>
            <w:gridSpan w:val="5"/>
            <w:tcBorders>
              <w:top w:val="nil"/>
              <w:left w:val="single" w:color="auto" w:sz="8" w:space="0"/>
              <w:bottom w:val="single" w:color="auto" w:sz="8" w:space="0"/>
              <w:right w:val="single" w:color="auto" w:sz="8" w:space="0"/>
            </w:tcBorders>
            <w:noWrap w:val="0"/>
            <w:vAlign w:val="center"/>
          </w:tcPr>
          <w:p w14:paraId="4DC951D3">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5"/>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合 计</w:t>
            </w:r>
          </w:p>
        </w:tc>
        <w:tc>
          <w:tcPr>
            <w:tcW w:w="863" w:type="dxa"/>
            <w:gridSpan w:val="2"/>
            <w:tcBorders>
              <w:top w:val="nil"/>
              <w:left w:val="nil"/>
              <w:bottom w:val="single" w:color="auto" w:sz="8" w:space="0"/>
              <w:right w:val="single" w:color="auto" w:sz="8" w:space="0"/>
            </w:tcBorders>
            <w:noWrap w:val="0"/>
            <w:vAlign w:val="center"/>
          </w:tcPr>
          <w:p w14:paraId="61E1A940">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354" w:type="dxa"/>
            <w:tcBorders>
              <w:top w:val="nil"/>
              <w:left w:val="nil"/>
              <w:bottom w:val="single" w:color="auto" w:sz="8" w:space="0"/>
              <w:right w:val="single" w:color="auto" w:sz="8" w:space="0"/>
            </w:tcBorders>
            <w:noWrap w:val="0"/>
            <w:vAlign w:val="center"/>
          </w:tcPr>
          <w:p w14:paraId="39A0B1C7">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10C2CCE6">
        <w:tblPrEx>
          <w:tblCellMar>
            <w:top w:w="0" w:type="dxa"/>
            <w:left w:w="0" w:type="dxa"/>
            <w:bottom w:w="0" w:type="dxa"/>
            <w:right w:w="0" w:type="dxa"/>
          </w:tblCellMar>
        </w:tblPrEx>
        <w:trPr>
          <w:trHeight w:val="641" w:hRule="atLeast"/>
          <w:jc w:val="center"/>
        </w:trPr>
        <w:tc>
          <w:tcPr>
            <w:tcW w:w="9371" w:type="dxa"/>
            <w:gridSpan w:val="8"/>
            <w:tcBorders>
              <w:top w:val="nil"/>
              <w:left w:val="single" w:color="auto" w:sz="8" w:space="0"/>
              <w:bottom w:val="single" w:color="auto" w:sz="8" w:space="0"/>
              <w:right w:val="single" w:color="auto" w:sz="8" w:space="0"/>
            </w:tcBorders>
            <w:noWrap w:val="0"/>
            <w:vAlign w:val="center"/>
          </w:tcPr>
          <w:p w14:paraId="409A679A">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合计大写金额： 仟 佰 拾 万 仟 佰 拾 元</w:t>
            </w:r>
          </w:p>
        </w:tc>
      </w:tr>
      <w:tr w14:paraId="3CD9D9DE">
        <w:tblPrEx>
          <w:tblCellMar>
            <w:top w:w="0" w:type="dxa"/>
            <w:left w:w="0" w:type="dxa"/>
            <w:bottom w:w="0" w:type="dxa"/>
            <w:right w:w="0" w:type="dxa"/>
          </w:tblCellMar>
        </w:tblPrEx>
        <w:trPr>
          <w:trHeight w:val="491" w:hRule="atLeast"/>
          <w:jc w:val="center"/>
        </w:trPr>
        <w:tc>
          <w:tcPr>
            <w:tcW w:w="1486" w:type="dxa"/>
            <w:tcBorders>
              <w:top w:val="nil"/>
              <w:left w:val="single" w:color="auto" w:sz="8" w:space="0"/>
              <w:bottom w:val="single" w:color="auto" w:sz="8" w:space="0"/>
              <w:right w:val="single" w:color="auto" w:sz="8" w:space="0"/>
            </w:tcBorders>
            <w:noWrap w:val="0"/>
            <w:vAlign w:val="center"/>
          </w:tcPr>
          <w:p w14:paraId="5C401F30">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2"/>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实际供货日期</w:t>
            </w:r>
          </w:p>
        </w:tc>
        <w:tc>
          <w:tcPr>
            <w:tcW w:w="2564" w:type="dxa"/>
            <w:gridSpan w:val="2"/>
            <w:tcBorders>
              <w:top w:val="nil"/>
              <w:left w:val="nil"/>
              <w:bottom w:val="single" w:color="auto" w:sz="8" w:space="0"/>
              <w:right w:val="single" w:color="auto" w:sz="8" w:space="0"/>
            </w:tcBorders>
            <w:noWrap w:val="0"/>
            <w:vAlign w:val="center"/>
          </w:tcPr>
          <w:p w14:paraId="0404594C">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282" w:type="dxa"/>
            <w:gridSpan w:val="3"/>
            <w:tcBorders>
              <w:top w:val="nil"/>
              <w:left w:val="nil"/>
              <w:bottom w:val="single" w:color="auto" w:sz="8" w:space="0"/>
              <w:right w:val="single" w:color="auto" w:sz="8" w:space="0"/>
            </w:tcBorders>
            <w:noWrap w:val="0"/>
            <w:vAlign w:val="center"/>
          </w:tcPr>
          <w:p w14:paraId="01E25BC9">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ind w:firstLine="46"/>
              <w:jc w:val="center"/>
              <w:textAlignment w:val="auto"/>
              <w:rPr>
                <w:rFonts w:hint="eastAsia" w:ascii="宋体" w:hAnsi="宋体" w:cs="宋体"/>
                <w:color w:val="auto"/>
                <w:kern w:val="0"/>
                <w:highlight w:val="none"/>
              </w:rPr>
            </w:pPr>
            <w:r>
              <w:rPr>
                <w:rFonts w:hint="eastAsia" w:ascii="宋体" w:hAnsi="宋体" w:cs="宋体"/>
                <w:color w:val="auto"/>
                <w:kern w:val="0"/>
                <w:highlight w:val="none"/>
              </w:rPr>
              <w:t>合同交货验收日期</w:t>
            </w:r>
          </w:p>
        </w:tc>
        <w:tc>
          <w:tcPr>
            <w:tcW w:w="3039" w:type="dxa"/>
            <w:gridSpan w:val="2"/>
            <w:tcBorders>
              <w:top w:val="nil"/>
              <w:left w:val="nil"/>
              <w:bottom w:val="single" w:color="auto" w:sz="8" w:space="0"/>
              <w:right w:val="single" w:color="auto" w:sz="8" w:space="0"/>
            </w:tcBorders>
            <w:noWrap w:val="0"/>
            <w:vAlign w:val="center"/>
          </w:tcPr>
          <w:p w14:paraId="7D16C172">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0EFD93F8">
        <w:tblPrEx>
          <w:tblCellMar>
            <w:top w:w="0" w:type="dxa"/>
            <w:left w:w="0" w:type="dxa"/>
            <w:bottom w:w="0" w:type="dxa"/>
            <w:right w:w="0" w:type="dxa"/>
          </w:tblCellMar>
        </w:tblPrEx>
        <w:trPr>
          <w:trHeight w:val="394" w:hRule="atLeast"/>
          <w:jc w:val="center"/>
        </w:trPr>
        <w:tc>
          <w:tcPr>
            <w:tcW w:w="1486" w:type="dxa"/>
            <w:tcBorders>
              <w:top w:val="nil"/>
              <w:left w:val="single" w:color="auto" w:sz="8" w:space="0"/>
              <w:bottom w:val="single" w:color="auto" w:sz="8" w:space="0"/>
              <w:right w:val="single" w:color="auto" w:sz="8" w:space="0"/>
            </w:tcBorders>
            <w:noWrap w:val="0"/>
            <w:vAlign w:val="center"/>
          </w:tcPr>
          <w:p w14:paraId="60BBDC80">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564" w:type="dxa"/>
            <w:gridSpan w:val="2"/>
            <w:tcBorders>
              <w:top w:val="nil"/>
              <w:left w:val="nil"/>
              <w:bottom w:val="single" w:color="auto" w:sz="8" w:space="0"/>
              <w:right w:val="single" w:color="auto" w:sz="8" w:space="0"/>
            </w:tcBorders>
            <w:noWrap w:val="0"/>
            <w:vAlign w:val="center"/>
          </w:tcPr>
          <w:p w14:paraId="6CA5EA26">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2282" w:type="dxa"/>
            <w:gridSpan w:val="3"/>
            <w:tcBorders>
              <w:top w:val="nil"/>
              <w:left w:val="nil"/>
              <w:bottom w:val="single" w:color="auto" w:sz="8" w:space="0"/>
              <w:right w:val="single" w:color="auto" w:sz="8" w:space="0"/>
            </w:tcBorders>
            <w:noWrap w:val="0"/>
            <w:vAlign w:val="center"/>
          </w:tcPr>
          <w:p w14:paraId="20F00B5D">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c>
          <w:tcPr>
            <w:tcW w:w="3039" w:type="dxa"/>
            <w:gridSpan w:val="2"/>
            <w:tcBorders>
              <w:top w:val="nil"/>
              <w:left w:val="nil"/>
              <w:bottom w:val="single" w:color="auto" w:sz="8" w:space="0"/>
              <w:right w:val="single" w:color="auto" w:sz="8" w:space="0"/>
            </w:tcBorders>
            <w:noWrap w:val="0"/>
            <w:vAlign w:val="center"/>
          </w:tcPr>
          <w:p w14:paraId="0A29AA0A">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center"/>
              <w:textAlignment w:val="auto"/>
              <w:rPr>
                <w:rFonts w:hint="eastAsia" w:ascii="宋体" w:hAnsi="宋体" w:cs="宋体"/>
                <w:color w:val="auto"/>
                <w:kern w:val="0"/>
                <w:highlight w:val="none"/>
              </w:rPr>
            </w:pPr>
          </w:p>
        </w:tc>
      </w:tr>
      <w:tr w14:paraId="4A94BFD6">
        <w:tblPrEx>
          <w:tblCellMar>
            <w:top w:w="0" w:type="dxa"/>
            <w:left w:w="0" w:type="dxa"/>
            <w:bottom w:w="0" w:type="dxa"/>
            <w:right w:w="0" w:type="dxa"/>
          </w:tblCellMar>
        </w:tblPrEx>
        <w:trPr>
          <w:trHeight w:val="693" w:hRule="atLeast"/>
          <w:jc w:val="center"/>
        </w:trPr>
        <w:tc>
          <w:tcPr>
            <w:tcW w:w="1486" w:type="dxa"/>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05D925ED">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验收具体内容</w:t>
            </w:r>
          </w:p>
        </w:tc>
        <w:tc>
          <w:tcPr>
            <w:tcW w:w="7885" w:type="dxa"/>
            <w:gridSpan w:val="7"/>
            <w:tcBorders>
              <w:top w:val="nil"/>
              <w:left w:val="nil"/>
              <w:bottom w:val="single" w:color="auto" w:sz="8" w:space="0"/>
              <w:right w:val="single" w:color="auto" w:sz="8" w:space="0"/>
            </w:tcBorders>
            <w:noWrap w:val="0"/>
            <w:tcMar>
              <w:top w:w="0" w:type="dxa"/>
              <w:left w:w="108" w:type="dxa"/>
              <w:bottom w:w="0" w:type="dxa"/>
              <w:right w:w="108" w:type="dxa"/>
            </w:tcMar>
            <w:vAlign w:val="center"/>
          </w:tcPr>
          <w:p w14:paraId="6FD4786D">
            <w:pPr>
              <w:keepNext w:val="0"/>
              <w:keepLines w:val="0"/>
              <w:pageBreakBefore w:val="0"/>
              <w:widowControl/>
              <w:kinsoku/>
              <w:wordWrap/>
              <w:overflowPunct/>
              <w:topLinePunct w:val="0"/>
              <w:autoSpaceDE/>
              <w:autoSpaceDN/>
              <w:bidi w:val="0"/>
              <w:adjustRightInd/>
              <w:snapToGrid w:val="0"/>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应按采购合同、采购文件、投标响应文件及验收方案等进行验收；并核对中标或者中标人在安装调试等方面是否违反合同约定或服务规范要求、提供的质量保证证明材料是否齐全、应有的配件及附件是否达到合同约定等。</w:t>
            </w:r>
            <w:r>
              <w:rPr>
                <w:rFonts w:hint="eastAsia" w:ascii="宋体" w:hAnsi="宋体" w:cs="宋体"/>
                <w:color w:val="auto"/>
                <w:kern w:val="0"/>
                <w:highlight w:val="none"/>
                <w:lang w:eastAsia="zh-CN"/>
              </w:rPr>
              <w:t>见附件</w:t>
            </w:r>
            <w:r>
              <w:rPr>
                <w:rFonts w:hint="eastAsia" w:ascii="宋体" w:hAnsi="宋体" w:cs="宋体"/>
                <w:color w:val="auto"/>
                <w:kern w:val="0"/>
                <w:highlight w:val="none"/>
              </w:rPr>
              <w:t>）</w:t>
            </w:r>
          </w:p>
        </w:tc>
      </w:tr>
      <w:tr w14:paraId="6F30E160">
        <w:tblPrEx>
          <w:tblCellMar>
            <w:top w:w="0" w:type="dxa"/>
            <w:left w:w="0" w:type="dxa"/>
            <w:bottom w:w="0" w:type="dxa"/>
            <w:right w:w="0" w:type="dxa"/>
          </w:tblCellMar>
        </w:tblPrEx>
        <w:trPr>
          <w:trHeight w:val="510" w:hRule="atLeast"/>
          <w:jc w:val="center"/>
        </w:trPr>
        <w:tc>
          <w:tcPr>
            <w:tcW w:w="1486" w:type="dxa"/>
            <w:vMerge w:val="restart"/>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4B838845">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验收小组意见</w:t>
            </w:r>
          </w:p>
        </w:tc>
        <w:tc>
          <w:tcPr>
            <w:tcW w:w="7885" w:type="dxa"/>
            <w:gridSpan w:val="7"/>
            <w:tcBorders>
              <w:top w:val="nil"/>
              <w:left w:val="nil"/>
              <w:bottom w:val="single" w:color="auto" w:sz="8" w:space="0"/>
              <w:right w:val="single" w:color="auto" w:sz="8" w:space="0"/>
            </w:tcBorders>
            <w:noWrap w:val="0"/>
            <w:vAlign w:val="center"/>
          </w:tcPr>
          <w:p w14:paraId="0209C451">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验收结论性意见：</w:t>
            </w:r>
          </w:p>
        </w:tc>
      </w:tr>
      <w:tr w14:paraId="71773C7B">
        <w:tblPrEx>
          <w:tblCellMar>
            <w:top w:w="0" w:type="dxa"/>
            <w:left w:w="0" w:type="dxa"/>
            <w:bottom w:w="0" w:type="dxa"/>
            <w:right w:w="0" w:type="dxa"/>
          </w:tblCellMar>
        </w:tblPrEx>
        <w:trPr>
          <w:trHeight w:val="424" w:hRule="atLeast"/>
          <w:jc w:val="center"/>
        </w:trPr>
        <w:tc>
          <w:tcPr>
            <w:tcW w:w="1486" w:type="dxa"/>
            <w:vMerge w:val="continue"/>
            <w:tcBorders>
              <w:top w:val="nil"/>
              <w:left w:val="single" w:color="auto" w:sz="8" w:space="0"/>
              <w:bottom w:val="single" w:color="auto" w:sz="8" w:space="0"/>
              <w:right w:val="single" w:color="auto" w:sz="8" w:space="0"/>
            </w:tcBorders>
            <w:noWrap w:val="0"/>
            <w:vAlign w:val="center"/>
          </w:tcPr>
          <w:p w14:paraId="2FE6ED2D">
            <w:pPr>
              <w:keepNext w:val="0"/>
              <w:keepLines w:val="0"/>
              <w:pageBreakBefore w:val="0"/>
              <w:widowControl/>
              <w:kinsoku/>
              <w:wordWrap/>
              <w:overflowPunct/>
              <w:topLinePunct w:val="0"/>
              <w:autoSpaceDE/>
              <w:autoSpaceDN/>
              <w:bidi w:val="0"/>
              <w:adjustRightInd/>
              <w:spacing w:line="400" w:lineRule="exact"/>
              <w:jc w:val="left"/>
              <w:textAlignment w:val="auto"/>
              <w:rPr>
                <w:rFonts w:hint="eastAsia" w:ascii="宋体" w:hAnsi="宋体" w:cs="宋体"/>
                <w:color w:val="auto"/>
                <w:kern w:val="0"/>
                <w:szCs w:val="21"/>
                <w:highlight w:val="none"/>
              </w:rPr>
            </w:pPr>
          </w:p>
        </w:tc>
        <w:tc>
          <w:tcPr>
            <w:tcW w:w="7885" w:type="dxa"/>
            <w:gridSpan w:val="7"/>
            <w:tcBorders>
              <w:top w:val="nil"/>
              <w:left w:val="nil"/>
              <w:bottom w:val="single" w:color="auto" w:sz="8" w:space="0"/>
              <w:right w:val="single" w:color="auto" w:sz="8" w:space="0"/>
            </w:tcBorders>
            <w:noWrap w:val="0"/>
            <w:vAlign w:val="center"/>
          </w:tcPr>
          <w:p w14:paraId="3A905AC1">
            <w:pPr>
              <w:keepNext w:val="0"/>
              <w:keepLines w:val="0"/>
              <w:pageBreakBefore w:val="0"/>
              <w:widowControl/>
              <w:kinsoku/>
              <w:wordWrap/>
              <w:overflowPunct/>
              <w:topLinePunct w:val="0"/>
              <w:autoSpaceDE/>
              <w:autoSpaceDN/>
              <w:bidi w:val="0"/>
              <w:adjustRightInd/>
              <w:spacing w:before="100" w:beforeAutospacing="1" w:after="100" w:afterAutospacing="1" w:line="400" w:lineRule="exact"/>
              <w:ind w:firstLine="96"/>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有异议的意见和说明理由：</w:t>
            </w:r>
          </w:p>
          <w:p w14:paraId="24CACED8">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签字：</w:t>
            </w:r>
          </w:p>
        </w:tc>
      </w:tr>
      <w:tr w14:paraId="26B4DD36">
        <w:tblPrEx>
          <w:tblCellMar>
            <w:top w:w="0" w:type="dxa"/>
            <w:left w:w="0" w:type="dxa"/>
            <w:bottom w:w="0" w:type="dxa"/>
            <w:right w:w="0" w:type="dxa"/>
          </w:tblCellMar>
        </w:tblPrEx>
        <w:trPr>
          <w:trHeight w:val="507"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3ABEDF1C">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验收小组成员签字：</w:t>
            </w:r>
          </w:p>
        </w:tc>
      </w:tr>
      <w:tr w14:paraId="722C491F">
        <w:tblPrEx>
          <w:tblCellMar>
            <w:top w:w="0" w:type="dxa"/>
            <w:left w:w="0" w:type="dxa"/>
            <w:bottom w:w="0" w:type="dxa"/>
            <w:right w:w="0" w:type="dxa"/>
          </w:tblCellMar>
        </w:tblPrEx>
        <w:trPr>
          <w:trHeight w:val="736" w:hRule="atLeast"/>
          <w:jc w:val="center"/>
        </w:trPr>
        <w:tc>
          <w:tcPr>
            <w:tcW w:w="9371" w:type="dxa"/>
            <w:gridSpan w:val="8"/>
            <w:tcBorders>
              <w:top w:val="nil"/>
              <w:left w:val="single" w:color="auto" w:sz="8" w:space="0"/>
              <w:bottom w:val="single" w:color="auto" w:sz="8" w:space="0"/>
              <w:right w:val="single" w:color="auto" w:sz="8" w:space="0"/>
            </w:tcBorders>
            <w:noWrap w:val="0"/>
            <w:tcMar>
              <w:top w:w="0" w:type="dxa"/>
              <w:left w:w="108" w:type="dxa"/>
              <w:bottom w:w="0" w:type="dxa"/>
              <w:right w:w="108" w:type="dxa"/>
            </w:tcMar>
            <w:vAlign w:val="center"/>
          </w:tcPr>
          <w:p w14:paraId="2C8F670C">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监督人员或其他相关人员签字：</w:t>
            </w:r>
          </w:p>
          <w:p w14:paraId="1E28DC26">
            <w:pPr>
              <w:keepNext w:val="0"/>
              <w:keepLines w:val="0"/>
              <w:pageBreakBefore w:val="0"/>
              <w:widowControl/>
              <w:kinsoku/>
              <w:wordWrap/>
              <w:overflowPunct/>
              <w:topLinePunct w:val="0"/>
              <w:autoSpaceDE/>
              <w:autoSpaceDN/>
              <w:bidi w:val="0"/>
              <w:adjustRightInd/>
              <w:spacing w:before="100" w:beforeAutospacing="1" w:after="100" w:afterAutospacing="1" w:line="400" w:lineRule="exact"/>
              <w:ind w:firstLine="74"/>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或受邀机构的意见（盖章）：</w:t>
            </w:r>
          </w:p>
        </w:tc>
      </w:tr>
      <w:tr w14:paraId="20D56931">
        <w:tblPrEx>
          <w:tblCellMar>
            <w:top w:w="0" w:type="dxa"/>
            <w:left w:w="0" w:type="dxa"/>
            <w:bottom w:w="0" w:type="dxa"/>
            <w:right w:w="0" w:type="dxa"/>
          </w:tblCellMar>
        </w:tblPrEx>
        <w:trPr>
          <w:trHeight w:val="986" w:hRule="atLeast"/>
          <w:jc w:val="center"/>
        </w:trPr>
        <w:tc>
          <w:tcPr>
            <w:tcW w:w="4152" w:type="dxa"/>
            <w:gridSpan w:val="4"/>
            <w:tcBorders>
              <w:top w:val="nil"/>
              <w:left w:val="single" w:color="auto" w:sz="8" w:space="0"/>
              <w:bottom w:val="single" w:color="auto" w:sz="8" w:space="0"/>
              <w:right w:val="nil"/>
            </w:tcBorders>
            <w:noWrap w:val="0"/>
            <w:tcMar>
              <w:top w:w="0" w:type="dxa"/>
              <w:left w:w="108" w:type="dxa"/>
              <w:bottom w:w="0" w:type="dxa"/>
              <w:right w:w="108" w:type="dxa"/>
            </w:tcMar>
            <w:vAlign w:val="center"/>
          </w:tcPr>
          <w:p w14:paraId="6F3E4DC8">
            <w:pPr>
              <w:keepNext w:val="0"/>
              <w:keepLines w:val="0"/>
              <w:pageBreakBefore w:val="0"/>
              <w:widowControl/>
              <w:kinsoku/>
              <w:wordWrap/>
              <w:overflowPunct/>
              <w:topLinePunct w:val="0"/>
              <w:autoSpaceDE/>
              <w:autoSpaceDN/>
              <w:bidi w:val="0"/>
              <w:adjustRightInd/>
              <w:spacing w:before="100" w:beforeAutospacing="1" w:after="100" w:afterAutospacing="1" w:line="400" w:lineRule="exact"/>
              <w:ind w:firstLine="74"/>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 xml:space="preserve">中标或者成交供应商负责人签字或盖章：      </w:t>
            </w:r>
          </w:p>
          <w:p w14:paraId="2EA3B95F">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联系电话： 年 月 日</w:t>
            </w:r>
          </w:p>
        </w:tc>
        <w:tc>
          <w:tcPr>
            <w:tcW w:w="5219" w:type="dxa"/>
            <w:gridSpan w:val="4"/>
            <w:tcBorders>
              <w:top w:val="nil"/>
              <w:left w:val="nil"/>
              <w:bottom w:val="single" w:color="auto" w:sz="8" w:space="0"/>
              <w:right w:val="single" w:color="auto" w:sz="8" w:space="0"/>
            </w:tcBorders>
            <w:noWrap w:val="0"/>
            <w:vAlign w:val="center"/>
          </w:tcPr>
          <w:p w14:paraId="27D5AA30">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采购人或受托机构的意见（盖章）：</w:t>
            </w:r>
          </w:p>
          <w:p w14:paraId="70A19508">
            <w:pPr>
              <w:keepNext w:val="0"/>
              <w:keepLines w:val="0"/>
              <w:pageBreakBefore w:val="0"/>
              <w:widowControl/>
              <w:kinsoku/>
              <w:wordWrap/>
              <w:overflowPunct/>
              <w:topLinePunct w:val="0"/>
              <w:autoSpaceDE/>
              <w:autoSpaceDN/>
              <w:bidi w:val="0"/>
              <w:adjustRightInd/>
              <w:spacing w:before="100" w:beforeAutospacing="1" w:after="100" w:afterAutospacing="1" w:line="400" w:lineRule="exact"/>
              <w:jc w:val="left"/>
              <w:textAlignment w:val="auto"/>
              <w:rPr>
                <w:rFonts w:hint="eastAsia" w:ascii="宋体" w:hAnsi="宋体" w:cs="宋体"/>
                <w:color w:val="auto"/>
                <w:kern w:val="0"/>
                <w:highlight w:val="none"/>
              </w:rPr>
            </w:pPr>
            <w:r>
              <w:rPr>
                <w:rFonts w:hint="eastAsia" w:ascii="宋体" w:hAnsi="宋体" w:cs="宋体"/>
                <w:color w:val="auto"/>
                <w:kern w:val="0"/>
                <w:highlight w:val="none"/>
              </w:rPr>
              <w:t>联系电话： 年 月 日</w:t>
            </w:r>
          </w:p>
        </w:tc>
      </w:tr>
    </w:tbl>
    <w:p w14:paraId="1AA677DC">
      <w:pPr>
        <w:pStyle w:val="20"/>
        <w:snapToGrid w:val="0"/>
        <w:spacing w:before="120" w:after="120"/>
        <w:rPr>
          <w:rFonts w:hint="eastAsia" w:hAnsi="宋体" w:cs="宋体"/>
          <w:color w:val="auto"/>
          <w:highlight w:val="none"/>
        </w:rPr>
      </w:pPr>
    </w:p>
    <w:p w14:paraId="636F6F11">
      <w:pPr>
        <w:spacing w:line="360" w:lineRule="auto"/>
        <w:jc w:val="left"/>
        <w:rPr>
          <w:rFonts w:hint="eastAsia" w:ascii="宋体" w:hAnsi="宋体" w:cs="宋体"/>
          <w:color w:val="auto"/>
          <w:sz w:val="18"/>
          <w:szCs w:val="18"/>
          <w:highlight w:val="none"/>
        </w:rPr>
      </w:pPr>
      <w:r>
        <w:rPr>
          <w:rFonts w:hint="eastAsia" w:ascii="宋体" w:hAnsi="宋体" w:cs="宋体"/>
          <w:color w:val="auto"/>
          <w:highlight w:val="none"/>
        </w:rPr>
        <w:br w:type="page"/>
      </w:r>
      <w:r>
        <w:rPr>
          <w:rFonts w:hint="eastAsia" w:ascii="宋体" w:hAnsi="宋体" w:cs="宋体"/>
          <w:b/>
          <w:bCs/>
          <w:color w:val="auto"/>
          <w:sz w:val="28"/>
          <w:szCs w:val="36"/>
          <w:highlight w:val="none"/>
        </w:rPr>
        <w:t>附件2：</w:t>
      </w:r>
    </w:p>
    <w:p w14:paraId="38F90EA5">
      <w:pPr>
        <w:widowControl/>
        <w:shd w:val="clear" w:color="auto" w:fill="FFFFFF"/>
        <w:spacing w:line="360" w:lineRule="auto"/>
        <w:jc w:val="center"/>
        <w:rPr>
          <w:rFonts w:hint="eastAsia" w:ascii="宋体" w:hAnsi="宋体" w:cs="宋体"/>
          <w:color w:val="auto"/>
          <w:kern w:val="0"/>
          <w:sz w:val="44"/>
          <w:szCs w:val="44"/>
          <w:highlight w:val="none"/>
        </w:rPr>
      </w:pPr>
      <w:r>
        <w:rPr>
          <w:rFonts w:hint="eastAsia" w:ascii="宋体" w:hAnsi="宋体" w:cs="宋体"/>
          <w:color w:val="auto"/>
          <w:kern w:val="0"/>
          <w:sz w:val="44"/>
          <w:szCs w:val="44"/>
          <w:highlight w:val="none"/>
        </w:rPr>
        <w:t>政府采购项目履约保证金退付意见书（参考）</w:t>
      </w:r>
    </w:p>
    <w:tbl>
      <w:tblPr>
        <w:tblStyle w:val="39"/>
        <w:tblW w:w="8618"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08"/>
        <w:gridCol w:w="7610"/>
      </w:tblGrid>
      <w:tr w14:paraId="28B73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15" w:hRule="atLeast"/>
        </w:trPr>
        <w:tc>
          <w:tcPr>
            <w:tcW w:w="1008" w:type="dxa"/>
            <w:vMerge w:val="restart"/>
            <w:noWrap w:val="0"/>
            <w:vAlign w:val="center"/>
          </w:tcPr>
          <w:p w14:paraId="4861474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供</w:t>
            </w:r>
          </w:p>
          <w:p w14:paraId="0298F6D0">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应</w:t>
            </w:r>
          </w:p>
          <w:p w14:paraId="1141DA3B">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商</w:t>
            </w:r>
          </w:p>
          <w:p w14:paraId="6EFCE9A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申</w:t>
            </w:r>
          </w:p>
          <w:p w14:paraId="73467258">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请</w:t>
            </w:r>
          </w:p>
        </w:tc>
        <w:tc>
          <w:tcPr>
            <w:tcW w:w="7610" w:type="dxa"/>
            <w:noWrap w:val="0"/>
            <w:vAlign w:val="center"/>
          </w:tcPr>
          <w:p w14:paraId="46B02CC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项目编号：</w:t>
            </w:r>
          </w:p>
        </w:tc>
      </w:tr>
      <w:tr w14:paraId="300500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8" w:hRule="atLeast"/>
        </w:trPr>
        <w:tc>
          <w:tcPr>
            <w:tcW w:w="1008" w:type="dxa"/>
            <w:vMerge w:val="continue"/>
            <w:noWrap w:val="0"/>
            <w:vAlign w:val="center"/>
          </w:tcPr>
          <w:p w14:paraId="58E14C8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tc>
        <w:tc>
          <w:tcPr>
            <w:tcW w:w="7610" w:type="dxa"/>
            <w:noWrap w:val="0"/>
            <w:vAlign w:val="center"/>
          </w:tcPr>
          <w:p w14:paraId="3980B0F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项目名称：</w:t>
            </w:r>
          </w:p>
        </w:tc>
      </w:tr>
      <w:tr w14:paraId="49304F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1008" w:type="dxa"/>
            <w:vMerge w:val="continue"/>
            <w:noWrap w:val="0"/>
            <w:vAlign w:val="top"/>
          </w:tcPr>
          <w:p w14:paraId="10FDAE0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tc>
        <w:tc>
          <w:tcPr>
            <w:tcW w:w="7610" w:type="dxa"/>
            <w:noWrap w:val="0"/>
            <w:vAlign w:val="top"/>
          </w:tcPr>
          <w:p w14:paraId="5AF3761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5EC8B8C7">
            <w:pPr>
              <w:keepNext w:val="0"/>
              <w:keepLines w:val="0"/>
              <w:pageBreakBefore w:val="0"/>
              <w:widowControl w:val="0"/>
              <w:kinsoku/>
              <w:wordWrap/>
              <w:overflowPunct/>
              <w:topLinePunct w:val="0"/>
              <w:autoSpaceDE/>
              <w:autoSpaceDN/>
              <w:bidi w:val="0"/>
              <w:adjustRightInd/>
              <w:snapToGrid/>
              <w:spacing w:line="400" w:lineRule="exact"/>
              <w:ind w:firstLine="480" w:firstLineChars="200"/>
              <w:textAlignment w:val="auto"/>
              <w:rPr>
                <w:rFonts w:hint="eastAsia" w:ascii="宋体" w:hAnsi="宋体" w:cs="宋体"/>
                <w:color w:val="auto"/>
                <w:sz w:val="24"/>
                <w:highlight w:val="none"/>
              </w:rPr>
            </w:pPr>
            <w:r>
              <w:rPr>
                <w:rFonts w:hint="eastAsia" w:ascii="宋体" w:hAnsi="宋体" w:cs="宋体"/>
                <w:color w:val="auto"/>
                <w:sz w:val="24"/>
                <w:highlight w:val="none"/>
              </w:rPr>
              <w:t>该项目已于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日验收并交付使用。根据合同规定，该项目的履约保证金期限于</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年</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月</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日已满，请将履约保证金</w:t>
            </w:r>
          </w:p>
          <w:p w14:paraId="32AB91C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（大写）¥</w:t>
            </w:r>
            <w:r>
              <w:rPr>
                <w:rFonts w:hint="eastAsia" w:ascii="宋体" w:hAnsi="宋体" w:cs="宋体"/>
                <w:color w:val="auto"/>
                <w:sz w:val="24"/>
                <w:highlight w:val="none"/>
                <w:u w:val="single"/>
              </w:rPr>
              <w:t xml:space="preserve">          </w:t>
            </w:r>
            <w:r>
              <w:rPr>
                <w:rFonts w:hint="eastAsia" w:ascii="宋体" w:hAnsi="宋体" w:cs="宋体"/>
                <w:color w:val="auto"/>
                <w:sz w:val="24"/>
                <w:highlight w:val="none"/>
              </w:rPr>
              <w:t>（小写）退付到达以下账户。</w:t>
            </w:r>
          </w:p>
          <w:p w14:paraId="27E62500">
            <w:pPr>
              <w:keepNext w:val="0"/>
              <w:keepLines w:val="0"/>
              <w:pageBreakBefore w:val="0"/>
              <w:widowControl w:val="0"/>
              <w:kinsoku/>
              <w:wordWrap/>
              <w:overflowPunct/>
              <w:topLinePunct w:val="0"/>
              <w:autoSpaceDE/>
              <w:autoSpaceDN/>
              <w:bidi w:val="0"/>
              <w:adjustRightInd/>
              <w:snapToGrid/>
              <w:spacing w:line="400" w:lineRule="exact"/>
              <w:ind w:firstLine="705"/>
              <w:textAlignment w:val="auto"/>
              <w:rPr>
                <w:rFonts w:hint="eastAsia" w:ascii="宋体" w:hAnsi="宋体" w:cs="宋体"/>
                <w:color w:val="auto"/>
                <w:sz w:val="24"/>
                <w:highlight w:val="none"/>
              </w:rPr>
            </w:pPr>
            <w:r>
              <w:rPr>
                <w:rFonts w:hint="eastAsia" w:ascii="宋体" w:hAnsi="宋体" w:cs="宋体"/>
                <w:color w:val="auto"/>
                <w:sz w:val="24"/>
                <w:highlight w:val="none"/>
              </w:rPr>
              <w:t>单位名称：</w:t>
            </w:r>
          </w:p>
          <w:p w14:paraId="68A5D2A9">
            <w:pPr>
              <w:keepNext w:val="0"/>
              <w:keepLines w:val="0"/>
              <w:pageBreakBefore w:val="0"/>
              <w:widowControl w:val="0"/>
              <w:kinsoku/>
              <w:wordWrap/>
              <w:overflowPunct/>
              <w:topLinePunct w:val="0"/>
              <w:autoSpaceDE/>
              <w:autoSpaceDN/>
              <w:bidi w:val="0"/>
              <w:adjustRightInd/>
              <w:snapToGrid/>
              <w:spacing w:line="400" w:lineRule="exact"/>
              <w:ind w:firstLine="705"/>
              <w:textAlignment w:val="auto"/>
              <w:rPr>
                <w:rFonts w:hint="eastAsia" w:ascii="宋体" w:hAnsi="宋体" w:cs="宋体"/>
                <w:color w:val="auto"/>
                <w:sz w:val="24"/>
                <w:highlight w:val="none"/>
              </w:rPr>
            </w:pPr>
            <w:r>
              <w:rPr>
                <w:rFonts w:hint="eastAsia" w:ascii="宋体" w:hAnsi="宋体" w:cs="宋体"/>
                <w:color w:val="auto"/>
                <w:sz w:val="24"/>
                <w:highlight w:val="none"/>
              </w:rPr>
              <w:t>开户银行：</w:t>
            </w:r>
          </w:p>
          <w:p w14:paraId="4B1957B7">
            <w:pPr>
              <w:keepNext w:val="0"/>
              <w:keepLines w:val="0"/>
              <w:pageBreakBefore w:val="0"/>
              <w:widowControl w:val="0"/>
              <w:kinsoku/>
              <w:wordWrap/>
              <w:overflowPunct/>
              <w:topLinePunct w:val="0"/>
              <w:autoSpaceDE/>
              <w:autoSpaceDN/>
              <w:bidi w:val="0"/>
              <w:adjustRightInd/>
              <w:snapToGrid/>
              <w:spacing w:line="400" w:lineRule="exact"/>
              <w:ind w:firstLine="705"/>
              <w:textAlignment w:val="auto"/>
              <w:rPr>
                <w:rFonts w:hint="eastAsia" w:ascii="宋体" w:hAnsi="宋体" w:cs="宋体"/>
                <w:color w:val="auto"/>
                <w:sz w:val="24"/>
                <w:highlight w:val="none"/>
              </w:rPr>
            </w:pPr>
            <w:r>
              <w:rPr>
                <w:rFonts w:hint="eastAsia" w:ascii="宋体" w:hAnsi="宋体" w:cs="宋体"/>
                <w:color w:val="auto"/>
                <w:sz w:val="24"/>
                <w:highlight w:val="none"/>
              </w:rPr>
              <w:t>账   号：</w:t>
            </w:r>
          </w:p>
          <w:p w14:paraId="4034D7DB">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联系人及电话：</w:t>
            </w:r>
          </w:p>
          <w:p w14:paraId="02880DC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129E5822">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投标人签章：</w:t>
            </w:r>
          </w:p>
          <w:p w14:paraId="510DCF19">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48DF5A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26" w:hRule="atLeast"/>
        </w:trPr>
        <w:tc>
          <w:tcPr>
            <w:tcW w:w="1008" w:type="dxa"/>
            <w:noWrap w:val="0"/>
            <w:vAlign w:val="center"/>
          </w:tcPr>
          <w:p w14:paraId="063AC83A">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采</w:t>
            </w:r>
          </w:p>
          <w:p w14:paraId="0BF9DC5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购</w:t>
            </w:r>
          </w:p>
          <w:p w14:paraId="2991B6E5">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人</w:t>
            </w:r>
          </w:p>
          <w:p w14:paraId="198AC1ED">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意</w:t>
            </w:r>
          </w:p>
          <w:p w14:paraId="1FBF8646">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见</w:t>
            </w:r>
          </w:p>
        </w:tc>
        <w:tc>
          <w:tcPr>
            <w:tcW w:w="7610" w:type="dxa"/>
            <w:noWrap w:val="0"/>
            <w:vAlign w:val="top"/>
          </w:tcPr>
          <w:p w14:paraId="450E30A9">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6FB7839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退付意见：（是否同意退付履约保证金及退付金额）</w:t>
            </w:r>
          </w:p>
          <w:p w14:paraId="2BDEB2D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5866A763">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4B17532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3E93F957">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p w14:paraId="4EB08BE5">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r>
              <w:rPr>
                <w:rFonts w:hint="eastAsia" w:ascii="宋体" w:hAnsi="宋体" w:cs="宋体"/>
                <w:color w:val="auto"/>
                <w:sz w:val="24"/>
                <w:highlight w:val="none"/>
              </w:rPr>
              <w:t>联系人及电话：                         采购人签章</w:t>
            </w:r>
          </w:p>
          <w:p w14:paraId="3578824F">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tc>
      </w:tr>
      <w:tr w14:paraId="3B6661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25" w:hRule="atLeast"/>
        </w:trPr>
        <w:tc>
          <w:tcPr>
            <w:tcW w:w="1008" w:type="dxa"/>
            <w:noWrap w:val="0"/>
            <w:vAlign w:val="center"/>
          </w:tcPr>
          <w:p w14:paraId="2FD65AC7">
            <w:pPr>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ascii="宋体" w:hAnsi="宋体" w:cs="宋体"/>
                <w:color w:val="auto"/>
                <w:sz w:val="24"/>
                <w:highlight w:val="none"/>
              </w:rPr>
            </w:pPr>
            <w:r>
              <w:rPr>
                <w:rFonts w:hint="eastAsia" w:ascii="宋体" w:hAnsi="宋体" w:cs="宋体"/>
                <w:color w:val="auto"/>
                <w:sz w:val="24"/>
                <w:highlight w:val="none"/>
              </w:rPr>
              <w:t>备注</w:t>
            </w:r>
          </w:p>
        </w:tc>
        <w:tc>
          <w:tcPr>
            <w:tcW w:w="7610" w:type="dxa"/>
            <w:noWrap w:val="0"/>
            <w:vAlign w:val="top"/>
          </w:tcPr>
          <w:p w14:paraId="300D2B1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 w:val="24"/>
                <w:highlight w:val="none"/>
              </w:rPr>
            </w:pPr>
          </w:p>
        </w:tc>
      </w:tr>
    </w:tbl>
    <w:p w14:paraId="6022E321">
      <w:pPr>
        <w:pStyle w:val="15"/>
        <w:keepNext w:val="0"/>
        <w:keepLines w:val="0"/>
        <w:pageBreakBefore w:val="0"/>
        <w:widowControl w:val="0"/>
        <w:kinsoku/>
        <w:wordWrap/>
        <w:overflowPunct/>
        <w:topLinePunct w:val="0"/>
        <w:autoSpaceDE/>
        <w:autoSpaceDN/>
        <w:bidi w:val="0"/>
        <w:adjustRightInd/>
        <w:snapToGrid/>
        <w:spacing w:line="400" w:lineRule="exact"/>
        <w:ind w:left="450" w:leftChars="114" w:hanging="211" w:hangingChars="100"/>
        <w:textAlignment w:val="auto"/>
        <w:rPr>
          <w:rFonts w:hint="eastAsia" w:ascii="宋体" w:hAnsi="宋体" w:cs="宋体"/>
          <w:b/>
          <w:bCs/>
          <w:color w:val="auto"/>
          <w:szCs w:val="21"/>
          <w:highlight w:val="none"/>
        </w:rPr>
      </w:pPr>
      <w:r>
        <w:rPr>
          <w:rFonts w:hint="eastAsia" w:ascii="宋体" w:hAnsi="宋体" w:cs="宋体"/>
          <w:b/>
          <w:bCs/>
          <w:color w:val="auto"/>
          <w:szCs w:val="21"/>
          <w:highlight w:val="none"/>
        </w:rPr>
        <w:t>注：投标人凭经采购人审批的退付意见书到保证金收取单位办理履约保证金退付事宜。</w:t>
      </w:r>
    </w:p>
    <w:p w14:paraId="11C67D56">
      <w:pPr>
        <w:pStyle w:val="20"/>
        <w:snapToGrid w:val="0"/>
        <w:spacing w:before="120" w:after="120"/>
        <w:rPr>
          <w:rFonts w:hint="eastAsia" w:hAnsi="宋体" w:cs="宋体"/>
          <w:color w:val="auto"/>
          <w:highlight w:val="none"/>
        </w:rPr>
      </w:pPr>
    </w:p>
    <w:p w14:paraId="0669FA16">
      <w:pPr>
        <w:pStyle w:val="2"/>
        <w:spacing w:before="0" w:after="0" w:line="360" w:lineRule="auto"/>
        <w:jc w:val="center"/>
        <w:rPr>
          <w:rFonts w:hint="eastAsia" w:ascii="宋体" w:hAnsi="宋体" w:cs="宋体"/>
          <w:color w:val="auto"/>
          <w:highlight w:val="none"/>
        </w:rPr>
      </w:pPr>
      <w:bookmarkStart w:id="185" w:name="_Toc330456896"/>
      <w:bookmarkStart w:id="186" w:name="_Toc254970689"/>
      <w:bookmarkStart w:id="187" w:name="_Toc254970548"/>
      <w:bookmarkStart w:id="188" w:name="_Toc2178"/>
      <w:bookmarkStart w:id="189" w:name="_Toc13694"/>
      <w:bookmarkStart w:id="190" w:name="_Toc27431"/>
      <w:bookmarkStart w:id="191" w:name="_Toc15433"/>
      <w:r>
        <w:rPr>
          <w:rFonts w:hint="eastAsia" w:ascii="宋体" w:hAnsi="宋体" w:cs="宋体"/>
          <w:color w:val="auto"/>
          <w:highlight w:val="none"/>
        </w:rPr>
        <w:t>第四章  评标方法及评标标准</w:t>
      </w:r>
      <w:bookmarkEnd w:id="185"/>
      <w:bookmarkEnd w:id="186"/>
      <w:bookmarkEnd w:id="187"/>
      <w:bookmarkEnd w:id="188"/>
      <w:bookmarkEnd w:id="189"/>
      <w:bookmarkEnd w:id="190"/>
      <w:bookmarkEnd w:id="191"/>
    </w:p>
    <w:p w14:paraId="1F9E2691">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92" w:name="_Toc22273"/>
      <w:bookmarkStart w:id="193" w:name="_Toc23781"/>
      <w:bookmarkStart w:id="194" w:name="_Toc24470"/>
      <w:r>
        <w:rPr>
          <w:rFonts w:hint="eastAsia" w:ascii="宋体" w:hAnsi="宋体" w:eastAsia="宋体" w:cs="宋体"/>
          <w:color w:val="auto"/>
          <w:highlight w:val="none"/>
        </w:rPr>
        <w:t>一、评标方法</w:t>
      </w:r>
      <w:bookmarkEnd w:id="192"/>
      <w:bookmarkEnd w:id="193"/>
      <w:bookmarkEnd w:id="194"/>
    </w:p>
    <w:p w14:paraId="77D56828">
      <w:pPr>
        <w:pStyle w:val="20"/>
        <w:pageBreakBefore w:val="0"/>
        <w:kinsoku/>
        <w:wordWrap/>
        <w:overflowPunct/>
        <w:topLinePunct w:val="0"/>
        <w:autoSpaceDE/>
        <w:autoSpaceDN/>
        <w:bidi w:val="0"/>
        <w:spacing w:line="400" w:lineRule="exact"/>
        <w:ind w:firstLine="420"/>
        <w:textAlignment w:val="auto"/>
        <w:rPr>
          <w:rFonts w:hint="eastAsia" w:hAnsi="宋体" w:cs="宋体"/>
          <w:color w:val="auto"/>
          <w:highlight w:val="none"/>
        </w:rPr>
      </w:pPr>
      <w:r>
        <w:rPr>
          <w:rFonts w:hint="eastAsia" w:hAnsi="宋体" w:cs="宋体"/>
          <w:color w:val="auto"/>
          <w:highlight w:val="none"/>
        </w:rPr>
        <w:t>综合评分法，是指投标文件满足招标文件全部实质性要求，且按照评审因素的量化指标评审得分最高的投标人为中标候选人的评标方法。</w:t>
      </w:r>
    </w:p>
    <w:p w14:paraId="103A8F4B">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95" w:name="_Toc3353"/>
      <w:bookmarkStart w:id="196" w:name="_Toc29445"/>
      <w:bookmarkStart w:id="197" w:name="_Toc22313"/>
      <w:r>
        <w:rPr>
          <w:rFonts w:hint="eastAsia" w:ascii="宋体" w:hAnsi="宋体" w:eastAsia="宋体" w:cs="宋体"/>
          <w:color w:val="auto"/>
          <w:highlight w:val="none"/>
        </w:rPr>
        <w:t>二、评标程序</w:t>
      </w:r>
      <w:bookmarkEnd w:id="195"/>
      <w:bookmarkEnd w:id="196"/>
      <w:bookmarkEnd w:id="197"/>
    </w:p>
    <w:p w14:paraId="66EA3618">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1.符合性审查</w:t>
      </w:r>
    </w:p>
    <w:p w14:paraId="3F0C1BBC">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评标委员会应当对符合资格的投标人的投标文件进行投标报价、商务、技术等实质性内容符合性审查，以确定其是否满足招标文件的实质性要求。</w:t>
      </w:r>
    </w:p>
    <w:p w14:paraId="4462629E">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2.符合性审查不通过而导致投标无效的情形</w:t>
      </w:r>
    </w:p>
    <w:p w14:paraId="59D6591C">
      <w:pPr>
        <w:pageBreakBefore w:val="0"/>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投标人的投标文件中存在对招标文件的任何实质性要求和条件的负偏离，将被视为投标无效。</w:t>
      </w:r>
    </w:p>
    <w:p w14:paraId="21FA3C08">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2.1在报价评审时，如发现下列情形之一的，将被视为投标无效：</w:t>
      </w:r>
    </w:p>
    <w:p w14:paraId="089A2FF0">
      <w:pPr>
        <w:pStyle w:val="9"/>
        <w:pageBreakBefore w:val="0"/>
        <w:numPr>
          <w:ilvl w:val="0"/>
          <w:numId w:val="1"/>
        </w:numPr>
        <w:kinsoku/>
        <w:wordWrap/>
        <w:overflowPunct/>
        <w:topLinePunct w:val="0"/>
        <w:autoSpaceDE/>
        <w:autoSpaceDN/>
        <w:bidi w:val="0"/>
        <w:spacing w:line="400" w:lineRule="exact"/>
        <w:ind w:firstLine="398" w:firstLineChars="200"/>
        <w:textAlignment w:val="auto"/>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报价文件未提供“投标人须知前附表”第13条</w:t>
      </w:r>
      <w:r>
        <w:rPr>
          <w:rFonts w:hint="eastAsia" w:ascii="宋体" w:hAnsi="宋体" w:cs="宋体"/>
          <w:b/>
          <w:color w:val="auto"/>
          <w:szCs w:val="21"/>
          <w:highlight w:val="none"/>
        </w:rPr>
        <w:t>“报价文件”</w:t>
      </w:r>
      <w:r>
        <w:rPr>
          <w:rFonts w:hint="eastAsia" w:ascii="宋体" w:hAnsi="宋体" w:cs="宋体"/>
          <w:b/>
          <w:color w:val="auto"/>
          <w:spacing w:val="-6"/>
          <w:szCs w:val="21"/>
          <w:highlight w:val="none"/>
        </w:rPr>
        <w:t>规定中“必须提供”的文件资料的；</w:t>
      </w:r>
    </w:p>
    <w:p w14:paraId="35B546A4">
      <w:pPr>
        <w:pStyle w:val="9"/>
        <w:pageBreakBefore w:val="0"/>
        <w:numPr>
          <w:ilvl w:val="0"/>
          <w:numId w:val="1"/>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未采用人民币报价或者未按照招标文件标明的币种报价的；</w:t>
      </w:r>
    </w:p>
    <w:p w14:paraId="0FE94B22">
      <w:pPr>
        <w:pStyle w:val="9"/>
        <w:pageBreakBefore w:val="0"/>
        <w:numPr>
          <w:ilvl w:val="0"/>
          <w:numId w:val="1"/>
        </w:numPr>
        <w:kinsoku/>
        <w:wordWrap/>
        <w:overflowPunct/>
        <w:topLinePunct w:val="0"/>
        <w:autoSpaceDE/>
        <w:autoSpaceDN/>
        <w:bidi w:val="0"/>
        <w:spacing w:line="400" w:lineRule="exact"/>
        <w:ind w:firstLine="422"/>
        <w:textAlignment w:val="auto"/>
        <w:rPr>
          <w:rFonts w:hint="eastAsia" w:ascii="宋体" w:hAnsi="宋体" w:cs="宋体"/>
          <w:b/>
          <w:color w:val="auto"/>
          <w:spacing w:val="-6"/>
          <w:szCs w:val="21"/>
          <w:highlight w:val="none"/>
        </w:rPr>
      </w:pPr>
      <w:r>
        <w:rPr>
          <w:rFonts w:hint="eastAsia" w:ascii="宋体" w:hAnsi="宋体" w:cs="宋体"/>
          <w:b/>
          <w:color w:val="auto"/>
          <w:spacing w:val="-6"/>
          <w:szCs w:val="21"/>
          <w:highlight w:val="none"/>
        </w:rPr>
        <w:t>各分标报价超出招标文件相应分标规定最高限价，或者超出相应分标采购预算金额的；</w:t>
      </w:r>
    </w:p>
    <w:p w14:paraId="5A537695">
      <w:pPr>
        <w:pStyle w:val="9"/>
        <w:pageBreakBefore w:val="0"/>
        <w:numPr>
          <w:ilvl w:val="0"/>
          <w:numId w:val="1"/>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未就所投分标进行报价或者存在漏项报价；投标人未就所投分标的单项内容作唯一报价；投标人未就所投分标的全部内容作完整唯一总价报价；存在有选择、有条件报价的（招标文件允许有备选方案或者其他约定的除外）；</w:t>
      </w:r>
    </w:p>
    <w:p w14:paraId="2CEF46B4">
      <w:pPr>
        <w:pStyle w:val="9"/>
        <w:pageBreakBefore w:val="0"/>
        <w:numPr>
          <w:ilvl w:val="0"/>
          <w:numId w:val="1"/>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修正后的报价，投标人不确认的；</w:t>
      </w:r>
    </w:p>
    <w:p w14:paraId="49375A9A">
      <w:pPr>
        <w:pStyle w:val="9"/>
        <w:pageBreakBefore w:val="0"/>
        <w:numPr>
          <w:ilvl w:val="0"/>
          <w:numId w:val="1"/>
        </w:numPr>
        <w:kinsoku/>
        <w:wordWrap/>
        <w:overflowPunct/>
        <w:topLinePunct w:val="0"/>
        <w:autoSpaceDE/>
        <w:autoSpaceDN/>
        <w:bidi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投标人属于本章第5.1条（2）项情形的。</w:t>
      </w:r>
    </w:p>
    <w:p w14:paraId="7F2AAE4A">
      <w:pPr>
        <w:pStyle w:val="9"/>
        <w:pageBreakBefore w:val="0"/>
        <w:numPr>
          <w:ilvl w:val="0"/>
          <w:numId w:val="1"/>
        </w:numPr>
        <w:kinsoku/>
        <w:wordWrap/>
        <w:overflowPunct/>
        <w:topLinePunct w:val="0"/>
        <w:autoSpaceDE/>
        <w:autoSpaceDN/>
        <w:bidi w:val="0"/>
        <w:spacing w:line="400" w:lineRule="exact"/>
        <w:ind w:firstLine="398" w:firstLineChars="200"/>
        <w:textAlignment w:val="auto"/>
        <w:rPr>
          <w:rFonts w:hint="eastAsia" w:ascii="宋体" w:hAnsi="宋体" w:cs="宋体"/>
          <w:b/>
          <w:color w:val="auto"/>
          <w:szCs w:val="21"/>
          <w:highlight w:val="none"/>
        </w:rPr>
      </w:pPr>
      <w:r>
        <w:rPr>
          <w:rFonts w:hint="eastAsia" w:ascii="宋体" w:hAnsi="宋体" w:cs="宋体"/>
          <w:b/>
          <w:color w:val="auto"/>
          <w:spacing w:val="-6"/>
          <w:szCs w:val="21"/>
          <w:highlight w:val="none"/>
        </w:rPr>
        <w:t>报价文件</w:t>
      </w:r>
      <w:r>
        <w:rPr>
          <w:rFonts w:hint="eastAsia" w:ascii="宋体" w:hAnsi="宋体" w:cs="宋体"/>
          <w:b/>
          <w:color w:val="auto"/>
          <w:szCs w:val="21"/>
          <w:highlight w:val="none"/>
        </w:rPr>
        <w:t>响应的标的数量及单位与招标文件要求实质性不一致的。</w:t>
      </w:r>
    </w:p>
    <w:p w14:paraId="0A7546A5">
      <w:pPr>
        <w:pageBreakBefore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2.2在商务评审时，如发现下列情形之一的，将被视为投标无效：</w:t>
      </w:r>
    </w:p>
    <w:p w14:paraId="49E04ED7">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投标文件未按招标文件要求签署、盖章的；</w:t>
      </w:r>
    </w:p>
    <w:p w14:paraId="04AAB232">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 xml:space="preserve">委托代理人未能出具有效身份证或者出具的身份证与授权委托书中的信息不符的； </w:t>
      </w:r>
    </w:p>
    <w:p w14:paraId="38F0152F">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为无效投标保证金的或者未按照招标文件的规定提交投标保证金的；</w:t>
      </w:r>
    </w:p>
    <w:p w14:paraId="153BD490">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投标文件未提供“投标人须知前附表”第13.1条规定中“必须提供”或者“委托时必须提供”的文件资料的；</w:t>
      </w:r>
    </w:p>
    <w:p w14:paraId="63804477">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商务要求评审允许负偏离的条款数超过“投标人须知前附表”规定项数的；</w:t>
      </w:r>
    </w:p>
    <w:p w14:paraId="57D248C0">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投标文件的实质性内容未使用中文表述、使用计量单位不符合招标文件要求的；</w:t>
      </w:r>
    </w:p>
    <w:p w14:paraId="1E28FCCC">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投标文件中的文件资料因填写不齐全或者内容虚假或者出现其他情形而导致被评标委员会认定无效的；</w:t>
      </w:r>
    </w:p>
    <w:p w14:paraId="7CE06BCE">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投标文件含有采购人不能接受的附加条件的；</w:t>
      </w:r>
    </w:p>
    <w:p w14:paraId="6D5B7E95">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属于投标人须知正文第9.2条情形的；</w:t>
      </w:r>
    </w:p>
    <w:p w14:paraId="31967728">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投标文件标注的项目名称或者项目编号与招标文件标注的项目名称或者项目编号不一致的；</w:t>
      </w:r>
    </w:p>
    <w:p w14:paraId="33625DD7">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招标文件明确不允许分包，投标文件拟分包的；</w:t>
      </w:r>
    </w:p>
    <w:p w14:paraId="324A154E">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rPr>
        <w:t>未响应招标文件实质性要求的；</w:t>
      </w:r>
    </w:p>
    <w:p w14:paraId="1F789D12">
      <w:pPr>
        <w:pageBreakBefore w:val="0"/>
        <w:numPr>
          <w:ilvl w:val="0"/>
          <w:numId w:val="2"/>
        </w:numPr>
        <w:kinsoku/>
        <w:wordWrap/>
        <w:overflowPunct/>
        <w:topLinePunct w:val="0"/>
        <w:autoSpaceDE/>
        <w:autoSpaceDN/>
        <w:bidi w:val="0"/>
        <w:snapToGrid w:val="0"/>
        <w:spacing w:line="400" w:lineRule="exact"/>
        <w:ind w:firstLine="422" w:firstLineChars="200"/>
        <w:textAlignment w:val="auto"/>
        <w:rPr>
          <w:rFonts w:hint="eastAsia" w:ascii="宋体" w:hAnsi="宋体" w:cs="宋体"/>
          <w:b/>
          <w:color w:val="auto"/>
          <w:szCs w:val="21"/>
          <w:highlight w:val="none"/>
        </w:rPr>
      </w:pPr>
      <w:r>
        <w:rPr>
          <w:rFonts w:hint="eastAsia" w:ascii="宋体" w:hAnsi="宋体" w:cs="宋体"/>
          <w:b/>
          <w:color w:val="auto"/>
          <w:szCs w:val="21"/>
          <w:highlight w:val="none"/>
          <w:lang w:eastAsia="zh-CN"/>
        </w:rPr>
        <w:t>法律法规</w:t>
      </w:r>
      <w:r>
        <w:rPr>
          <w:rFonts w:hint="eastAsia" w:ascii="宋体" w:hAnsi="宋体" w:cs="宋体"/>
          <w:b/>
          <w:color w:val="auto"/>
          <w:szCs w:val="21"/>
          <w:highlight w:val="none"/>
        </w:rPr>
        <w:t>和招标文件规定的其他无效情形。</w:t>
      </w:r>
    </w:p>
    <w:p w14:paraId="4A070272">
      <w:pPr>
        <w:pageBreakBefore w:val="0"/>
        <w:kinsoku/>
        <w:wordWrap/>
        <w:overflowPunct/>
        <w:topLinePunct w:val="0"/>
        <w:autoSpaceDE/>
        <w:autoSpaceDN/>
        <w:bidi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2.3在技术评审时，如发现下列情形之一的，将被视为投标无效：</w:t>
      </w:r>
    </w:p>
    <w:p w14:paraId="47523710">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（1）技术要求评审允许负偏离的条款数超过“投标人须知前附表”规定项数的；</w:t>
      </w:r>
    </w:p>
    <w:p w14:paraId="182E189D">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（2）投标文件未提供“投标人须知前附表”第13.1条规定中“必须提供”的文件资料的；</w:t>
      </w:r>
    </w:p>
    <w:p w14:paraId="455AFFAA">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（3）虚假投标，或者出现其他情形而导致被评标委员会认定无效的；</w:t>
      </w:r>
    </w:p>
    <w:p w14:paraId="2F5A2EBD">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（4）</w:t>
      </w:r>
      <w:bookmarkStart w:id="198" w:name="_Hlk71706244"/>
      <w:r>
        <w:rPr>
          <w:rFonts w:hint="eastAsia" w:hAnsi="宋体" w:cs="宋体"/>
          <w:b/>
          <w:color w:val="auto"/>
          <w:sz w:val="21"/>
          <w:szCs w:val="21"/>
          <w:highlight w:val="none"/>
        </w:rPr>
        <w:t>招标文件未载明允许提供备选（替代）投标方案或明确不允许提供备选（替代）投标方案时，投标人提供了备选（替代）投标方案的；</w:t>
      </w:r>
      <w:bookmarkEnd w:id="198"/>
    </w:p>
    <w:p w14:paraId="55AF93F1">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color w:val="auto"/>
          <w:highlight w:val="none"/>
        </w:rPr>
      </w:pPr>
      <w:r>
        <w:rPr>
          <w:rFonts w:hint="eastAsia" w:hAnsi="宋体" w:cs="宋体"/>
          <w:b/>
          <w:color w:val="auto"/>
          <w:sz w:val="21"/>
          <w:szCs w:val="21"/>
          <w:highlight w:val="none"/>
        </w:rPr>
        <w:t>（5）未响应招标文件实质性要求的。</w:t>
      </w:r>
    </w:p>
    <w:p w14:paraId="62951C9C">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2.4其他投标无效的情形：</w:t>
      </w:r>
    </w:p>
    <w:p w14:paraId="5256DEBF">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（1）投标文件未按招标文件要求签署或CA电子签章的；</w:t>
      </w:r>
    </w:p>
    <w:p w14:paraId="4E5AFF0E">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（2）投标人提交两份或两份以上内容不同的投标文件；</w:t>
      </w:r>
    </w:p>
    <w:p w14:paraId="5E60ADE2">
      <w:pPr>
        <w:pStyle w:val="16"/>
        <w:pageBreakBefore w:val="0"/>
        <w:kinsoku/>
        <w:wordWrap/>
        <w:overflowPunct/>
        <w:topLinePunct w:val="0"/>
        <w:autoSpaceDE/>
        <w:autoSpaceDN/>
        <w:bidi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（3）投标人在线制作投标文件时填写的报价金额与解密后“电子加密投标文件”中《开标一览表》填写的金额不一致并拒绝按招标文件要求接受调整的；</w:t>
      </w:r>
    </w:p>
    <w:p w14:paraId="4EF2D523">
      <w:pPr>
        <w:pStyle w:val="16"/>
        <w:pageBreakBefore w:val="0"/>
        <w:kinsoku/>
        <w:wordWrap/>
        <w:overflowPunct/>
        <w:topLinePunct w:val="0"/>
        <w:autoSpaceDE/>
        <w:autoSpaceDN/>
        <w:bidi w:val="0"/>
        <w:snapToGrid w:val="0"/>
        <w:spacing w:line="400" w:lineRule="exact"/>
        <w:ind w:firstLine="398" w:firstLineChars="196"/>
        <w:textAlignment w:val="auto"/>
        <w:rPr>
          <w:rFonts w:hint="eastAsia" w:hAnsi="宋体" w:cs="宋体"/>
          <w:b/>
          <w:color w:val="auto"/>
          <w:sz w:val="21"/>
          <w:szCs w:val="21"/>
          <w:highlight w:val="none"/>
        </w:rPr>
      </w:pPr>
      <w:r>
        <w:rPr>
          <w:rFonts w:hint="eastAsia" w:hAnsi="宋体" w:cs="宋体"/>
          <w:b/>
          <w:color w:val="auto"/>
          <w:sz w:val="21"/>
          <w:szCs w:val="21"/>
          <w:highlight w:val="none"/>
        </w:rPr>
        <w:t>（4）</w:t>
      </w:r>
      <w:r>
        <w:rPr>
          <w:rFonts w:hint="eastAsia" w:hAnsi="宋体" w:cs="宋体"/>
          <w:b/>
          <w:color w:val="auto"/>
          <w:sz w:val="21"/>
          <w:szCs w:val="21"/>
          <w:highlight w:val="none"/>
          <w:lang w:eastAsia="zh-CN"/>
        </w:rPr>
        <w:t>法律法规</w:t>
      </w:r>
      <w:r>
        <w:rPr>
          <w:rFonts w:hint="eastAsia" w:hAnsi="宋体" w:cs="宋体"/>
          <w:b/>
          <w:color w:val="auto"/>
          <w:sz w:val="21"/>
          <w:szCs w:val="21"/>
          <w:highlight w:val="none"/>
        </w:rPr>
        <w:t>和招标文件规定的其他无效情形（或出现重大偏差）。</w:t>
      </w:r>
    </w:p>
    <w:p w14:paraId="6FC02AB8">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3.澄清补正</w:t>
      </w:r>
    </w:p>
    <w:p w14:paraId="1EF76894">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b/>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应在广西政府采购云平台发布电子澄清函，要求投标人在规定时间内作出必要的澄清、说明或者补正。投标人在广西政府采购云平台接收到电子澄清函后根据澄清函内容上传PDF格式回函，电子澄清答复函使用CA证书加盖投标人电子签章后在线上传至评标委员会。投标人的澄清、说明或者补正不得超出投标文件的范围或者改变投标文件的实质性内容。</w:t>
      </w:r>
    </w:p>
    <w:p w14:paraId="479350FC">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异常情况处理：如遇无法正常使用线上发送澄清函的情况，将启动书面形式办理。启动书面形式办理的情况下，评标委员会以书面形式要求投标人在规定时间内作出必要的澄清、说明或者补正。投标人的澄清、说明或者补正必须采用书面形式，并加盖公章，或者由法定代表人或者其授权的代表签字。</w:t>
      </w:r>
    </w:p>
    <w:p w14:paraId="3085ECC9">
      <w:pPr>
        <w:pageBreakBefore w:val="0"/>
        <w:kinsoku/>
        <w:wordWrap/>
        <w:overflowPunct/>
        <w:topLinePunct w:val="0"/>
        <w:autoSpaceDE/>
        <w:autoSpaceDN/>
        <w:bidi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未按评标委员会的要求作出明确澄清、说明或者更正的投标人的投标文件将按照有利于采购人的原则由评标委员会进行判定。</w:t>
      </w:r>
    </w:p>
    <w:p w14:paraId="730A694F">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4.投标文件修正</w:t>
      </w:r>
    </w:p>
    <w:p w14:paraId="7CC99376">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4.1投标文件报价出现前后不一致的，按照下列规定修正：</w:t>
      </w:r>
    </w:p>
    <w:p w14:paraId="129A874C">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（1）投标文件中开标一览表（报价表）内容与投标文件中相应内容不一致的，以开标一览表（报价表）为准；</w:t>
      </w:r>
    </w:p>
    <w:p w14:paraId="5483D028">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（2）大写金额和小写金额不一致的，以大写金额为准；</w:t>
      </w:r>
    </w:p>
    <w:p w14:paraId="057B4275">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（3）单价金额小数点或者百分比有明显错位的，以开标一览表的总价为准，并修改单价；</w:t>
      </w:r>
    </w:p>
    <w:p w14:paraId="0F6C9413">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（4）总价金额与按单价汇总金额不一致的，以单价金额计算结果为准。</w:t>
      </w:r>
    </w:p>
    <w:p w14:paraId="607D6378">
      <w:pPr>
        <w:pStyle w:val="20"/>
        <w:pageBreakBefore w:val="0"/>
        <w:kinsoku/>
        <w:wordWrap/>
        <w:overflowPunct/>
        <w:topLinePunct w:val="0"/>
        <w:autoSpaceDE/>
        <w:autoSpaceDN/>
        <w:bidi w:val="0"/>
        <w:snapToGrid w:val="0"/>
        <w:spacing w:line="400" w:lineRule="exact"/>
        <w:ind w:firstLine="420" w:firstLineChars="200"/>
        <w:textAlignment w:val="auto"/>
        <w:rPr>
          <w:rFonts w:hint="eastAsia" w:hAnsi="宋体" w:cs="宋体"/>
          <w:color w:val="auto"/>
          <w:highlight w:val="none"/>
        </w:rPr>
      </w:pPr>
      <w:r>
        <w:rPr>
          <w:rFonts w:hint="eastAsia" w:hAnsi="宋体" w:cs="宋体"/>
          <w:color w:val="auto"/>
          <w:highlight w:val="none"/>
        </w:rPr>
        <w:t>同时出现两种以上不一致的，按照以上（1）</w:t>
      </w:r>
      <w:r>
        <w:rPr>
          <w:rFonts w:hint="eastAsia" w:hAnsi="宋体" w:cs="宋体"/>
          <w:color w:val="auto"/>
          <w:highlight w:val="none"/>
          <w:lang w:eastAsia="zh-CN"/>
        </w:rPr>
        <w:t>－</w:t>
      </w:r>
      <w:r>
        <w:rPr>
          <w:rFonts w:hint="eastAsia" w:hAnsi="宋体" w:cs="宋体"/>
          <w:color w:val="auto"/>
          <w:highlight w:val="none"/>
        </w:rPr>
        <w:t>（4）规定的顺序修正。修正后的报价经投标人确认后产生约束力，投标人不确认的，</w:t>
      </w:r>
      <w:r>
        <w:rPr>
          <w:rFonts w:hint="eastAsia" w:hAnsi="宋体" w:cs="宋体"/>
          <w:b/>
          <w:color w:val="auto"/>
          <w:highlight w:val="none"/>
        </w:rPr>
        <w:t>其投标无效</w:t>
      </w:r>
      <w:r>
        <w:rPr>
          <w:rFonts w:hint="eastAsia" w:hAnsi="宋体" w:cs="宋体"/>
          <w:color w:val="auto"/>
          <w:highlight w:val="none"/>
        </w:rPr>
        <w:t>。</w:t>
      </w:r>
    </w:p>
    <w:p w14:paraId="2C487F21">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4.2经投标人确认修正后的报价若超过采购预算金额或者最高限价，</w:t>
      </w:r>
      <w:r>
        <w:rPr>
          <w:rFonts w:hint="eastAsia" w:ascii="宋体" w:hAnsi="宋体" w:cs="宋体"/>
          <w:b/>
          <w:color w:val="auto"/>
          <w:szCs w:val="21"/>
          <w:highlight w:val="none"/>
        </w:rPr>
        <w:t>投标人的投标文件作无效投标处理</w:t>
      </w:r>
      <w:r>
        <w:rPr>
          <w:rFonts w:hint="eastAsia" w:ascii="宋体" w:hAnsi="宋体" w:cs="宋体"/>
          <w:color w:val="auto"/>
          <w:szCs w:val="21"/>
          <w:highlight w:val="none"/>
        </w:rPr>
        <w:t>。</w:t>
      </w:r>
    </w:p>
    <w:p w14:paraId="4006EC3F">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4.3经投标人确认修正后的报价作为签订合同的依据，并以此报价计算价格分。</w:t>
      </w:r>
    </w:p>
    <w:p w14:paraId="38855C48">
      <w:pPr>
        <w:pStyle w:val="20"/>
        <w:pageBreakBefore w:val="0"/>
        <w:kinsoku/>
        <w:wordWrap/>
        <w:overflowPunct/>
        <w:topLinePunct w:val="0"/>
        <w:autoSpaceDE/>
        <w:autoSpaceDN/>
        <w:bidi w:val="0"/>
        <w:snapToGrid w:val="0"/>
        <w:spacing w:line="400" w:lineRule="exact"/>
        <w:ind w:firstLine="420"/>
        <w:textAlignment w:val="auto"/>
        <w:rPr>
          <w:rFonts w:hint="eastAsia" w:hAnsi="宋体" w:cs="宋体"/>
          <w:b/>
          <w:color w:val="auto"/>
          <w:highlight w:val="none"/>
        </w:rPr>
      </w:pPr>
      <w:r>
        <w:rPr>
          <w:rFonts w:hint="eastAsia" w:hAnsi="宋体" w:cs="宋体"/>
          <w:b/>
          <w:color w:val="auto"/>
          <w:highlight w:val="none"/>
        </w:rPr>
        <w:t>5.比较与评价</w:t>
      </w:r>
    </w:p>
    <w:p w14:paraId="0F36D544">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5.1采用综合评分法的</w:t>
      </w:r>
    </w:p>
    <w:p w14:paraId="4DD3C85C">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（1）评标委员会按照招标文件中规定的评标方法及评标标准，对符合性审查合格的投标文件进行商务和技术评估，综合比较与评价。</w:t>
      </w:r>
    </w:p>
    <w:p w14:paraId="20D9CCE5">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（2）评标委员会独立对每个投标人的投标文件进行评价，并汇总每个投标人的得分。</w:t>
      </w:r>
    </w:p>
    <w:p w14:paraId="23050E7E">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（3）评标委员会按照招标文件中规定的评标方法和标准计算各投标人的报价得分。在计算过程中，不得去掉最高报价或者最低报价。</w:t>
      </w:r>
    </w:p>
    <w:p w14:paraId="6432C697">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（4）各投标人的得分为所有评委的有效评分的算术平均数。</w:t>
      </w:r>
    </w:p>
    <w:p w14:paraId="7063DBA4">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（5）评标委员会按照招标文件中的规定推荐中标候选人。</w:t>
      </w:r>
    </w:p>
    <w:p w14:paraId="54779001">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w:t>
      </w:r>
      <w:r>
        <w:rPr>
          <w:rFonts w:hint="eastAsia" w:ascii="宋体" w:hAnsi="宋体" w:cs="宋体"/>
          <w:color w:val="auto"/>
          <w:szCs w:val="21"/>
          <w:highlight w:val="none"/>
          <w:lang w:eastAsia="zh-CN"/>
        </w:rPr>
        <w:t>作出</w:t>
      </w:r>
      <w:r>
        <w:rPr>
          <w:rFonts w:hint="eastAsia" w:ascii="宋体" w:hAnsi="宋体" w:cs="宋体"/>
          <w:color w:val="auto"/>
          <w:szCs w:val="21"/>
          <w:highlight w:val="none"/>
        </w:rPr>
        <w:t>结论。持不同意见的评标委员会成员应当在评标报告上签署不同意见及理由，否则视为同意评标报告。</w:t>
      </w:r>
    </w:p>
    <w:p w14:paraId="2A4E51AA">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lang w:val="en-US" w:eastAsia="zh-CN"/>
        </w:rPr>
      </w:pPr>
      <w:r>
        <w:rPr>
          <w:rFonts w:hint="eastAsia" w:ascii="宋体" w:hAnsi="宋体" w:eastAsia="宋体" w:cs="宋体"/>
          <w:color w:val="auto"/>
          <w:szCs w:val="21"/>
          <w:highlight w:val="none"/>
          <w:lang w:val="en-US" w:eastAsia="zh-CN"/>
        </w:rPr>
        <w:t xml:space="preserve">6.异常低价审查 </w:t>
      </w:r>
    </w:p>
    <w:p w14:paraId="1AF6DCF8">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6.1</w:t>
      </w:r>
      <w:r>
        <w:rPr>
          <w:rFonts w:hint="eastAsia" w:ascii="宋体" w:hAnsi="宋体" w:eastAsia="宋体" w:cs="宋体"/>
          <w:color w:val="auto"/>
          <w:szCs w:val="21"/>
          <w:highlight w:val="none"/>
        </w:rPr>
        <w:t>依据规定</w:t>
      </w:r>
      <w:r>
        <w:rPr>
          <w:rFonts w:hint="eastAsia" w:ascii="宋体" w:hAnsi="宋体" w:eastAsia="宋体" w:cs="宋体"/>
          <w:color w:val="auto"/>
          <w:szCs w:val="21"/>
          <w:highlight w:val="none"/>
        </w:rPr>
        <w:fldChar w:fldCharType="begin"/>
      </w:r>
      <w:r>
        <w:rPr>
          <w:rFonts w:hint="eastAsia" w:ascii="宋体" w:hAnsi="宋体" w:eastAsia="宋体" w:cs="宋体"/>
          <w:color w:val="auto"/>
          <w:szCs w:val="21"/>
          <w:highlight w:val="none"/>
        </w:rPr>
        <w:instrText xml:space="preserve"> HYPERLINK "http://www.ccgp.gov.cn/news/202601/t20260122_26102509.htm" \t "_blank" \o "附件链接：《财政部关于推动解决政府采购异常低价问题的通知》（财库〔2026〕2号）" </w:instrText>
      </w:r>
      <w:r>
        <w:rPr>
          <w:rFonts w:hint="eastAsia" w:ascii="宋体" w:hAnsi="宋体" w:eastAsia="宋体" w:cs="宋体"/>
          <w:color w:val="auto"/>
          <w:szCs w:val="21"/>
          <w:highlight w:val="none"/>
        </w:rPr>
        <w:fldChar w:fldCharType="separate"/>
      </w:r>
      <w:r>
        <w:rPr>
          <w:rFonts w:hint="eastAsia" w:ascii="宋体" w:hAnsi="宋体" w:eastAsia="宋体" w:cs="宋体"/>
          <w:color w:val="auto"/>
          <w:szCs w:val="21"/>
          <w:highlight w:val="none"/>
        </w:rPr>
        <w:t>《财政部关于推动解决政府采购异常低价问题的通知》（财库〔2026〕2号）</w:t>
      </w:r>
      <w:r>
        <w:rPr>
          <w:rFonts w:hint="eastAsia" w:ascii="宋体" w:hAnsi="宋体" w:eastAsia="宋体" w:cs="宋体"/>
          <w:color w:val="auto"/>
          <w:szCs w:val="21"/>
          <w:highlight w:val="none"/>
        </w:rPr>
        <w:fldChar w:fldCharType="end"/>
      </w:r>
      <w:r>
        <w:rPr>
          <w:rFonts w:hint="eastAsia" w:ascii="宋体" w:hAnsi="宋体" w:eastAsia="宋体" w:cs="宋体"/>
          <w:color w:val="auto"/>
          <w:szCs w:val="21"/>
          <w:highlight w:val="none"/>
        </w:rPr>
        <w:t>规定，政府采购评审中出现以下异常低价情形，评标委员会应当启动异常低价投标审查程序：</w:t>
      </w:r>
    </w:p>
    <w:p w14:paraId="105E2646">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（1）投标报价低于全部通过符合性审查供应商投标）报价平均值</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65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w:t>
      </w:r>
    </w:p>
    <w:p w14:paraId="0E7B6661">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（2）投标报价低于通过符合性审查的次低报价供应商投标报价</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65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w:t>
      </w:r>
    </w:p>
    <w:p w14:paraId="51F61B3F">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（3）投标报价低于采购项目最高限价</w:t>
      </w:r>
      <w:r>
        <w:rPr>
          <w:rFonts w:hint="eastAsia" w:ascii="宋体" w:hAnsi="宋体" w:eastAsia="宋体" w:cs="宋体"/>
          <w:color w:val="auto"/>
          <w:szCs w:val="21"/>
          <w:highlight w:val="none"/>
          <w:u w:val="single"/>
        </w:rPr>
        <w:t> </w:t>
      </w:r>
      <w:r>
        <w:rPr>
          <w:rFonts w:hint="eastAsia" w:ascii="宋体" w:hAnsi="宋体" w:cs="宋体"/>
          <w:color w:val="auto"/>
          <w:szCs w:val="21"/>
          <w:highlight w:val="none"/>
          <w:u w:val="single"/>
          <w:lang w:val="en-US" w:eastAsia="zh-CN"/>
        </w:rPr>
        <w:t>65</w:t>
      </w:r>
      <w:r>
        <w:rPr>
          <w:rFonts w:hint="eastAsia" w:ascii="宋体" w:hAnsi="宋体" w:eastAsia="宋体" w:cs="宋体"/>
          <w:color w:val="auto"/>
          <w:szCs w:val="21"/>
          <w:highlight w:val="none"/>
          <w:u w:val="single"/>
          <w:lang w:val="en-US" w:eastAsia="zh-CN"/>
        </w:rPr>
        <w:t xml:space="preserve">   </w:t>
      </w:r>
      <w:r>
        <w:rPr>
          <w:rFonts w:hint="eastAsia" w:ascii="宋体" w:hAnsi="宋体" w:eastAsia="宋体" w:cs="宋体"/>
          <w:color w:val="auto"/>
          <w:szCs w:val="21"/>
          <w:highlight w:val="none"/>
        </w:rPr>
        <w:t>％的；</w:t>
      </w:r>
    </w:p>
    <w:p w14:paraId="05BAB7D8">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（4）评标委员会基于专业判断，认为供应商报价过低，有可能影响产品质量或者不能诚信履约的其他情形。相关法律法规对供应商报价有规定的，从其规定。</w:t>
      </w:r>
    </w:p>
    <w:p w14:paraId="23676580">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（5）相关法律法规对供应商报价有规定的，从其规定。</w:t>
      </w:r>
    </w:p>
    <w:p w14:paraId="67F9AF87">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lang w:val="en-US" w:eastAsia="zh-CN"/>
        </w:rPr>
        <w:t>6.2</w:t>
      </w:r>
      <w:r>
        <w:rPr>
          <w:rFonts w:hint="eastAsia" w:ascii="宋体" w:hAnsi="宋体" w:eastAsia="宋体" w:cs="宋体"/>
          <w:color w:val="auto"/>
          <w:szCs w:val="21"/>
          <w:highlight w:val="none"/>
        </w:rPr>
        <w:t>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0AC66EE3">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w:t>
      </w:r>
    </w:p>
    <w:p w14:paraId="47F56B11">
      <w:pPr>
        <w:pageBreakBefore w:val="0"/>
        <w:kinsoku/>
        <w:wordWrap/>
        <w:overflowPunct/>
        <w:topLinePunct w:val="0"/>
        <w:autoSpaceDE/>
        <w:autoSpaceDN/>
        <w:bidi w:val="0"/>
        <w:snapToGrid w:val="0"/>
        <w:spacing w:line="400" w:lineRule="exact"/>
        <w:ind w:firstLine="420" w:firstLineChars="200"/>
        <w:textAlignment w:val="auto"/>
        <w:rPr>
          <w:rFonts w:hint="eastAsia" w:ascii="宋体" w:hAnsi="宋体" w:eastAsia="宋体" w:cs="宋体"/>
          <w:color w:val="auto"/>
          <w:szCs w:val="21"/>
          <w:highlight w:val="none"/>
        </w:rPr>
      </w:pPr>
      <w:r>
        <w:rPr>
          <w:rFonts w:hint="eastAsia" w:ascii="宋体" w:hAnsi="宋体" w:eastAsia="宋体" w:cs="宋体"/>
          <w:color w:val="auto"/>
          <w:szCs w:val="21"/>
          <w:highlight w:val="none"/>
        </w:rPr>
        <w:t>评审组织</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采购人、采购代理机构应当为评审委员会在评审现场及时获取同类项目中标</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成交</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价格、类似产品市场价格水平、行业人工费用标准、国家有关部门指导行业协会发布的行业平均成本等相关信息资料提供便利。评审委员会借助互联网等渠道查询相关信息的，应当严格遵守评审工作纪律，不得实施影响评审公正的行为。</w:t>
      </w:r>
    </w:p>
    <w:p w14:paraId="44EE3E15">
      <w:pPr>
        <w:pageBreakBefore w:val="0"/>
        <w:kinsoku/>
        <w:wordWrap/>
        <w:overflowPunct/>
        <w:topLinePunct w:val="0"/>
        <w:autoSpaceDE/>
        <w:autoSpaceDN/>
        <w:bidi w:val="0"/>
        <w:snapToGrid w:val="0"/>
        <w:spacing w:line="400" w:lineRule="exact"/>
        <w:ind w:firstLine="420" w:firstLineChars="200"/>
        <w:textAlignment w:val="auto"/>
        <w:rPr>
          <w:rFonts w:hint="default" w:ascii="宋体" w:hAnsi="宋体" w:eastAsia="宋体" w:cs="宋体"/>
          <w:color w:val="auto"/>
          <w:szCs w:val="21"/>
          <w:highlight w:val="none"/>
          <w:lang w:val="en-US" w:eastAsia="zh-CN"/>
        </w:rPr>
      </w:pPr>
      <w:r>
        <w:rPr>
          <w:rFonts w:hint="eastAsia" w:ascii="宋体" w:hAnsi="宋体" w:eastAsia="宋体" w:cs="宋体"/>
          <w:color w:val="auto"/>
          <w:szCs w:val="21"/>
          <w:highlight w:val="none"/>
        </w:rPr>
        <w:t>记录及归档</w:t>
      </w:r>
      <w:r>
        <w:rPr>
          <w:rFonts w:hint="eastAsia" w:ascii="宋体" w:hAnsi="宋体" w:cs="宋体"/>
          <w:color w:val="auto"/>
          <w:szCs w:val="21"/>
          <w:highlight w:val="none"/>
          <w:lang w:eastAsia="zh-CN"/>
        </w:rPr>
        <w:t>：</w:t>
      </w:r>
      <w:r>
        <w:rPr>
          <w:rFonts w:hint="eastAsia" w:ascii="宋体" w:hAnsi="宋体" w:eastAsia="宋体" w:cs="宋体"/>
          <w:color w:val="auto"/>
          <w:szCs w:val="21"/>
          <w:highlight w:val="none"/>
        </w:rPr>
        <w:t>异常低价投标审查的启动原因、审查意见和审查结果应当在评审报告中记录，并随供应商提供的相关书面说明及证明材料，以及评审委员会有关互联网浏览、查询历史一并归档。</w:t>
      </w:r>
    </w:p>
    <w:p w14:paraId="1BB35FC1">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199" w:name="_Toc4705"/>
      <w:bookmarkStart w:id="200" w:name="_Toc23759"/>
      <w:bookmarkStart w:id="201" w:name="_Toc5924"/>
      <w:r>
        <w:rPr>
          <w:rFonts w:hint="eastAsia" w:ascii="宋体" w:hAnsi="宋体" w:eastAsia="宋体" w:cs="宋体"/>
          <w:color w:val="auto"/>
          <w:highlight w:val="none"/>
        </w:rPr>
        <w:t>三、评标标准</w:t>
      </w:r>
      <w:bookmarkEnd w:id="199"/>
      <w:bookmarkEnd w:id="200"/>
      <w:bookmarkEnd w:id="201"/>
    </w:p>
    <w:p w14:paraId="6CD8A73E">
      <w:pPr>
        <w:pageBreakBefore w:val="0"/>
        <w:widowControl/>
        <w:kinsoku/>
        <w:wordWrap/>
        <w:overflowPunct/>
        <w:topLinePunct w:val="0"/>
        <w:autoSpaceDE/>
        <w:autoSpaceDN/>
        <w:bidi w:val="0"/>
        <w:adjustRightInd w:val="0"/>
        <w:snapToGrid w:val="0"/>
        <w:spacing w:line="400" w:lineRule="exact"/>
        <w:ind w:firstLine="42"/>
        <w:textAlignment w:val="auto"/>
        <w:rPr>
          <w:rFonts w:hint="eastAsia" w:ascii="宋体" w:hAnsi="宋体" w:cs="宋体"/>
          <w:b/>
          <w:bCs/>
          <w:color w:val="auto"/>
          <w:kern w:val="0"/>
          <w:szCs w:val="21"/>
          <w:highlight w:val="none"/>
        </w:rPr>
      </w:pPr>
      <w:r>
        <w:rPr>
          <w:rFonts w:hint="eastAsia" w:ascii="宋体" w:hAnsi="宋体" w:cs="宋体"/>
          <w:b/>
          <w:bCs/>
          <w:color w:val="auto"/>
          <w:kern w:val="0"/>
          <w:szCs w:val="21"/>
          <w:highlight w:val="none"/>
        </w:rPr>
        <w:t>一、评标原则</w:t>
      </w:r>
    </w:p>
    <w:p w14:paraId="69D844E8">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（一）评委构成：《政府采购货物和服务招标投标管理办法》第四十七条 评标委员会由采购人代表和评审专家组成，成员人数应当为5人以上单数，其中评审专家不得少于成员总数的三分之二。采购项目符合下列情形之一的，评标委员会成员人数应当为7人以上单数：（1）采购预算金额在1000万元以上；（2）技术复杂；（3）社会影响较大。</w:t>
      </w:r>
    </w:p>
    <w:p w14:paraId="5730325B">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（二）</w:t>
      </w:r>
      <w:r>
        <w:rPr>
          <w:rFonts w:hint="eastAsia" w:ascii="宋体" w:hAnsi="宋体" w:cs="宋体"/>
          <w:color w:val="auto"/>
          <w:kern w:val="0"/>
          <w:szCs w:val="21"/>
          <w:highlight w:val="none"/>
        </w:rPr>
        <w:t>评标依据：</w:t>
      </w:r>
      <w:r>
        <w:rPr>
          <w:rFonts w:hint="eastAsia" w:ascii="宋体" w:hAnsi="宋体" w:cs="宋体"/>
          <w:bCs/>
          <w:color w:val="auto"/>
          <w:kern w:val="0"/>
          <w:szCs w:val="21"/>
          <w:highlight w:val="none"/>
        </w:rPr>
        <w:t>评委将以招标文件为评标依据，对投标人的内容按百分制打分。</w:t>
      </w:r>
    </w:p>
    <w:p w14:paraId="7F737CF8">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szCs w:val="21"/>
          <w:highlight w:val="none"/>
        </w:rPr>
      </w:pPr>
      <w:r>
        <w:rPr>
          <w:rFonts w:hint="eastAsia" w:ascii="宋体" w:hAnsi="宋体" w:cs="宋体"/>
          <w:bCs/>
          <w:color w:val="auto"/>
          <w:szCs w:val="21"/>
          <w:highlight w:val="none"/>
        </w:rPr>
        <w:t>（三）评标方式：以封闭方式进行。</w:t>
      </w:r>
    </w:p>
    <w:p w14:paraId="0FB77449">
      <w:pPr>
        <w:pageBreakBefore w:val="0"/>
        <w:kinsoku/>
        <w:wordWrap/>
        <w:overflowPunct/>
        <w:topLinePunct w:val="0"/>
        <w:autoSpaceDE/>
        <w:autoSpaceDN/>
        <w:bidi w:val="0"/>
        <w:adjustRightInd w:val="0"/>
        <w:snapToGrid w:val="0"/>
        <w:spacing w:line="400" w:lineRule="exact"/>
        <w:ind w:firstLine="42" w:firstLineChars="20"/>
        <w:textAlignment w:val="auto"/>
        <w:rPr>
          <w:rFonts w:hint="eastAsia" w:ascii="宋体" w:hAnsi="宋体" w:cs="宋体"/>
          <w:b/>
          <w:color w:val="auto"/>
          <w:szCs w:val="21"/>
          <w:highlight w:val="none"/>
        </w:rPr>
      </w:pPr>
      <w:r>
        <w:rPr>
          <w:rFonts w:hint="eastAsia" w:ascii="宋体" w:hAnsi="宋体" w:cs="宋体"/>
          <w:b/>
          <w:color w:val="auto"/>
          <w:szCs w:val="21"/>
          <w:highlight w:val="none"/>
        </w:rPr>
        <w:t>二、评标方法</w:t>
      </w:r>
    </w:p>
    <w:p w14:paraId="6FF8BE4C">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（一）对进入详评的，采用百分制综合评分法。</w:t>
      </w:r>
    </w:p>
    <w:p w14:paraId="7E23B73E">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r>
        <w:rPr>
          <w:rFonts w:hint="eastAsia" w:ascii="宋体" w:hAnsi="宋体" w:cs="宋体"/>
          <w:color w:val="auto"/>
          <w:kern w:val="0"/>
          <w:szCs w:val="21"/>
          <w:highlight w:val="none"/>
        </w:rPr>
        <w:t>（二）计分办法（按四舍五入取至百分位）：</w:t>
      </w:r>
    </w:p>
    <w:tbl>
      <w:tblPr>
        <w:tblStyle w:val="39"/>
        <w:tblW w:w="8769"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781"/>
        <w:gridCol w:w="7142"/>
      </w:tblGrid>
      <w:tr w14:paraId="494C1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77" w:hRule="atLeast"/>
          <w:jc w:val="center"/>
        </w:trPr>
        <w:tc>
          <w:tcPr>
            <w:tcW w:w="846" w:type="dxa"/>
            <w:noWrap w:val="0"/>
            <w:vAlign w:val="bottom"/>
          </w:tcPr>
          <w:p w14:paraId="11DD3603">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rPr>
            </w:pPr>
            <w:r>
              <w:rPr>
                <w:rFonts w:hint="eastAsia" w:ascii="宋体" w:hAnsi="宋体" w:cs="宋体"/>
                <w:b/>
                <w:bCs w:val="0"/>
                <w:color w:val="auto"/>
                <w:kern w:val="0"/>
                <w:szCs w:val="21"/>
                <w:highlight w:val="none"/>
              </w:rPr>
              <w:t>评标项目</w:t>
            </w:r>
          </w:p>
        </w:tc>
        <w:tc>
          <w:tcPr>
            <w:tcW w:w="781" w:type="dxa"/>
            <w:noWrap w:val="0"/>
            <w:vAlign w:val="bottom"/>
          </w:tcPr>
          <w:p w14:paraId="02172F95">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rPr>
            </w:pPr>
            <w:r>
              <w:rPr>
                <w:rFonts w:hint="eastAsia" w:ascii="宋体" w:hAnsi="宋体" w:cs="宋体"/>
                <w:b/>
                <w:bCs w:val="0"/>
                <w:color w:val="auto"/>
                <w:kern w:val="0"/>
                <w:szCs w:val="21"/>
                <w:highlight w:val="none"/>
              </w:rPr>
              <w:t>评标分值</w:t>
            </w:r>
          </w:p>
        </w:tc>
        <w:tc>
          <w:tcPr>
            <w:tcW w:w="7142" w:type="dxa"/>
            <w:noWrap w:val="0"/>
            <w:vAlign w:val="bottom"/>
          </w:tcPr>
          <w:p w14:paraId="37BD3CC4">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rPr>
            </w:pPr>
            <w:r>
              <w:rPr>
                <w:rFonts w:hint="eastAsia" w:ascii="宋体" w:hAnsi="宋体" w:cs="宋体"/>
                <w:b/>
                <w:bCs w:val="0"/>
                <w:color w:val="auto"/>
                <w:kern w:val="0"/>
                <w:szCs w:val="21"/>
                <w:highlight w:val="none"/>
              </w:rPr>
              <w:t>评标方法描述</w:t>
            </w:r>
          </w:p>
        </w:tc>
      </w:tr>
      <w:tr w14:paraId="5450DD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09" w:hRule="atLeast"/>
          <w:jc w:val="center"/>
        </w:trPr>
        <w:tc>
          <w:tcPr>
            <w:tcW w:w="8769" w:type="dxa"/>
            <w:gridSpan w:val="3"/>
            <w:noWrap w:val="0"/>
            <w:vAlign w:val="center"/>
          </w:tcPr>
          <w:p w14:paraId="1C67A848">
            <w:pPr>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（一）价格分（满分25分）</w:t>
            </w:r>
          </w:p>
        </w:tc>
      </w:tr>
      <w:tr w14:paraId="5B3250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noWrap w:val="0"/>
            <w:vAlign w:val="center"/>
          </w:tcPr>
          <w:p w14:paraId="24A4C3C4">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投标报价</w:t>
            </w:r>
          </w:p>
        </w:tc>
        <w:tc>
          <w:tcPr>
            <w:tcW w:w="781" w:type="dxa"/>
            <w:noWrap w:val="0"/>
            <w:vAlign w:val="center"/>
          </w:tcPr>
          <w:p w14:paraId="3C1F9561">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25分</w:t>
            </w:r>
          </w:p>
        </w:tc>
        <w:tc>
          <w:tcPr>
            <w:tcW w:w="7142" w:type="dxa"/>
            <w:noWrap w:val="0"/>
            <w:vAlign w:val="center"/>
          </w:tcPr>
          <w:p w14:paraId="2A841AA0">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（1）评标报价为投标人的投标报价进行政策性扣除后的价格，评标报价</w:t>
            </w:r>
            <w:r>
              <w:rPr>
                <w:rFonts w:hint="eastAsia" w:ascii="宋体" w:hAnsi="宋体" w:cs="宋体"/>
                <w:bCs/>
                <w:color w:val="auto"/>
                <w:kern w:val="0"/>
                <w:szCs w:val="21"/>
                <w:highlight w:val="none"/>
                <w:lang w:eastAsia="zh-CN"/>
              </w:rPr>
              <w:t>只</w:t>
            </w:r>
            <w:r>
              <w:rPr>
                <w:rFonts w:hint="eastAsia" w:ascii="宋体" w:hAnsi="宋体" w:cs="宋体"/>
                <w:bCs/>
                <w:color w:val="auto"/>
                <w:kern w:val="0"/>
                <w:szCs w:val="21"/>
                <w:highlight w:val="none"/>
              </w:rPr>
              <w:t>作为评标时使用。最终中标人的中标金额等于投标报价。</w:t>
            </w:r>
          </w:p>
          <w:p w14:paraId="2A2A1C6F">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2）按照《政府采购促进中小企业发展管理办法》（财库〔2020〕46号）的规定，投标人在其投标文件中提供《中小企业声明函》，且其服务为小型和微型企业承接的，按《关于进一步加大政府采购支持中小企业力度的通知》（财库〔2022〕19号）、《广西壮族自治区财政厅关于持续优化政府采购营商环境推动高质量发展的通知》（桂财采〔202</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55</w:t>
            </w:r>
            <w:r>
              <w:rPr>
                <w:rFonts w:hint="eastAsia" w:ascii="宋体" w:hAnsi="宋体" w:cs="宋体"/>
                <w:bCs/>
                <w:color w:val="auto"/>
                <w:kern w:val="0"/>
                <w:szCs w:val="21"/>
                <w:highlight w:val="none"/>
              </w:rPr>
              <w:t>号）的规定</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对其最后报价给予</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0%</w:t>
            </w:r>
            <w:r>
              <w:rPr>
                <w:rFonts w:hint="eastAsia" w:ascii="宋体" w:hAnsi="宋体" w:cs="宋体"/>
                <w:bCs/>
                <w:color w:val="auto"/>
                <w:kern w:val="0"/>
                <w:szCs w:val="21"/>
                <w:highlight w:val="none"/>
                <w:lang w:eastAsia="zh-CN"/>
              </w:rPr>
              <w:t>（范围为10%—20%</w:t>
            </w:r>
            <w:r>
              <w:rPr>
                <w:rFonts w:hint="eastAsia" w:ascii="宋体" w:hAnsi="宋体" w:cs="宋体"/>
                <w:bCs/>
                <w:color w:val="auto"/>
                <w:kern w:val="0"/>
                <w:szCs w:val="21"/>
                <w:highlight w:val="none"/>
                <w:lang w:val="en-US" w:eastAsia="zh-CN"/>
              </w:rPr>
              <w:t>）</w:t>
            </w:r>
            <w:r>
              <w:rPr>
                <w:rFonts w:hint="eastAsia" w:ascii="宋体" w:hAnsi="宋体" w:cs="宋体"/>
                <w:bCs/>
                <w:color w:val="auto"/>
                <w:kern w:val="0"/>
                <w:szCs w:val="21"/>
                <w:highlight w:val="none"/>
              </w:rPr>
              <w:t>的扣除。</w:t>
            </w:r>
          </w:p>
          <w:p w14:paraId="127D34E6">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含新疆生产建设兵团</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出具的属于监狱企业的证明文件。不重复享受政策。</w:t>
            </w:r>
          </w:p>
          <w:p w14:paraId="2B4B78B6">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2B3D25E0">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（5）政策性扣除计算方法。</w:t>
            </w:r>
          </w:p>
          <w:p w14:paraId="1864BEEC">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在服务采购项目中，服务由小微企业承接；对符合上述要求的投标人的投标报价给予</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0%的扣除，扣除后的价格为评标报价，即评标报价=投标报价×（1-</w:t>
            </w:r>
            <w:r>
              <w:rPr>
                <w:rFonts w:hint="eastAsia" w:ascii="宋体" w:hAnsi="宋体" w:cs="宋体"/>
                <w:bCs/>
                <w:color w:val="auto"/>
                <w:kern w:val="0"/>
                <w:szCs w:val="21"/>
                <w:highlight w:val="none"/>
                <w:lang w:val="en-US" w:eastAsia="zh-CN"/>
              </w:rPr>
              <w:t>1</w:t>
            </w:r>
            <w:r>
              <w:rPr>
                <w:rFonts w:hint="eastAsia" w:ascii="宋体" w:hAnsi="宋体" w:cs="宋体"/>
                <w:bCs/>
                <w:color w:val="auto"/>
                <w:kern w:val="0"/>
                <w:szCs w:val="21"/>
                <w:highlight w:val="none"/>
              </w:rPr>
              <w:t>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%（范围为4%-6%）的扣除，用扣除后的价格参加评审，扣除后的价格为评标报价，即评标报价=投标报价×（1-</w:t>
            </w:r>
            <w:r>
              <w:rPr>
                <w:rFonts w:hint="eastAsia" w:ascii="宋体" w:hAnsi="宋体" w:cs="宋体"/>
                <w:bCs/>
                <w:color w:val="auto"/>
                <w:kern w:val="0"/>
                <w:szCs w:val="21"/>
                <w:highlight w:val="none"/>
                <w:lang w:val="en-US" w:eastAsia="zh-CN"/>
              </w:rPr>
              <w:t>4</w:t>
            </w:r>
            <w:r>
              <w:rPr>
                <w:rFonts w:hint="eastAsia" w:ascii="宋体" w:hAnsi="宋体" w:cs="宋体"/>
                <w:bCs/>
                <w:color w:val="auto"/>
                <w:kern w:val="0"/>
                <w:szCs w:val="21"/>
                <w:highlight w:val="none"/>
              </w:rPr>
              <w:t>%）。除上述情况外，评标报价=投标报价。</w:t>
            </w:r>
          </w:p>
          <w:p w14:paraId="21351600">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（6）满足招标文件要求且评标报价最低的评标报价为评标基准价，其价格分为满分。</w:t>
            </w:r>
          </w:p>
          <w:p w14:paraId="741ABEE7">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rPr>
            </w:pPr>
            <w:r>
              <w:rPr>
                <w:rFonts w:hint="eastAsia" w:ascii="宋体" w:hAnsi="宋体" w:cs="宋体"/>
                <w:bCs/>
                <w:color w:val="auto"/>
                <w:kern w:val="0"/>
                <w:szCs w:val="21"/>
                <w:highlight w:val="none"/>
              </w:rPr>
              <w:t>（7）价格分计算公式：</w:t>
            </w:r>
          </w:p>
          <w:p w14:paraId="1A78DD13">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lang w:eastAsia="zh-CN"/>
              </w:rPr>
            </w:pPr>
            <w:r>
              <w:rPr>
                <w:rFonts w:hint="eastAsia" w:ascii="宋体" w:hAnsi="宋体" w:cs="宋体"/>
                <w:bCs/>
                <w:color w:val="auto"/>
                <w:kern w:val="0"/>
                <w:szCs w:val="21"/>
                <w:highlight w:val="none"/>
              </w:rPr>
              <w:t>价格分=</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评标基准价／评标报价</w:t>
            </w:r>
            <w:r>
              <w:rPr>
                <w:rFonts w:hint="eastAsia" w:ascii="宋体" w:hAnsi="宋体" w:cs="宋体"/>
                <w:bCs/>
                <w:color w:val="auto"/>
                <w:kern w:val="0"/>
                <w:szCs w:val="21"/>
                <w:highlight w:val="none"/>
                <w:lang w:eastAsia="zh-CN"/>
              </w:rPr>
              <w:t>）</w:t>
            </w:r>
            <w:r>
              <w:rPr>
                <w:rFonts w:hint="eastAsia" w:ascii="宋体" w:hAnsi="宋体" w:cs="宋体"/>
                <w:bCs/>
                <w:color w:val="auto"/>
                <w:kern w:val="0"/>
                <w:szCs w:val="21"/>
                <w:highlight w:val="none"/>
              </w:rPr>
              <w:t>×</w:t>
            </w:r>
            <w:r>
              <w:rPr>
                <w:rFonts w:hint="eastAsia" w:ascii="宋体" w:hAnsi="宋体" w:cs="宋体"/>
                <w:bCs/>
                <w:color w:val="auto"/>
                <w:kern w:val="0"/>
                <w:szCs w:val="21"/>
                <w:highlight w:val="none"/>
                <w:lang w:val="en-US" w:eastAsia="zh-CN"/>
              </w:rPr>
              <w:t>25</w:t>
            </w:r>
            <w:r>
              <w:rPr>
                <w:rFonts w:hint="eastAsia" w:ascii="宋体" w:hAnsi="宋体" w:cs="宋体"/>
                <w:bCs/>
                <w:color w:val="auto"/>
                <w:kern w:val="0"/>
                <w:szCs w:val="21"/>
                <w:highlight w:val="none"/>
              </w:rPr>
              <w:t>分</w:t>
            </w:r>
            <w:r>
              <w:rPr>
                <w:rFonts w:hint="eastAsia" w:ascii="宋体" w:hAnsi="宋体" w:cs="宋体"/>
                <w:bCs/>
                <w:color w:val="auto"/>
                <w:kern w:val="0"/>
                <w:szCs w:val="21"/>
                <w:highlight w:val="none"/>
                <w:lang w:eastAsia="zh-CN"/>
              </w:rPr>
              <w:t>。</w:t>
            </w:r>
          </w:p>
          <w:p w14:paraId="06B14B5B">
            <w:pPr>
              <w:pageBreakBefore w:val="0"/>
              <w:widowControl/>
              <w:kinsoku/>
              <w:wordWrap/>
              <w:overflowPunct/>
              <w:topLinePunct w:val="0"/>
              <w:autoSpaceDE/>
              <w:autoSpaceDN/>
              <w:bidi w:val="0"/>
              <w:adjustRightInd w:val="0"/>
              <w:snapToGrid w:val="0"/>
              <w:spacing w:line="400" w:lineRule="exact"/>
              <w:ind w:firstLine="379" w:firstLineChars="180"/>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eastAsia="zh-CN"/>
              </w:rPr>
              <w:t>（</w:t>
            </w:r>
            <w:r>
              <w:rPr>
                <w:rFonts w:hint="eastAsia" w:ascii="宋体" w:hAnsi="宋体" w:cs="宋体"/>
                <w:b/>
                <w:bCs w:val="0"/>
                <w:color w:val="auto"/>
                <w:kern w:val="0"/>
                <w:szCs w:val="21"/>
                <w:highlight w:val="none"/>
                <w:lang w:val="en-US" w:eastAsia="zh-CN"/>
              </w:rPr>
              <w:t>8）异常低价说明。</w:t>
            </w:r>
          </w:p>
          <w:p w14:paraId="10AB7A1A">
            <w:pPr>
              <w:pageBreakBefore w:val="0"/>
              <w:widowControl/>
              <w:kinsoku/>
              <w:wordWrap/>
              <w:overflowPunct/>
              <w:topLinePunct w:val="0"/>
              <w:autoSpaceDE/>
              <w:autoSpaceDN/>
              <w:bidi w:val="0"/>
              <w:adjustRightInd w:val="0"/>
              <w:snapToGrid w:val="0"/>
              <w:spacing w:line="400" w:lineRule="exact"/>
              <w:ind w:firstLine="379" w:firstLineChars="180"/>
              <w:textAlignment w:val="auto"/>
              <w:rPr>
                <w:rFonts w:hint="eastAsia" w:ascii="宋体" w:hAnsi="宋体" w:cs="宋体"/>
                <w:bCs/>
                <w:color w:val="auto"/>
                <w:kern w:val="0"/>
                <w:szCs w:val="21"/>
                <w:highlight w:val="none"/>
                <w:lang w:eastAsia="zh-CN"/>
              </w:rPr>
            </w:pPr>
            <w:r>
              <w:rPr>
                <w:rFonts w:hint="eastAsia" w:ascii="宋体" w:hAnsi="宋体" w:cs="宋体"/>
                <w:b/>
                <w:bCs w:val="0"/>
                <w:color w:val="auto"/>
                <w:kern w:val="0"/>
                <w:szCs w:val="21"/>
                <w:highlight w:val="none"/>
                <w:lang w:val="en-US" w:eastAsia="zh-CN"/>
              </w:rPr>
              <w:t>投标人的报价出现《财政部关于推动解决政府采购异常低价问题的通知》（财库〔2026〕2号）规定的异常低价情形（具体详见招标文件第四章评标方法及评标标准二、评标程序6.异常低价审查），有可能影响服务质量或者不能诚信履约的，其应当在评标现场合理时间内（不少于30分钟）对报价作出解释，提供项目具体成本测算等与报价合理性相关的书面说明及必要证明材料；投标人不能提供相关说明、证明材料，或提供的材料无法证明其报价合理性的，评标委员会将其作为无效投标处理。</w:t>
            </w:r>
          </w:p>
        </w:tc>
      </w:tr>
      <w:tr w14:paraId="412ECA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9" w:type="dxa"/>
            <w:gridSpan w:val="3"/>
            <w:noWrap w:val="0"/>
            <w:vAlign w:val="center"/>
          </w:tcPr>
          <w:p w14:paraId="6EA496E8">
            <w:pPr>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eastAsia="zh-CN"/>
              </w:rPr>
              <w:t>（</w:t>
            </w:r>
            <w:r>
              <w:rPr>
                <w:rFonts w:hint="eastAsia" w:ascii="宋体" w:hAnsi="宋体" w:cs="宋体"/>
                <w:b/>
                <w:bCs w:val="0"/>
                <w:color w:val="auto"/>
                <w:kern w:val="0"/>
                <w:szCs w:val="21"/>
                <w:highlight w:val="none"/>
                <w:lang w:val="en-US" w:eastAsia="zh-CN"/>
              </w:rPr>
              <w:t>二</w:t>
            </w:r>
            <w:r>
              <w:rPr>
                <w:rFonts w:hint="eastAsia" w:ascii="宋体" w:hAnsi="宋体" w:cs="宋体"/>
                <w:b/>
                <w:bCs w:val="0"/>
                <w:color w:val="auto"/>
                <w:kern w:val="0"/>
                <w:szCs w:val="21"/>
                <w:highlight w:val="none"/>
                <w:lang w:eastAsia="zh-CN"/>
              </w:rPr>
              <w:t>）</w:t>
            </w:r>
            <w:r>
              <w:rPr>
                <w:rFonts w:hint="eastAsia" w:ascii="宋体" w:hAnsi="宋体" w:cs="宋体"/>
                <w:b/>
                <w:bCs w:val="0"/>
                <w:color w:val="auto"/>
                <w:kern w:val="0"/>
                <w:szCs w:val="21"/>
                <w:highlight w:val="none"/>
                <w:lang w:val="en-US" w:eastAsia="zh-CN"/>
              </w:rPr>
              <w:t>技术分（满分65分）</w:t>
            </w:r>
          </w:p>
        </w:tc>
      </w:tr>
      <w:tr w14:paraId="5CC5D39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noWrap w:val="0"/>
            <w:vAlign w:val="center"/>
          </w:tcPr>
          <w:p w14:paraId="44A0FA9C">
            <w:pPr>
              <w:pageBreakBefore w:val="0"/>
              <w:widowControl/>
              <w:kinsoku/>
              <w:wordWrap/>
              <w:overflowPunct/>
              <w:topLinePunct w:val="0"/>
              <w:autoSpaceDE/>
              <w:autoSpaceDN/>
              <w:bidi w:val="0"/>
              <w:adjustRightInd w:val="0"/>
              <w:snapToGrid w:val="0"/>
              <w:spacing w:line="400" w:lineRule="exact"/>
              <w:jc w:val="center"/>
              <w:textAlignment w:val="auto"/>
              <w:rPr>
                <w:rFonts w:hint="default"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实施方案</w:t>
            </w:r>
          </w:p>
        </w:tc>
        <w:tc>
          <w:tcPr>
            <w:tcW w:w="781" w:type="dxa"/>
            <w:noWrap w:val="0"/>
            <w:vAlign w:val="center"/>
          </w:tcPr>
          <w:p w14:paraId="48CEE575">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10分</w:t>
            </w:r>
          </w:p>
        </w:tc>
        <w:tc>
          <w:tcPr>
            <w:tcW w:w="7142" w:type="dxa"/>
            <w:noWrap w:val="0"/>
            <w:vAlign w:val="center"/>
          </w:tcPr>
          <w:p w14:paraId="12A8D399">
            <w:pPr>
              <w:spacing w:line="400" w:lineRule="exact"/>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项目实施方案包括但不限于供氧配送方案及要求、供氧设备维护及维修措施、人员配置、配送专用车辆配备情况、配送计划、安全措施及应急处理方案等内容：</w:t>
            </w:r>
          </w:p>
          <w:p w14:paraId="1BB35657">
            <w:pPr>
              <w:spacing w:line="400" w:lineRule="exact"/>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一档（</w:t>
            </w:r>
            <w:r>
              <w:rPr>
                <w:rFonts w:hint="eastAsia" w:ascii="宋体" w:hAnsi="宋体" w:cs="Arial"/>
                <w:color w:val="auto"/>
                <w:szCs w:val="21"/>
                <w:highlight w:val="none"/>
                <w:lang w:val="en-US" w:eastAsia="zh-CN"/>
              </w:rPr>
              <w:t>2</w:t>
            </w:r>
            <w:r>
              <w:rPr>
                <w:rFonts w:hint="eastAsia" w:ascii="宋体" w:hAnsi="宋体" w:cs="Arial"/>
                <w:color w:val="auto"/>
                <w:szCs w:val="21"/>
                <w:highlight w:val="none"/>
              </w:rPr>
              <w:t>分）：实施方案包含供氧方案及要求、配送、维护等，</w:t>
            </w:r>
            <w:r>
              <w:rPr>
                <w:rFonts w:hint="eastAsia" w:ascii="宋体" w:hAnsi="宋体" w:cs="Arial"/>
                <w:color w:val="auto"/>
                <w:szCs w:val="21"/>
                <w:highlight w:val="none"/>
                <w:lang w:eastAsia="zh-CN"/>
              </w:rPr>
              <w:t>基本</w:t>
            </w:r>
            <w:r>
              <w:rPr>
                <w:rFonts w:hint="eastAsia" w:ascii="宋体" w:hAnsi="宋体" w:cs="Arial"/>
                <w:color w:val="auto"/>
                <w:szCs w:val="21"/>
                <w:highlight w:val="none"/>
              </w:rPr>
              <w:t>符合本项目实施的要求</w:t>
            </w:r>
            <w:r>
              <w:rPr>
                <w:rFonts w:hint="eastAsia" w:ascii="宋体" w:hAnsi="宋体" w:cs="Arial"/>
                <w:color w:val="auto"/>
                <w:szCs w:val="21"/>
                <w:highlight w:val="none"/>
                <w:lang w:eastAsia="zh-CN"/>
              </w:rPr>
              <w:t>，方案简单，无针对性</w:t>
            </w:r>
            <w:r>
              <w:rPr>
                <w:rFonts w:hint="eastAsia" w:ascii="宋体" w:hAnsi="宋体" w:cs="Arial"/>
                <w:color w:val="auto"/>
                <w:szCs w:val="21"/>
                <w:highlight w:val="none"/>
              </w:rPr>
              <w:t>。</w:t>
            </w:r>
          </w:p>
          <w:p w14:paraId="5CFE8C5C">
            <w:pPr>
              <w:spacing w:line="400" w:lineRule="exact"/>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二档（</w:t>
            </w:r>
            <w:r>
              <w:rPr>
                <w:rFonts w:hint="eastAsia" w:ascii="宋体" w:hAnsi="宋体" w:cs="Arial"/>
                <w:color w:val="auto"/>
                <w:szCs w:val="21"/>
                <w:highlight w:val="none"/>
                <w:lang w:val="en-US" w:eastAsia="zh-CN"/>
              </w:rPr>
              <w:t>4</w:t>
            </w:r>
            <w:r>
              <w:rPr>
                <w:rFonts w:hint="eastAsia" w:ascii="宋体" w:hAnsi="宋体" w:cs="Arial"/>
                <w:color w:val="auto"/>
                <w:szCs w:val="21"/>
                <w:highlight w:val="none"/>
              </w:rPr>
              <w:t>分）：实施方案包含供氧方案及要求、安全措施、维护、人员配置、配送专用车辆配备情况；配送计划安排合理，条理清晰，符合本项实施的要求及可行性操作。</w:t>
            </w:r>
          </w:p>
          <w:p w14:paraId="6B49582C">
            <w:pPr>
              <w:spacing w:line="400" w:lineRule="exact"/>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三档（</w:t>
            </w:r>
            <w:r>
              <w:rPr>
                <w:rFonts w:hint="eastAsia" w:ascii="宋体" w:hAnsi="宋体" w:cs="Arial"/>
                <w:color w:val="auto"/>
                <w:szCs w:val="21"/>
                <w:highlight w:val="none"/>
                <w:lang w:val="en-US" w:eastAsia="zh-CN"/>
              </w:rPr>
              <w:t>7</w:t>
            </w:r>
            <w:r>
              <w:rPr>
                <w:rFonts w:hint="eastAsia" w:ascii="宋体" w:hAnsi="宋体" w:cs="Arial"/>
                <w:color w:val="auto"/>
                <w:szCs w:val="21"/>
                <w:highlight w:val="none"/>
              </w:rPr>
              <w:t>分）：实施方案详细包含供氧方案及要求、安全措施、维护、人员配置、配送专用车辆配备情况、配送计划、输氧管道</w:t>
            </w:r>
            <w:r>
              <w:rPr>
                <w:rFonts w:hint="eastAsia" w:ascii="宋体" w:hAnsi="宋体" w:cs="Arial"/>
                <w:color w:val="auto"/>
                <w:szCs w:val="21"/>
                <w:highlight w:val="none"/>
                <w:lang w:eastAsia="zh-CN"/>
              </w:rPr>
              <w:t>铺设</w:t>
            </w:r>
            <w:r>
              <w:rPr>
                <w:rFonts w:hint="eastAsia" w:ascii="宋体" w:hAnsi="宋体" w:cs="Arial"/>
                <w:color w:val="auto"/>
                <w:szCs w:val="21"/>
                <w:highlight w:val="none"/>
              </w:rPr>
              <w:t>实施方案等内容，配送计划及管理方案完善合理，完全符合本项目配送、集中供氧实施的要求，</w:t>
            </w:r>
            <w:r>
              <w:rPr>
                <w:rFonts w:hint="eastAsia" w:ascii="宋体" w:hAnsi="宋体" w:cs="Arial"/>
                <w:color w:val="auto"/>
                <w:szCs w:val="21"/>
                <w:highlight w:val="none"/>
                <w:lang w:eastAsia="zh-CN"/>
              </w:rPr>
              <w:t>方案详细合理，可操作性强</w:t>
            </w:r>
            <w:r>
              <w:rPr>
                <w:rFonts w:hint="eastAsia" w:ascii="宋体" w:hAnsi="宋体" w:cs="Arial"/>
                <w:color w:val="auto"/>
                <w:szCs w:val="21"/>
                <w:highlight w:val="none"/>
              </w:rPr>
              <w:t>。</w:t>
            </w:r>
          </w:p>
          <w:p w14:paraId="1BCE39E9">
            <w:pPr>
              <w:spacing w:line="400" w:lineRule="exact"/>
              <w:ind w:firstLine="420" w:firstLineChars="200"/>
              <w:rPr>
                <w:rFonts w:hint="eastAsia" w:ascii="宋体" w:hAnsi="宋体" w:cs="Arial"/>
                <w:color w:val="auto"/>
                <w:szCs w:val="21"/>
                <w:highlight w:val="none"/>
              </w:rPr>
            </w:pPr>
            <w:r>
              <w:rPr>
                <w:rFonts w:hint="eastAsia" w:ascii="宋体" w:hAnsi="宋体" w:cs="Arial"/>
                <w:color w:val="auto"/>
                <w:szCs w:val="21"/>
                <w:highlight w:val="none"/>
              </w:rPr>
              <w:t>四档（</w:t>
            </w:r>
            <w:r>
              <w:rPr>
                <w:rFonts w:hint="eastAsia" w:ascii="宋体" w:hAnsi="宋体" w:cs="Arial"/>
                <w:color w:val="auto"/>
                <w:szCs w:val="21"/>
                <w:highlight w:val="none"/>
                <w:lang w:val="en-US" w:eastAsia="zh-CN"/>
              </w:rPr>
              <w:t>10</w:t>
            </w:r>
            <w:r>
              <w:rPr>
                <w:rFonts w:hint="eastAsia" w:ascii="宋体" w:hAnsi="宋体" w:cs="Arial"/>
                <w:color w:val="auto"/>
                <w:szCs w:val="21"/>
                <w:highlight w:val="none"/>
              </w:rPr>
              <w:t>分）：实施方案详细、有针对性包含供氧方案及要求、安全措施、维护、人员配置、配送专用车辆配备情况、配送计划、配送时效、输氧管道</w:t>
            </w:r>
            <w:r>
              <w:rPr>
                <w:rFonts w:hint="eastAsia" w:ascii="宋体" w:hAnsi="宋体" w:cs="Arial"/>
                <w:color w:val="auto"/>
                <w:szCs w:val="21"/>
                <w:highlight w:val="none"/>
                <w:lang w:eastAsia="zh-CN"/>
              </w:rPr>
              <w:t>铺设</w:t>
            </w:r>
            <w:r>
              <w:rPr>
                <w:rFonts w:hint="eastAsia" w:ascii="宋体" w:hAnsi="宋体" w:cs="Arial"/>
                <w:color w:val="auto"/>
                <w:szCs w:val="21"/>
                <w:highlight w:val="none"/>
              </w:rPr>
              <w:t>实施方案、配送人员等内容，配送计划及管理方案完善合理，完全符合本项目配送、集中供氧实施的要求，有明确的项目进度和管理措施，有具体安保措施，安保措施实施步骤和要求描述全面，具备压缩气体储罐状态监控、安全排放、防泄漏装置等检验、维护能力，操作合理。</w:t>
            </w:r>
          </w:p>
          <w:p w14:paraId="15ED477C">
            <w:pPr>
              <w:pageBreakBefore w:val="0"/>
              <w:widowControl/>
              <w:kinsoku/>
              <w:wordWrap/>
              <w:overflowPunct/>
              <w:topLinePunct w:val="0"/>
              <w:autoSpaceDE/>
              <w:autoSpaceDN/>
              <w:bidi w:val="0"/>
              <w:adjustRightInd w:val="0"/>
              <w:snapToGrid w:val="0"/>
              <w:spacing w:line="400" w:lineRule="exact"/>
              <w:ind w:firstLine="422" w:firstLineChars="200"/>
              <w:textAlignment w:val="auto"/>
              <w:rPr>
                <w:rFonts w:hint="eastAsia" w:ascii="宋体" w:hAnsi="宋体" w:cs="宋体"/>
                <w:bCs/>
                <w:color w:val="auto"/>
                <w:kern w:val="0"/>
                <w:szCs w:val="21"/>
                <w:highlight w:val="none"/>
              </w:rPr>
            </w:pPr>
            <w:r>
              <w:rPr>
                <w:rFonts w:hint="eastAsia" w:hAnsi="宋体" w:cs="宋体"/>
                <w:b/>
                <w:bCs w:val="0"/>
                <w:color w:val="auto"/>
                <w:szCs w:val="21"/>
                <w:highlight w:val="none"/>
              </w:rPr>
              <w:t>注：未提供或提供的不符合要求的不得分。</w:t>
            </w:r>
          </w:p>
        </w:tc>
      </w:tr>
      <w:tr w14:paraId="355BAD1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33" w:hRule="atLeast"/>
          <w:jc w:val="center"/>
        </w:trPr>
        <w:tc>
          <w:tcPr>
            <w:tcW w:w="846" w:type="dxa"/>
            <w:noWrap w:val="0"/>
            <w:vAlign w:val="center"/>
          </w:tcPr>
          <w:p w14:paraId="76715986">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rPr>
            </w:pPr>
            <w:r>
              <w:rPr>
                <w:rFonts w:hint="eastAsia" w:asciiTheme="minorEastAsia" w:hAnsiTheme="minorEastAsia" w:eastAsiaTheme="minorEastAsia"/>
                <w:b/>
                <w:bCs/>
                <w:color w:val="auto"/>
                <w:szCs w:val="21"/>
                <w:highlight w:val="none"/>
              </w:rPr>
              <w:t>日常安全管理</w:t>
            </w:r>
            <w:r>
              <w:rPr>
                <w:rFonts w:hint="eastAsia" w:asciiTheme="minorEastAsia" w:hAnsiTheme="minorEastAsia" w:eastAsiaTheme="minorEastAsia"/>
                <w:b/>
                <w:bCs/>
                <w:color w:val="auto"/>
                <w:szCs w:val="21"/>
                <w:highlight w:val="none"/>
                <w:lang w:eastAsia="zh-CN"/>
              </w:rPr>
              <w:t>实施</w:t>
            </w:r>
            <w:r>
              <w:rPr>
                <w:rFonts w:hint="eastAsia" w:asciiTheme="minorEastAsia" w:hAnsiTheme="minorEastAsia" w:eastAsiaTheme="minorEastAsia"/>
                <w:b/>
                <w:bCs/>
                <w:color w:val="auto"/>
                <w:szCs w:val="21"/>
                <w:highlight w:val="none"/>
              </w:rPr>
              <w:t>方案</w:t>
            </w:r>
          </w:p>
        </w:tc>
        <w:tc>
          <w:tcPr>
            <w:tcW w:w="781" w:type="dxa"/>
            <w:noWrap w:val="0"/>
            <w:vAlign w:val="center"/>
          </w:tcPr>
          <w:p w14:paraId="0B6E1553">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10分</w:t>
            </w:r>
          </w:p>
        </w:tc>
        <w:tc>
          <w:tcPr>
            <w:tcW w:w="7142" w:type="dxa"/>
            <w:noWrap w:val="0"/>
            <w:vAlign w:val="center"/>
          </w:tcPr>
          <w:p w14:paraId="3013E9F9">
            <w:pPr>
              <w:widowControl/>
              <w:shd w:val="clear" w:color="auto" w:fill="FFFFFF"/>
              <w:spacing w:line="400" w:lineRule="exact"/>
              <w:ind w:firstLine="420" w:firstLineChars="200"/>
              <w:rPr>
                <w:rFonts w:hint="eastAsia" w:ascii="宋体" w:hAnsi="宋体" w:eastAsia="宋体" w:cs="宋体"/>
                <w:color w:val="auto"/>
                <w:kern w:val="0"/>
                <w:szCs w:val="21"/>
                <w:highlight w:val="none"/>
                <w:lang w:eastAsia="zh-CN"/>
              </w:rPr>
            </w:pPr>
            <w:r>
              <w:rPr>
                <w:rFonts w:hint="eastAsia" w:ascii="宋体" w:hAnsi="宋体" w:cs="宋体"/>
                <w:color w:val="auto"/>
                <w:kern w:val="0"/>
                <w:szCs w:val="21"/>
                <w:highlight w:val="none"/>
              </w:rPr>
              <w:t>提供的日常安全管理实施方案，包含①主要管理人员及操作人员的职责②设备安全保障措施③质量安全保证措施④设备维护及维修措施⑤具备日常氧浓度实时安全监测系统</w:t>
            </w:r>
            <w:r>
              <w:rPr>
                <w:rFonts w:hint="eastAsia" w:ascii="宋体" w:hAnsi="宋体" w:cs="宋体"/>
                <w:color w:val="auto"/>
                <w:kern w:val="0"/>
                <w:szCs w:val="21"/>
                <w:highlight w:val="none"/>
              </w:rPr>
              <w:t>⑥具备储罐运行状态在线监控、站区合规放散排放设计及泄漏监测预警系统，可实现压力、液位、氧浓度等参数实时采集、异常分级报警、运行数据云同步追溯与远程查看</w:t>
            </w:r>
            <w:r>
              <w:rPr>
                <w:rFonts w:hint="eastAsia" w:ascii="宋体" w:hAnsi="宋体" w:cs="宋体"/>
                <w:color w:val="auto"/>
                <w:kern w:val="0"/>
                <w:szCs w:val="21"/>
                <w:highlight w:val="none"/>
                <w:lang w:eastAsia="zh-CN"/>
              </w:rPr>
              <w:t>。</w:t>
            </w:r>
          </w:p>
          <w:p w14:paraId="2AAEFF60">
            <w:pPr>
              <w:snapToGrid w:val="0"/>
              <w:spacing w:line="400" w:lineRule="exact"/>
              <w:ind w:firstLine="357" w:firstLineChars="170"/>
              <w:rPr>
                <w:rFonts w:hint="eastAsia" w:ascii="宋体" w:hAnsi="宋体" w:cs="宋体"/>
                <w:color w:val="auto"/>
                <w:szCs w:val="21"/>
                <w:highlight w:val="none"/>
              </w:rPr>
            </w:pPr>
            <w:r>
              <w:rPr>
                <w:rFonts w:hint="eastAsia" w:ascii="宋体" w:hAnsi="宋体" w:cs="宋体"/>
                <w:color w:val="auto"/>
                <w:szCs w:val="21"/>
                <w:highlight w:val="none"/>
              </w:rPr>
              <w:t>一档（0分）未提供方案或内容只包含以上</w:t>
            </w:r>
            <w:r>
              <w:rPr>
                <w:rFonts w:hint="eastAsia" w:ascii="宋体" w:hAnsi="宋体" w:cs="Arial"/>
                <w:color w:val="auto"/>
                <w:szCs w:val="21"/>
                <w:highlight w:val="none"/>
              </w:rPr>
              <w:t>①至</w:t>
            </w:r>
            <w:r>
              <w:rPr>
                <w:rFonts w:hint="eastAsia" w:ascii="宋体" w:hAnsi="宋体" w:cs="宋体"/>
                <w:color w:val="auto"/>
                <w:kern w:val="0"/>
                <w:szCs w:val="21"/>
                <w:highlight w:val="none"/>
              </w:rPr>
              <w:t>⑥</w:t>
            </w:r>
            <w:r>
              <w:rPr>
                <w:rFonts w:hint="eastAsia" w:ascii="宋体" w:hAnsi="宋体" w:cs="宋体"/>
                <w:color w:val="auto"/>
                <w:szCs w:val="21"/>
                <w:highlight w:val="none"/>
              </w:rPr>
              <w:t>任意</w:t>
            </w:r>
            <w:r>
              <w:rPr>
                <w:rFonts w:hint="eastAsia" w:ascii="宋体" w:hAnsi="宋体" w:cs="宋体"/>
                <w:color w:val="auto"/>
                <w:szCs w:val="21"/>
                <w:highlight w:val="none"/>
                <w:lang w:eastAsia="zh-CN"/>
              </w:rPr>
              <w:t>两种</w:t>
            </w:r>
            <w:r>
              <w:rPr>
                <w:rFonts w:hint="eastAsia" w:ascii="宋体" w:hAnsi="宋体" w:cs="宋体"/>
                <w:color w:val="auto"/>
                <w:szCs w:val="21"/>
                <w:highlight w:val="none"/>
              </w:rPr>
              <w:t>内容的；</w:t>
            </w:r>
          </w:p>
          <w:p w14:paraId="209DD1C5">
            <w:pPr>
              <w:snapToGrid w:val="0"/>
              <w:spacing w:line="400" w:lineRule="exact"/>
              <w:ind w:firstLine="357" w:firstLineChars="170"/>
              <w:rPr>
                <w:rFonts w:hint="eastAsia" w:ascii="宋体" w:hAnsi="宋体" w:cs="宋体"/>
                <w:color w:val="auto"/>
                <w:szCs w:val="21"/>
                <w:highlight w:val="none"/>
              </w:rPr>
            </w:pPr>
            <w:r>
              <w:rPr>
                <w:rFonts w:hint="eastAsia" w:ascii="宋体" w:hAnsi="宋体" w:cs="宋体"/>
                <w:color w:val="auto"/>
                <w:szCs w:val="21"/>
                <w:highlight w:val="none"/>
              </w:rPr>
              <w:t>二档（4分）：方案内容包含以上</w:t>
            </w:r>
            <w:r>
              <w:rPr>
                <w:rFonts w:hint="eastAsia" w:ascii="宋体" w:hAnsi="宋体" w:cs="Arial"/>
                <w:color w:val="auto"/>
                <w:szCs w:val="21"/>
                <w:highlight w:val="none"/>
              </w:rPr>
              <w:t>①至</w:t>
            </w:r>
            <w:r>
              <w:rPr>
                <w:rFonts w:hint="eastAsia" w:ascii="宋体" w:hAnsi="宋体" w:cs="宋体"/>
                <w:color w:val="auto"/>
                <w:kern w:val="0"/>
                <w:szCs w:val="21"/>
                <w:highlight w:val="none"/>
              </w:rPr>
              <w:t>⑥</w:t>
            </w:r>
            <w:r>
              <w:rPr>
                <w:rFonts w:hint="eastAsia" w:ascii="宋体" w:hAnsi="宋体" w:cs="宋体"/>
                <w:color w:val="auto"/>
                <w:szCs w:val="21"/>
                <w:highlight w:val="none"/>
              </w:rPr>
              <w:t>任意三种内容的，且合理、清晰、具备可实施性的；</w:t>
            </w:r>
          </w:p>
          <w:p w14:paraId="4E4BBB87">
            <w:pPr>
              <w:snapToGrid w:val="0"/>
              <w:spacing w:line="400" w:lineRule="exact"/>
              <w:ind w:firstLine="357" w:firstLineChars="170"/>
              <w:rPr>
                <w:rFonts w:hint="eastAsia" w:ascii="宋体" w:hAnsi="宋体" w:cs="宋体"/>
                <w:color w:val="auto"/>
                <w:szCs w:val="21"/>
                <w:highlight w:val="none"/>
              </w:rPr>
            </w:pPr>
            <w:r>
              <w:rPr>
                <w:rFonts w:hint="eastAsia" w:ascii="宋体" w:hAnsi="宋体" w:cs="宋体"/>
                <w:color w:val="auto"/>
                <w:szCs w:val="21"/>
                <w:highlight w:val="none"/>
              </w:rPr>
              <w:t>三档（</w:t>
            </w:r>
            <w:r>
              <w:rPr>
                <w:rFonts w:hint="eastAsia" w:ascii="宋体" w:hAnsi="宋体" w:cs="宋体"/>
                <w:color w:val="auto"/>
                <w:szCs w:val="21"/>
                <w:highlight w:val="none"/>
                <w:lang w:val="en-US" w:eastAsia="zh-CN"/>
              </w:rPr>
              <w:t>7</w:t>
            </w:r>
            <w:r>
              <w:rPr>
                <w:rFonts w:hint="eastAsia" w:ascii="宋体" w:hAnsi="宋体" w:cs="宋体"/>
                <w:color w:val="auto"/>
                <w:szCs w:val="21"/>
                <w:highlight w:val="none"/>
              </w:rPr>
              <w:t>分）：方案内容包含以上</w:t>
            </w:r>
            <w:r>
              <w:rPr>
                <w:rFonts w:hint="eastAsia" w:ascii="宋体" w:hAnsi="宋体" w:cs="Arial"/>
                <w:color w:val="auto"/>
                <w:szCs w:val="21"/>
                <w:highlight w:val="none"/>
              </w:rPr>
              <w:t>①至</w:t>
            </w:r>
            <w:r>
              <w:rPr>
                <w:rFonts w:hint="eastAsia" w:ascii="宋体" w:hAnsi="宋体" w:cs="宋体"/>
                <w:color w:val="auto"/>
                <w:kern w:val="0"/>
                <w:szCs w:val="21"/>
                <w:highlight w:val="none"/>
              </w:rPr>
              <w:t>⑥</w:t>
            </w:r>
            <w:r>
              <w:rPr>
                <w:rFonts w:hint="eastAsia" w:ascii="宋体" w:hAnsi="宋体" w:cs="宋体"/>
                <w:color w:val="auto"/>
                <w:szCs w:val="21"/>
                <w:highlight w:val="none"/>
              </w:rPr>
              <w:t>任意四种内容的，且合理、清晰、具备可实施性的；</w:t>
            </w:r>
          </w:p>
          <w:p w14:paraId="0CEF56F9">
            <w:pPr>
              <w:pageBreakBefore w:val="0"/>
              <w:widowControl/>
              <w:kinsoku/>
              <w:wordWrap/>
              <w:overflowPunct/>
              <w:topLinePunct w:val="0"/>
              <w:autoSpaceDE/>
              <w:autoSpaceDN/>
              <w:bidi w:val="0"/>
              <w:adjustRightInd w:val="0"/>
              <w:snapToGrid w:val="0"/>
              <w:spacing w:line="400" w:lineRule="exact"/>
              <w:ind w:firstLine="420" w:firstLineChars="200"/>
              <w:textAlignment w:val="auto"/>
              <w:rPr>
                <w:rFonts w:hint="eastAsia" w:ascii="宋体" w:hAnsi="宋体" w:cs="宋体"/>
                <w:bCs/>
                <w:color w:val="auto"/>
                <w:kern w:val="0"/>
                <w:szCs w:val="21"/>
                <w:highlight w:val="none"/>
              </w:rPr>
            </w:pPr>
            <w:r>
              <w:rPr>
                <w:rFonts w:hint="eastAsia" w:ascii="宋体" w:hAnsi="宋体" w:cs="宋体"/>
                <w:color w:val="auto"/>
                <w:szCs w:val="21"/>
                <w:highlight w:val="none"/>
              </w:rPr>
              <w:t>四档（</w:t>
            </w:r>
            <w:r>
              <w:rPr>
                <w:rFonts w:hint="eastAsia" w:ascii="宋体" w:hAnsi="宋体" w:cs="宋体"/>
                <w:color w:val="auto"/>
                <w:szCs w:val="21"/>
                <w:highlight w:val="none"/>
                <w:lang w:val="en-US" w:eastAsia="zh-CN"/>
              </w:rPr>
              <w:t>10</w:t>
            </w:r>
            <w:r>
              <w:rPr>
                <w:rFonts w:hint="eastAsia" w:ascii="宋体" w:hAnsi="宋体" w:cs="宋体"/>
                <w:color w:val="auto"/>
                <w:szCs w:val="21"/>
                <w:highlight w:val="none"/>
              </w:rPr>
              <w:t>分）：方案内容包含以上</w:t>
            </w:r>
            <w:r>
              <w:rPr>
                <w:rFonts w:hint="eastAsia" w:ascii="宋体" w:hAnsi="宋体" w:cs="Arial"/>
                <w:color w:val="auto"/>
                <w:szCs w:val="21"/>
                <w:highlight w:val="none"/>
              </w:rPr>
              <w:t>①至</w:t>
            </w:r>
            <w:r>
              <w:rPr>
                <w:rFonts w:hint="eastAsia" w:ascii="宋体" w:hAnsi="宋体" w:cs="宋体"/>
                <w:color w:val="auto"/>
                <w:kern w:val="0"/>
                <w:szCs w:val="21"/>
                <w:highlight w:val="none"/>
              </w:rPr>
              <w:t>⑥</w:t>
            </w:r>
            <w:r>
              <w:rPr>
                <w:rFonts w:hint="eastAsia" w:hAnsi="宋体"/>
                <w:color w:val="auto"/>
                <w:szCs w:val="21"/>
                <w:highlight w:val="none"/>
              </w:rPr>
              <w:t>的全部</w:t>
            </w:r>
            <w:r>
              <w:rPr>
                <w:rFonts w:hint="eastAsia" w:ascii="宋体" w:hAnsi="宋体" w:cs="宋体"/>
                <w:color w:val="auto"/>
                <w:szCs w:val="21"/>
                <w:highlight w:val="none"/>
              </w:rPr>
              <w:t>内容，且合理、清晰、具备可实施性的</w:t>
            </w:r>
            <w:r>
              <w:rPr>
                <w:rFonts w:hint="eastAsia" w:ascii="宋体" w:hAnsi="宋体" w:cs="宋体"/>
                <w:color w:val="auto"/>
                <w:szCs w:val="21"/>
                <w:highlight w:val="none"/>
                <w:lang w:eastAsia="zh-CN"/>
              </w:rPr>
              <w:t>。</w:t>
            </w:r>
          </w:p>
        </w:tc>
      </w:tr>
      <w:tr w14:paraId="4018C8D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5" w:hRule="atLeast"/>
          <w:jc w:val="center"/>
        </w:trPr>
        <w:tc>
          <w:tcPr>
            <w:tcW w:w="846" w:type="dxa"/>
            <w:noWrap w:val="0"/>
            <w:vAlign w:val="center"/>
          </w:tcPr>
          <w:p w14:paraId="0CB30D7F">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紧急事件处理方案</w:t>
            </w:r>
          </w:p>
        </w:tc>
        <w:tc>
          <w:tcPr>
            <w:tcW w:w="781" w:type="dxa"/>
            <w:noWrap w:val="0"/>
            <w:vAlign w:val="center"/>
          </w:tcPr>
          <w:p w14:paraId="0D889C90">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 xml:space="preserve">10 </w:t>
            </w:r>
            <w:r>
              <w:rPr>
                <w:rFonts w:hint="eastAsia" w:ascii="宋体" w:hAnsi="宋体" w:cs="宋体"/>
                <w:b/>
                <w:bCs w:val="0"/>
                <w:color w:val="auto"/>
                <w:kern w:val="0"/>
                <w:szCs w:val="21"/>
                <w:highlight w:val="none"/>
              </w:rPr>
              <w:t>分</w:t>
            </w:r>
          </w:p>
        </w:tc>
        <w:tc>
          <w:tcPr>
            <w:tcW w:w="7142" w:type="dxa"/>
            <w:noWrap w:val="0"/>
            <w:vAlign w:val="center"/>
          </w:tcPr>
          <w:p w14:paraId="75E09FD4">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一档（2分）</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rPr>
              <w:t>仅结合项目基本情况制定应急方案，框架粗浅、未贴合医用液氧保供特性细化内容，无针对性处置流程，实用性、合规性欠缺。</w:t>
            </w:r>
          </w:p>
          <w:p w14:paraId="0F58E85A">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二档（</w:t>
            </w:r>
            <w:r>
              <w:rPr>
                <w:rFonts w:hint="eastAsia" w:asciiTheme="minorEastAsia" w:hAnsiTheme="minorEastAsia" w:eastAsiaTheme="minorEastAsia"/>
                <w:color w:val="auto"/>
                <w:szCs w:val="21"/>
                <w:highlight w:val="none"/>
                <w:lang w:val="en-US" w:eastAsia="zh-CN"/>
              </w:rPr>
              <w:t>4</w:t>
            </w:r>
            <w:r>
              <w:rPr>
                <w:rFonts w:hint="eastAsia" w:asciiTheme="minorEastAsia" w:hAnsiTheme="minorEastAsia" w:eastAsiaTheme="minorEastAsia"/>
                <w:color w:val="auto"/>
                <w:szCs w:val="21"/>
                <w:highlight w:val="none"/>
              </w:rPr>
              <w:t>分）</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rPr>
              <w:t>方案贴合项目实际，针对液氧短缺、设备故障、配送延误等常见突发情况，制定详实可行的保障措施，处置流程合规，可满足常规应急处置需求。</w:t>
            </w:r>
          </w:p>
          <w:p w14:paraId="16153A47">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三档（</w:t>
            </w:r>
            <w:r>
              <w:rPr>
                <w:rFonts w:hint="eastAsia" w:asciiTheme="minorEastAsia" w:hAnsiTheme="minorEastAsia" w:eastAsiaTheme="minorEastAsia"/>
                <w:color w:val="auto"/>
                <w:szCs w:val="21"/>
                <w:highlight w:val="none"/>
                <w:lang w:val="en-US" w:eastAsia="zh-CN"/>
              </w:rPr>
              <w:t>7</w:t>
            </w:r>
            <w:r>
              <w:rPr>
                <w:rFonts w:hint="eastAsia" w:asciiTheme="minorEastAsia" w:hAnsiTheme="minorEastAsia" w:eastAsiaTheme="minorEastAsia"/>
                <w:color w:val="auto"/>
                <w:szCs w:val="21"/>
                <w:highlight w:val="none"/>
              </w:rPr>
              <w:t>分）</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rPr>
              <w:t>方案完整体系化，全覆盖液氧供应全链条应急场景（含极端天气、供应链波动等），措施科学规范、权责清晰，明确响应节点、人员分工与物资储备，完全契合项目实操需求。</w:t>
            </w:r>
          </w:p>
          <w:p w14:paraId="283616AF">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Theme="minorEastAsia" w:hAnsiTheme="minorEastAsia" w:eastAsiaTheme="minorEastAsia"/>
                <w:color w:val="auto"/>
                <w:szCs w:val="21"/>
                <w:highlight w:val="none"/>
              </w:rPr>
            </w:pPr>
            <w:r>
              <w:rPr>
                <w:rFonts w:hint="eastAsia" w:asciiTheme="minorEastAsia" w:hAnsiTheme="minorEastAsia" w:eastAsiaTheme="minorEastAsia"/>
                <w:color w:val="auto"/>
                <w:szCs w:val="21"/>
                <w:highlight w:val="none"/>
              </w:rPr>
              <w:t>四档（10分）</w:t>
            </w:r>
            <w:r>
              <w:rPr>
                <w:rFonts w:hint="eastAsia" w:asciiTheme="minorEastAsia" w:hAnsiTheme="minorEastAsia" w:eastAsiaTheme="minorEastAsia"/>
                <w:color w:val="auto"/>
                <w:szCs w:val="21"/>
                <w:highlight w:val="none"/>
                <w:lang w:eastAsia="zh-CN"/>
              </w:rPr>
              <w:t>：</w:t>
            </w:r>
            <w:r>
              <w:rPr>
                <w:rFonts w:hint="eastAsia" w:asciiTheme="minorEastAsia" w:hAnsiTheme="minorEastAsia" w:eastAsiaTheme="minorEastAsia"/>
                <w:color w:val="auto"/>
                <w:szCs w:val="21"/>
                <w:highlight w:val="none"/>
              </w:rPr>
              <w:t>方案全面前瞻、实操性极强，深度匹配医疗机构保供刚需，实行分级分类处置，明确响应时限、备用气源联动及院方协同流程，符合行业监管要求，可全方位筑牢应急保供防线、保障诊疗秩序。</w:t>
            </w:r>
          </w:p>
          <w:p w14:paraId="40A8B7DB">
            <w:pPr>
              <w:pageBreakBefore w:val="0"/>
              <w:widowControl/>
              <w:kinsoku/>
              <w:wordWrap/>
              <w:overflowPunct/>
              <w:topLinePunct w:val="0"/>
              <w:autoSpaceDE/>
              <w:autoSpaceDN/>
              <w:bidi w:val="0"/>
              <w:adjustRightInd w:val="0"/>
              <w:snapToGrid w:val="0"/>
              <w:spacing w:line="400" w:lineRule="exact"/>
              <w:ind w:firstLine="379" w:firstLineChars="180"/>
              <w:textAlignment w:val="auto"/>
              <w:rPr>
                <w:rFonts w:hint="eastAsia" w:ascii="宋体" w:hAnsi="宋体" w:cs="宋体"/>
                <w:bCs/>
                <w:color w:val="auto"/>
                <w:kern w:val="0"/>
                <w:szCs w:val="21"/>
                <w:highlight w:val="none"/>
                <w:lang w:val="en-US" w:eastAsia="zh-CN"/>
              </w:rPr>
            </w:pPr>
            <w:r>
              <w:rPr>
                <w:rFonts w:hint="eastAsia" w:asciiTheme="minorEastAsia" w:hAnsiTheme="minorEastAsia" w:eastAsiaTheme="minorEastAsia"/>
                <w:b/>
                <w:bCs/>
                <w:color w:val="auto"/>
                <w:szCs w:val="21"/>
                <w:highlight w:val="none"/>
              </w:rPr>
              <w:t>注：未提供方案或提供的方案未达最低档的不得分。</w:t>
            </w:r>
          </w:p>
        </w:tc>
      </w:tr>
      <w:tr w14:paraId="548E303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5" w:hRule="atLeast"/>
          <w:jc w:val="center"/>
        </w:trPr>
        <w:tc>
          <w:tcPr>
            <w:tcW w:w="846" w:type="dxa"/>
            <w:shd w:val="clear" w:color="auto" w:fill="auto"/>
            <w:noWrap w:val="0"/>
            <w:vAlign w:val="center"/>
          </w:tcPr>
          <w:p w14:paraId="150C7A43">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b/>
                <w:bCs w:val="0"/>
                <w:color w:val="auto"/>
                <w:kern w:val="0"/>
                <w:sz w:val="21"/>
                <w:szCs w:val="21"/>
                <w:highlight w:val="none"/>
                <w:lang w:val="en-US" w:eastAsia="zh-CN" w:bidi="ar-SA"/>
              </w:rPr>
            </w:pPr>
            <w:r>
              <w:rPr>
                <w:rFonts w:hint="eastAsia" w:ascii="宋体" w:hAnsi="宋体"/>
                <w:b/>
                <w:bCs/>
                <w:color w:val="auto"/>
                <w:szCs w:val="21"/>
                <w:highlight w:val="none"/>
              </w:rPr>
              <w:t>技术人员履约能力分</w:t>
            </w:r>
          </w:p>
        </w:tc>
        <w:tc>
          <w:tcPr>
            <w:tcW w:w="781" w:type="dxa"/>
            <w:shd w:val="clear" w:color="auto" w:fill="auto"/>
            <w:noWrap w:val="0"/>
            <w:vAlign w:val="center"/>
          </w:tcPr>
          <w:p w14:paraId="728C6130">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b/>
                <w:bCs w:val="0"/>
                <w:color w:val="auto"/>
                <w:kern w:val="0"/>
                <w:sz w:val="21"/>
                <w:szCs w:val="21"/>
                <w:highlight w:val="none"/>
                <w:lang w:val="en-US" w:eastAsia="zh-CN" w:bidi="ar-SA"/>
              </w:rPr>
            </w:pPr>
            <w:r>
              <w:rPr>
                <w:rFonts w:hint="eastAsia" w:ascii="宋体" w:hAnsi="宋体" w:cs="宋体"/>
                <w:b/>
                <w:bCs w:val="0"/>
                <w:color w:val="auto"/>
                <w:kern w:val="0"/>
                <w:szCs w:val="21"/>
                <w:highlight w:val="none"/>
                <w:lang w:val="en-US" w:eastAsia="zh-CN"/>
              </w:rPr>
              <w:t>5分</w:t>
            </w:r>
          </w:p>
        </w:tc>
        <w:tc>
          <w:tcPr>
            <w:tcW w:w="7142" w:type="dxa"/>
            <w:shd w:val="clear" w:color="auto" w:fill="auto"/>
            <w:noWrap w:val="0"/>
            <w:vAlign w:val="center"/>
          </w:tcPr>
          <w:p w14:paraId="43C0A3B1">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szCs w:val="21"/>
                <w:highlight w:val="none"/>
              </w:rPr>
            </w:pPr>
            <w:r>
              <w:rPr>
                <w:rFonts w:hint="eastAsia" w:ascii="宋体" w:hAnsi="宋体" w:cs="宋体"/>
                <w:color w:val="auto"/>
                <w:szCs w:val="21"/>
                <w:highlight w:val="none"/>
                <w:lang w:val="en-US" w:eastAsia="zh-CN"/>
              </w:rPr>
              <w:t>投标人</w:t>
            </w:r>
            <w:r>
              <w:rPr>
                <w:rFonts w:hint="eastAsia" w:ascii="宋体" w:hAnsi="宋体" w:cs="宋体"/>
                <w:color w:val="auto"/>
                <w:szCs w:val="21"/>
                <w:highlight w:val="none"/>
              </w:rPr>
              <w:t>在提供中华人民共和国特种设备安全管理和作业人员证(R2) 持证人员 2 人基础上，每增加1名持证人员，得</w:t>
            </w:r>
            <w:r>
              <w:rPr>
                <w:rFonts w:hint="eastAsia" w:ascii="宋体" w:hAnsi="宋体" w:cs="宋体"/>
                <w:color w:val="auto"/>
                <w:szCs w:val="21"/>
                <w:highlight w:val="none"/>
                <w:lang w:val="en-US" w:eastAsia="zh-CN"/>
              </w:rPr>
              <w:t>2.5</w:t>
            </w:r>
            <w:r>
              <w:rPr>
                <w:rFonts w:hint="eastAsia" w:ascii="宋体" w:hAnsi="宋体" w:cs="宋体"/>
                <w:color w:val="auto"/>
                <w:szCs w:val="21"/>
                <w:highlight w:val="none"/>
              </w:rPr>
              <w:t>分，满分</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w:t>
            </w:r>
          </w:p>
          <w:p w14:paraId="545372C4">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cs="宋体"/>
                <w:color w:val="auto"/>
                <w:szCs w:val="21"/>
                <w:highlight w:val="none"/>
                <w:lang w:val="en-US" w:eastAsia="zh-CN"/>
              </w:rPr>
              <w:t>备注：</w:t>
            </w:r>
            <w:r>
              <w:rPr>
                <w:rFonts w:hint="eastAsia" w:ascii="宋体" w:hAnsi="宋体" w:cs="宋体"/>
                <w:color w:val="auto"/>
                <w:szCs w:val="21"/>
                <w:highlight w:val="none"/>
              </w:rPr>
              <w:t>持证人员必须为供应商公司员工，需提供有关人员的证书复印件和以上人员在本单位任职的证明材料复印件[如投标截止时间前近半年内任意 3 个月的《投保单》或《社会保险参保人员证明》；或单位代缴个人所得税税单等复印件（加盖公章）；或提供供应商与拟投入本项目团队成员签订的劳务合同复印件（法定代表人除外]作为评审依据，不能按要求提供的，相应项目不计分。</w:t>
            </w:r>
          </w:p>
        </w:tc>
      </w:tr>
      <w:tr w14:paraId="4867A85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5" w:hRule="atLeast"/>
          <w:jc w:val="center"/>
        </w:trPr>
        <w:tc>
          <w:tcPr>
            <w:tcW w:w="846" w:type="dxa"/>
            <w:shd w:val="clear" w:color="auto" w:fill="auto"/>
            <w:noWrap w:val="0"/>
            <w:vAlign w:val="center"/>
          </w:tcPr>
          <w:p w14:paraId="356D8951">
            <w:pPr>
              <w:spacing w:line="400" w:lineRule="exact"/>
              <w:rPr>
                <w:rFonts w:hint="eastAsia" w:ascii="宋体" w:hAnsi="宋体" w:eastAsia="宋体" w:cs="Arial"/>
                <w:color w:val="auto"/>
                <w:kern w:val="2"/>
                <w:sz w:val="21"/>
                <w:szCs w:val="21"/>
                <w:highlight w:val="none"/>
                <w:lang w:val="en-US" w:eastAsia="zh-CN" w:bidi="ar-SA"/>
              </w:rPr>
            </w:pPr>
            <w:r>
              <w:rPr>
                <w:rFonts w:ascii="宋体" w:hAnsi="宋体" w:cs="Arial"/>
                <w:b/>
                <w:bCs/>
                <w:color w:val="auto"/>
                <w:szCs w:val="21"/>
                <w:highlight w:val="none"/>
              </w:rPr>
              <w:t>配送、集中供氧服务方案</w:t>
            </w:r>
            <w:r>
              <w:rPr>
                <w:rFonts w:hint="eastAsia" w:ascii="宋体" w:hAnsi="宋体" w:cs="Arial"/>
                <w:b/>
                <w:bCs/>
                <w:color w:val="auto"/>
                <w:szCs w:val="21"/>
                <w:highlight w:val="none"/>
                <w:lang w:eastAsia="zh-CN"/>
              </w:rPr>
              <w:t>分</w:t>
            </w:r>
          </w:p>
        </w:tc>
        <w:tc>
          <w:tcPr>
            <w:tcW w:w="781" w:type="dxa"/>
            <w:shd w:val="clear" w:color="auto" w:fill="auto"/>
            <w:noWrap w:val="0"/>
            <w:vAlign w:val="center"/>
          </w:tcPr>
          <w:p w14:paraId="53CE3033">
            <w:pPr>
              <w:spacing w:line="400" w:lineRule="exact"/>
              <w:rPr>
                <w:rFonts w:hint="default" w:ascii="宋体" w:hAnsi="宋体" w:eastAsia="宋体" w:cs="Arial"/>
                <w:color w:val="auto"/>
                <w:kern w:val="2"/>
                <w:sz w:val="21"/>
                <w:szCs w:val="21"/>
                <w:highlight w:val="none"/>
                <w:lang w:val="en-US" w:eastAsia="zh-CN" w:bidi="ar-SA"/>
              </w:rPr>
            </w:pPr>
            <w:r>
              <w:rPr>
                <w:rFonts w:hint="eastAsia" w:ascii="宋体" w:hAnsi="宋体" w:cs="Arial"/>
                <w:b/>
                <w:bCs/>
                <w:color w:val="auto"/>
                <w:kern w:val="2"/>
                <w:sz w:val="21"/>
                <w:szCs w:val="21"/>
                <w:highlight w:val="none"/>
                <w:lang w:val="en-US" w:eastAsia="zh-CN" w:bidi="ar-SA"/>
              </w:rPr>
              <w:t>10分</w:t>
            </w:r>
          </w:p>
        </w:tc>
        <w:tc>
          <w:tcPr>
            <w:tcW w:w="7142" w:type="dxa"/>
            <w:shd w:val="clear" w:color="auto" w:fill="auto"/>
            <w:noWrap w:val="0"/>
            <w:vAlign w:val="center"/>
          </w:tcPr>
          <w:p w14:paraId="1F135462">
            <w:pPr>
              <w:spacing w:line="400" w:lineRule="exact"/>
              <w:ind w:firstLine="357" w:firstLineChars="170"/>
              <w:rPr>
                <w:rFonts w:hint="eastAsia" w:ascii="宋体" w:hAnsi="宋体" w:cs="Arial"/>
                <w:color w:val="auto"/>
                <w:szCs w:val="21"/>
                <w:highlight w:val="none"/>
              </w:rPr>
            </w:pPr>
            <w:r>
              <w:rPr>
                <w:rFonts w:hint="eastAsia" w:ascii="宋体" w:hAnsi="宋体" w:cs="Arial"/>
                <w:color w:val="auto"/>
                <w:szCs w:val="21"/>
                <w:highlight w:val="none"/>
              </w:rPr>
              <w:t>提供的配送、集中供氧服务实施方案包含：①供氧技术②配送措施③各项控制指标④安全措施⑤具备履约相关的气体用量管理系统。</w:t>
            </w:r>
          </w:p>
          <w:p w14:paraId="3216FA1D">
            <w:pPr>
              <w:snapToGrid w:val="0"/>
              <w:spacing w:line="400" w:lineRule="exact"/>
              <w:ind w:firstLine="357" w:firstLineChars="170"/>
              <w:rPr>
                <w:rFonts w:hint="eastAsia" w:ascii="宋体" w:hAnsi="宋体" w:cs="宋体"/>
                <w:color w:val="auto"/>
                <w:szCs w:val="21"/>
                <w:highlight w:val="none"/>
              </w:rPr>
            </w:pPr>
            <w:r>
              <w:rPr>
                <w:rFonts w:hint="eastAsia" w:ascii="宋体" w:hAnsi="宋体" w:cs="宋体"/>
                <w:color w:val="auto"/>
                <w:szCs w:val="21"/>
                <w:highlight w:val="none"/>
              </w:rPr>
              <w:t>一档（0分）未提供方案或内容只包含以上</w:t>
            </w:r>
            <w:r>
              <w:rPr>
                <w:rFonts w:hint="eastAsia" w:ascii="宋体" w:hAnsi="宋体" w:cs="Arial"/>
                <w:color w:val="auto"/>
                <w:szCs w:val="21"/>
                <w:highlight w:val="none"/>
              </w:rPr>
              <w:t>①至⑤</w:t>
            </w:r>
            <w:r>
              <w:rPr>
                <w:rFonts w:hint="eastAsia" w:ascii="宋体" w:hAnsi="宋体" w:cs="宋体"/>
                <w:color w:val="auto"/>
                <w:szCs w:val="21"/>
                <w:highlight w:val="none"/>
              </w:rPr>
              <w:t>任意</w:t>
            </w:r>
            <w:r>
              <w:rPr>
                <w:rFonts w:hint="eastAsia" w:ascii="宋体" w:hAnsi="宋体" w:cs="宋体"/>
                <w:color w:val="auto"/>
                <w:szCs w:val="21"/>
                <w:highlight w:val="none"/>
                <w:lang w:eastAsia="zh-CN"/>
              </w:rPr>
              <w:t>两种</w:t>
            </w:r>
            <w:r>
              <w:rPr>
                <w:rFonts w:hint="eastAsia" w:ascii="宋体" w:hAnsi="宋体" w:cs="宋体"/>
                <w:color w:val="auto"/>
                <w:szCs w:val="21"/>
                <w:highlight w:val="none"/>
              </w:rPr>
              <w:t>内容的；</w:t>
            </w:r>
          </w:p>
          <w:p w14:paraId="5238FBB5">
            <w:pPr>
              <w:snapToGrid w:val="0"/>
              <w:spacing w:line="400" w:lineRule="exact"/>
              <w:ind w:firstLine="357" w:firstLineChars="170"/>
              <w:rPr>
                <w:rFonts w:hint="eastAsia" w:ascii="宋体" w:hAnsi="宋体" w:cs="宋体"/>
                <w:color w:val="auto"/>
                <w:szCs w:val="21"/>
                <w:highlight w:val="none"/>
              </w:rPr>
            </w:pPr>
            <w:r>
              <w:rPr>
                <w:rFonts w:hint="eastAsia" w:ascii="宋体" w:hAnsi="宋体" w:cs="宋体"/>
                <w:color w:val="auto"/>
                <w:szCs w:val="21"/>
                <w:highlight w:val="none"/>
              </w:rPr>
              <w:t>二档（4分）：方案内容包含以上</w:t>
            </w:r>
            <w:r>
              <w:rPr>
                <w:rFonts w:hint="eastAsia" w:ascii="宋体" w:hAnsi="宋体" w:cs="Arial"/>
                <w:color w:val="auto"/>
                <w:szCs w:val="21"/>
                <w:highlight w:val="none"/>
              </w:rPr>
              <w:t>①至⑤</w:t>
            </w:r>
            <w:r>
              <w:rPr>
                <w:rFonts w:hint="eastAsia" w:ascii="宋体" w:hAnsi="宋体" w:cs="宋体"/>
                <w:color w:val="auto"/>
                <w:szCs w:val="21"/>
                <w:highlight w:val="none"/>
              </w:rPr>
              <w:t>任意三种内容的，且合理、清晰、具备可实施性的；</w:t>
            </w:r>
          </w:p>
          <w:p w14:paraId="5C3634EA">
            <w:pPr>
              <w:snapToGrid w:val="0"/>
              <w:spacing w:line="400" w:lineRule="exact"/>
              <w:ind w:firstLine="357" w:firstLineChars="170"/>
              <w:rPr>
                <w:rFonts w:hint="eastAsia" w:ascii="宋体" w:hAnsi="宋体" w:cs="宋体"/>
                <w:color w:val="auto"/>
                <w:szCs w:val="21"/>
                <w:highlight w:val="none"/>
              </w:rPr>
            </w:pPr>
            <w:r>
              <w:rPr>
                <w:rFonts w:hint="eastAsia" w:ascii="宋体" w:hAnsi="宋体" w:cs="宋体"/>
                <w:color w:val="auto"/>
                <w:szCs w:val="21"/>
                <w:highlight w:val="none"/>
              </w:rPr>
              <w:t>三档（7分）：方案内容包含以上</w:t>
            </w:r>
            <w:r>
              <w:rPr>
                <w:rFonts w:hint="eastAsia" w:ascii="宋体" w:hAnsi="宋体" w:cs="Arial"/>
                <w:color w:val="auto"/>
                <w:szCs w:val="21"/>
                <w:highlight w:val="none"/>
              </w:rPr>
              <w:t>①至⑤</w:t>
            </w:r>
            <w:r>
              <w:rPr>
                <w:rFonts w:hint="eastAsia" w:ascii="宋体" w:hAnsi="宋体" w:cs="宋体"/>
                <w:color w:val="auto"/>
                <w:szCs w:val="21"/>
                <w:highlight w:val="none"/>
              </w:rPr>
              <w:t>任意四种内容的，且合理、清晰、具备可实施性的；</w:t>
            </w:r>
          </w:p>
          <w:p w14:paraId="7ADD8483">
            <w:pPr>
              <w:spacing w:line="400" w:lineRule="exact"/>
              <w:ind w:firstLine="357" w:firstLineChars="170"/>
              <w:rPr>
                <w:rFonts w:hint="eastAsia" w:ascii="宋体" w:hAnsi="宋体" w:eastAsia="宋体" w:cs="Arial"/>
                <w:color w:val="auto"/>
                <w:kern w:val="2"/>
                <w:sz w:val="21"/>
                <w:szCs w:val="21"/>
                <w:highlight w:val="none"/>
                <w:lang w:val="en-US" w:eastAsia="zh-CN" w:bidi="ar-SA"/>
              </w:rPr>
            </w:pPr>
            <w:r>
              <w:rPr>
                <w:rFonts w:hint="eastAsia" w:ascii="宋体" w:hAnsi="宋体" w:cs="宋体"/>
                <w:color w:val="auto"/>
                <w:szCs w:val="21"/>
                <w:highlight w:val="none"/>
              </w:rPr>
              <w:t>四档（10分）：方案内容包含以上</w:t>
            </w:r>
            <w:r>
              <w:rPr>
                <w:rFonts w:hint="eastAsia" w:ascii="宋体" w:hAnsi="宋体" w:cs="Arial"/>
                <w:color w:val="auto"/>
                <w:szCs w:val="21"/>
                <w:highlight w:val="none"/>
              </w:rPr>
              <w:t>①至⑤</w:t>
            </w:r>
            <w:r>
              <w:rPr>
                <w:rFonts w:hint="eastAsia" w:hAnsi="宋体"/>
                <w:color w:val="auto"/>
                <w:szCs w:val="21"/>
                <w:highlight w:val="none"/>
              </w:rPr>
              <w:t>的全部</w:t>
            </w:r>
            <w:r>
              <w:rPr>
                <w:rFonts w:hint="eastAsia" w:ascii="宋体" w:hAnsi="宋体" w:cs="宋体"/>
                <w:color w:val="auto"/>
                <w:szCs w:val="21"/>
                <w:highlight w:val="none"/>
              </w:rPr>
              <w:t>内容，且合理、清晰、具备可实施性的。</w:t>
            </w:r>
          </w:p>
        </w:tc>
      </w:tr>
      <w:tr w14:paraId="24F1F6D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5" w:hRule="atLeast"/>
          <w:jc w:val="center"/>
        </w:trPr>
        <w:tc>
          <w:tcPr>
            <w:tcW w:w="846" w:type="dxa"/>
            <w:shd w:val="clear" w:color="auto" w:fill="auto"/>
            <w:noWrap w:val="0"/>
            <w:vAlign w:val="center"/>
          </w:tcPr>
          <w:p w14:paraId="52CD686C">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eastAsia="宋体" w:cs="Times New Roman"/>
                <w:color w:val="auto"/>
                <w:kern w:val="2"/>
                <w:sz w:val="21"/>
                <w:szCs w:val="21"/>
                <w:highlight w:val="none"/>
                <w:lang w:val="en-US" w:eastAsia="zh-CN" w:bidi="ar-SA"/>
              </w:rPr>
            </w:pPr>
            <w:r>
              <w:rPr>
                <w:rFonts w:hint="eastAsia" w:ascii="宋体" w:hAnsi="宋体" w:cs="宋体"/>
                <w:b/>
                <w:bCs w:val="0"/>
                <w:color w:val="auto"/>
                <w:kern w:val="0"/>
                <w:szCs w:val="21"/>
                <w:highlight w:val="none"/>
                <w:lang w:val="en-US" w:eastAsia="zh-CN"/>
              </w:rPr>
              <w:t>售后服务方案</w:t>
            </w:r>
          </w:p>
        </w:tc>
        <w:tc>
          <w:tcPr>
            <w:tcW w:w="781" w:type="dxa"/>
            <w:shd w:val="clear" w:color="auto" w:fill="auto"/>
            <w:noWrap w:val="0"/>
            <w:vAlign w:val="center"/>
          </w:tcPr>
          <w:p w14:paraId="19434C15">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b/>
                <w:bCs w:val="0"/>
                <w:color w:val="auto"/>
                <w:kern w:val="0"/>
                <w:sz w:val="21"/>
                <w:szCs w:val="21"/>
                <w:highlight w:val="none"/>
                <w:lang w:val="en-US" w:eastAsia="zh-CN" w:bidi="ar-SA"/>
              </w:rPr>
            </w:pPr>
            <w:r>
              <w:rPr>
                <w:rFonts w:hint="eastAsia" w:ascii="宋体" w:hAnsi="宋体" w:cs="宋体"/>
                <w:b/>
                <w:bCs w:val="0"/>
                <w:color w:val="auto"/>
                <w:kern w:val="0"/>
                <w:szCs w:val="21"/>
                <w:highlight w:val="none"/>
                <w:lang w:val="en-US" w:eastAsia="zh-CN"/>
              </w:rPr>
              <w:t>10分</w:t>
            </w:r>
          </w:p>
        </w:tc>
        <w:tc>
          <w:tcPr>
            <w:tcW w:w="7142" w:type="dxa"/>
            <w:shd w:val="clear" w:color="auto" w:fill="auto"/>
            <w:noWrap w:val="0"/>
            <w:vAlign w:val="center"/>
          </w:tcPr>
          <w:p w14:paraId="61F4CA6E">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一档（2分）：售后服务方案不齐全，内容空泛，未结合医用液氧供应项目特点编制，不具备合理性、针对性及可操作性，无法满足采购人医用氧保障基本需求。</w:t>
            </w:r>
          </w:p>
          <w:p w14:paraId="2AD15E11">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二档（4分）：售后服务方案内容齐全，整体符合医用液氧供应项目实际，能对项目实施起到有效的售后服务保障作用，但医用液氧供应保障、应急处置、设备维护等具体措施不够科学明确。</w:t>
            </w:r>
          </w:p>
          <w:p w14:paraId="5FFB2B4D">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三档（7分）：售后服务方案内容齐全且详细，整体贴合采购人医用液氧供应项目需求，能对项目实施提供充分、可靠的售后服务保障作用。其中，操作人员及医护人员培训方案有详细培训内容且培训方式及周期合理；液氧供应中断、设备紧急故障等处置有明确处理时效；医用氧安全储存、运输、使用及应急安全保障方案全面。</w:t>
            </w:r>
          </w:p>
          <w:p w14:paraId="66D2BBE3">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四档（10分）：售后服务方案内容齐全深入，科学可行，整体高度契合采购人医用液氧供应项目需求，对项目实施起到高效可靠的售后服务保障作用。其中，培训方案有明确且针对性强的培训内容，培训方式及周期科学合理；液氧供应短缺、设备紧急故障等问题处理时效迅速；医用氧全流程安全保障、院感防控、应急保供方案科学合理、操作性强；保供承诺、备用气源保障、增值服务等其他实质性服务或优惠措施，对项目医用液氧稳定供应及安全运行能起到有效促进及保障作用。</w:t>
            </w:r>
          </w:p>
          <w:p w14:paraId="506EF4D9">
            <w:pPr>
              <w:pageBreakBefore w:val="0"/>
              <w:widowControl/>
              <w:kinsoku/>
              <w:wordWrap/>
              <w:overflowPunct/>
              <w:topLinePunct w:val="0"/>
              <w:autoSpaceDE/>
              <w:autoSpaceDN/>
              <w:bidi w:val="0"/>
              <w:adjustRightInd w:val="0"/>
              <w:snapToGrid w:val="0"/>
              <w:spacing w:line="400" w:lineRule="exact"/>
              <w:ind w:firstLine="379" w:firstLineChars="180"/>
              <w:textAlignment w:val="auto"/>
              <w:rPr>
                <w:rFonts w:hint="eastAsia" w:ascii="宋体" w:hAnsi="宋体" w:eastAsia="宋体" w:cs="宋体"/>
                <w:bCs/>
                <w:color w:val="auto"/>
                <w:kern w:val="0"/>
                <w:sz w:val="21"/>
                <w:szCs w:val="21"/>
                <w:highlight w:val="none"/>
                <w:lang w:val="en-US" w:eastAsia="zh-CN" w:bidi="ar-SA"/>
              </w:rPr>
            </w:pPr>
            <w:r>
              <w:rPr>
                <w:rFonts w:hint="eastAsia" w:asciiTheme="minorEastAsia" w:hAnsiTheme="minorEastAsia" w:eastAsiaTheme="minorEastAsia"/>
                <w:b/>
                <w:bCs/>
                <w:color w:val="auto"/>
                <w:szCs w:val="21"/>
                <w:highlight w:val="none"/>
              </w:rPr>
              <w:t>注：未提供方案或提供的方案未达最低档的不得分。</w:t>
            </w:r>
          </w:p>
        </w:tc>
      </w:tr>
      <w:tr w14:paraId="44B9FFA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5" w:hRule="atLeast"/>
          <w:jc w:val="center"/>
        </w:trPr>
        <w:tc>
          <w:tcPr>
            <w:tcW w:w="846" w:type="dxa"/>
            <w:shd w:val="clear" w:color="auto" w:fill="auto"/>
            <w:noWrap w:val="0"/>
            <w:vAlign w:val="center"/>
          </w:tcPr>
          <w:p w14:paraId="211726AD">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b/>
                <w:bCs w:val="0"/>
                <w:color w:val="auto"/>
                <w:kern w:val="0"/>
                <w:sz w:val="21"/>
                <w:szCs w:val="21"/>
                <w:highlight w:val="none"/>
                <w:lang w:val="en-US" w:eastAsia="zh-CN" w:bidi="ar-SA"/>
              </w:rPr>
            </w:pPr>
            <w:r>
              <w:rPr>
                <w:rFonts w:hint="eastAsia" w:ascii="宋体" w:hAnsi="宋体" w:cs="宋体"/>
                <w:b/>
                <w:bCs w:val="0"/>
                <w:color w:val="auto"/>
                <w:kern w:val="0"/>
                <w:szCs w:val="21"/>
                <w:highlight w:val="none"/>
                <w:lang w:val="en-US" w:eastAsia="zh-CN"/>
              </w:rPr>
              <w:t>服务响应能力</w:t>
            </w:r>
          </w:p>
        </w:tc>
        <w:tc>
          <w:tcPr>
            <w:tcW w:w="781" w:type="dxa"/>
            <w:shd w:val="clear" w:color="auto" w:fill="auto"/>
            <w:noWrap w:val="0"/>
            <w:vAlign w:val="center"/>
          </w:tcPr>
          <w:p w14:paraId="0831A52A">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eastAsia="宋体" w:cs="宋体"/>
                <w:b/>
                <w:bCs w:val="0"/>
                <w:color w:val="auto"/>
                <w:kern w:val="0"/>
                <w:sz w:val="21"/>
                <w:szCs w:val="21"/>
                <w:highlight w:val="none"/>
                <w:lang w:val="en-US" w:eastAsia="zh-CN" w:bidi="ar-SA"/>
              </w:rPr>
            </w:pPr>
            <w:r>
              <w:rPr>
                <w:rFonts w:hint="eastAsia" w:ascii="宋体" w:hAnsi="宋体" w:cs="宋体"/>
                <w:b/>
                <w:bCs w:val="0"/>
                <w:color w:val="auto"/>
                <w:kern w:val="0"/>
                <w:szCs w:val="21"/>
                <w:highlight w:val="none"/>
                <w:lang w:val="en-US" w:eastAsia="zh-CN"/>
              </w:rPr>
              <w:t>10分</w:t>
            </w:r>
          </w:p>
        </w:tc>
        <w:tc>
          <w:tcPr>
            <w:tcW w:w="7142" w:type="dxa"/>
            <w:shd w:val="clear" w:color="auto" w:fill="auto"/>
            <w:noWrap w:val="0"/>
            <w:vAlign w:val="center"/>
          </w:tcPr>
          <w:p w14:paraId="63EDE6BE">
            <w:pPr>
              <w:spacing w:line="400" w:lineRule="exact"/>
              <w:ind w:firstLine="357" w:firstLineChars="170"/>
              <w:rPr>
                <w:rFonts w:hint="eastAsia" w:ascii="宋体" w:hAnsi="宋体" w:cs="宋体"/>
                <w:color w:val="auto"/>
                <w:szCs w:val="21"/>
                <w:highlight w:val="none"/>
              </w:rPr>
            </w:pPr>
            <w:r>
              <w:rPr>
                <w:rFonts w:hint="eastAsia" w:ascii="宋体" w:hAnsi="宋体" w:cs="宋体"/>
                <w:color w:val="auto"/>
                <w:szCs w:val="21"/>
                <w:highlight w:val="none"/>
              </w:rPr>
              <w:t>1.承诺日常检修，至少每个季度对</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的输氧管道、压力表、安全阀等设施设备进行检修一次的，得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分；承诺日常检修，每个月对</w:t>
            </w:r>
            <w:r>
              <w:rPr>
                <w:rFonts w:hint="eastAsia" w:ascii="宋体" w:hAnsi="宋体" w:cs="宋体"/>
                <w:color w:val="auto"/>
                <w:szCs w:val="21"/>
                <w:highlight w:val="none"/>
                <w:lang w:val="en-US" w:eastAsia="zh-CN"/>
              </w:rPr>
              <w:t>采购人</w:t>
            </w:r>
            <w:r>
              <w:rPr>
                <w:rFonts w:hint="eastAsia" w:ascii="宋体" w:hAnsi="宋体" w:cs="宋体"/>
                <w:color w:val="auto"/>
                <w:szCs w:val="21"/>
                <w:highlight w:val="none"/>
              </w:rPr>
              <w:t>的输氧管道、压力表、安全阀等设施设备进行检修一次的，得</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分；此项最多得</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w:t>
            </w:r>
          </w:p>
          <w:p w14:paraId="59FE896B">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eastAsia="宋体" w:cs="宋体"/>
                <w:bCs/>
                <w:color w:val="auto"/>
                <w:kern w:val="0"/>
                <w:sz w:val="21"/>
                <w:szCs w:val="21"/>
                <w:highlight w:val="none"/>
                <w:lang w:val="en-US" w:eastAsia="zh-CN" w:bidi="ar-SA"/>
              </w:rPr>
            </w:pPr>
            <w:r>
              <w:rPr>
                <w:rFonts w:hint="eastAsia" w:ascii="宋体" w:hAnsi="宋体" w:cs="宋体"/>
                <w:color w:val="auto"/>
                <w:szCs w:val="21"/>
                <w:highlight w:val="none"/>
              </w:rPr>
              <w:t>2.承诺接到电话后15分钟内响应，提供远程指导解决，如不能解决需3小时内到达现场提供服务解决的，得</w:t>
            </w:r>
            <w:r>
              <w:rPr>
                <w:rFonts w:hint="eastAsia" w:ascii="宋体" w:hAnsi="宋体" w:cs="宋体"/>
                <w:color w:val="auto"/>
                <w:szCs w:val="21"/>
                <w:highlight w:val="none"/>
                <w:lang w:val="en-US" w:eastAsia="zh-CN"/>
              </w:rPr>
              <w:t>3</w:t>
            </w:r>
            <w:r>
              <w:rPr>
                <w:rFonts w:hint="eastAsia" w:ascii="宋体" w:hAnsi="宋体" w:cs="宋体"/>
                <w:color w:val="auto"/>
                <w:szCs w:val="21"/>
                <w:highlight w:val="none"/>
              </w:rPr>
              <w:t>分；承诺接到电话后10分钟内响应，提供远程指导解决，如不能解决需2小时内到达现场提供服务解决的，得</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分；此项最多得</w:t>
            </w:r>
            <w:r>
              <w:rPr>
                <w:rFonts w:hint="eastAsia" w:ascii="宋体" w:hAnsi="宋体" w:cs="宋体"/>
                <w:color w:val="auto"/>
                <w:szCs w:val="21"/>
                <w:highlight w:val="none"/>
                <w:lang w:val="en-US" w:eastAsia="zh-CN"/>
              </w:rPr>
              <w:t>5</w:t>
            </w:r>
            <w:r>
              <w:rPr>
                <w:rFonts w:hint="eastAsia" w:ascii="宋体" w:hAnsi="宋体" w:cs="宋体"/>
                <w:color w:val="auto"/>
                <w:szCs w:val="21"/>
                <w:highlight w:val="none"/>
              </w:rPr>
              <w:t>分。</w:t>
            </w:r>
          </w:p>
        </w:tc>
      </w:tr>
      <w:tr w14:paraId="0425B2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9" w:type="dxa"/>
            <w:gridSpan w:val="3"/>
            <w:noWrap w:val="0"/>
            <w:vAlign w:val="center"/>
          </w:tcPr>
          <w:p w14:paraId="01AFC488">
            <w:pPr>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（三）商务分（满分10分）</w:t>
            </w:r>
          </w:p>
        </w:tc>
      </w:tr>
      <w:tr w14:paraId="55244F1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46" w:type="dxa"/>
            <w:noWrap w:val="0"/>
            <w:vAlign w:val="center"/>
          </w:tcPr>
          <w:p w14:paraId="47FB708A">
            <w:pPr>
              <w:pageBreakBefore w:val="0"/>
              <w:widowControl/>
              <w:kinsoku/>
              <w:wordWrap/>
              <w:overflowPunct/>
              <w:topLinePunct w:val="0"/>
              <w:autoSpaceDE/>
              <w:autoSpaceDN/>
              <w:bidi w:val="0"/>
              <w:adjustRightInd w:val="0"/>
              <w:snapToGrid w:val="0"/>
              <w:spacing w:line="400" w:lineRule="exact"/>
              <w:jc w:val="center"/>
              <w:textAlignment w:val="auto"/>
              <w:rPr>
                <w:rFonts w:hint="eastAsia" w:ascii="宋体" w:hAnsi="宋体" w:cs="宋体"/>
                <w:b/>
                <w:bCs w:val="0"/>
                <w:color w:val="auto"/>
                <w:kern w:val="0"/>
                <w:szCs w:val="21"/>
                <w:highlight w:val="none"/>
                <w:lang w:val="en-US" w:eastAsia="zh-CN"/>
              </w:rPr>
            </w:pPr>
            <w:bookmarkStart w:id="202" w:name="_Toc9520"/>
            <w:r>
              <w:rPr>
                <w:rFonts w:hint="eastAsia" w:ascii="宋体" w:hAnsi="宋体" w:cs="宋体"/>
                <w:b/>
                <w:bCs w:val="0"/>
                <w:color w:val="auto"/>
                <w:kern w:val="0"/>
                <w:szCs w:val="21"/>
                <w:highlight w:val="none"/>
                <w:lang w:val="en-US" w:eastAsia="zh-CN"/>
              </w:rPr>
              <w:t>业绩分</w:t>
            </w:r>
          </w:p>
        </w:tc>
        <w:tc>
          <w:tcPr>
            <w:tcW w:w="781" w:type="dxa"/>
            <w:noWrap w:val="0"/>
            <w:vAlign w:val="center"/>
          </w:tcPr>
          <w:p w14:paraId="5E009E7B">
            <w:pPr>
              <w:pageBreakBefore w:val="0"/>
              <w:widowControl/>
              <w:kinsoku/>
              <w:wordWrap/>
              <w:overflowPunct/>
              <w:topLinePunct w:val="0"/>
              <w:autoSpaceDE/>
              <w:autoSpaceDN/>
              <w:bidi w:val="0"/>
              <w:adjustRightInd w:val="0"/>
              <w:snapToGrid w:val="0"/>
              <w:spacing w:line="400" w:lineRule="exact"/>
              <w:jc w:val="center"/>
              <w:textAlignment w:val="auto"/>
              <w:rPr>
                <w:rFonts w:hint="default" w:ascii="宋体" w:hAnsi="宋体" w:cs="宋体"/>
                <w:b/>
                <w:bCs w:val="0"/>
                <w:color w:val="auto"/>
                <w:kern w:val="0"/>
                <w:szCs w:val="21"/>
                <w:highlight w:val="none"/>
                <w:lang w:val="en-US" w:eastAsia="zh-CN"/>
              </w:rPr>
            </w:pPr>
            <w:r>
              <w:rPr>
                <w:rFonts w:hint="eastAsia" w:ascii="宋体" w:hAnsi="宋体" w:cs="宋体"/>
                <w:b/>
                <w:bCs w:val="0"/>
                <w:color w:val="auto"/>
                <w:kern w:val="0"/>
                <w:szCs w:val="21"/>
                <w:highlight w:val="none"/>
                <w:lang w:val="en-US" w:eastAsia="zh-CN"/>
              </w:rPr>
              <w:t>10分</w:t>
            </w:r>
          </w:p>
        </w:tc>
        <w:tc>
          <w:tcPr>
            <w:tcW w:w="7142" w:type="dxa"/>
            <w:noWrap w:val="0"/>
            <w:vAlign w:val="center"/>
          </w:tcPr>
          <w:p w14:paraId="53946BD3">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投标人提供 2023 年 1 月 1 日以来至投标截止日期止（</w:t>
            </w:r>
            <w:r>
              <w:rPr>
                <w:rFonts w:hint="eastAsia" w:ascii="宋体" w:hAnsi="宋体" w:cs="Arial"/>
                <w:color w:val="auto"/>
                <w:szCs w:val="21"/>
                <w:highlight w:val="none"/>
              </w:rPr>
              <w:t>以合同签订或中标通知书时间为准</w:t>
            </w:r>
            <w:r>
              <w:rPr>
                <w:rFonts w:hint="eastAsia" w:ascii="宋体" w:hAnsi="宋体" w:cs="宋体"/>
                <w:bCs/>
                <w:color w:val="auto"/>
                <w:kern w:val="0"/>
                <w:szCs w:val="21"/>
                <w:highlight w:val="none"/>
                <w:lang w:val="en-US" w:eastAsia="zh-CN"/>
              </w:rPr>
              <w:t>），有开展过同类项目业绩的（供应医用氧气的业绩），每提供1个业绩得2分，本项满分10分。</w:t>
            </w:r>
          </w:p>
          <w:p w14:paraId="22FABDEC">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bCs/>
                <w:color w:val="auto"/>
                <w:kern w:val="0"/>
                <w:szCs w:val="21"/>
                <w:highlight w:val="none"/>
                <w:lang w:val="en-US" w:eastAsia="zh-CN"/>
              </w:rPr>
            </w:pPr>
            <w:r>
              <w:rPr>
                <w:rFonts w:hint="eastAsia" w:ascii="宋体" w:hAnsi="宋体" w:cs="宋体"/>
                <w:bCs/>
                <w:color w:val="auto"/>
                <w:kern w:val="0"/>
                <w:szCs w:val="21"/>
                <w:highlight w:val="none"/>
                <w:lang w:val="en-US" w:eastAsia="zh-CN"/>
              </w:rPr>
              <w:t xml:space="preserve">注：提供合同复印件或中标（成交）通知书复印件加盖投标人公章作为佐证材料，否则不得分。 </w:t>
            </w:r>
          </w:p>
        </w:tc>
      </w:tr>
      <w:tr w14:paraId="4B8E099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8769" w:type="dxa"/>
            <w:gridSpan w:val="3"/>
            <w:noWrap w:val="0"/>
            <w:vAlign w:val="center"/>
          </w:tcPr>
          <w:p w14:paraId="04DA2066">
            <w:pPr>
              <w:pageBreakBefore w:val="0"/>
              <w:widowControl/>
              <w:kinsoku/>
              <w:wordWrap/>
              <w:overflowPunct/>
              <w:topLinePunct w:val="0"/>
              <w:autoSpaceDE/>
              <w:autoSpaceDN/>
              <w:bidi w:val="0"/>
              <w:adjustRightInd w:val="0"/>
              <w:snapToGrid w:val="0"/>
              <w:spacing w:line="400" w:lineRule="exact"/>
              <w:textAlignment w:val="auto"/>
              <w:rPr>
                <w:rFonts w:hint="eastAsia" w:ascii="宋体" w:hAnsi="宋体" w:cs="宋体"/>
                <w:b/>
                <w:bCs w:val="0"/>
                <w:color w:val="auto"/>
                <w:kern w:val="0"/>
                <w:szCs w:val="21"/>
                <w:highlight w:val="none"/>
              </w:rPr>
            </w:pPr>
            <w:r>
              <w:rPr>
                <w:rFonts w:hint="eastAsia" w:ascii="宋体" w:hAnsi="宋体" w:cs="宋体"/>
                <w:b/>
                <w:bCs w:val="0"/>
                <w:color w:val="auto"/>
                <w:kern w:val="0"/>
                <w:szCs w:val="21"/>
                <w:highlight w:val="none"/>
                <w:lang w:val="en-US" w:eastAsia="zh-CN"/>
              </w:rPr>
              <w:t>总得分=（一）+（二）+</w:t>
            </w:r>
            <w:bookmarkEnd w:id="202"/>
            <w:r>
              <w:rPr>
                <w:rFonts w:hint="eastAsia" w:ascii="宋体" w:hAnsi="宋体" w:cs="宋体"/>
                <w:b/>
                <w:bCs w:val="0"/>
                <w:color w:val="auto"/>
                <w:kern w:val="0"/>
                <w:szCs w:val="21"/>
                <w:highlight w:val="none"/>
                <w:lang w:val="en-US" w:eastAsia="zh-CN"/>
              </w:rPr>
              <w:t>（三）</w:t>
            </w:r>
          </w:p>
        </w:tc>
      </w:tr>
    </w:tbl>
    <w:p w14:paraId="512D3133">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p>
    <w:p w14:paraId="5A035369">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p>
    <w:p w14:paraId="5FEEF3CA">
      <w:pPr>
        <w:pageBreakBefore w:val="0"/>
        <w:widowControl/>
        <w:kinsoku/>
        <w:wordWrap/>
        <w:overflowPunct/>
        <w:topLinePunct w:val="0"/>
        <w:autoSpaceDE/>
        <w:autoSpaceDN/>
        <w:bidi w:val="0"/>
        <w:adjustRightInd w:val="0"/>
        <w:snapToGrid w:val="0"/>
        <w:spacing w:line="400" w:lineRule="exact"/>
        <w:ind w:firstLine="378" w:firstLineChars="180"/>
        <w:textAlignment w:val="auto"/>
        <w:rPr>
          <w:rFonts w:hint="eastAsia" w:ascii="宋体" w:hAnsi="宋体" w:cs="宋体"/>
          <w:color w:val="auto"/>
          <w:kern w:val="0"/>
          <w:szCs w:val="21"/>
          <w:highlight w:val="none"/>
        </w:rPr>
      </w:pPr>
    </w:p>
    <w:p w14:paraId="01A58E6A">
      <w:pPr>
        <w:rPr>
          <w:rFonts w:hint="eastAsia" w:ascii="宋体" w:hAnsi="宋体" w:eastAsia="宋体" w:cs="宋体"/>
          <w:color w:val="auto"/>
          <w:highlight w:val="none"/>
        </w:rPr>
      </w:pPr>
      <w:bookmarkStart w:id="203" w:name="_Toc4130"/>
      <w:bookmarkStart w:id="204" w:name="_Toc13030"/>
    </w:p>
    <w:p w14:paraId="64AD7098">
      <w:pPr>
        <w:pStyle w:val="3"/>
        <w:pageBreakBefore w:val="0"/>
        <w:kinsoku/>
        <w:wordWrap/>
        <w:overflowPunct/>
        <w:topLinePunct w:val="0"/>
        <w:autoSpaceDE/>
        <w:autoSpaceDN/>
        <w:bidi w:val="0"/>
        <w:spacing w:before="0" w:after="0" w:line="400" w:lineRule="exact"/>
        <w:jc w:val="center"/>
        <w:textAlignment w:val="auto"/>
        <w:rPr>
          <w:rFonts w:hint="eastAsia" w:ascii="宋体" w:hAnsi="宋体" w:eastAsia="宋体" w:cs="宋体"/>
          <w:color w:val="auto"/>
          <w:highlight w:val="none"/>
        </w:rPr>
      </w:pPr>
      <w:bookmarkStart w:id="205" w:name="_Toc26323"/>
      <w:r>
        <w:rPr>
          <w:rFonts w:hint="eastAsia" w:ascii="宋体" w:hAnsi="宋体" w:eastAsia="宋体" w:cs="宋体"/>
          <w:color w:val="auto"/>
          <w:highlight w:val="none"/>
        </w:rPr>
        <w:t>四、中标候选人推荐原则</w:t>
      </w:r>
      <w:bookmarkEnd w:id="203"/>
      <w:bookmarkEnd w:id="204"/>
      <w:bookmarkEnd w:id="205"/>
    </w:p>
    <w:p w14:paraId="578BB840">
      <w:pPr>
        <w:pStyle w:val="20"/>
        <w:pageBreakBefore w:val="0"/>
        <w:kinsoku/>
        <w:wordWrap/>
        <w:overflowPunct/>
        <w:topLinePunct w:val="0"/>
        <w:autoSpaceDE/>
        <w:autoSpaceDN/>
        <w:bidi w:val="0"/>
        <w:spacing w:line="400" w:lineRule="exact"/>
        <w:ind w:firstLine="420" w:firstLineChars="200"/>
        <w:contextualSpacing/>
        <w:textAlignment w:val="auto"/>
        <w:rPr>
          <w:rFonts w:hint="eastAsia" w:hAnsi="宋体" w:cs="宋体"/>
          <w:color w:val="auto"/>
          <w:highlight w:val="none"/>
        </w:rPr>
      </w:pPr>
      <w:r>
        <w:rPr>
          <w:rFonts w:hint="eastAsia" w:hAnsi="宋体" w:cs="宋体"/>
          <w:color w:val="auto"/>
          <w:highlight w:val="none"/>
        </w:rPr>
        <w:t>1.评标委员会根据原始评标记录和评标结果编写评标报告，并通过电子交易平台向采购人、采购代理机构提交。</w:t>
      </w:r>
    </w:p>
    <w:p w14:paraId="2DB3ED84">
      <w:pPr>
        <w:pStyle w:val="20"/>
        <w:pageBreakBefore w:val="0"/>
        <w:kinsoku/>
        <w:wordWrap/>
        <w:overflowPunct/>
        <w:topLinePunct w:val="0"/>
        <w:autoSpaceDE/>
        <w:autoSpaceDN/>
        <w:bidi w:val="0"/>
        <w:spacing w:line="400" w:lineRule="exact"/>
        <w:ind w:firstLine="420" w:firstLineChars="200"/>
        <w:contextualSpacing/>
        <w:textAlignment w:val="auto"/>
        <w:rPr>
          <w:rFonts w:hint="eastAsia" w:hAnsi="宋体" w:cs="宋体"/>
          <w:color w:val="auto"/>
          <w:highlight w:val="none"/>
        </w:rPr>
      </w:pPr>
      <w:r>
        <w:rPr>
          <w:rFonts w:hint="eastAsia" w:hAnsi="宋体" w:cs="宋体"/>
          <w:color w:val="auto"/>
          <w:highlight w:val="none"/>
        </w:rPr>
        <w:t>2.评标委员会将根据总得分由高到低排列次序并推荐中标候选人。得分相同的，以投标报价由低到高顺序排列。得分相同且投标报价相同的并列，投标文件满足招标文件全部实质性要求，且按照评审因素的量化指标评审【详见投标人须知前附表30.1条】得分最高的投标人为排名第一的中标候选人。</w:t>
      </w:r>
    </w:p>
    <w:p w14:paraId="7CFD925B">
      <w:pPr>
        <w:pStyle w:val="20"/>
        <w:spacing w:line="440" w:lineRule="exact"/>
        <w:ind w:firstLine="420" w:firstLineChars="200"/>
        <w:contextualSpacing/>
        <w:rPr>
          <w:rFonts w:hint="eastAsia" w:hAnsi="宋体" w:cs="宋体"/>
          <w:b/>
          <w:color w:val="auto"/>
          <w:sz w:val="24"/>
          <w:highlight w:val="none"/>
        </w:rPr>
      </w:pPr>
      <w:r>
        <w:rPr>
          <w:rFonts w:hint="eastAsia" w:hAnsi="宋体" w:cs="宋体"/>
          <w:color w:val="auto"/>
          <w:highlight w:val="none"/>
        </w:rPr>
        <w:br w:type="page"/>
      </w:r>
    </w:p>
    <w:p w14:paraId="032C592D">
      <w:pPr>
        <w:pStyle w:val="2"/>
        <w:jc w:val="center"/>
        <w:rPr>
          <w:rFonts w:hint="eastAsia" w:ascii="宋体" w:hAnsi="宋体" w:eastAsia="宋体" w:cs="宋体"/>
          <w:b/>
          <w:bCs/>
          <w:color w:val="auto"/>
          <w:sz w:val="24"/>
          <w:szCs w:val="24"/>
          <w:highlight w:val="none"/>
        </w:rPr>
      </w:pPr>
      <w:bookmarkStart w:id="206" w:name="_Toc12821"/>
      <w:bookmarkStart w:id="207" w:name="_Toc25693"/>
      <w:bookmarkStart w:id="208" w:name="_Toc5182"/>
      <w:bookmarkStart w:id="209" w:name="_Toc22428"/>
      <w:r>
        <w:rPr>
          <w:rFonts w:hint="eastAsia" w:ascii="宋体" w:hAnsi="宋体" w:cs="宋体"/>
          <w:color w:val="auto"/>
          <w:highlight w:val="none"/>
        </w:rPr>
        <w:t>第五章  拟签订的合同文本</w:t>
      </w:r>
      <w:bookmarkEnd w:id="206"/>
      <w:bookmarkEnd w:id="207"/>
      <w:bookmarkEnd w:id="208"/>
      <w:bookmarkEnd w:id="209"/>
    </w:p>
    <w:p w14:paraId="61912ADB">
      <w:pPr>
        <w:spacing w:before="120" w:line="320" w:lineRule="atLeast"/>
        <w:ind w:firstLine="422" w:firstLineChars="200"/>
        <w:jc w:val="center"/>
        <w:outlineLvl w:val="1"/>
        <w:rPr>
          <w:b/>
          <w:bCs/>
          <w:color w:val="auto"/>
          <w:kern w:val="0"/>
          <w:szCs w:val="21"/>
          <w:highlight w:val="none"/>
        </w:rPr>
      </w:pPr>
      <w:bookmarkStart w:id="210" w:name="_Toc15966"/>
      <w:bookmarkStart w:id="211" w:name="_Toc20718"/>
      <w:bookmarkStart w:id="212" w:name="_Toc30294"/>
      <w:bookmarkStart w:id="213" w:name="_Toc25427"/>
      <w:r>
        <w:rPr>
          <w:b/>
          <w:bCs/>
          <w:color w:val="auto"/>
          <w:kern w:val="0"/>
          <w:szCs w:val="21"/>
          <w:highlight w:val="none"/>
        </w:rPr>
        <w:t>广西壮族自治区政府采购合同</w:t>
      </w:r>
      <w:bookmarkEnd w:id="210"/>
    </w:p>
    <w:p w14:paraId="5E3F25F1">
      <w:pPr>
        <w:rPr>
          <w:color w:val="auto"/>
          <w:highlight w:val="none"/>
        </w:rPr>
      </w:pPr>
    </w:p>
    <w:p w14:paraId="1813D6BC">
      <w:pPr>
        <w:spacing w:before="120" w:beforeLines="50" w:after="120" w:afterLines="50"/>
        <w:rPr>
          <w:color w:val="auto"/>
          <w:highlight w:val="none"/>
        </w:rPr>
      </w:pPr>
      <w:r>
        <w:rPr>
          <w:rFonts w:hint="eastAsia"/>
          <w:color w:val="auto"/>
          <w:highlight w:val="none"/>
        </w:rPr>
        <w:t>合同编号：</w:t>
      </w:r>
      <w:r>
        <w:rPr>
          <w:rFonts w:hint="eastAsia"/>
          <w:color w:val="auto"/>
          <w:highlight w:val="none"/>
        </w:rPr>
        <w:tab/>
      </w:r>
      <w:r>
        <w:rPr>
          <w:rFonts w:hint="eastAsia"/>
          <w:color w:val="auto"/>
          <w:highlight w:val="none"/>
        </w:rPr>
        <w:tab/>
      </w:r>
      <w:r>
        <w:rPr>
          <w:rFonts w:hint="eastAsia"/>
          <w:color w:val="auto"/>
          <w:highlight w:val="none"/>
        </w:rPr>
        <w:t xml:space="preserve">                         </w:t>
      </w:r>
    </w:p>
    <w:p w14:paraId="3C9C6D19">
      <w:pPr>
        <w:spacing w:before="120" w:beforeLines="50" w:after="120" w:afterLines="50"/>
        <w:rPr>
          <w:rFonts w:hint="eastAsia"/>
          <w:color w:val="auto"/>
          <w:highlight w:val="none"/>
        </w:rPr>
      </w:pPr>
      <w:r>
        <w:rPr>
          <w:rFonts w:hint="eastAsia"/>
          <w:color w:val="auto"/>
          <w:highlight w:val="none"/>
        </w:rPr>
        <w:t>项目名称：</w:t>
      </w:r>
      <w:r>
        <w:rPr>
          <w:rFonts w:hint="eastAsia"/>
          <w:color w:val="auto"/>
          <w:kern w:val="0"/>
          <w:szCs w:val="21"/>
          <w:highlight w:val="none"/>
          <w:lang w:val="en-US" w:eastAsia="zh-CN"/>
        </w:rPr>
        <w:t xml:space="preserve"> </w:t>
      </w:r>
      <w:r>
        <w:rPr>
          <w:rFonts w:hint="eastAsia"/>
          <w:color w:val="auto"/>
          <w:highlight w:val="none"/>
        </w:rPr>
        <w:tab/>
      </w:r>
      <w:r>
        <w:rPr>
          <w:rFonts w:hint="eastAsia"/>
          <w:color w:val="auto"/>
          <w:highlight w:val="none"/>
        </w:rPr>
        <w:t xml:space="preserve">       </w:t>
      </w:r>
    </w:p>
    <w:p w14:paraId="4C219980">
      <w:pPr>
        <w:spacing w:before="120" w:beforeLines="50" w:after="120" w:afterLines="50"/>
        <w:rPr>
          <w:color w:val="auto"/>
          <w:highlight w:val="none"/>
        </w:rPr>
      </w:pPr>
      <w:r>
        <w:rPr>
          <w:rFonts w:hint="eastAsia"/>
          <w:color w:val="auto"/>
          <w:highlight w:val="none"/>
        </w:rPr>
        <w:t>项目编号：</w:t>
      </w:r>
    </w:p>
    <w:p w14:paraId="0329503F">
      <w:pPr>
        <w:spacing w:before="120" w:beforeLines="50" w:after="120" w:afterLines="50"/>
        <w:rPr>
          <w:color w:val="auto"/>
          <w:highlight w:val="none"/>
        </w:rPr>
      </w:pPr>
      <w:r>
        <w:rPr>
          <w:rFonts w:hint="eastAsia"/>
          <w:color w:val="auto"/>
          <w:highlight w:val="none"/>
        </w:rPr>
        <w:t>采购人（甲方）：广西壮族自治区江滨医院</w:t>
      </w:r>
    </w:p>
    <w:p w14:paraId="400AADF9">
      <w:pPr>
        <w:spacing w:before="120" w:beforeLines="50" w:after="120" w:afterLines="50"/>
        <w:rPr>
          <w:color w:val="auto"/>
          <w:highlight w:val="none"/>
        </w:rPr>
      </w:pPr>
      <w:r>
        <w:rPr>
          <w:rFonts w:hint="eastAsia"/>
          <w:color w:val="auto"/>
          <w:highlight w:val="none"/>
        </w:rPr>
        <w:t>供应商（乙方）：</w:t>
      </w:r>
      <w:r>
        <w:rPr>
          <w:rFonts w:hint="eastAsia"/>
          <w:color w:val="auto"/>
          <w:highlight w:val="none"/>
        </w:rPr>
        <w:tab/>
      </w:r>
    </w:p>
    <w:p w14:paraId="3BB95BEA">
      <w:pPr>
        <w:spacing w:before="120" w:beforeLines="50" w:after="120" w:afterLines="50"/>
        <w:rPr>
          <w:color w:val="auto"/>
          <w:highlight w:val="none"/>
        </w:rPr>
      </w:pPr>
      <w:r>
        <w:rPr>
          <w:rFonts w:hint="eastAsia"/>
          <w:color w:val="auto"/>
          <w:highlight w:val="none"/>
        </w:rPr>
        <w:t>签订地点：</w:t>
      </w:r>
      <w:r>
        <w:rPr>
          <w:rFonts w:hint="eastAsia"/>
          <w:color w:val="auto"/>
          <w:highlight w:val="none"/>
        </w:rPr>
        <w:tab/>
      </w:r>
      <w:r>
        <w:rPr>
          <w:rFonts w:hint="eastAsia"/>
          <w:color w:val="auto"/>
          <w:highlight w:val="none"/>
        </w:rPr>
        <w:tab/>
      </w:r>
      <w:r>
        <w:rPr>
          <w:rFonts w:hint="eastAsia"/>
          <w:color w:val="auto"/>
          <w:highlight w:val="none"/>
        </w:rPr>
        <w:t xml:space="preserve">                                       签订时间：</w:t>
      </w:r>
      <w:r>
        <w:rPr>
          <w:rFonts w:hint="eastAsia"/>
          <w:color w:val="auto"/>
          <w:highlight w:val="none"/>
        </w:rPr>
        <w:tab/>
      </w:r>
    </w:p>
    <w:p w14:paraId="7816A6A9">
      <w:pPr>
        <w:spacing w:line="360" w:lineRule="exact"/>
        <w:ind w:right="480" w:firstLine="5985" w:firstLineChars="2850"/>
        <w:rPr>
          <w:bCs/>
          <w:color w:val="auto"/>
          <w:szCs w:val="21"/>
          <w:highlight w:val="none"/>
        </w:rPr>
      </w:pPr>
    </w:p>
    <w:p w14:paraId="180494B6">
      <w:pPr>
        <w:pStyle w:val="20"/>
        <w:spacing w:line="300" w:lineRule="exact"/>
        <w:ind w:firstLine="420" w:firstLineChars="200"/>
        <w:rPr>
          <w:rFonts w:ascii="Times New Roman" w:hAnsi="Times New Roman" w:cs="Times New Roman"/>
          <w:color w:val="auto"/>
          <w:highlight w:val="none"/>
        </w:rPr>
      </w:pPr>
      <w:r>
        <w:rPr>
          <w:rFonts w:ascii="Times New Roman" w:hAnsi="Times New Roman" w:cs="Times New Roman"/>
          <w:color w:val="auto"/>
          <w:highlight w:val="none"/>
        </w:rPr>
        <w:t>根据《中华人民共和国政府采购法》</w:t>
      </w:r>
      <w:r>
        <w:rPr>
          <w:rFonts w:hint="eastAsia" w:ascii="Times New Roman" w:hAnsi="Times New Roman" w:cs="Times New Roman"/>
          <w:color w:val="auto"/>
          <w:highlight w:val="none"/>
        </w:rPr>
        <w:t>、</w:t>
      </w:r>
      <w:r>
        <w:rPr>
          <w:rFonts w:ascii="Times New Roman" w:hAnsi="Times New Roman" w:cs="Times New Roman"/>
          <w:color w:val="auto"/>
          <w:highlight w:val="none"/>
        </w:rPr>
        <w:t>《中华人民共和国政府采购法</w:t>
      </w:r>
      <w:r>
        <w:rPr>
          <w:rFonts w:hint="eastAsia" w:ascii="Times New Roman" w:hAnsi="Times New Roman" w:cs="Times New Roman"/>
          <w:color w:val="auto"/>
          <w:highlight w:val="none"/>
        </w:rPr>
        <w:t>实施条例</w:t>
      </w:r>
      <w:r>
        <w:rPr>
          <w:rFonts w:ascii="Times New Roman" w:hAnsi="Times New Roman" w:cs="Times New Roman"/>
          <w:color w:val="auto"/>
          <w:highlight w:val="none"/>
        </w:rPr>
        <w:t>》等法律、法规规定，按照招标文件规定</w:t>
      </w:r>
      <w:r>
        <w:rPr>
          <w:rFonts w:hint="eastAsia" w:ascii="Times New Roman" w:hAnsi="Times New Roman" w:cs="Times New Roman"/>
          <w:color w:val="auto"/>
          <w:highlight w:val="none"/>
        </w:rPr>
        <w:t>、</w:t>
      </w:r>
      <w:r>
        <w:rPr>
          <w:rFonts w:ascii="Times New Roman" w:hAnsi="Times New Roman" w:cs="Times New Roman"/>
          <w:color w:val="auto"/>
          <w:highlight w:val="none"/>
        </w:rPr>
        <w:t>乙方投标文件及其承诺</w:t>
      </w:r>
      <w:r>
        <w:rPr>
          <w:rFonts w:hint="eastAsia" w:ascii="Times New Roman" w:hAnsi="Times New Roman" w:cs="Times New Roman"/>
          <w:color w:val="auto"/>
          <w:highlight w:val="none"/>
        </w:rPr>
        <w:t>和中标通知书</w:t>
      </w:r>
      <w:r>
        <w:rPr>
          <w:rFonts w:ascii="Times New Roman" w:hAnsi="Times New Roman" w:cs="Times New Roman"/>
          <w:color w:val="auto"/>
          <w:highlight w:val="none"/>
        </w:rPr>
        <w:t>，甲乙双方签订本合同。</w:t>
      </w:r>
    </w:p>
    <w:p w14:paraId="02C9D294">
      <w:pPr>
        <w:spacing w:line="360" w:lineRule="exact"/>
        <w:ind w:firstLine="422" w:firstLineChars="200"/>
        <w:rPr>
          <w:b/>
          <w:color w:val="auto"/>
          <w:szCs w:val="21"/>
          <w:highlight w:val="none"/>
        </w:rPr>
      </w:pPr>
      <w:r>
        <w:rPr>
          <w:b/>
          <w:color w:val="auto"/>
          <w:szCs w:val="21"/>
          <w:highlight w:val="none"/>
        </w:rPr>
        <w:t>第一条　项目概况及服务范围</w:t>
      </w:r>
    </w:p>
    <w:p w14:paraId="13A01DAF">
      <w:pPr>
        <w:spacing w:line="360" w:lineRule="exact"/>
        <w:ind w:firstLine="420" w:firstLineChars="200"/>
        <w:rPr>
          <w:rFonts w:hint="eastAsia" w:eastAsia="宋体"/>
          <w:color w:val="auto"/>
          <w:szCs w:val="21"/>
          <w:highlight w:val="none"/>
          <w:lang w:eastAsia="zh-CN"/>
        </w:rPr>
      </w:pPr>
      <w:r>
        <w:rPr>
          <w:color w:val="auto"/>
          <w:szCs w:val="21"/>
          <w:highlight w:val="none"/>
        </w:rPr>
        <w:t>1.项目名称：</w:t>
      </w:r>
      <w:r>
        <w:rPr>
          <w:rFonts w:hint="eastAsia"/>
          <w:color w:val="auto"/>
          <w:szCs w:val="21"/>
          <w:highlight w:val="none"/>
          <w:u w:val="single"/>
          <w:lang w:val="en-US" w:eastAsia="zh-CN"/>
        </w:rPr>
        <w:t xml:space="preserve"> </w:t>
      </w:r>
    </w:p>
    <w:p w14:paraId="009F729C">
      <w:pPr>
        <w:spacing w:line="360" w:lineRule="exact"/>
        <w:ind w:firstLine="420" w:firstLineChars="200"/>
        <w:rPr>
          <w:color w:val="auto"/>
          <w:szCs w:val="21"/>
          <w:highlight w:val="none"/>
        </w:rPr>
      </w:pPr>
      <w:r>
        <w:rPr>
          <w:color w:val="auto"/>
          <w:szCs w:val="21"/>
          <w:highlight w:val="none"/>
        </w:rPr>
        <w:t>2.服务内容及范围：</w:t>
      </w:r>
      <w:r>
        <w:rPr>
          <w:color w:val="auto"/>
          <w:szCs w:val="21"/>
          <w:highlight w:val="none"/>
          <w:u w:val="single"/>
        </w:rPr>
        <w:t xml:space="preserve"> </w:t>
      </w:r>
      <w:r>
        <w:rPr>
          <w:rFonts w:hint="eastAsia"/>
          <w:color w:val="auto"/>
          <w:szCs w:val="21"/>
          <w:highlight w:val="none"/>
          <w:u w:val="single"/>
          <w:lang w:val="en-US" w:eastAsia="zh-CN"/>
        </w:rPr>
        <w:t xml:space="preserve">        </w:t>
      </w:r>
      <w:r>
        <w:rPr>
          <w:color w:val="auto"/>
          <w:szCs w:val="21"/>
          <w:highlight w:val="none"/>
        </w:rPr>
        <w:t xml:space="preserve">  </w:t>
      </w:r>
    </w:p>
    <w:p w14:paraId="7FFC7F58">
      <w:pPr>
        <w:spacing w:line="360" w:lineRule="exact"/>
        <w:ind w:firstLine="420" w:firstLineChars="200"/>
        <w:rPr>
          <w:color w:val="auto"/>
          <w:szCs w:val="21"/>
          <w:highlight w:val="none"/>
        </w:rPr>
      </w:pPr>
      <w:r>
        <w:rPr>
          <w:color w:val="auto"/>
          <w:szCs w:val="21"/>
          <w:highlight w:val="none"/>
        </w:rPr>
        <w:t>3.</w:t>
      </w:r>
      <w:r>
        <w:rPr>
          <w:rFonts w:hint="eastAsia"/>
          <w:color w:val="auto"/>
          <w:szCs w:val="21"/>
          <w:highlight w:val="none"/>
        </w:rPr>
        <w:t>服务时间</w:t>
      </w:r>
      <w:r>
        <w:rPr>
          <w:color w:val="auto"/>
          <w:szCs w:val="21"/>
          <w:highlight w:val="none"/>
        </w:rPr>
        <w:t>：</w:t>
      </w:r>
      <w:r>
        <w:rPr>
          <w:color w:val="auto"/>
          <w:szCs w:val="21"/>
          <w:highlight w:val="none"/>
          <w:u w:val="single"/>
        </w:rPr>
        <w:t xml:space="preserve"> </w:t>
      </w:r>
      <w:r>
        <w:rPr>
          <w:rFonts w:hint="eastAsia"/>
          <w:color w:val="auto"/>
          <w:szCs w:val="21"/>
          <w:highlight w:val="none"/>
          <w:u w:val="single"/>
        </w:rPr>
        <w:t xml:space="preserve"> </w:t>
      </w:r>
      <w:r>
        <w:rPr>
          <w:rFonts w:hint="eastAsia"/>
          <w:color w:val="auto"/>
          <w:szCs w:val="21"/>
          <w:highlight w:val="none"/>
          <w:u w:val="single"/>
          <w:lang w:val="en-US" w:eastAsia="zh-CN"/>
        </w:rPr>
        <w:t xml:space="preserve"> </w:t>
      </w:r>
      <w:r>
        <w:rPr>
          <w:rFonts w:hint="eastAsia"/>
          <w:color w:val="auto"/>
          <w:szCs w:val="21"/>
          <w:highlight w:val="none"/>
          <w:u w:val="single"/>
        </w:rPr>
        <w:t xml:space="preserve"> </w:t>
      </w:r>
      <w:r>
        <w:rPr>
          <w:color w:val="auto"/>
          <w:szCs w:val="21"/>
          <w:highlight w:val="none"/>
        </w:rPr>
        <w:t>；</w:t>
      </w:r>
    </w:p>
    <w:p w14:paraId="14AE4769">
      <w:pPr>
        <w:spacing w:line="360" w:lineRule="exact"/>
        <w:ind w:firstLine="420" w:firstLineChars="200"/>
        <w:rPr>
          <w:color w:val="auto"/>
          <w:szCs w:val="21"/>
          <w:highlight w:val="none"/>
        </w:rPr>
      </w:pPr>
      <w:r>
        <w:rPr>
          <w:color w:val="auto"/>
          <w:szCs w:val="21"/>
          <w:highlight w:val="none"/>
        </w:rPr>
        <w:t>4.</w:t>
      </w:r>
      <w:r>
        <w:rPr>
          <w:rFonts w:hint="eastAsia"/>
          <w:color w:val="auto"/>
          <w:szCs w:val="21"/>
          <w:highlight w:val="none"/>
        </w:rPr>
        <w:t>交货地点或服务地点</w:t>
      </w:r>
      <w:r>
        <w:rPr>
          <w:color w:val="auto"/>
          <w:szCs w:val="21"/>
          <w:highlight w:val="none"/>
        </w:rPr>
        <w:t>：</w:t>
      </w:r>
      <w:r>
        <w:rPr>
          <w:color w:val="auto"/>
          <w:szCs w:val="21"/>
          <w:highlight w:val="none"/>
          <w:u w:val="single"/>
        </w:rPr>
        <w:t xml:space="preserve"> </w:t>
      </w:r>
      <w:r>
        <w:rPr>
          <w:rFonts w:hint="eastAsia"/>
          <w:color w:val="auto"/>
          <w:szCs w:val="21"/>
          <w:highlight w:val="none"/>
          <w:u w:val="single"/>
          <w:lang w:val="en-US" w:eastAsia="zh-CN"/>
        </w:rPr>
        <w:t xml:space="preserve">           </w:t>
      </w:r>
      <w:r>
        <w:rPr>
          <w:color w:val="auto"/>
          <w:szCs w:val="21"/>
          <w:highlight w:val="none"/>
          <w:u w:val="single"/>
        </w:rPr>
        <w:t xml:space="preserve"> </w:t>
      </w:r>
      <w:r>
        <w:rPr>
          <w:color w:val="auto"/>
          <w:szCs w:val="21"/>
          <w:highlight w:val="none"/>
        </w:rPr>
        <w:t xml:space="preserve">； </w:t>
      </w:r>
    </w:p>
    <w:p w14:paraId="7CF6507F">
      <w:pPr>
        <w:spacing w:line="360" w:lineRule="exact"/>
        <w:ind w:firstLine="420" w:firstLineChars="200"/>
        <w:rPr>
          <w:color w:val="auto"/>
          <w:szCs w:val="21"/>
          <w:highlight w:val="none"/>
        </w:rPr>
      </w:pPr>
      <w:r>
        <w:rPr>
          <w:color w:val="auto"/>
          <w:szCs w:val="21"/>
          <w:highlight w:val="none"/>
        </w:rPr>
        <w:t>5.报价要求：合同合计金额可能包括</w:t>
      </w:r>
      <w:r>
        <w:rPr>
          <w:rFonts w:ascii="Arial" w:hAnsi="Arial" w:cs="Arial"/>
          <w:color w:val="auto"/>
          <w:szCs w:val="21"/>
          <w:highlight w:val="none"/>
        </w:rPr>
        <w:t>货物的价款、产品的包装费用、运输费、装卸费用、</w:t>
      </w:r>
      <w:r>
        <w:rPr>
          <w:rFonts w:hint="eastAsia" w:ascii="Arial" w:hAnsi="Arial" w:cs="Arial"/>
          <w:color w:val="auto"/>
          <w:szCs w:val="21"/>
          <w:highlight w:val="none"/>
        </w:rPr>
        <w:t>管道改造安装、</w:t>
      </w:r>
      <w:r>
        <w:rPr>
          <w:rFonts w:ascii="Arial" w:hAnsi="Arial" w:cs="Arial"/>
          <w:color w:val="auto"/>
          <w:szCs w:val="21"/>
          <w:highlight w:val="none"/>
        </w:rPr>
        <w:t>检测费、</w:t>
      </w:r>
      <w:r>
        <w:rPr>
          <w:rFonts w:hint="eastAsia" w:ascii="Arial" w:hAnsi="Arial" w:cs="Arial"/>
          <w:color w:val="auto"/>
          <w:szCs w:val="21"/>
          <w:highlight w:val="none"/>
        </w:rPr>
        <w:t>维护、维保</w:t>
      </w:r>
      <w:r>
        <w:rPr>
          <w:rFonts w:ascii="Arial" w:hAnsi="Arial" w:cs="Arial"/>
          <w:color w:val="auto"/>
          <w:szCs w:val="21"/>
          <w:highlight w:val="none"/>
        </w:rPr>
        <w:t>人工费用、保险、管理服务成本、法定税费</w:t>
      </w:r>
      <w:r>
        <w:rPr>
          <w:rFonts w:hint="eastAsia" w:ascii="Arial" w:hAnsi="Arial" w:cs="Arial"/>
          <w:color w:val="auto"/>
          <w:szCs w:val="21"/>
          <w:highlight w:val="none"/>
        </w:rPr>
        <w:t>的全部费用。</w:t>
      </w:r>
    </w:p>
    <w:p w14:paraId="107B11AC">
      <w:pPr>
        <w:pStyle w:val="20"/>
        <w:spacing w:line="300" w:lineRule="exact"/>
        <w:ind w:firstLine="420" w:firstLineChars="200"/>
        <w:rPr>
          <w:rFonts w:hint="eastAsia" w:ascii="Times New Roman" w:hAnsi="Times New Roman" w:eastAsia="宋体" w:cs="Times New Roman"/>
          <w:color w:val="auto"/>
          <w:highlight w:val="none"/>
          <w:lang w:eastAsia="zh-CN"/>
        </w:rPr>
      </w:pPr>
      <w:bookmarkStart w:id="214" w:name="_Hlk77611311"/>
      <w:r>
        <w:rPr>
          <w:rFonts w:ascii="Times New Roman" w:hAnsi="Times New Roman" w:cs="Times New Roman"/>
          <w:color w:val="auto"/>
          <w:highlight w:val="none"/>
        </w:rPr>
        <w:t>6</w:t>
      </w:r>
      <w:r>
        <w:rPr>
          <w:rFonts w:hint="eastAsia" w:ascii="Times New Roman" w:hAnsi="Times New Roman" w:cs="Times New Roman"/>
          <w:color w:val="auto"/>
          <w:highlight w:val="none"/>
        </w:rPr>
        <w:t>.合同价格形式：固定单价</w:t>
      </w:r>
    </w:p>
    <w:bookmarkEnd w:id="214"/>
    <w:p w14:paraId="5C61BEF0">
      <w:pPr>
        <w:spacing w:line="360" w:lineRule="exact"/>
        <w:ind w:firstLine="422" w:firstLineChars="200"/>
        <w:rPr>
          <w:b/>
          <w:color w:val="auto"/>
          <w:szCs w:val="21"/>
          <w:highlight w:val="none"/>
        </w:rPr>
      </w:pPr>
      <w:r>
        <w:rPr>
          <w:b/>
          <w:color w:val="auto"/>
          <w:szCs w:val="21"/>
          <w:highlight w:val="none"/>
        </w:rPr>
        <w:t>第二条　服务（产品）清单</w:t>
      </w:r>
    </w:p>
    <w:tbl>
      <w:tblPr>
        <w:tblStyle w:val="39"/>
        <w:tblW w:w="0" w:type="auto"/>
        <w:tblInd w:w="-72"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602"/>
        <w:gridCol w:w="1583"/>
        <w:gridCol w:w="926"/>
        <w:gridCol w:w="1201"/>
        <w:gridCol w:w="1311"/>
        <w:gridCol w:w="1748"/>
        <w:gridCol w:w="1748"/>
      </w:tblGrid>
      <w:tr w14:paraId="6E6B89B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808" w:hRule="atLeast"/>
        </w:trPr>
        <w:tc>
          <w:tcPr>
            <w:tcW w:w="602" w:type="dxa"/>
            <w:vAlign w:val="center"/>
          </w:tcPr>
          <w:p w14:paraId="2CE6D3A8">
            <w:pPr>
              <w:spacing w:line="360" w:lineRule="exact"/>
              <w:jc w:val="center"/>
              <w:rPr>
                <w:color w:val="auto"/>
                <w:szCs w:val="21"/>
                <w:highlight w:val="none"/>
              </w:rPr>
            </w:pPr>
            <w:r>
              <w:rPr>
                <w:color w:val="auto"/>
                <w:szCs w:val="21"/>
                <w:highlight w:val="none"/>
              </w:rPr>
              <w:t>序号</w:t>
            </w:r>
          </w:p>
        </w:tc>
        <w:tc>
          <w:tcPr>
            <w:tcW w:w="1583" w:type="dxa"/>
            <w:vAlign w:val="center"/>
          </w:tcPr>
          <w:p w14:paraId="2E529F09">
            <w:pPr>
              <w:spacing w:line="360" w:lineRule="exact"/>
              <w:jc w:val="center"/>
              <w:rPr>
                <w:color w:val="auto"/>
                <w:szCs w:val="21"/>
                <w:highlight w:val="none"/>
              </w:rPr>
            </w:pPr>
            <w:r>
              <w:rPr>
                <w:rFonts w:hint="eastAsia"/>
                <w:color w:val="auto"/>
                <w:szCs w:val="21"/>
                <w:highlight w:val="none"/>
              </w:rPr>
              <w:t>品名</w:t>
            </w:r>
          </w:p>
        </w:tc>
        <w:tc>
          <w:tcPr>
            <w:tcW w:w="926" w:type="dxa"/>
            <w:vAlign w:val="center"/>
          </w:tcPr>
          <w:p w14:paraId="32ABEF4B">
            <w:pPr>
              <w:spacing w:line="360" w:lineRule="exact"/>
              <w:jc w:val="center"/>
              <w:rPr>
                <w:color w:val="auto"/>
                <w:szCs w:val="21"/>
                <w:highlight w:val="none"/>
              </w:rPr>
            </w:pPr>
            <w:r>
              <w:rPr>
                <w:color w:val="auto"/>
                <w:szCs w:val="21"/>
                <w:highlight w:val="none"/>
              </w:rPr>
              <w:t>数 量</w:t>
            </w:r>
          </w:p>
        </w:tc>
        <w:tc>
          <w:tcPr>
            <w:tcW w:w="1201" w:type="dxa"/>
            <w:vAlign w:val="center"/>
          </w:tcPr>
          <w:p w14:paraId="0907CD9E">
            <w:pPr>
              <w:spacing w:line="360" w:lineRule="exact"/>
              <w:jc w:val="center"/>
              <w:rPr>
                <w:color w:val="auto"/>
                <w:szCs w:val="21"/>
                <w:highlight w:val="none"/>
              </w:rPr>
            </w:pPr>
            <w:r>
              <w:rPr>
                <w:color w:val="auto"/>
                <w:szCs w:val="21"/>
                <w:highlight w:val="none"/>
              </w:rPr>
              <w:t>单位</w:t>
            </w:r>
          </w:p>
        </w:tc>
        <w:tc>
          <w:tcPr>
            <w:tcW w:w="1311" w:type="dxa"/>
            <w:vAlign w:val="center"/>
          </w:tcPr>
          <w:p w14:paraId="28C267B2">
            <w:pPr>
              <w:spacing w:line="360" w:lineRule="exact"/>
              <w:jc w:val="center"/>
              <w:rPr>
                <w:color w:val="auto"/>
                <w:szCs w:val="21"/>
                <w:highlight w:val="none"/>
              </w:rPr>
            </w:pPr>
            <w:r>
              <w:rPr>
                <w:color w:val="auto"/>
                <w:szCs w:val="21"/>
                <w:highlight w:val="none"/>
              </w:rPr>
              <w:t>单  价</w:t>
            </w:r>
          </w:p>
        </w:tc>
        <w:tc>
          <w:tcPr>
            <w:tcW w:w="1748" w:type="dxa"/>
            <w:vAlign w:val="center"/>
          </w:tcPr>
          <w:p w14:paraId="4510F0FB">
            <w:pPr>
              <w:spacing w:line="360" w:lineRule="exact"/>
              <w:jc w:val="center"/>
              <w:rPr>
                <w:color w:val="auto"/>
                <w:szCs w:val="21"/>
                <w:highlight w:val="none"/>
              </w:rPr>
            </w:pPr>
            <w:r>
              <w:rPr>
                <w:color w:val="auto"/>
                <w:szCs w:val="21"/>
                <w:highlight w:val="none"/>
              </w:rPr>
              <w:t>金  额</w:t>
            </w:r>
          </w:p>
          <w:p w14:paraId="35F99471">
            <w:pPr>
              <w:spacing w:line="360" w:lineRule="exact"/>
              <w:jc w:val="center"/>
              <w:rPr>
                <w:color w:val="auto"/>
                <w:szCs w:val="21"/>
                <w:highlight w:val="none"/>
              </w:rPr>
            </w:pPr>
            <w:r>
              <w:rPr>
                <w:color w:val="auto"/>
                <w:szCs w:val="21"/>
                <w:highlight w:val="none"/>
              </w:rPr>
              <w:t>（元）</w:t>
            </w:r>
          </w:p>
        </w:tc>
        <w:tc>
          <w:tcPr>
            <w:tcW w:w="1748" w:type="dxa"/>
          </w:tcPr>
          <w:p w14:paraId="42C082ED">
            <w:pPr>
              <w:spacing w:line="360" w:lineRule="exact"/>
              <w:jc w:val="center"/>
              <w:rPr>
                <w:color w:val="auto"/>
                <w:szCs w:val="21"/>
                <w:highlight w:val="none"/>
              </w:rPr>
            </w:pPr>
            <w:r>
              <w:rPr>
                <w:color w:val="auto"/>
                <w:szCs w:val="21"/>
                <w:highlight w:val="none"/>
              </w:rPr>
              <w:t>备注</w:t>
            </w:r>
          </w:p>
        </w:tc>
      </w:tr>
      <w:tr w14:paraId="756544C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8" w:hRule="atLeast"/>
        </w:trPr>
        <w:tc>
          <w:tcPr>
            <w:tcW w:w="602" w:type="dxa"/>
            <w:vAlign w:val="center"/>
          </w:tcPr>
          <w:p w14:paraId="2E8E7C6F">
            <w:pPr>
              <w:spacing w:line="360" w:lineRule="exact"/>
              <w:jc w:val="center"/>
              <w:rPr>
                <w:color w:val="auto"/>
                <w:szCs w:val="21"/>
                <w:highlight w:val="none"/>
              </w:rPr>
            </w:pPr>
            <w:r>
              <w:rPr>
                <w:color w:val="auto"/>
                <w:szCs w:val="21"/>
                <w:highlight w:val="none"/>
              </w:rPr>
              <w:t>1</w:t>
            </w:r>
          </w:p>
        </w:tc>
        <w:tc>
          <w:tcPr>
            <w:tcW w:w="1583" w:type="dxa"/>
            <w:vAlign w:val="center"/>
          </w:tcPr>
          <w:p w14:paraId="2B487116">
            <w:pPr>
              <w:spacing w:line="360" w:lineRule="exact"/>
              <w:jc w:val="center"/>
              <w:rPr>
                <w:color w:val="auto"/>
                <w:szCs w:val="21"/>
                <w:highlight w:val="none"/>
              </w:rPr>
            </w:pPr>
          </w:p>
        </w:tc>
        <w:tc>
          <w:tcPr>
            <w:tcW w:w="926" w:type="dxa"/>
          </w:tcPr>
          <w:p w14:paraId="15272CC4">
            <w:pPr>
              <w:spacing w:line="360" w:lineRule="exact"/>
              <w:jc w:val="center"/>
              <w:rPr>
                <w:color w:val="auto"/>
                <w:szCs w:val="21"/>
                <w:highlight w:val="none"/>
              </w:rPr>
            </w:pPr>
          </w:p>
        </w:tc>
        <w:tc>
          <w:tcPr>
            <w:tcW w:w="1201" w:type="dxa"/>
          </w:tcPr>
          <w:p w14:paraId="1AED1187">
            <w:pPr>
              <w:spacing w:line="360" w:lineRule="exact"/>
              <w:jc w:val="center"/>
              <w:rPr>
                <w:color w:val="auto"/>
                <w:szCs w:val="21"/>
                <w:highlight w:val="none"/>
              </w:rPr>
            </w:pPr>
          </w:p>
        </w:tc>
        <w:tc>
          <w:tcPr>
            <w:tcW w:w="1311" w:type="dxa"/>
            <w:vAlign w:val="center"/>
          </w:tcPr>
          <w:p w14:paraId="13C635F9">
            <w:pPr>
              <w:spacing w:line="360" w:lineRule="exact"/>
              <w:jc w:val="center"/>
              <w:rPr>
                <w:color w:val="auto"/>
                <w:szCs w:val="21"/>
                <w:highlight w:val="none"/>
              </w:rPr>
            </w:pPr>
          </w:p>
        </w:tc>
        <w:tc>
          <w:tcPr>
            <w:tcW w:w="1748" w:type="dxa"/>
            <w:vAlign w:val="center"/>
          </w:tcPr>
          <w:p w14:paraId="36114156">
            <w:pPr>
              <w:spacing w:line="360" w:lineRule="exact"/>
              <w:jc w:val="center"/>
              <w:rPr>
                <w:color w:val="auto"/>
                <w:szCs w:val="21"/>
                <w:highlight w:val="none"/>
              </w:rPr>
            </w:pPr>
          </w:p>
        </w:tc>
        <w:tc>
          <w:tcPr>
            <w:tcW w:w="1748" w:type="dxa"/>
            <w:vMerge w:val="restart"/>
          </w:tcPr>
          <w:p w14:paraId="4F045CB4">
            <w:pPr>
              <w:spacing w:line="360" w:lineRule="exact"/>
              <w:jc w:val="left"/>
              <w:rPr>
                <w:color w:val="auto"/>
                <w:szCs w:val="21"/>
                <w:highlight w:val="none"/>
              </w:rPr>
            </w:pPr>
          </w:p>
        </w:tc>
      </w:tr>
      <w:tr w14:paraId="68B06C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8" w:hRule="atLeast"/>
        </w:trPr>
        <w:tc>
          <w:tcPr>
            <w:tcW w:w="602" w:type="dxa"/>
            <w:vAlign w:val="center"/>
          </w:tcPr>
          <w:p w14:paraId="490C4289">
            <w:pPr>
              <w:spacing w:line="360" w:lineRule="exact"/>
              <w:jc w:val="center"/>
              <w:rPr>
                <w:color w:val="auto"/>
                <w:szCs w:val="21"/>
                <w:highlight w:val="none"/>
              </w:rPr>
            </w:pPr>
            <w:r>
              <w:rPr>
                <w:color w:val="auto"/>
                <w:szCs w:val="21"/>
                <w:highlight w:val="none"/>
              </w:rPr>
              <w:t>2</w:t>
            </w:r>
          </w:p>
        </w:tc>
        <w:tc>
          <w:tcPr>
            <w:tcW w:w="1583" w:type="dxa"/>
            <w:vAlign w:val="center"/>
          </w:tcPr>
          <w:p w14:paraId="76615D1B">
            <w:pPr>
              <w:spacing w:line="360" w:lineRule="exact"/>
              <w:jc w:val="center"/>
              <w:rPr>
                <w:color w:val="auto"/>
                <w:szCs w:val="21"/>
                <w:highlight w:val="none"/>
              </w:rPr>
            </w:pPr>
          </w:p>
        </w:tc>
        <w:tc>
          <w:tcPr>
            <w:tcW w:w="926" w:type="dxa"/>
          </w:tcPr>
          <w:p w14:paraId="103DBEC3">
            <w:pPr>
              <w:spacing w:line="360" w:lineRule="exact"/>
              <w:jc w:val="center"/>
              <w:rPr>
                <w:color w:val="auto"/>
                <w:szCs w:val="21"/>
                <w:highlight w:val="none"/>
              </w:rPr>
            </w:pPr>
          </w:p>
        </w:tc>
        <w:tc>
          <w:tcPr>
            <w:tcW w:w="1201" w:type="dxa"/>
          </w:tcPr>
          <w:p w14:paraId="2BCBEC53">
            <w:pPr>
              <w:spacing w:line="360" w:lineRule="exact"/>
              <w:jc w:val="center"/>
              <w:rPr>
                <w:color w:val="auto"/>
                <w:szCs w:val="21"/>
                <w:highlight w:val="none"/>
              </w:rPr>
            </w:pPr>
          </w:p>
        </w:tc>
        <w:tc>
          <w:tcPr>
            <w:tcW w:w="1311" w:type="dxa"/>
            <w:vAlign w:val="center"/>
          </w:tcPr>
          <w:p w14:paraId="4935E972">
            <w:pPr>
              <w:spacing w:line="360" w:lineRule="exact"/>
              <w:jc w:val="center"/>
              <w:rPr>
                <w:color w:val="auto"/>
                <w:szCs w:val="21"/>
                <w:highlight w:val="none"/>
              </w:rPr>
            </w:pPr>
          </w:p>
        </w:tc>
        <w:tc>
          <w:tcPr>
            <w:tcW w:w="1748" w:type="dxa"/>
            <w:vAlign w:val="center"/>
          </w:tcPr>
          <w:p w14:paraId="34498438">
            <w:pPr>
              <w:spacing w:line="360" w:lineRule="exact"/>
              <w:jc w:val="center"/>
              <w:rPr>
                <w:color w:val="auto"/>
                <w:szCs w:val="21"/>
                <w:highlight w:val="none"/>
              </w:rPr>
            </w:pPr>
          </w:p>
        </w:tc>
        <w:tc>
          <w:tcPr>
            <w:tcW w:w="1748" w:type="dxa"/>
            <w:vMerge w:val="continue"/>
          </w:tcPr>
          <w:p w14:paraId="03622EF7">
            <w:pPr>
              <w:spacing w:line="360" w:lineRule="exact"/>
              <w:jc w:val="center"/>
              <w:rPr>
                <w:color w:val="auto"/>
                <w:szCs w:val="21"/>
                <w:highlight w:val="none"/>
              </w:rPr>
            </w:pPr>
          </w:p>
        </w:tc>
      </w:tr>
      <w:tr w14:paraId="3BC3391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8" w:hRule="atLeast"/>
        </w:trPr>
        <w:tc>
          <w:tcPr>
            <w:tcW w:w="602" w:type="dxa"/>
            <w:vAlign w:val="center"/>
          </w:tcPr>
          <w:p w14:paraId="5337DD7A">
            <w:pPr>
              <w:spacing w:line="360" w:lineRule="exact"/>
              <w:jc w:val="center"/>
              <w:rPr>
                <w:color w:val="auto"/>
                <w:szCs w:val="21"/>
                <w:highlight w:val="none"/>
              </w:rPr>
            </w:pPr>
            <w:r>
              <w:rPr>
                <w:color w:val="auto"/>
                <w:szCs w:val="21"/>
                <w:highlight w:val="none"/>
              </w:rPr>
              <w:t>3</w:t>
            </w:r>
          </w:p>
        </w:tc>
        <w:tc>
          <w:tcPr>
            <w:tcW w:w="1583" w:type="dxa"/>
            <w:vAlign w:val="center"/>
          </w:tcPr>
          <w:p w14:paraId="213875CD">
            <w:pPr>
              <w:spacing w:line="360" w:lineRule="exact"/>
              <w:jc w:val="center"/>
              <w:rPr>
                <w:color w:val="auto"/>
                <w:szCs w:val="21"/>
                <w:highlight w:val="none"/>
              </w:rPr>
            </w:pPr>
          </w:p>
        </w:tc>
        <w:tc>
          <w:tcPr>
            <w:tcW w:w="926" w:type="dxa"/>
          </w:tcPr>
          <w:p w14:paraId="0E0C0335">
            <w:pPr>
              <w:spacing w:line="360" w:lineRule="exact"/>
              <w:jc w:val="center"/>
              <w:rPr>
                <w:color w:val="auto"/>
                <w:szCs w:val="21"/>
                <w:highlight w:val="none"/>
              </w:rPr>
            </w:pPr>
          </w:p>
        </w:tc>
        <w:tc>
          <w:tcPr>
            <w:tcW w:w="1201" w:type="dxa"/>
          </w:tcPr>
          <w:p w14:paraId="7DE3B189">
            <w:pPr>
              <w:spacing w:line="360" w:lineRule="exact"/>
              <w:jc w:val="center"/>
              <w:rPr>
                <w:color w:val="auto"/>
                <w:szCs w:val="21"/>
                <w:highlight w:val="none"/>
              </w:rPr>
            </w:pPr>
          </w:p>
        </w:tc>
        <w:tc>
          <w:tcPr>
            <w:tcW w:w="1311" w:type="dxa"/>
            <w:vAlign w:val="center"/>
          </w:tcPr>
          <w:p w14:paraId="231ED832">
            <w:pPr>
              <w:spacing w:line="360" w:lineRule="exact"/>
              <w:jc w:val="center"/>
              <w:rPr>
                <w:color w:val="auto"/>
                <w:szCs w:val="21"/>
                <w:highlight w:val="none"/>
              </w:rPr>
            </w:pPr>
          </w:p>
        </w:tc>
        <w:tc>
          <w:tcPr>
            <w:tcW w:w="1748" w:type="dxa"/>
            <w:vAlign w:val="center"/>
          </w:tcPr>
          <w:p w14:paraId="7158C0B7">
            <w:pPr>
              <w:spacing w:line="360" w:lineRule="exact"/>
              <w:jc w:val="center"/>
              <w:rPr>
                <w:color w:val="auto"/>
                <w:szCs w:val="21"/>
                <w:highlight w:val="none"/>
              </w:rPr>
            </w:pPr>
          </w:p>
        </w:tc>
        <w:tc>
          <w:tcPr>
            <w:tcW w:w="1748" w:type="dxa"/>
            <w:vMerge w:val="continue"/>
          </w:tcPr>
          <w:p w14:paraId="74E6226A">
            <w:pPr>
              <w:spacing w:line="360" w:lineRule="exact"/>
              <w:jc w:val="center"/>
              <w:rPr>
                <w:color w:val="auto"/>
                <w:szCs w:val="21"/>
                <w:highlight w:val="none"/>
              </w:rPr>
            </w:pPr>
          </w:p>
        </w:tc>
      </w:tr>
      <w:tr w14:paraId="6A64FB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58" w:hRule="atLeast"/>
        </w:trPr>
        <w:tc>
          <w:tcPr>
            <w:tcW w:w="602" w:type="dxa"/>
            <w:vAlign w:val="center"/>
          </w:tcPr>
          <w:p w14:paraId="4B72EA12">
            <w:pPr>
              <w:spacing w:line="360" w:lineRule="exact"/>
              <w:jc w:val="center"/>
              <w:rPr>
                <w:color w:val="auto"/>
                <w:szCs w:val="21"/>
                <w:highlight w:val="none"/>
              </w:rPr>
            </w:pPr>
          </w:p>
        </w:tc>
        <w:tc>
          <w:tcPr>
            <w:tcW w:w="8517" w:type="dxa"/>
            <w:gridSpan w:val="6"/>
            <w:vAlign w:val="center"/>
          </w:tcPr>
          <w:p w14:paraId="128A9AE5">
            <w:pPr>
              <w:spacing w:line="360" w:lineRule="exact"/>
              <w:jc w:val="left"/>
              <w:rPr>
                <w:color w:val="auto"/>
                <w:szCs w:val="21"/>
                <w:highlight w:val="none"/>
              </w:rPr>
            </w:pPr>
            <w:r>
              <w:rPr>
                <w:rFonts w:hint="eastAsia"/>
                <w:color w:val="auto"/>
                <w:szCs w:val="21"/>
                <w:highlight w:val="none"/>
              </w:rPr>
              <w:t>总价（人民币）</w:t>
            </w:r>
            <w:r>
              <w:rPr>
                <w:color w:val="auto"/>
                <w:szCs w:val="21"/>
                <w:highlight w:val="none"/>
              </w:rPr>
              <w:t>（大写）                          （小写）</w:t>
            </w:r>
          </w:p>
        </w:tc>
      </w:tr>
    </w:tbl>
    <w:p w14:paraId="6670C6CF">
      <w:pPr>
        <w:spacing w:line="360" w:lineRule="exact"/>
        <w:ind w:firstLine="420" w:firstLineChars="200"/>
        <w:rPr>
          <w:b/>
          <w:color w:val="auto"/>
          <w:szCs w:val="21"/>
          <w:highlight w:val="none"/>
        </w:rPr>
      </w:pPr>
      <w:r>
        <w:rPr>
          <w:rFonts w:hint="eastAsia" w:ascii="宋体" w:hAnsi="宋体" w:cs="等线"/>
          <w:color w:val="auto"/>
          <w:szCs w:val="21"/>
          <w:highlight w:val="none"/>
        </w:rPr>
        <w:t>合同结算时以实际用量为准，按合同单价作为结算单价。</w:t>
      </w:r>
    </w:p>
    <w:p w14:paraId="3F0A07C6">
      <w:pPr>
        <w:spacing w:line="360" w:lineRule="exact"/>
        <w:ind w:firstLine="422" w:firstLineChars="200"/>
        <w:rPr>
          <w:b/>
          <w:color w:val="auto"/>
          <w:szCs w:val="21"/>
          <w:highlight w:val="none"/>
        </w:rPr>
      </w:pPr>
      <w:r>
        <w:rPr>
          <w:b/>
          <w:color w:val="auto"/>
          <w:szCs w:val="21"/>
          <w:highlight w:val="none"/>
        </w:rPr>
        <w:t>第三条  甲方权利和义务</w:t>
      </w:r>
    </w:p>
    <w:p w14:paraId="7ED91D5A">
      <w:pPr>
        <w:spacing w:line="360" w:lineRule="exact"/>
        <w:ind w:firstLine="420" w:firstLineChars="200"/>
        <w:rPr>
          <w:color w:val="auto"/>
          <w:szCs w:val="21"/>
          <w:highlight w:val="none"/>
        </w:rPr>
      </w:pPr>
      <w:r>
        <w:rPr>
          <w:color w:val="auto"/>
          <w:szCs w:val="21"/>
          <w:highlight w:val="none"/>
        </w:rPr>
        <w:t>1. 甲方有权要求乙方按时、按质、按量、按计划与合同协议约定完成本项目，并有权对乙方工作情况进行监督。</w:t>
      </w:r>
    </w:p>
    <w:p w14:paraId="6A481182">
      <w:pPr>
        <w:spacing w:line="360" w:lineRule="exact"/>
        <w:ind w:firstLine="420" w:firstLineChars="200"/>
        <w:rPr>
          <w:color w:val="auto"/>
          <w:szCs w:val="21"/>
          <w:highlight w:val="none"/>
        </w:rPr>
      </w:pPr>
      <w:r>
        <w:rPr>
          <w:color w:val="auto"/>
          <w:szCs w:val="21"/>
          <w:highlight w:val="none"/>
        </w:rPr>
        <w:t>2. 根据项目进度，甲方有权及时对乙方提交的方案提出修改意见，并要求乙方按修改意见完成服务工作。</w:t>
      </w:r>
    </w:p>
    <w:p w14:paraId="69D4A654">
      <w:pPr>
        <w:spacing w:line="360" w:lineRule="exact"/>
        <w:ind w:firstLine="420" w:firstLineChars="200"/>
        <w:rPr>
          <w:color w:val="auto"/>
          <w:szCs w:val="21"/>
          <w:highlight w:val="none"/>
        </w:rPr>
      </w:pPr>
      <w:r>
        <w:rPr>
          <w:color w:val="auto"/>
          <w:szCs w:val="21"/>
          <w:highlight w:val="none"/>
        </w:rPr>
        <w:t>3. 乙方配备的项目投入人员应得到甲方的认可；对派遣到甲方的服务人员进行管理、考核、检查与奖惩。</w:t>
      </w:r>
    </w:p>
    <w:p w14:paraId="1DFDD942">
      <w:pPr>
        <w:spacing w:line="360" w:lineRule="exact"/>
        <w:ind w:firstLine="420" w:firstLineChars="200"/>
        <w:rPr>
          <w:strike/>
          <w:color w:val="auto"/>
          <w:szCs w:val="21"/>
          <w:highlight w:val="none"/>
        </w:rPr>
      </w:pPr>
      <w:r>
        <w:rPr>
          <w:color w:val="auto"/>
          <w:szCs w:val="21"/>
          <w:highlight w:val="none"/>
        </w:rPr>
        <w:t>4.甲方有权要求乙方更换不合格的工作人员。</w:t>
      </w:r>
    </w:p>
    <w:p w14:paraId="2E846C4E">
      <w:pPr>
        <w:spacing w:line="360" w:lineRule="exact"/>
        <w:ind w:firstLine="420" w:firstLineChars="200"/>
        <w:rPr>
          <w:color w:val="auto"/>
          <w:szCs w:val="21"/>
          <w:highlight w:val="none"/>
        </w:rPr>
      </w:pPr>
      <w:r>
        <w:rPr>
          <w:color w:val="auto"/>
          <w:szCs w:val="21"/>
          <w:highlight w:val="none"/>
        </w:rPr>
        <w:t>5. 按合同要求及时向乙方支付产品和服务费用。</w:t>
      </w:r>
    </w:p>
    <w:p w14:paraId="293BB013">
      <w:pPr>
        <w:spacing w:line="360" w:lineRule="exact"/>
        <w:ind w:firstLine="420" w:firstLineChars="200"/>
        <w:rPr>
          <w:color w:val="auto"/>
          <w:szCs w:val="21"/>
          <w:highlight w:val="none"/>
        </w:rPr>
      </w:pPr>
      <w:bookmarkStart w:id="215" w:name="_Hlk77611324"/>
      <w:r>
        <w:rPr>
          <w:rFonts w:hint="eastAsia"/>
          <w:color w:val="auto"/>
          <w:szCs w:val="21"/>
          <w:highlight w:val="none"/>
        </w:rPr>
        <w:t>6</w:t>
      </w:r>
      <w:r>
        <w:rPr>
          <w:color w:val="auto"/>
          <w:szCs w:val="21"/>
          <w:highlight w:val="none"/>
        </w:rPr>
        <w:t>.</w:t>
      </w:r>
      <w:r>
        <w:rPr>
          <w:rFonts w:hint="eastAsia"/>
          <w:color w:val="auto"/>
          <w:highlight w:val="none"/>
        </w:rPr>
        <w:t xml:space="preserve"> </w:t>
      </w:r>
      <w:r>
        <w:rPr>
          <w:rFonts w:hint="eastAsia"/>
          <w:color w:val="auto"/>
          <w:szCs w:val="21"/>
          <w:highlight w:val="none"/>
        </w:rPr>
        <w:t>如采购项目涉及采购标的的知识产权归属的，产权归属为：</w:t>
      </w:r>
      <w:r>
        <w:rPr>
          <w:rFonts w:hint="eastAsia"/>
          <w:color w:val="auto"/>
          <w:szCs w:val="21"/>
          <w:highlight w:val="none"/>
          <w:u w:val="single"/>
        </w:rPr>
        <w:t xml:space="preserve">    甲方    </w:t>
      </w:r>
      <w:r>
        <w:rPr>
          <w:rFonts w:hint="eastAsia"/>
          <w:color w:val="auto"/>
          <w:szCs w:val="21"/>
          <w:highlight w:val="none"/>
        </w:rPr>
        <w:t xml:space="preserve">    </w:t>
      </w:r>
    </w:p>
    <w:p w14:paraId="71DE842B">
      <w:pPr>
        <w:spacing w:line="360" w:lineRule="exact"/>
        <w:ind w:firstLine="420" w:firstLineChars="200"/>
        <w:rPr>
          <w:color w:val="auto"/>
          <w:szCs w:val="21"/>
          <w:highlight w:val="none"/>
          <w:u w:val="single"/>
        </w:rPr>
      </w:pPr>
      <w:r>
        <w:rPr>
          <w:rFonts w:hint="eastAsia"/>
          <w:color w:val="auto"/>
          <w:highlight w:val="none"/>
        </w:rPr>
        <w:t>7.产权纠纷</w:t>
      </w:r>
      <w:r>
        <w:rPr>
          <w:rFonts w:hint="eastAsia"/>
          <w:color w:val="auto"/>
          <w:szCs w:val="21"/>
          <w:highlight w:val="none"/>
        </w:rPr>
        <w:t>处理方式：采购人在中华人民共和国境内使用供应商提供的产品及服务时免受第三方提出的侵犯其专利权或其它知识产权的起诉。如果第三方提出侵权指控，乙方应妥善处理纠纷并承担由此而引起的一切法律责任和费用。</w:t>
      </w:r>
    </w:p>
    <w:bookmarkEnd w:id="215"/>
    <w:p w14:paraId="00815977">
      <w:pPr>
        <w:spacing w:line="360" w:lineRule="exact"/>
        <w:ind w:firstLine="422" w:firstLineChars="200"/>
        <w:rPr>
          <w:b/>
          <w:color w:val="auto"/>
          <w:szCs w:val="21"/>
          <w:highlight w:val="none"/>
        </w:rPr>
      </w:pPr>
      <w:r>
        <w:rPr>
          <w:b/>
          <w:color w:val="auto"/>
          <w:szCs w:val="21"/>
          <w:highlight w:val="none"/>
        </w:rPr>
        <w:t>第四条  乙方权利和义务</w:t>
      </w:r>
    </w:p>
    <w:p w14:paraId="7D51D6CF">
      <w:pPr>
        <w:spacing w:line="360" w:lineRule="exact"/>
        <w:ind w:firstLine="420" w:firstLineChars="200"/>
        <w:rPr>
          <w:color w:val="auto"/>
          <w:szCs w:val="21"/>
          <w:highlight w:val="none"/>
        </w:rPr>
      </w:pPr>
      <w:r>
        <w:rPr>
          <w:color w:val="auto"/>
          <w:szCs w:val="21"/>
          <w:highlight w:val="none"/>
        </w:rPr>
        <w:t>1. 严格履行合同文件（含招标文件、投标文件等）约定和承诺的服务内容和质量标准，保证甲方项目的相关工作质量和进度。</w:t>
      </w:r>
    </w:p>
    <w:p w14:paraId="47AAC653">
      <w:pPr>
        <w:spacing w:line="360" w:lineRule="exact"/>
        <w:ind w:firstLine="420" w:firstLineChars="200"/>
        <w:rPr>
          <w:color w:val="auto"/>
          <w:szCs w:val="21"/>
          <w:highlight w:val="none"/>
        </w:rPr>
      </w:pPr>
      <w:r>
        <w:rPr>
          <w:color w:val="auto"/>
          <w:szCs w:val="21"/>
          <w:highlight w:val="none"/>
        </w:rPr>
        <w:t>2. 必须严格实施乙方投标文件中承诺的人力资源配置。在必须补充或更换人员时，必须补充或更换优于或等同于投标文件所承诺资质的服务人员，并需取得甲方书面同意。</w:t>
      </w:r>
    </w:p>
    <w:p w14:paraId="7D873E95">
      <w:pPr>
        <w:spacing w:line="360" w:lineRule="exact"/>
        <w:ind w:firstLine="420" w:firstLineChars="200"/>
        <w:rPr>
          <w:color w:val="auto"/>
          <w:szCs w:val="21"/>
          <w:highlight w:val="none"/>
        </w:rPr>
      </w:pPr>
      <w:r>
        <w:rPr>
          <w:color w:val="auto"/>
          <w:szCs w:val="21"/>
          <w:highlight w:val="none"/>
        </w:rPr>
        <w:t>3. 乙方项目负责人及服务团队成员须与投标文件保持一致。合同存续期内，未经甲方书面要求或同意，项目负责人不应调整。项目负责人及服务团队成员必须保证在岗工作时间和重要活动在岗，如有变化，须取得甲方同意。</w:t>
      </w:r>
    </w:p>
    <w:p w14:paraId="4878D190">
      <w:pPr>
        <w:spacing w:line="360" w:lineRule="exact"/>
        <w:ind w:firstLine="420" w:firstLineChars="200"/>
        <w:rPr>
          <w:color w:val="auto"/>
          <w:szCs w:val="21"/>
          <w:highlight w:val="none"/>
        </w:rPr>
      </w:pPr>
      <w:r>
        <w:rPr>
          <w:color w:val="auto"/>
          <w:szCs w:val="21"/>
          <w:highlight w:val="none"/>
        </w:rPr>
        <w:t>4.乙方依本合同约定向甲方提供的报告、资料、文件等内容及服务成果后，甲方即对上述内容享有充分、完整和排他的著作权和知识产权。未经甲方书面许可，乙方不得向任何第三方提供上述报告、资料、文件等内容及服务成果。即使向履行本合同有关的人员提供，也应注意保密并限于履行合同的必需范围。</w:t>
      </w:r>
    </w:p>
    <w:p w14:paraId="5E0C6FD5">
      <w:pPr>
        <w:spacing w:line="360" w:lineRule="exact"/>
        <w:ind w:firstLine="420" w:firstLineChars="200"/>
        <w:rPr>
          <w:color w:val="auto"/>
          <w:szCs w:val="21"/>
          <w:highlight w:val="none"/>
        </w:rPr>
      </w:pPr>
      <w:r>
        <w:rPr>
          <w:color w:val="auto"/>
          <w:szCs w:val="21"/>
          <w:highlight w:val="none"/>
        </w:rPr>
        <w:t>5. 乙方服务人员应履行保密义务。如乙方因违反本条约定给甲方造成损失的，乙方应当承担相应的法律责任，并赔偿由此给甲方造成的一切损失。</w:t>
      </w:r>
    </w:p>
    <w:p w14:paraId="1E2B1526">
      <w:pPr>
        <w:spacing w:line="360" w:lineRule="exact"/>
        <w:ind w:firstLine="420" w:firstLineChars="200"/>
        <w:rPr>
          <w:color w:val="auto"/>
          <w:szCs w:val="21"/>
          <w:highlight w:val="none"/>
        </w:rPr>
      </w:pPr>
      <w:r>
        <w:rPr>
          <w:color w:val="auto"/>
          <w:szCs w:val="21"/>
          <w:highlight w:val="none"/>
        </w:rPr>
        <w:t>6. 按照合同约定收取服务费，当甲方出现无故拖欠费用时，乙方有权采取适当方式进行催缴，若甲方仍未支付费用，乙方有权停止工作。</w:t>
      </w:r>
    </w:p>
    <w:p w14:paraId="577F5156">
      <w:pPr>
        <w:spacing w:line="360" w:lineRule="exact"/>
        <w:ind w:firstLine="420" w:firstLineChars="200"/>
        <w:rPr>
          <w:color w:val="auto"/>
          <w:szCs w:val="21"/>
          <w:highlight w:val="none"/>
        </w:rPr>
      </w:pPr>
      <w:r>
        <w:rPr>
          <w:rFonts w:hint="eastAsia"/>
          <w:color w:val="auto"/>
          <w:szCs w:val="21"/>
          <w:highlight w:val="none"/>
        </w:rPr>
        <w:t>7、乙方在提供液态氧、瓶装医用气体以及运输、相关作业期间，负责培训所有工作人员合规操作各项设施、设备，并做好安全保障工作，做好相应各种紧急事件的预案制度。在提供液态氧、瓶装医用气体以及运输、相关作业期间，确保安全生产，对人身、财产安全做好指导、监督、管理工作，避免对相关人员、财产造成任何损害。如造成任何人身、财产损害的，由乙方承担一切法律责任。</w:t>
      </w:r>
    </w:p>
    <w:p w14:paraId="646D78A7">
      <w:pPr>
        <w:spacing w:line="360" w:lineRule="exact"/>
        <w:ind w:firstLine="420" w:firstLineChars="200"/>
        <w:rPr>
          <w:color w:val="auto"/>
          <w:szCs w:val="21"/>
          <w:highlight w:val="none"/>
        </w:rPr>
      </w:pPr>
      <w:r>
        <w:rPr>
          <w:rFonts w:hint="eastAsia"/>
          <w:color w:val="auto"/>
          <w:szCs w:val="21"/>
          <w:highlight w:val="none"/>
        </w:rPr>
        <w:t>8、乙方以及乙方安排完成合同项目的工作人员，应当确保具备与本合同约定所要求相符合的资质与条件，具备相应的工作经验，乙方须完全符合并遵守本合同所涉及的相关法律、法规、规范性文件的规定，确保可以依法开展合同约定的事项。</w:t>
      </w:r>
    </w:p>
    <w:p w14:paraId="7BE21C28">
      <w:pPr>
        <w:spacing w:line="360" w:lineRule="exact"/>
        <w:ind w:firstLine="420" w:firstLineChars="200"/>
        <w:rPr>
          <w:color w:val="auto"/>
          <w:szCs w:val="21"/>
          <w:highlight w:val="none"/>
        </w:rPr>
      </w:pPr>
      <w:r>
        <w:rPr>
          <w:rFonts w:hint="eastAsia"/>
          <w:color w:val="auto"/>
          <w:szCs w:val="21"/>
          <w:highlight w:val="none"/>
        </w:rPr>
        <w:t>9、乙方提供本合同所涉及的相关产品或者服务，均须符合国家、行业各项法律、法规以及标准规范，如存在多个标准规范的，以最高要求的标准规范为准。</w:t>
      </w:r>
    </w:p>
    <w:p w14:paraId="68275824">
      <w:pPr>
        <w:spacing w:line="360" w:lineRule="exact"/>
        <w:ind w:firstLine="420" w:firstLineChars="200"/>
        <w:rPr>
          <w:color w:val="auto"/>
          <w:szCs w:val="21"/>
          <w:highlight w:val="none"/>
        </w:rPr>
      </w:pPr>
      <w:r>
        <w:rPr>
          <w:rFonts w:hint="eastAsia"/>
          <w:color w:val="auto"/>
          <w:szCs w:val="21"/>
          <w:highlight w:val="none"/>
        </w:rPr>
        <w:t>10、未经甲方书面同意，乙方不得转让本合同项下全部或部分义务。</w:t>
      </w:r>
    </w:p>
    <w:p w14:paraId="565E883A">
      <w:pPr>
        <w:spacing w:line="360" w:lineRule="exact"/>
        <w:ind w:firstLine="420" w:firstLineChars="200"/>
        <w:rPr>
          <w:color w:val="auto"/>
          <w:szCs w:val="21"/>
          <w:highlight w:val="none"/>
        </w:rPr>
      </w:pPr>
      <w:r>
        <w:rPr>
          <w:rFonts w:hint="eastAsia"/>
          <w:color w:val="auto"/>
          <w:szCs w:val="21"/>
          <w:highlight w:val="none"/>
        </w:rPr>
        <w:t>11、乙方对其所提供的产品的安全性、有效性、时效性、稳定性等负责。如因该产品造成人身损害的，由乙方承担全部法律责任。</w:t>
      </w:r>
    </w:p>
    <w:p w14:paraId="75D71351">
      <w:pPr>
        <w:spacing w:line="360" w:lineRule="exact"/>
        <w:ind w:firstLine="422" w:firstLineChars="200"/>
        <w:rPr>
          <w:b/>
          <w:color w:val="auto"/>
          <w:szCs w:val="21"/>
          <w:highlight w:val="none"/>
        </w:rPr>
      </w:pPr>
      <w:r>
        <w:rPr>
          <w:b/>
          <w:color w:val="auto"/>
          <w:szCs w:val="21"/>
          <w:highlight w:val="none"/>
        </w:rPr>
        <w:t>第五条  包装和运输</w:t>
      </w:r>
    </w:p>
    <w:p w14:paraId="570CF353">
      <w:pPr>
        <w:spacing w:line="360" w:lineRule="exact"/>
        <w:ind w:firstLine="420" w:firstLineChars="200"/>
        <w:rPr>
          <w:color w:val="auto"/>
          <w:szCs w:val="21"/>
          <w:highlight w:val="none"/>
        </w:rPr>
      </w:pPr>
      <w:r>
        <w:rPr>
          <w:color w:val="auto"/>
          <w:szCs w:val="21"/>
          <w:highlight w:val="none"/>
        </w:rPr>
        <w:t>1.乙方提供的服务交付成果或产品均应按招标文件要求的包装材料、包装标准、包装方式进行包装，每一包装单元内应附详细的交付清单和质量合格证，如有缺失应及时补齐，否则视为逾期交付。</w:t>
      </w:r>
    </w:p>
    <w:p w14:paraId="26DF9C62">
      <w:pPr>
        <w:spacing w:line="360" w:lineRule="exact"/>
        <w:ind w:firstLine="420" w:firstLineChars="200"/>
        <w:rPr>
          <w:color w:val="auto"/>
          <w:szCs w:val="21"/>
          <w:highlight w:val="none"/>
        </w:rPr>
      </w:pPr>
      <w:r>
        <w:rPr>
          <w:color w:val="auto"/>
          <w:szCs w:val="21"/>
          <w:highlight w:val="none"/>
        </w:rPr>
        <w:t>2. 乙方负责服务交付成果、产品的运输。服务交付成果、产品的运输方式由乙方自定。服务交付成果、产品运输合理损耗及计算方法由乙方负责。</w:t>
      </w:r>
    </w:p>
    <w:p w14:paraId="6B7F1E49">
      <w:pPr>
        <w:pStyle w:val="20"/>
        <w:spacing w:line="300" w:lineRule="exact"/>
        <w:ind w:firstLine="420" w:firstLineChars="200"/>
        <w:rPr>
          <w:rFonts w:ascii="Times New Roman" w:hAnsi="Times New Roman" w:cs="Times New Roman"/>
          <w:color w:val="auto"/>
          <w:highlight w:val="none"/>
        </w:rPr>
      </w:pPr>
      <w:bookmarkStart w:id="216" w:name="_Hlk60651149"/>
      <w:r>
        <w:rPr>
          <w:rFonts w:ascii="Times New Roman" w:hAnsi="Times New Roman" w:cs="Times New Roman"/>
          <w:color w:val="auto"/>
          <w:highlight w:val="none"/>
        </w:rPr>
        <w:t>3.</w:t>
      </w:r>
      <w:r>
        <w:rPr>
          <w:rFonts w:hint="eastAsia" w:ascii="Times New Roman" w:hAnsi="Times New Roman" w:cs="Times New Roman"/>
          <w:color w:val="auto"/>
          <w:highlight w:val="none"/>
        </w:rPr>
        <w:t>乙方提供的产品包装及快递包装应满足《财政部等三部门联合印发商品包装和快递包装政府采购需求标准（试行）》财办库【2020】123号文要求。</w:t>
      </w:r>
      <w:bookmarkEnd w:id="216"/>
    </w:p>
    <w:p w14:paraId="06B9C9B0">
      <w:pPr>
        <w:spacing w:line="360" w:lineRule="exact"/>
        <w:ind w:firstLine="422" w:firstLineChars="200"/>
        <w:rPr>
          <w:color w:val="auto"/>
          <w:szCs w:val="21"/>
          <w:highlight w:val="none"/>
        </w:rPr>
      </w:pPr>
      <w:r>
        <w:rPr>
          <w:b/>
          <w:color w:val="auto"/>
          <w:szCs w:val="21"/>
          <w:highlight w:val="none"/>
        </w:rPr>
        <w:t xml:space="preserve">第六条  </w:t>
      </w:r>
      <w:r>
        <w:rPr>
          <w:rFonts w:hint="eastAsia"/>
          <w:b/>
          <w:color w:val="auto"/>
          <w:szCs w:val="21"/>
          <w:highlight w:val="none"/>
        </w:rPr>
        <w:t>服务时间</w:t>
      </w:r>
      <w:r>
        <w:rPr>
          <w:b/>
          <w:color w:val="auto"/>
          <w:szCs w:val="21"/>
          <w:highlight w:val="none"/>
        </w:rPr>
        <w:t>和验收</w:t>
      </w:r>
    </w:p>
    <w:p w14:paraId="207B1F75">
      <w:pPr>
        <w:spacing w:line="360" w:lineRule="exact"/>
        <w:ind w:firstLine="420" w:firstLineChars="200"/>
        <w:rPr>
          <w:color w:val="auto"/>
          <w:szCs w:val="21"/>
          <w:highlight w:val="none"/>
        </w:rPr>
      </w:pPr>
      <w:r>
        <w:rPr>
          <w:color w:val="auto"/>
          <w:szCs w:val="21"/>
          <w:highlight w:val="none"/>
        </w:rPr>
        <w:t>1.</w:t>
      </w:r>
      <w:r>
        <w:rPr>
          <w:rFonts w:hint="eastAsia"/>
          <w:color w:val="auto"/>
          <w:szCs w:val="21"/>
          <w:highlight w:val="none"/>
        </w:rPr>
        <w:t>服务</w:t>
      </w:r>
      <w:r>
        <w:rPr>
          <w:color w:val="auto"/>
          <w:szCs w:val="21"/>
          <w:highlight w:val="none"/>
        </w:rPr>
        <w:t>时间：</w:t>
      </w:r>
      <w:r>
        <w:rPr>
          <w:rFonts w:hint="eastAsia"/>
          <w:color w:val="auto"/>
          <w:szCs w:val="21"/>
          <w:highlight w:val="none"/>
          <w:u w:val="single"/>
        </w:rPr>
        <w:t xml:space="preserve"> </w:t>
      </w:r>
      <w:r>
        <w:rPr>
          <w:rFonts w:hint="eastAsia"/>
          <w:color w:val="auto"/>
          <w:szCs w:val="21"/>
          <w:highlight w:val="none"/>
          <w:u w:val="single"/>
          <w:lang w:val="en-US" w:eastAsia="zh-CN"/>
        </w:rPr>
        <w:t xml:space="preserve">                   </w:t>
      </w:r>
      <w:r>
        <w:rPr>
          <w:color w:val="auto"/>
          <w:szCs w:val="21"/>
          <w:highlight w:val="none"/>
        </w:rPr>
        <w:t>；地点：</w:t>
      </w:r>
      <w:r>
        <w:rPr>
          <w:color w:val="auto"/>
          <w:szCs w:val="21"/>
          <w:highlight w:val="none"/>
          <w:u w:val="single"/>
        </w:rPr>
        <w:t>甲方指定地点</w:t>
      </w:r>
      <w:r>
        <w:rPr>
          <w:color w:val="auto"/>
          <w:szCs w:val="21"/>
          <w:highlight w:val="none"/>
        </w:rPr>
        <w:t>。</w:t>
      </w:r>
    </w:p>
    <w:p w14:paraId="2E72A006">
      <w:pPr>
        <w:spacing w:line="300" w:lineRule="exact"/>
        <w:ind w:firstLine="420" w:firstLineChars="200"/>
        <w:rPr>
          <w:color w:val="auto"/>
          <w:highlight w:val="none"/>
        </w:rPr>
      </w:pPr>
      <w:r>
        <w:rPr>
          <w:color w:val="auto"/>
          <w:highlight w:val="none"/>
        </w:rPr>
        <w:t>2.</w:t>
      </w:r>
      <w:r>
        <w:rPr>
          <w:rFonts w:hint="eastAsia"/>
          <w:color w:val="auto"/>
          <w:highlight w:val="none"/>
        </w:rPr>
        <w:t>交付标准：</w:t>
      </w:r>
      <w:r>
        <w:rPr>
          <w:color w:val="auto"/>
          <w:highlight w:val="none"/>
        </w:rPr>
        <w:t>乙方交</w:t>
      </w:r>
      <w:r>
        <w:rPr>
          <w:rFonts w:hint="eastAsia"/>
          <w:color w:val="auto"/>
          <w:highlight w:val="none"/>
        </w:rPr>
        <w:t>付</w:t>
      </w:r>
      <w:r>
        <w:rPr>
          <w:color w:val="auto"/>
          <w:highlight w:val="none"/>
        </w:rPr>
        <w:t>前应对</w:t>
      </w:r>
      <w:r>
        <w:rPr>
          <w:color w:val="auto"/>
          <w:szCs w:val="21"/>
          <w:highlight w:val="none"/>
        </w:rPr>
        <w:t>产品或服务成果</w:t>
      </w:r>
      <w:r>
        <w:rPr>
          <w:color w:val="auto"/>
          <w:highlight w:val="none"/>
        </w:rPr>
        <w:t>作出全面检查</w:t>
      </w:r>
      <w:r>
        <w:rPr>
          <w:rFonts w:hint="eastAsia"/>
          <w:color w:val="auto"/>
          <w:highlight w:val="none"/>
        </w:rPr>
        <w:t>后</w:t>
      </w:r>
      <w:r>
        <w:rPr>
          <w:color w:val="auto"/>
          <w:highlight w:val="none"/>
        </w:rPr>
        <w:t>，</w:t>
      </w:r>
      <w:r>
        <w:rPr>
          <w:color w:val="auto"/>
          <w:szCs w:val="21"/>
          <w:highlight w:val="none"/>
        </w:rPr>
        <w:t>将</w:t>
      </w:r>
      <w:r>
        <w:rPr>
          <w:rFonts w:hint="eastAsia"/>
          <w:color w:val="auto"/>
          <w:szCs w:val="21"/>
          <w:highlight w:val="none"/>
        </w:rPr>
        <w:t>符合合同文件要求的</w:t>
      </w:r>
      <w:r>
        <w:rPr>
          <w:color w:val="auto"/>
          <w:szCs w:val="21"/>
          <w:highlight w:val="none"/>
        </w:rPr>
        <w:t>产品或服务成果交付给甲方。</w:t>
      </w:r>
    </w:p>
    <w:p w14:paraId="4CF4F812">
      <w:pPr>
        <w:spacing w:line="300" w:lineRule="exact"/>
        <w:ind w:firstLine="420" w:firstLineChars="200"/>
        <w:rPr>
          <w:color w:val="auto"/>
          <w:highlight w:val="none"/>
        </w:rPr>
      </w:pPr>
      <w:r>
        <w:rPr>
          <w:rFonts w:hint="eastAsia"/>
          <w:color w:val="auto"/>
          <w:highlight w:val="none"/>
        </w:rPr>
        <w:t>3</w:t>
      </w:r>
      <w:r>
        <w:rPr>
          <w:color w:val="auto"/>
          <w:highlight w:val="none"/>
        </w:rPr>
        <w:t>.</w:t>
      </w:r>
      <w:r>
        <w:rPr>
          <w:rFonts w:hint="eastAsia"/>
          <w:color w:val="auto"/>
          <w:highlight w:val="none"/>
        </w:rPr>
        <w:t>验收程序、方法：交付的</w:t>
      </w:r>
      <w:r>
        <w:rPr>
          <w:color w:val="auto"/>
          <w:szCs w:val="21"/>
          <w:highlight w:val="none"/>
        </w:rPr>
        <w:t>产品或服务成果</w:t>
      </w:r>
      <w:r>
        <w:rPr>
          <w:rFonts w:hint="eastAsia"/>
          <w:color w:val="auto"/>
          <w:szCs w:val="21"/>
          <w:highlight w:val="none"/>
        </w:rPr>
        <w:t>在</w:t>
      </w:r>
      <w:r>
        <w:rPr>
          <w:rFonts w:hint="eastAsia"/>
          <w:color w:val="auto"/>
          <w:highlight w:val="none"/>
        </w:rPr>
        <w:t>满足合同交付标准后，依照招标文件要求的验收程序、方法以及乙方投标文件响应的验收程序、方法进行，如有不一致按最优验收方式进行。</w:t>
      </w:r>
    </w:p>
    <w:p w14:paraId="10EECCC5">
      <w:pPr>
        <w:spacing w:line="300" w:lineRule="exact"/>
        <w:ind w:firstLine="420" w:firstLineChars="200"/>
        <w:rPr>
          <w:color w:val="auto"/>
          <w:highlight w:val="none"/>
        </w:rPr>
      </w:pPr>
      <w:r>
        <w:rPr>
          <w:rFonts w:hint="eastAsia"/>
          <w:color w:val="auto"/>
          <w:highlight w:val="none"/>
        </w:rPr>
        <w:t>4.</w:t>
      </w:r>
      <w:r>
        <w:rPr>
          <w:color w:val="auto"/>
          <w:highlight w:val="none"/>
        </w:rPr>
        <w:t>验收标准：按国家有关</w:t>
      </w:r>
      <w:r>
        <w:rPr>
          <w:rFonts w:hint="eastAsia"/>
          <w:color w:val="auto"/>
          <w:highlight w:val="none"/>
        </w:rPr>
        <w:t>标准</w:t>
      </w:r>
      <w:r>
        <w:rPr>
          <w:color w:val="auto"/>
          <w:highlight w:val="none"/>
        </w:rPr>
        <w:t>以及甲方招标文件的</w:t>
      </w:r>
      <w:r>
        <w:rPr>
          <w:rFonts w:hint="eastAsia"/>
          <w:color w:val="auto"/>
          <w:highlight w:val="none"/>
        </w:rPr>
        <w:t>采购需求</w:t>
      </w:r>
      <w:r>
        <w:rPr>
          <w:color w:val="auto"/>
          <w:highlight w:val="none"/>
        </w:rPr>
        <w:t>、乙方的投标文件</w:t>
      </w:r>
      <w:r>
        <w:rPr>
          <w:rFonts w:hint="eastAsia"/>
          <w:color w:val="auto"/>
          <w:highlight w:val="none"/>
        </w:rPr>
        <w:t>响应</w:t>
      </w:r>
      <w:r>
        <w:rPr>
          <w:color w:val="auto"/>
          <w:highlight w:val="none"/>
        </w:rPr>
        <w:t>及承诺与本合同约定进行验收；</w:t>
      </w:r>
      <w:r>
        <w:rPr>
          <w:rFonts w:hint="eastAsia"/>
          <w:color w:val="auto"/>
          <w:highlight w:val="none"/>
        </w:rPr>
        <w:t>上述标准如</w:t>
      </w:r>
      <w:r>
        <w:rPr>
          <w:color w:val="auto"/>
          <w:highlight w:val="none"/>
        </w:rPr>
        <w:t>有</w:t>
      </w:r>
      <w:r>
        <w:rPr>
          <w:rFonts w:hint="eastAsia"/>
          <w:color w:val="auto"/>
          <w:highlight w:val="none"/>
        </w:rPr>
        <w:t>不一致事项</w:t>
      </w:r>
      <w:r>
        <w:rPr>
          <w:color w:val="auto"/>
          <w:highlight w:val="none"/>
        </w:rPr>
        <w:t>，</w:t>
      </w:r>
      <w:r>
        <w:rPr>
          <w:rFonts w:hint="eastAsia"/>
          <w:color w:val="auto"/>
          <w:highlight w:val="none"/>
        </w:rPr>
        <w:t>以</w:t>
      </w:r>
      <w:r>
        <w:rPr>
          <w:color w:val="auto"/>
          <w:highlight w:val="none"/>
        </w:rPr>
        <w:t>招标</w:t>
      </w:r>
      <w:r>
        <w:rPr>
          <w:rFonts w:hint="eastAsia"/>
          <w:color w:val="auto"/>
          <w:highlight w:val="none"/>
        </w:rPr>
        <w:t>文件</w:t>
      </w:r>
      <w:r>
        <w:rPr>
          <w:color w:val="auto"/>
          <w:highlight w:val="none"/>
        </w:rPr>
        <w:t>与投标文件中</w:t>
      </w:r>
      <w:r>
        <w:rPr>
          <w:rFonts w:hint="eastAsia"/>
          <w:color w:val="auto"/>
          <w:highlight w:val="none"/>
        </w:rPr>
        <w:t>对应要求或指标中</w:t>
      </w:r>
      <w:r>
        <w:rPr>
          <w:color w:val="auto"/>
          <w:highlight w:val="none"/>
        </w:rPr>
        <w:t>较优</w:t>
      </w:r>
      <w:r>
        <w:rPr>
          <w:rFonts w:hint="eastAsia"/>
          <w:color w:val="auto"/>
          <w:highlight w:val="none"/>
        </w:rPr>
        <w:t>作为验收标准。如果交付的</w:t>
      </w:r>
      <w:r>
        <w:rPr>
          <w:color w:val="auto"/>
          <w:szCs w:val="21"/>
          <w:highlight w:val="none"/>
        </w:rPr>
        <w:t>产品或服务成果</w:t>
      </w:r>
      <w:r>
        <w:rPr>
          <w:rFonts w:hint="eastAsia"/>
          <w:color w:val="auto"/>
          <w:highlight w:val="none"/>
        </w:rPr>
        <w:t>中有执行国家强制标准的，则验收标准不得低于国家强制标准。</w:t>
      </w:r>
    </w:p>
    <w:p w14:paraId="34326D52">
      <w:pPr>
        <w:pStyle w:val="20"/>
        <w:spacing w:line="300" w:lineRule="exact"/>
        <w:ind w:firstLine="420" w:firstLineChars="200"/>
        <w:jc w:val="left"/>
        <w:rPr>
          <w:color w:val="auto"/>
          <w:highlight w:val="none"/>
        </w:rPr>
      </w:pPr>
      <w:r>
        <w:rPr>
          <w:rFonts w:hint="eastAsia" w:ascii="Times New Roman" w:hAnsi="Times New Roman" w:cs="Times New Roman"/>
          <w:color w:val="auto"/>
          <w:highlight w:val="none"/>
        </w:rPr>
        <w:t>5</w:t>
      </w:r>
      <w:r>
        <w:rPr>
          <w:rFonts w:ascii="Times New Roman" w:hAnsi="Times New Roman" w:cs="Times New Roman"/>
          <w:color w:val="auto"/>
          <w:highlight w:val="none"/>
        </w:rPr>
        <w:t>.</w:t>
      </w:r>
      <w:r>
        <w:rPr>
          <w:rFonts w:hint="eastAsia" w:ascii="Times New Roman" w:hAnsi="Times New Roman" w:cs="Times New Roman"/>
          <w:color w:val="auto"/>
          <w:highlight w:val="none"/>
        </w:rPr>
        <w:t>验收地点及验收期限：验收地点为产品</w:t>
      </w:r>
      <w:r>
        <w:rPr>
          <w:color w:val="auto"/>
          <w:highlight w:val="none"/>
        </w:rPr>
        <w:t>或服务成果</w:t>
      </w:r>
      <w:r>
        <w:rPr>
          <w:rFonts w:hint="eastAsia" w:ascii="Times New Roman" w:hAnsi="Times New Roman" w:cs="Times New Roman"/>
          <w:color w:val="auto"/>
          <w:highlight w:val="none"/>
        </w:rPr>
        <w:t>交付地点；</w:t>
      </w:r>
      <w:r>
        <w:rPr>
          <w:rFonts w:hint="eastAsia"/>
          <w:color w:val="auto"/>
          <w:highlight w:val="none"/>
        </w:rPr>
        <w:t>各单项验收应在甲方收到乙方的书面验收申请后5个工作日内组织。乙方在提出验收申请时，应确保已具备验收条件。</w:t>
      </w:r>
      <w:r>
        <w:rPr>
          <w:color w:val="auto"/>
          <w:highlight w:val="none"/>
        </w:rPr>
        <w:t>甲方</w:t>
      </w:r>
      <w:r>
        <w:rPr>
          <w:rFonts w:hint="eastAsia"/>
          <w:color w:val="auto"/>
          <w:highlight w:val="none"/>
        </w:rPr>
        <w:t>收到乙方书面通知后</w:t>
      </w:r>
      <w:r>
        <w:rPr>
          <w:color w:val="auto"/>
          <w:highlight w:val="none"/>
        </w:rPr>
        <w:t>无故不进行验收工作</w:t>
      </w:r>
      <w:r>
        <w:rPr>
          <w:rFonts w:hint="eastAsia"/>
          <w:color w:val="auto"/>
          <w:highlight w:val="none"/>
        </w:rPr>
        <w:t>的，验收期限结束之日起视为当次单项验收合格。</w:t>
      </w:r>
    </w:p>
    <w:p w14:paraId="0D98AEC5">
      <w:pPr>
        <w:pStyle w:val="20"/>
        <w:spacing w:line="300" w:lineRule="exact"/>
        <w:ind w:firstLine="420" w:firstLineChars="200"/>
        <w:jc w:val="left"/>
        <w:rPr>
          <w:color w:val="auto"/>
          <w:highlight w:val="none"/>
        </w:rPr>
      </w:pPr>
      <w:r>
        <w:rPr>
          <w:rFonts w:hint="eastAsia" w:ascii="Times New Roman" w:hAnsi="Times New Roman" w:cs="Times New Roman"/>
          <w:color w:val="auto"/>
          <w:highlight w:val="none"/>
        </w:rPr>
        <w:t>6.</w:t>
      </w:r>
      <w:r>
        <w:rPr>
          <w:rFonts w:ascii="Times New Roman" w:hAnsi="Times New Roman" w:cs="Times New Roman"/>
          <w:color w:val="auto"/>
          <w:highlight w:val="none"/>
        </w:rPr>
        <w:t>验收</w:t>
      </w:r>
      <w:r>
        <w:rPr>
          <w:rFonts w:hint="eastAsia" w:ascii="Times New Roman" w:hAnsi="Times New Roman" w:cs="Times New Roman"/>
          <w:color w:val="auto"/>
          <w:highlight w:val="none"/>
        </w:rPr>
        <w:t>结果：在任一单项验收环节，甲、乙双方代表均应在场，交付的产品</w:t>
      </w:r>
      <w:r>
        <w:rPr>
          <w:color w:val="auto"/>
          <w:highlight w:val="none"/>
        </w:rPr>
        <w:t>或服务成果</w:t>
      </w:r>
      <w:r>
        <w:rPr>
          <w:rFonts w:hint="eastAsia" w:ascii="Times New Roman" w:hAnsi="Times New Roman" w:cs="Times New Roman"/>
          <w:color w:val="auto"/>
          <w:highlight w:val="none"/>
        </w:rPr>
        <w:t>符合验收标准的为单项验收合格，不符合验收标准的为单项验收不合格。验收结果由甲方出具</w:t>
      </w:r>
      <w:r>
        <w:rPr>
          <w:color w:val="auto"/>
          <w:highlight w:val="none"/>
        </w:rPr>
        <w:t>验收结果报告</w:t>
      </w:r>
      <w:r>
        <w:rPr>
          <w:rFonts w:hint="eastAsia"/>
          <w:color w:val="auto"/>
          <w:highlight w:val="none"/>
        </w:rPr>
        <w:t>或</w:t>
      </w:r>
      <w:r>
        <w:rPr>
          <w:color w:val="auto"/>
          <w:highlight w:val="none"/>
        </w:rPr>
        <w:t>验收书</w:t>
      </w:r>
      <w:r>
        <w:rPr>
          <w:rFonts w:hint="eastAsia"/>
          <w:color w:val="auto"/>
          <w:highlight w:val="none"/>
        </w:rPr>
        <w:t>，</w:t>
      </w:r>
      <w:r>
        <w:rPr>
          <w:color w:val="auto"/>
          <w:highlight w:val="none"/>
        </w:rPr>
        <w:t>列明各项标准的验收情况</w:t>
      </w:r>
      <w:r>
        <w:rPr>
          <w:rFonts w:hint="eastAsia"/>
          <w:color w:val="auto"/>
          <w:highlight w:val="none"/>
        </w:rPr>
        <w:t>，由甲、乙双方代表共同签字确认并加盖甲方公章</w:t>
      </w:r>
      <w:r>
        <w:rPr>
          <w:color w:val="auto"/>
          <w:highlight w:val="none"/>
        </w:rPr>
        <w:t>，甲乙双方各执一份</w:t>
      </w:r>
      <w:r>
        <w:rPr>
          <w:rFonts w:hint="eastAsia"/>
          <w:color w:val="auto"/>
          <w:highlight w:val="none"/>
        </w:rPr>
        <w:t>。验收结果报告或验收书经双方代表签字后即视为验收结果已通知甲、乙双方。如乙方对验收结果有异议的，应在验收现场以书面的形式出具说明，否则视为认可验收结果。</w:t>
      </w:r>
    </w:p>
    <w:p w14:paraId="35757616">
      <w:pPr>
        <w:pStyle w:val="20"/>
        <w:spacing w:line="300" w:lineRule="exact"/>
        <w:ind w:firstLine="420" w:firstLineChars="200"/>
        <w:jc w:val="left"/>
        <w:rPr>
          <w:color w:val="auto"/>
          <w:highlight w:val="none"/>
        </w:rPr>
      </w:pPr>
      <w:r>
        <w:rPr>
          <w:rFonts w:hint="eastAsia" w:ascii="Times New Roman" w:hAnsi="Times New Roman" w:cs="Times New Roman"/>
          <w:color w:val="auto"/>
          <w:highlight w:val="none"/>
        </w:rPr>
        <w:t>7.不予签收或单项验收不合格的，</w:t>
      </w:r>
      <w:r>
        <w:rPr>
          <w:rFonts w:hint="eastAsia"/>
          <w:color w:val="auto"/>
          <w:highlight w:val="none"/>
        </w:rPr>
        <w:t>乙方应在当次验收后</w:t>
      </w:r>
      <w:r>
        <w:rPr>
          <w:rFonts w:hint="eastAsia"/>
          <w:color w:val="auto"/>
          <w:highlight w:val="none"/>
          <w:u w:val="single"/>
        </w:rPr>
        <w:t>5</w:t>
      </w:r>
      <w:r>
        <w:rPr>
          <w:rFonts w:hint="eastAsia"/>
          <w:color w:val="auto"/>
          <w:highlight w:val="none"/>
        </w:rPr>
        <w:t>个工作日内就不符合要求项以补充、更换、修理等甲方认可的方式进行整改并重新验收，未按时进行整改或整改后重新验收仍不合格的</w:t>
      </w:r>
      <w:r>
        <w:rPr>
          <w:color w:val="auto"/>
          <w:highlight w:val="none"/>
        </w:rPr>
        <w:t>视为逾期</w:t>
      </w:r>
      <w:r>
        <w:rPr>
          <w:rFonts w:hint="eastAsia"/>
          <w:color w:val="auto"/>
          <w:highlight w:val="none"/>
        </w:rPr>
        <w:t>交付，逾期交付最长不得超过</w:t>
      </w:r>
      <w:r>
        <w:rPr>
          <w:rFonts w:hint="eastAsia"/>
          <w:color w:val="auto"/>
          <w:highlight w:val="none"/>
          <w:u w:val="single"/>
        </w:rPr>
        <w:t>3</w:t>
      </w:r>
      <w:r>
        <w:rPr>
          <w:color w:val="auto"/>
          <w:highlight w:val="none"/>
          <w:u w:val="single"/>
        </w:rPr>
        <w:t>0</w:t>
      </w:r>
      <w:r>
        <w:rPr>
          <w:rFonts w:hint="eastAsia"/>
          <w:color w:val="auto"/>
          <w:highlight w:val="none"/>
        </w:rPr>
        <w:t>日，超过</w:t>
      </w:r>
      <w:r>
        <w:rPr>
          <w:color w:val="auto"/>
          <w:highlight w:val="none"/>
          <w:u w:val="single"/>
        </w:rPr>
        <w:t>30</w:t>
      </w:r>
      <w:r>
        <w:rPr>
          <w:rFonts w:hint="eastAsia"/>
          <w:color w:val="auto"/>
          <w:highlight w:val="none"/>
        </w:rPr>
        <w:t>日则视为最终验收不合格</w:t>
      </w:r>
      <w:r>
        <w:rPr>
          <w:color w:val="auto"/>
          <w:highlight w:val="none"/>
        </w:rPr>
        <w:t>。</w:t>
      </w:r>
      <w:r>
        <w:rPr>
          <w:rFonts w:hint="eastAsia"/>
          <w:color w:val="auto"/>
          <w:highlight w:val="none"/>
        </w:rPr>
        <w:t>逾期交付不影响本条第1款约定的使用时间。</w:t>
      </w:r>
    </w:p>
    <w:p w14:paraId="763FFE82">
      <w:pPr>
        <w:spacing w:line="360" w:lineRule="exact"/>
        <w:ind w:firstLine="420" w:firstLineChars="200"/>
        <w:rPr>
          <w:color w:val="auto"/>
          <w:szCs w:val="21"/>
          <w:highlight w:val="none"/>
        </w:rPr>
      </w:pPr>
      <w:r>
        <w:rPr>
          <w:rFonts w:hint="eastAsia"/>
          <w:color w:val="auto"/>
          <w:szCs w:val="21"/>
          <w:highlight w:val="none"/>
        </w:rPr>
        <w:t>8</w:t>
      </w:r>
      <w:r>
        <w:rPr>
          <w:color w:val="auto"/>
          <w:szCs w:val="21"/>
          <w:highlight w:val="none"/>
        </w:rPr>
        <w:t>.甲方</w:t>
      </w:r>
      <w:r>
        <w:rPr>
          <w:rFonts w:hint="eastAsia"/>
          <w:color w:val="auto"/>
          <w:highlight w:val="none"/>
        </w:rPr>
        <w:t>有权委托第三方机构组织验收</w:t>
      </w:r>
      <w:r>
        <w:rPr>
          <w:color w:val="auto"/>
          <w:highlight w:val="none"/>
        </w:rPr>
        <w:t>，</w:t>
      </w:r>
      <w:r>
        <w:rPr>
          <w:rFonts w:hint="eastAsia"/>
          <w:color w:val="auto"/>
          <w:highlight w:val="none"/>
        </w:rPr>
        <w:t>验收按上述规定执行，</w:t>
      </w:r>
      <w:r>
        <w:rPr>
          <w:color w:val="auto"/>
          <w:highlight w:val="none"/>
        </w:rPr>
        <w:t>乙方</w:t>
      </w:r>
      <w:r>
        <w:rPr>
          <w:rFonts w:hint="eastAsia"/>
          <w:color w:val="auto"/>
          <w:highlight w:val="none"/>
        </w:rPr>
        <w:t>应予以</w:t>
      </w:r>
      <w:r>
        <w:rPr>
          <w:color w:val="auto"/>
          <w:highlight w:val="none"/>
        </w:rPr>
        <w:t>配合。</w:t>
      </w:r>
    </w:p>
    <w:p w14:paraId="1013BD3C">
      <w:pPr>
        <w:spacing w:line="360" w:lineRule="exact"/>
        <w:ind w:firstLine="420" w:firstLineChars="200"/>
        <w:rPr>
          <w:color w:val="auto"/>
          <w:szCs w:val="21"/>
          <w:highlight w:val="none"/>
        </w:rPr>
      </w:pPr>
      <w:r>
        <w:rPr>
          <w:rFonts w:hint="eastAsia"/>
          <w:color w:val="auto"/>
          <w:szCs w:val="21"/>
          <w:highlight w:val="none"/>
        </w:rPr>
        <w:t>9</w:t>
      </w:r>
      <w:r>
        <w:rPr>
          <w:color w:val="auto"/>
          <w:szCs w:val="21"/>
          <w:highlight w:val="none"/>
        </w:rPr>
        <w:t>. 其他未尽事宜应严格按照《关于印发广西壮族自治区政府采购项目履约验收管理办法的通知》[桂财采〔2015〕22号]以及《财政部关于进一步加强政府采购需求和履约验收管理的指导意见》[财库〔2016〕205号]规定执行。</w:t>
      </w:r>
    </w:p>
    <w:p w14:paraId="604F71F3">
      <w:pPr>
        <w:spacing w:line="300" w:lineRule="exact"/>
        <w:ind w:firstLine="420" w:firstLineChars="200"/>
        <w:rPr>
          <w:color w:val="auto"/>
          <w:szCs w:val="21"/>
          <w:highlight w:val="none"/>
        </w:rPr>
      </w:pPr>
      <w:r>
        <w:rPr>
          <w:rFonts w:hint="eastAsia"/>
          <w:color w:val="auto"/>
          <w:szCs w:val="21"/>
          <w:highlight w:val="none"/>
        </w:rPr>
        <w:t>10</w:t>
      </w:r>
      <w:r>
        <w:rPr>
          <w:color w:val="auto"/>
          <w:szCs w:val="21"/>
          <w:highlight w:val="none"/>
        </w:rPr>
        <w:t>.甲方委托第三方组织</w:t>
      </w:r>
      <w:r>
        <w:rPr>
          <w:rFonts w:hint="eastAsia"/>
          <w:color w:val="auto"/>
          <w:szCs w:val="21"/>
          <w:highlight w:val="none"/>
        </w:rPr>
        <w:t>验收</w:t>
      </w:r>
      <w:r>
        <w:rPr>
          <w:color w:val="auto"/>
          <w:szCs w:val="21"/>
          <w:highlight w:val="none"/>
        </w:rPr>
        <w:t>的，其验收时间</w:t>
      </w:r>
      <w:r>
        <w:rPr>
          <w:rFonts w:hint="eastAsia"/>
          <w:color w:val="auto"/>
          <w:szCs w:val="21"/>
          <w:highlight w:val="none"/>
        </w:rPr>
        <w:t>、验收程序</w:t>
      </w:r>
      <w:r>
        <w:rPr>
          <w:color w:val="auto"/>
          <w:szCs w:val="21"/>
          <w:highlight w:val="none"/>
        </w:rPr>
        <w:t>以该项目验收方案确定的验收时间</w:t>
      </w:r>
      <w:r>
        <w:rPr>
          <w:rFonts w:hint="eastAsia"/>
          <w:color w:val="auto"/>
          <w:szCs w:val="21"/>
          <w:highlight w:val="none"/>
        </w:rPr>
        <w:t>、验收程序</w:t>
      </w:r>
      <w:r>
        <w:rPr>
          <w:color w:val="auto"/>
          <w:szCs w:val="21"/>
          <w:highlight w:val="none"/>
        </w:rPr>
        <w:t>为准，验收结果以该项目验收报告结论为准。</w:t>
      </w:r>
    </w:p>
    <w:p w14:paraId="62D3583C">
      <w:pPr>
        <w:pStyle w:val="20"/>
        <w:spacing w:before="120" w:after="120" w:line="300" w:lineRule="exact"/>
        <w:ind w:firstLine="420" w:firstLineChars="200"/>
        <w:jc w:val="left"/>
        <w:rPr>
          <w:rFonts w:ascii="Times New Roman" w:hAnsi="Times New Roman" w:cs="Times New Roman"/>
          <w:color w:val="auto"/>
          <w:highlight w:val="none"/>
        </w:rPr>
      </w:pPr>
      <w:bookmarkStart w:id="217" w:name="_Hlk77611338"/>
      <w:r>
        <w:rPr>
          <w:rFonts w:hint="eastAsia" w:ascii="Times New Roman" w:hAnsi="Times New Roman" w:cs="Times New Roman"/>
          <w:color w:val="auto"/>
          <w:highlight w:val="none"/>
        </w:rPr>
        <w:t>11</w:t>
      </w:r>
      <w:r>
        <w:rPr>
          <w:rFonts w:ascii="Times New Roman" w:hAnsi="Times New Roman" w:cs="Times New Roman"/>
          <w:color w:val="auto"/>
          <w:highlight w:val="none"/>
        </w:rPr>
        <w:t>.</w:t>
      </w:r>
      <w:r>
        <w:rPr>
          <w:rFonts w:hint="eastAsia" w:ascii="Times New Roman" w:hAnsi="Times New Roman" w:cs="Times New Roman"/>
          <w:color w:val="auto"/>
          <w:highlight w:val="none"/>
        </w:rPr>
        <w:t>履约验收方案详见附件。</w:t>
      </w:r>
    </w:p>
    <w:bookmarkEnd w:id="217"/>
    <w:p w14:paraId="60ECD148">
      <w:pPr>
        <w:spacing w:line="360" w:lineRule="exact"/>
        <w:ind w:firstLine="422" w:firstLineChars="200"/>
        <w:rPr>
          <w:b/>
          <w:color w:val="auto"/>
          <w:szCs w:val="21"/>
          <w:highlight w:val="none"/>
        </w:rPr>
      </w:pPr>
      <w:r>
        <w:rPr>
          <w:b/>
          <w:color w:val="auto"/>
          <w:szCs w:val="21"/>
          <w:highlight w:val="none"/>
        </w:rPr>
        <w:t>第七条  安装</w:t>
      </w:r>
      <w:r>
        <w:rPr>
          <w:rFonts w:hint="eastAsia"/>
          <w:b/>
          <w:color w:val="auto"/>
          <w:szCs w:val="21"/>
          <w:highlight w:val="none"/>
        </w:rPr>
        <w:t>、调试</w:t>
      </w:r>
      <w:r>
        <w:rPr>
          <w:b/>
          <w:color w:val="auto"/>
          <w:szCs w:val="21"/>
          <w:highlight w:val="none"/>
        </w:rPr>
        <w:t>和培训</w:t>
      </w:r>
    </w:p>
    <w:p w14:paraId="7825AF0A">
      <w:pPr>
        <w:spacing w:line="360" w:lineRule="exact"/>
        <w:ind w:firstLine="420" w:firstLineChars="200"/>
        <w:rPr>
          <w:color w:val="auto"/>
          <w:szCs w:val="21"/>
          <w:highlight w:val="none"/>
        </w:rPr>
      </w:pPr>
      <w:r>
        <w:rPr>
          <w:color w:val="auto"/>
          <w:szCs w:val="21"/>
          <w:highlight w:val="none"/>
        </w:rPr>
        <w:t>1.甲方应提供必要安装</w:t>
      </w:r>
      <w:r>
        <w:rPr>
          <w:rFonts w:hint="eastAsia"/>
          <w:color w:val="auto"/>
          <w:szCs w:val="21"/>
          <w:highlight w:val="none"/>
        </w:rPr>
        <w:t>、调试</w:t>
      </w:r>
      <w:r>
        <w:rPr>
          <w:color w:val="auto"/>
          <w:szCs w:val="21"/>
          <w:highlight w:val="none"/>
        </w:rPr>
        <w:t>条件（如场地、电源、水源等）。</w:t>
      </w:r>
    </w:p>
    <w:p w14:paraId="58B90473">
      <w:pPr>
        <w:spacing w:line="360" w:lineRule="exact"/>
        <w:ind w:firstLine="420" w:firstLineChars="200"/>
        <w:rPr>
          <w:color w:val="auto"/>
          <w:szCs w:val="21"/>
          <w:highlight w:val="none"/>
          <w:u w:val="single"/>
        </w:rPr>
      </w:pPr>
      <w:r>
        <w:rPr>
          <w:color w:val="auto"/>
          <w:szCs w:val="21"/>
          <w:highlight w:val="none"/>
        </w:rPr>
        <w:t>2.乙方负责甲方有关人员的培训。培训时间、地点：</w:t>
      </w:r>
      <w:r>
        <w:rPr>
          <w:color w:val="auto"/>
          <w:szCs w:val="21"/>
          <w:highlight w:val="none"/>
          <w:u w:val="single"/>
        </w:rPr>
        <w:t xml:space="preserve"> 由甲方决定。</w:t>
      </w:r>
    </w:p>
    <w:p w14:paraId="4CEC8652">
      <w:pPr>
        <w:spacing w:line="360" w:lineRule="exact"/>
        <w:ind w:firstLine="422" w:firstLineChars="200"/>
        <w:rPr>
          <w:b/>
          <w:color w:val="auto"/>
          <w:szCs w:val="21"/>
          <w:highlight w:val="none"/>
        </w:rPr>
      </w:pPr>
      <w:r>
        <w:rPr>
          <w:b/>
          <w:color w:val="auto"/>
          <w:szCs w:val="21"/>
          <w:highlight w:val="none"/>
        </w:rPr>
        <w:t>第八条  售后服务、质保期</w:t>
      </w:r>
    </w:p>
    <w:p w14:paraId="28E9C9C3">
      <w:pPr>
        <w:spacing w:line="276" w:lineRule="auto"/>
        <w:ind w:firstLine="420" w:firstLineChars="200"/>
        <w:rPr>
          <w:color w:val="auto"/>
          <w:szCs w:val="21"/>
          <w:highlight w:val="none"/>
        </w:rPr>
      </w:pPr>
      <w:r>
        <w:rPr>
          <w:color w:val="auto"/>
          <w:szCs w:val="21"/>
          <w:highlight w:val="none"/>
        </w:rPr>
        <w:t>1.乙方应按照国家有关法律法规和“三包”规定以及</w:t>
      </w:r>
      <w:r>
        <w:rPr>
          <w:rFonts w:hint="eastAsia"/>
          <w:color w:val="auto"/>
          <w:szCs w:val="21"/>
          <w:highlight w:val="none"/>
        </w:rPr>
        <w:t>招标文件、投标文件</w:t>
      </w:r>
      <w:r>
        <w:rPr>
          <w:color w:val="auto"/>
          <w:szCs w:val="21"/>
          <w:highlight w:val="none"/>
        </w:rPr>
        <w:t>和本合同附件，为甲方提供售后服务。</w:t>
      </w:r>
    </w:p>
    <w:p w14:paraId="2BEE0CBE">
      <w:pPr>
        <w:spacing w:line="276" w:lineRule="auto"/>
        <w:ind w:firstLine="420" w:firstLineChars="200"/>
        <w:rPr>
          <w:color w:val="auto"/>
          <w:szCs w:val="21"/>
          <w:highlight w:val="none"/>
          <w:u w:val="single"/>
        </w:rPr>
      </w:pPr>
      <w:r>
        <w:rPr>
          <w:color w:val="auto"/>
          <w:szCs w:val="21"/>
          <w:highlight w:val="none"/>
        </w:rPr>
        <w:t>2.</w:t>
      </w:r>
      <w:r>
        <w:rPr>
          <w:rFonts w:hint="eastAsia"/>
          <w:color w:val="auto"/>
          <w:szCs w:val="21"/>
          <w:highlight w:val="none"/>
        </w:rPr>
        <w:t>产品</w:t>
      </w:r>
      <w:r>
        <w:rPr>
          <w:color w:val="auto"/>
          <w:szCs w:val="21"/>
          <w:highlight w:val="none"/>
        </w:rPr>
        <w:t>或服务成果质保期：</w:t>
      </w:r>
      <w:r>
        <w:rPr>
          <w:color w:val="auto"/>
          <w:szCs w:val="21"/>
          <w:highlight w:val="none"/>
          <w:u w:val="single"/>
        </w:rPr>
        <w:t>按乙方承诺，但是不得低于国家相关标准</w:t>
      </w:r>
      <w:r>
        <w:rPr>
          <w:color w:val="auto"/>
          <w:szCs w:val="21"/>
          <w:highlight w:val="none"/>
        </w:rPr>
        <w:t>。</w:t>
      </w:r>
    </w:p>
    <w:p w14:paraId="666B92C3">
      <w:pPr>
        <w:spacing w:line="276" w:lineRule="auto"/>
        <w:ind w:firstLine="420" w:firstLineChars="200"/>
        <w:rPr>
          <w:color w:val="auto"/>
          <w:szCs w:val="21"/>
          <w:highlight w:val="none"/>
        </w:rPr>
      </w:pPr>
      <w:r>
        <w:rPr>
          <w:color w:val="auto"/>
          <w:szCs w:val="21"/>
          <w:highlight w:val="none"/>
        </w:rPr>
        <w:t>3.按招标文件规定的服务质量标准，并达到或优于中标人承诺的标准。</w:t>
      </w:r>
    </w:p>
    <w:p w14:paraId="47EA3674">
      <w:pPr>
        <w:spacing w:line="276" w:lineRule="auto"/>
        <w:ind w:firstLine="420" w:firstLineChars="200"/>
        <w:rPr>
          <w:color w:val="auto"/>
          <w:szCs w:val="21"/>
          <w:highlight w:val="none"/>
        </w:rPr>
      </w:pPr>
      <w:r>
        <w:rPr>
          <w:color w:val="auto"/>
          <w:szCs w:val="21"/>
          <w:highlight w:val="none"/>
        </w:rPr>
        <w:t>4.乙方所提供的</w:t>
      </w:r>
      <w:r>
        <w:rPr>
          <w:rFonts w:hint="eastAsia"/>
          <w:color w:val="auto"/>
          <w:szCs w:val="21"/>
          <w:highlight w:val="none"/>
        </w:rPr>
        <w:t>服务内容、标准</w:t>
      </w:r>
      <w:r>
        <w:rPr>
          <w:color w:val="auto"/>
          <w:szCs w:val="21"/>
          <w:highlight w:val="none"/>
        </w:rPr>
        <w:t>必须与</w:t>
      </w:r>
      <w:bookmarkStart w:id="218" w:name="_Hlk19187447"/>
      <w:r>
        <w:rPr>
          <w:rFonts w:hint="eastAsia"/>
          <w:color w:val="auto"/>
          <w:szCs w:val="21"/>
          <w:highlight w:val="none"/>
        </w:rPr>
        <w:t>招标文件、投标文件</w:t>
      </w:r>
      <w:bookmarkEnd w:id="218"/>
      <w:r>
        <w:rPr>
          <w:color w:val="auto"/>
          <w:szCs w:val="21"/>
          <w:highlight w:val="none"/>
        </w:rPr>
        <w:t>和承诺相一致。</w:t>
      </w:r>
    </w:p>
    <w:p w14:paraId="7F37E464">
      <w:pPr>
        <w:spacing w:line="276" w:lineRule="auto"/>
        <w:ind w:firstLine="420" w:firstLineChars="200"/>
        <w:rPr>
          <w:color w:val="auto"/>
          <w:szCs w:val="21"/>
          <w:highlight w:val="none"/>
        </w:rPr>
      </w:pPr>
      <w:r>
        <w:rPr>
          <w:color w:val="auto"/>
          <w:szCs w:val="21"/>
          <w:highlight w:val="none"/>
        </w:rPr>
        <w:t>5.如在使用过程中发生质量</w:t>
      </w:r>
      <w:r>
        <w:rPr>
          <w:rFonts w:hint="eastAsia"/>
          <w:color w:val="auto"/>
          <w:szCs w:val="21"/>
          <w:highlight w:val="none"/>
        </w:rPr>
        <w:t>或故障等</w:t>
      </w:r>
      <w:r>
        <w:rPr>
          <w:color w:val="auto"/>
          <w:szCs w:val="21"/>
          <w:highlight w:val="none"/>
        </w:rPr>
        <w:t>问题，乙方在接到甲方通知后在</w:t>
      </w:r>
      <w:r>
        <w:rPr>
          <w:color w:val="auto"/>
          <w:szCs w:val="21"/>
          <w:highlight w:val="none"/>
          <w:u w:val="single"/>
        </w:rPr>
        <w:t xml:space="preserve"> </w:t>
      </w:r>
      <w:r>
        <w:rPr>
          <w:rFonts w:hint="eastAsia"/>
          <w:color w:val="auto"/>
          <w:szCs w:val="21"/>
          <w:highlight w:val="none"/>
          <w:u w:val="single"/>
        </w:rPr>
        <w:t>3</w:t>
      </w:r>
      <w:r>
        <w:rPr>
          <w:color w:val="auto"/>
          <w:szCs w:val="21"/>
          <w:highlight w:val="none"/>
          <w:u w:val="single"/>
        </w:rPr>
        <w:t xml:space="preserve"> </w:t>
      </w:r>
      <w:r>
        <w:rPr>
          <w:color w:val="auto"/>
          <w:szCs w:val="21"/>
          <w:highlight w:val="none"/>
        </w:rPr>
        <w:t>小时内到达甲方现场。</w:t>
      </w:r>
    </w:p>
    <w:p w14:paraId="1E41D1E2">
      <w:pPr>
        <w:spacing w:line="276" w:lineRule="auto"/>
        <w:ind w:firstLine="420" w:firstLineChars="200"/>
        <w:rPr>
          <w:color w:val="auto"/>
          <w:szCs w:val="21"/>
          <w:highlight w:val="none"/>
        </w:rPr>
      </w:pPr>
      <w:r>
        <w:rPr>
          <w:color w:val="auto"/>
          <w:szCs w:val="21"/>
          <w:highlight w:val="none"/>
        </w:rPr>
        <w:t>6.在质保期内，乙方应对</w:t>
      </w:r>
      <w:r>
        <w:rPr>
          <w:rFonts w:hint="eastAsia"/>
          <w:color w:val="auto"/>
          <w:szCs w:val="21"/>
          <w:highlight w:val="none"/>
        </w:rPr>
        <w:t>产品</w:t>
      </w:r>
      <w:r>
        <w:rPr>
          <w:color w:val="auto"/>
          <w:szCs w:val="21"/>
          <w:highlight w:val="none"/>
        </w:rPr>
        <w:t>或服务成果出现的质量及安全问题负责处理解决并承担一切费用。</w:t>
      </w:r>
    </w:p>
    <w:p w14:paraId="5E1D80D3">
      <w:pPr>
        <w:spacing w:line="276" w:lineRule="auto"/>
        <w:ind w:firstLine="420" w:firstLineChars="200"/>
        <w:rPr>
          <w:color w:val="auto"/>
          <w:szCs w:val="21"/>
          <w:highlight w:val="none"/>
        </w:rPr>
      </w:pPr>
      <w:r>
        <w:rPr>
          <w:rFonts w:hint="eastAsia"/>
          <w:color w:val="auto"/>
          <w:szCs w:val="21"/>
          <w:highlight w:val="none"/>
        </w:rPr>
        <w:t>7</w:t>
      </w:r>
      <w:r>
        <w:rPr>
          <w:color w:val="auto"/>
          <w:szCs w:val="21"/>
          <w:highlight w:val="none"/>
        </w:rPr>
        <w:t>.乙方提供的服务承诺和售后服务及质保期责任等其它具体约定事项。</w:t>
      </w:r>
    </w:p>
    <w:p w14:paraId="2CE4018F">
      <w:pPr>
        <w:spacing w:line="360" w:lineRule="exact"/>
        <w:ind w:firstLine="422" w:firstLineChars="200"/>
        <w:rPr>
          <w:color w:val="auto"/>
          <w:szCs w:val="21"/>
          <w:highlight w:val="none"/>
        </w:rPr>
      </w:pPr>
      <w:r>
        <w:rPr>
          <w:b/>
          <w:color w:val="auto"/>
          <w:szCs w:val="21"/>
          <w:highlight w:val="none"/>
        </w:rPr>
        <w:t>第九条　付款</w:t>
      </w:r>
      <w:r>
        <w:rPr>
          <w:rFonts w:hint="eastAsia"/>
          <w:b/>
          <w:color w:val="auto"/>
          <w:szCs w:val="21"/>
          <w:highlight w:val="none"/>
        </w:rPr>
        <w:t>、结算</w:t>
      </w:r>
      <w:r>
        <w:rPr>
          <w:b/>
          <w:color w:val="auto"/>
          <w:szCs w:val="21"/>
          <w:highlight w:val="none"/>
        </w:rPr>
        <w:t>方式</w:t>
      </w:r>
    </w:p>
    <w:p w14:paraId="421C9BCC">
      <w:pPr>
        <w:spacing w:line="360" w:lineRule="exact"/>
        <w:ind w:firstLine="420" w:firstLineChars="200"/>
        <w:rPr>
          <w:color w:val="auto"/>
          <w:szCs w:val="21"/>
          <w:highlight w:val="none"/>
        </w:rPr>
      </w:pPr>
      <w:r>
        <w:rPr>
          <w:color w:val="auto"/>
          <w:szCs w:val="21"/>
          <w:highlight w:val="none"/>
        </w:rPr>
        <w:t>1.资金性质：</w:t>
      </w:r>
      <w:r>
        <w:rPr>
          <w:color w:val="auto"/>
          <w:szCs w:val="21"/>
          <w:highlight w:val="none"/>
          <w:u w:val="single"/>
        </w:rPr>
        <w:t>财政性资金。</w:t>
      </w:r>
    </w:p>
    <w:p w14:paraId="5E91BA92">
      <w:pPr>
        <w:spacing w:line="360" w:lineRule="exact"/>
        <w:ind w:firstLine="420" w:firstLineChars="200"/>
        <w:rPr>
          <w:color w:val="auto"/>
          <w:szCs w:val="21"/>
          <w:highlight w:val="none"/>
          <w:u w:val="single"/>
        </w:rPr>
      </w:pPr>
      <w:r>
        <w:rPr>
          <w:color w:val="auto"/>
          <w:szCs w:val="21"/>
          <w:highlight w:val="none"/>
        </w:rPr>
        <w:t>2.付款</w:t>
      </w:r>
      <w:r>
        <w:rPr>
          <w:rFonts w:hint="eastAsia"/>
          <w:color w:val="auto"/>
          <w:szCs w:val="21"/>
          <w:highlight w:val="none"/>
        </w:rPr>
        <w:t>、结算</w:t>
      </w:r>
      <w:r>
        <w:rPr>
          <w:color w:val="auto"/>
          <w:szCs w:val="21"/>
          <w:highlight w:val="none"/>
        </w:rPr>
        <w:t>方式：</w:t>
      </w:r>
    </w:p>
    <w:p w14:paraId="1FF07B93">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134" w:firstLineChars="61"/>
        <w:jc w:val="both"/>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按月支付。</w:t>
      </w:r>
    </w:p>
    <w:p w14:paraId="7EDEB6DA">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134" w:firstLineChars="61"/>
        <w:jc w:val="both"/>
        <w:textAlignment w:val="baseline"/>
        <w:rPr>
          <w:rFonts w:hint="eastAsia" w:ascii="宋体" w:hAnsi="宋体" w:eastAsia="宋体" w:cs="宋体"/>
          <w:snapToGrid w:val="0"/>
          <w:color w:val="auto"/>
          <w:spacing w:val="5"/>
          <w:kern w:val="0"/>
          <w:sz w:val="21"/>
          <w:szCs w:val="21"/>
          <w:highlight w:val="none"/>
        </w:rPr>
      </w:pPr>
      <w:r>
        <w:rPr>
          <w:rFonts w:hint="eastAsia" w:ascii="宋体" w:hAnsi="宋体" w:eastAsia="宋体" w:cs="宋体"/>
          <w:snapToGrid w:val="0"/>
          <w:color w:val="auto"/>
          <w:spacing w:val="5"/>
          <w:kern w:val="0"/>
          <w:sz w:val="21"/>
          <w:szCs w:val="21"/>
          <w:highlight w:val="none"/>
        </w:rPr>
        <w:t>（1）每月25日为结算货款日，以</w:t>
      </w:r>
      <w:r>
        <w:rPr>
          <w:rFonts w:hint="eastAsia" w:ascii="宋体" w:hAnsi="宋体" w:cs="宋体"/>
          <w:snapToGrid w:val="0"/>
          <w:color w:val="auto"/>
          <w:spacing w:val="5"/>
          <w:kern w:val="0"/>
          <w:sz w:val="21"/>
          <w:szCs w:val="21"/>
          <w:highlight w:val="none"/>
          <w:lang w:val="en-US" w:eastAsia="zh-CN"/>
        </w:rPr>
        <w:t>甲方</w:t>
      </w:r>
      <w:r>
        <w:rPr>
          <w:rFonts w:hint="eastAsia" w:ascii="宋体" w:hAnsi="宋体" w:eastAsia="宋体" w:cs="宋体"/>
          <w:snapToGrid w:val="0"/>
          <w:color w:val="auto"/>
          <w:spacing w:val="5"/>
          <w:kern w:val="0"/>
          <w:sz w:val="21"/>
          <w:szCs w:val="21"/>
          <w:highlight w:val="none"/>
        </w:rPr>
        <w:t>、</w:t>
      </w:r>
      <w:r>
        <w:rPr>
          <w:rFonts w:hint="eastAsia" w:ascii="宋体" w:hAnsi="宋体" w:cs="宋体"/>
          <w:snapToGrid w:val="0"/>
          <w:color w:val="auto"/>
          <w:spacing w:val="5"/>
          <w:kern w:val="0"/>
          <w:sz w:val="21"/>
          <w:szCs w:val="21"/>
          <w:highlight w:val="none"/>
          <w:lang w:val="en-US" w:eastAsia="zh-CN"/>
        </w:rPr>
        <w:t>乙方</w:t>
      </w:r>
      <w:r>
        <w:rPr>
          <w:rFonts w:hint="eastAsia" w:ascii="宋体" w:hAnsi="宋体" w:eastAsia="宋体" w:cs="宋体"/>
          <w:snapToGrid w:val="0"/>
          <w:color w:val="auto"/>
          <w:spacing w:val="5"/>
          <w:kern w:val="0"/>
          <w:sz w:val="21"/>
          <w:szCs w:val="21"/>
          <w:highlight w:val="none"/>
        </w:rPr>
        <w:t>双方共同核实确认的送货单为依据结算。</w:t>
      </w:r>
    </w:p>
    <w:p w14:paraId="78E7F5AF">
      <w:pPr>
        <w:keepNext/>
        <w:keepLines w:val="0"/>
        <w:pageBreakBefore w:val="0"/>
        <w:widowControl w:val="0"/>
        <w:kinsoku/>
        <w:wordWrap w:val="0"/>
        <w:overflowPunct/>
        <w:topLinePunct/>
        <w:autoSpaceDE/>
        <w:autoSpaceDN/>
        <w:bidi w:val="0"/>
        <w:adjustRightInd w:val="0"/>
        <w:snapToGrid w:val="0"/>
        <w:spacing w:line="360" w:lineRule="auto"/>
        <w:ind w:left="113" w:leftChars="0" w:right="85" w:rightChars="0" w:firstLine="134" w:firstLineChars="61"/>
        <w:jc w:val="both"/>
        <w:textAlignment w:val="baseline"/>
        <w:rPr>
          <w:rFonts w:hint="eastAsia" w:ascii="宋体" w:hAnsi="宋体" w:eastAsia="宋体" w:cs="宋体"/>
          <w:color w:val="auto"/>
          <w:sz w:val="21"/>
          <w:szCs w:val="21"/>
          <w:highlight w:val="none"/>
        </w:rPr>
      </w:pPr>
      <w:r>
        <w:rPr>
          <w:rFonts w:hint="eastAsia" w:ascii="宋体" w:hAnsi="宋体" w:eastAsia="宋体" w:cs="宋体"/>
          <w:snapToGrid w:val="0"/>
          <w:color w:val="auto"/>
          <w:spacing w:val="5"/>
          <w:kern w:val="0"/>
          <w:sz w:val="21"/>
          <w:szCs w:val="21"/>
          <w:highlight w:val="none"/>
        </w:rPr>
        <w:t>（2）经双方结算后，且在</w:t>
      </w:r>
      <w:r>
        <w:rPr>
          <w:rFonts w:hint="eastAsia" w:ascii="宋体" w:hAnsi="宋体" w:cs="宋体"/>
          <w:snapToGrid w:val="0"/>
          <w:color w:val="auto"/>
          <w:spacing w:val="5"/>
          <w:kern w:val="0"/>
          <w:sz w:val="21"/>
          <w:szCs w:val="21"/>
          <w:highlight w:val="none"/>
          <w:lang w:val="en-US" w:eastAsia="zh-CN"/>
        </w:rPr>
        <w:t>甲方</w:t>
      </w:r>
      <w:r>
        <w:rPr>
          <w:rFonts w:hint="eastAsia" w:ascii="宋体" w:hAnsi="宋体" w:eastAsia="宋体" w:cs="宋体"/>
          <w:snapToGrid w:val="0"/>
          <w:color w:val="auto"/>
          <w:spacing w:val="5"/>
          <w:kern w:val="0"/>
          <w:sz w:val="21"/>
          <w:szCs w:val="21"/>
          <w:highlight w:val="none"/>
        </w:rPr>
        <w:t>在收到</w:t>
      </w:r>
      <w:r>
        <w:rPr>
          <w:rFonts w:hint="eastAsia" w:ascii="宋体" w:hAnsi="宋体" w:cs="宋体"/>
          <w:snapToGrid w:val="0"/>
          <w:color w:val="auto"/>
          <w:spacing w:val="5"/>
          <w:kern w:val="0"/>
          <w:sz w:val="21"/>
          <w:szCs w:val="21"/>
          <w:highlight w:val="none"/>
          <w:lang w:val="en-US" w:eastAsia="zh-CN"/>
        </w:rPr>
        <w:t>乙方</w:t>
      </w:r>
      <w:r>
        <w:rPr>
          <w:rFonts w:hint="eastAsia" w:ascii="宋体" w:hAnsi="宋体" w:eastAsia="宋体" w:cs="宋体"/>
          <w:snapToGrid w:val="0"/>
          <w:color w:val="auto"/>
          <w:spacing w:val="5"/>
          <w:kern w:val="0"/>
          <w:sz w:val="21"/>
          <w:szCs w:val="21"/>
          <w:highlight w:val="none"/>
        </w:rPr>
        <w:t>开具的结算金额发票后以银行转账方式支付给</w:t>
      </w:r>
      <w:r>
        <w:rPr>
          <w:rFonts w:hint="eastAsia" w:ascii="宋体" w:hAnsi="宋体" w:cs="宋体"/>
          <w:snapToGrid w:val="0"/>
          <w:color w:val="auto"/>
          <w:spacing w:val="5"/>
          <w:kern w:val="0"/>
          <w:sz w:val="21"/>
          <w:szCs w:val="21"/>
          <w:highlight w:val="none"/>
          <w:lang w:val="en-US" w:eastAsia="zh-CN"/>
        </w:rPr>
        <w:t>乙方</w:t>
      </w:r>
      <w:r>
        <w:rPr>
          <w:rFonts w:hint="eastAsia" w:ascii="宋体" w:hAnsi="宋体" w:eastAsia="宋体" w:cs="宋体"/>
          <w:snapToGrid w:val="0"/>
          <w:color w:val="auto"/>
          <w:spacing w:val="5"/>
          <w:kern w:val="0"/>
          <w:sz w:val="21"/>
          <w:szCs w:val="21"/>
          <w:highlight w:val="none"/>
        </w:rPr>
        <w:t>。</w:t>
      </w:r>
    </w:p>
    <w:p w14:paraId="5E56D360">
      <w:pPr>
        <w:spacing w:line="360" w:lineRule="exact"/>
        <w:ind w:firstLine="422" w:firstLineChars="200"/>
        <w:rPr>
          <w:b/>
          <w:color w:val="auto"/>
          <w:szCs w:val="21"/>
          <w:highlight w:val="none"/>
        </w:rPr>
      </w:pPr>
      <w:r>
        <w:rPr>
          <w:b/>
          <w:color w:val="auto"/>
          <w:szCs w:val="21"/>
          <w:highlight w:val="none"/>
        </w:rPr>
        <w:t xml:space="preserve">第十条履约保证金 </w:t>
      </w:r>
    </w:p>
    <w:p w14:paraId="43F7EC8E">
      <w:pPr>
        <w:spacing w:line="300" w:lineRule="exact"/>
        <w:ind w:firstLine="420" w:firstLineChars="200"/>
        <w:jc w:val="left"/>
        <w:rPr>
          <w:color w:val="auto"/>
          <w:szCs w:val="21"/>
          <w:highlight w:val="none"/>
        </w:rPr>
      </w:pPr>
      <w:r>
        <w:rPr>
          <w:color w:val="auto"/>
          <w:szCs w:val="21"/>
          <w:highlight w:val="none"/>
        </w:rPr>
        <w:t>履约保证金</w:t>
      </w:r>
      <w:r>
        <w:rPr>
          <w:rFonts w:hint="eastAsia"/>
          <w:color w:val="auto"/>
          <w:szCs w:val="21"/>
          <w:highlight w:val="none"/>
        </w:rPr>
        <w:t>金额：</w:t>
      </w:r>
      <w:bookmarkStart w:id="219" w:name="_Hlk47715729"/>
      <w:r>
        <w:rPr>
          <w:rFonts w:hint="eastAsia"/>
          <w:color w:val="auto"/>
          <w:szCs w:val="21"/>
          <w:highlight w:val="none"/>
          <w:u w:val="single"/>
        </w:rPr>
        <w:t>合同金额的</w:t>
      </w:r>
      <w:r>
        <w:rPr>
          <w:rFonts w:hint="eastAsia"/>
          <w:color w:val="auto"/>
          <w:szCs w:val="21"/>
          <w:highlight w:val="none"/>
          <w:u w:val="single"/>
          <w:lang w:val="en-US" w:eastAsia="zh-CN"/>
        </w:rPr>
        <w:t>2</w:t>
      </w:r>
      <w:r>
        <w:rPr>
          <w:rFonts w:hint="eastAsia"/>
          <w:color w:val="auto"/>
          <w:szCs w:val="21"/>
          <w:highlight w:val="none"/>
          <w:u w:val="single"/>
        </w:rPr>
        <w:t>%（中标人如为中小企业的，履约保证金按合同金额的2%收取）</w:t>
      </w:r>
    </w:p>
    <w:p w14:paraId="193AE5E5">
      <w:pPr>
        <w:spacing w:line="300" w:lineRule="exact"/>
        <w:ind w:firstLine="420" w:firstLineChars="200"/>
        <w:jc w:val="left"/>
        <w:rPr>
          <w:color w:val="auto"/>
          <w:szCs w:val="21"/>
          <w:highlight w:val="none"/>
        </w:rPr>
      </w:pPr>
      <w:r>
        <w:rPr>
          <w:rFonts w:hint="eastAsia"/>
          <w:color w:val="auto"/>
          <w:szCs w:val="21"/>
          <w:highlight w:val="none"/>
        </w:rPr>
        <w:t>履约保证金缴纳形式：供应商可以选择</w:t>
      </w:r>
      <w:r>
        <w:rPr>
          <w:color w:val="auto"/>
          <w:szCs w:val="21"/>
          <w:highlight w:val="none"/>
        </w:rPr>
        <w:t>电汇、转账</w:t>
      </w:r>
      <w:r>
        <w:rPr>
          <w:rFonts w:hint="eastAsia"/>
          <w:color w:val="auto"/>
          <w:szCs w:val="21"/>
          <w:highlight w:val="none"/>
        </w:rPr>
        <w:t>、</w:t>
      </w:r>
      <w:r>
        <w:rPr>
          <w:color w:val="auto"/>
          <w:szCs w:val="21"/>
          <w:highlight w:val="none"/>
        </w:rPr>
        <w:t>支票、汇票、本票、保函等形式缴纳或提交</w:t>
      </w:r>
      <w:r>
        <w:rPr>
          <w:rFonts w:hint="eastAsia"/>
          <w:color w:val="auto"/>
          <w:szCs w:val="21"/>
          <w:highlight w:val="none"/>
        </w:rPr>
        <w:t>；采用保函形式缴纳的，采购人在保证期限届满后及时对收取的保证金进行核实和结算。</w:t>
      </w:r>
    </w:p>
    <w:p w14:paraId="0EBBCD39">
      <w:pPr>
        <w:spacing w:line="276" w:lineRule="auto"/>
        <w:ind w:firstLine="420" w:firstLineChars="200"/>
        <w:rPr>
          <w:color w:val="auto"/>
          <w:szCs w:val="21"/>
          <w:highlight w:val="none"/>
        </w:rPr>
      </w:pPr>
      <w:r>
        <w:rPr>
          <w:rFonts w:hint="eastAsia"/>
          <w:color w:val="auto"/>
          <w:szCs w:val="21"/>
          <w:highlight w:val="none"/>
        </w:rPr>
        <w:t>履约保证金指定账户：</w:t>
      </w:r>
    </w:p>
    <w:p w14:paraId="55BCCDF6">
      <w:pPr>
        <w:spacing w:line="276" w:lineRule="auto"/>
        <w:ind w:firstLine="420" w:firstLineChars="200"/>
        <w:rPr>
          <w:color w:val="auto"/>
          <w:szCs w:val="21"/>
          <w:highlight w:val="none"/>
        </w:rPr>
      </w:pPr>
      <w:r>
        <w:rPr>
          <w:rFonts w:hint="eastAsia"/>
          <w:color w:val="auto"/>
          <w:szCs w:val="21"/>
          <w:highlight w:val="none"/>
        </w:rPr>
        <w:t>开户名称：广西壮族自治区江滨医院</w:t>
      </w:r>
    </w:p>
    <w:p w14:paraId="4736306E">
      <w:pPr>
        <w:spacing w:line="276" w:lineRule="auto"/>
        <w:ind w:firstLine="420" w:firstLineChars="200"/>
        <w:rPr>
          <w:color w:val="auto"/>
          <w:szCs w:val="21"/>
          <w:highlight w:val="none"/>
        </w:rPr>
      </w:pPr>
      <w:r>
        <w:rPr>
          <w:rFonts w:hint="eastAsia"/>
          <w:color w:val="auto"/>
          <w:szCs w:val="21"/>
          <w:highlight w:val="none"/>
        </w:rPr>
        <w:t>开户银行：交通银行南宁分行青秀山支行</w:t>
      </w:r>
    </w:p>
    <w:p w14:paraId="71990061">
      <w:pPr>
        <w:spacing w:line="276" w:lineRule="auto"/>
        <w:ind w:firstLine="420" w:firstLineChars="200"/>
        <w:rPr>
          <w:color w:val="auto"/>
          <w:szCs w:val="21"/>
          <w:highlight w:val="none"/>
          <w:u w:val="single"/>
        </w:rPr>
      </w:pPr>
      <w:r>
        <w:rPr>
          <w:rFonts w:hint="eastAsia"/>
          <w:color w:val="auto"/>
          <w:szCs w:val="21"/>
          <w:highlight w:val="none"/>
        </w:rPr>
        <w:t>银行账号：4510 6050 5018 0100 2792 3</w:t>
      </w:r>
    </w:p>
    <w:bookmarkEnd w:id="219"/>
    <w:p w14:paraId="15B08758">
      <w:pPr>
        <w:spacing w:line="360" w:lineRule="exact"/>
        <w:ind w:firstLine="420" w:firstLineChars="200"/>
        <w:rPr>
          <w:color w:val="auto"/>
          <w:szCs w:val="21"/>
          <w:highlight w:val="none"/>
        </w:rPr>
      </w:pPr>
      <w:r>
        <w:rPr>
          <w:rFonts w:hint="eastAsia"/>
          <w:color w:val="auto"/>
          <w:szCs w:val="21"/>
          <w:highlight w:val="none"/>
        </w:rPr>
        <w:t>履约保证金退还方式及时间、条件、不予退还的情形：履约保证金自合同生效之日起生效至合同材料验收证书签署之日起2</w:t>
      </w:r>
      <w:r>
        <w:rPr>
          <w:color w:val="auto"/>
          <w:szCs w:val="21"/>
          <w:highlight w:val="none"/>
        </w:rPr>
        <w:t>8</w:t>
      </w:r>
      <w:r>
        <w:rPr>
          <w:rFonts w:hint="eastAsia"/>
          <w:color w:val="auto"/>
          <w:szCs w:val="21"/>
          <w:highlight w:val="none"/>
        </w:rPr>
        <w:t>天后失效，</w:t>
      </w:r>
      <w:r>
        <w:rPr>
          <w:color w:val="auto"/>
          <w:szCs w:val="21"/>
          <w:highlight w:val="none"/>
        </w:rPr>
        <w:t>项目验收合格后，中标人可向采购人申请办理履约保证金的退付手续；</w:t>
      </w:r>
      <w:bookmarkStart w:id="220" w:name="_Hlk155171868"/>
      <w:r>
        <w:rPr>
          <w:rFonts w:hint="eastAsia"/>
          <w:color w:val="auto"/>
          <w:szCs w:val="21"/>
          <w:highlight w:val="none"/>
        </w:rPr>
        <w:t>采购人应当按照合同约定的退还方式，在5个工作日内办理履约保证金退还手续。</w:t>
      </w:r>
      <w:bookmarkEnd w:id="220"/>
      <w:r>
        <w:rPr>
          <w:color w:val="auto"/>
          <w:highlight w:val="none"/>
        </w:rPr>
        <w:t>如果</w:t>
      </w:r>
      <w:r>
        <w:rPr>
          <w:rFonts w:hint="eastAsia"/>
          <w:color w:val="auto"/>
          <w:highlight w:val="none"/>
        </w:rPr>
        <w:t>中标人</w:t>
      </w:r>
      <w:r>
        <w:rPr>
          <w:color w:val="auto"/>
          <w:highlight w:val="none"/>
        </w:rPr>
        <w:t>不履行合同约定的义务或其履行不符合合同的 约定，</w:t>
      </w:r>
      <w:r>
        <w:rPr>
          <w:rFonts w:hint="eastAsia"/>
          <w:color w:val="auto"/>
          <w:highlight w:val="none"/>
        </w:rPr>
        <w:t>采购人</w:t>
      </w:r>
      <w:r>
        <w:rPr>
          <w:color w:val="auto"/>
          <w:highlight w:val="none"/>
        </w:rPr>
        <w:t>有权扣划</w:t>
      </w:r>
      <w:r>
        <w:rPr>
          <w:rFonts w:hint="eastAsia"/>
          <w:color w:val="auto"/>
          <w:highlight w:val="none"/>
        </w:rPr>
        <w:t>全部或</w:t>
      </w:r>
      <w:r>
        <w:rPr>
          <w:color w:val="auto"/>
          <w:highlight w:val="none"/>
        </w:rPr>
        <w:t>相应金额的履约保证金。</w:t>
      </w:r>
      <w:r>
        <w:rPr>
          <w:color w:val="auto"/>
          <w:szCs w:val="21"/>
          <w:highlight w:val="none"/>
        </w:rPr>
        <w:t xml:space="preserve"> </w:t>
      </w:r>
    </w:p>
    <w:p w14:paraId="3045096C">
      <w:pPr>
        <w:spacing w:line="300" w:lineRule="exact"/>
        <w:ind w:firstLine="420" w:firstLineChars="200"/>
        <w:rPr>
          <w:color w:val="auto"/>
          <w:szCs w:val="21"/>
          <w:highlight w:val="none"/>
        </w:rPr>
      </w:pPr>
      <w:r>
        <w:rPr>
          <w:rFonts w:hint="eastAsia"/>
          <w:color w:val="auto"/>
          <w:szCs w:val="21"/>
          <w:highlight w:val="none"/>
        </w:rPr>
        <w:t>履约保证金符合退还条件的，采购人在收到中标人提交的履约保证金退付申请之日起</w:t>
      </w:r>
      <w:r>
        <w:rPr>
          <w:rFonts w:hint="eastAsia"/>
          <w:color w:val="auto"/>
          <w:szCs w:val="21"/>
          <w:highlight w:val="none"/>
          <w:u w:val="single"/>
        </w:rPr>
        <w:t xml:space="preserve"> 20</w:t>
      </w:r>
      <w:r>
        <w:rPr>
          <w:color w:val="auto"/>
          <w:szCs w:val="21"/>
          <w:highlight w:val="none"/>
          <w:u w:val="single"/>
        </w:rPr>
        <w:t xml:space="preserve"> </w:t>
      </w:r>
      <w:r>
        <w:rPr>
          <w:rFonts w:hint="eastAsia"/>
          <w:color w:val="auto"/>
          <w:szCs w:val="21"/>
          <w:highlight w:val="none"/>
        </w:rPr>
        <w:t>天内退还履约保证金，如未在规定时间内退还的，中标人可予以催告。</w:t>
      </w:r>
    </w:p>
    <w:p w14:paraId="63872E87">
      <w:pPr>
        <w:spacing w:line="360" w:lineRule="exact"/>
        <w:ind w:firstLine="422" w:firstLineChars="200"/>
        <w:rPr>
          <w:b/>
          <w:color w:val="auto"/>
          <w:szCs w:val="21"/>
          <w:highlight w:val="none"/>
        </w:rPr>
      </w:pPr>
      <w:r>
        <w:rPr>
          <w:b/>
          <w:color w:val="auto"/>
          <w:szCs w:val="21"/>
          <w:highlight w:val="none"/>
        </w:rPr>
        <w:t>第十一条 税费</w:t>
      </w:r>
    </w:p>
    <w:p w14:paraId="5410D705">
      <w:pPr>
        <w:spacing w:line="360" w:lineRule="exact"/>
        <w:ind w:firstLine="420" w:firstLineChars="200"/>
        <w:rPr>
          <w:color w:val="auto"/>
          <w:szCs w:val="21"/>
          <w:highlight w:val="none"/>
        </w:rPr>
      </w:pPr>
      <w:r>
        <w:rPr>
          <w:color w:val="auto"/>
          <w:szCs w:val="21"/>
          <w:highlight w:val="none"/>
        </w:rPr>
        <w:t>本合同执行中相关的一切税费均由乙方</w:t>
      </w:r>
      <w:r>
        <w:rPr>
          <w:rFonts w:hint="eastAsia"/>
          <w:color w:val="auto"/>
          <w:szCs w:val="21"/>
          <w:highlight w:val="none"/>
        </w:rPr>
        <w:t>承</w:t>
      </w:r>
      <w:r>
        <w:rPr>
          <w:color w:val="auto"/>
          <w:szCs w:val="21"/>
          <w:highlight w:val="none"/>
        </w:rPr>
        <w:t>担。</w:t>
      </w:r>
    </w:p>
    <w:p w14:paraId="2515BCD3">
      <w:pPr>
        <w:spacing w:line="360" w:lineRule="exact"/>
        <w:ind w:firstLine="422" w:firstLineChars="200"/>
        <w:rPr>
          <w:b/>
          <w:color w:val="auto"/>
          <w:szCs w:val="21"/>
          <w:highlight w:val="none"/>
        </w:rPr>
      </w:pPr>
      <w:r>
        <w:rPr>
          <w:b/>
          <w:color w:val="auto"/>
          <w:szCs w:val="21"/>
          <w:highlight w:val="none"/>
        </w:rPr>
        <w:t>第十</w:t>
      </w:r>
      <w:r>
        <w:rPr>
          <w:rFonts w:hint="eastAsia"/>
          <w:b/>
          <w:color w:val="auto"/>
          <w:szCs w:val="21"/>
          <w:highlight w:val="none"/>
        </w:rPr>
        <w:t>二</w:t>
      </w:r>
      <w:r>
        <w:rPr>
          <w:b/>
          <w:color w:val="auto"/>
          <w:szCs w:val="21"/>
          <w:highlight w:val="none"/>
        </w:rPr>
        <w:t>条　违约责任</w:t>
      </w:r>
    </w:p>
    <w:p w14:paraId="4DF9B49B">
      <w:pPr>
        <w:spacing w:line="300" w:lineRule="exact"/>
        <w:ind w:firstLine="420" w:firstLineChars="200"/>
        <w:rPr>
          <w:color w:val="auto"/>
          <w:szCs w:val="21"/>
          <w:highlight w:val="none"/>
        </w:rPr>
      </w:pPr>
      <w:r>
        <w:rPr>
          <w:color w:val="auto"/>
          <w:szCs w:val="21"/>
          <w:highlight w:val="none"/>
        </w:rPr>
        <w:t>1.</w:t>
      </w:r>
      <w:r>
        <w:rPr>
          <w:rFonts w:eastAsia="微软雅黑"/>
          <w:color w:val="auto"/>
          <w:szCs w:val="21"/>
          <w:highlight w:val="none"/>
        </w:rPr>
        <w:t xml:space="preserve"> </w:t>
      </w:r>
      <w:r>
        <w:rPr>
          <w:color w:val="auto"/>
          <w:szCs w:val="21"/>
          <w:highlight w:val="none"/>
        </w:rPr>
        <w:t>若因乙方原因而未能履行合同或最终验收不合格的，甲方</w:t>
      </w:r>
      <w:r>
        <w:rPr>
          <w:rFonts w:hint="eastAsia"/>
          <w:color w:val="auto"/>
          <w:szCs w:val="21"/>
          <w:highlight w:val="none"/>
        </w:rPr>
        <w:t>有权</w:t>
      </w:r>
      <w:r>
        <w:rPr>
          <w:color w:val="auto"/>
          <w:szCs w:val="21"/>
          <w:highlight w:val="none"/>
        </w:rPr>
        <w:t>解除合同，由此产生的费用由乙方承担</w:t>
      </w:r>
      <w:r>
        <w:rPr>
          <w:rFonts w:hint="eastAsia"/>
          <w:color w:val="auto"/>
          <w:szCs w:val="21"/>
          <w:highlight w:val="none"/>
        </w:rPr>
        <w:t>，给甲方造成其他损失的，乙方应进行赔偿，并承担甲方追究的其他违约责任。</w:t>
      </w:r>
    </w:p>
    <w:p w14:paraId="7F9282DC">
      <w:pPr>
        <w:spacing w:line="300" w:lineRule="exact"/>
        <w:ind w:firstLine="420" w:firstLineChars="200"/>
        <w:rPr>
          <w:color w:val="auto"/>
          <w:szCs w:val="21"/>
          <w:highlight w:val="none"/>
        </w:rPr>
      </w:pPr>
      <w:r>
        <w:rPr>
          <w:rFonts w:hint="eastAsia"/>
          <w:color w:val="auto"/>
          <w:szCs w:val="21"/>
          <w:highlight w:val="none"/>
        </w:rPr>
        <w:t>2</w:t>
      </w:r>
      <w:r>
        <w:rPr>
          <w:color w:val="auto"/>
          <w:szCs w:val="21"/>
          <w:highlight w:val="none"/>
        </w:rPr>
        <w:t>.乙方逾期交</w:t>
      </w:r>
      <w:r>
        <w:rPr>
          <w:rFonts w:hint="eastAsia"/>
          <w:color w:val="auto"/>
          <w:szCs w:val="21"/>
          <w:highlight w:val="none"/>
        </w:rPr>
        <w:t>付产品</w:t>
      </w:r>
      <w:r>
        <w:rPr>
          <w:color w:val="auto"/>
          <w:szCs w:val="21"/>
          <w:highlight w:val="none"/>
        </w:rPr>
        <w:t>或服务成果的，</w:t>
      </w:r>
      <w:r>
        <w:rPr>
          <w:rFonts w:hint="eastAsia"/>
          <w:color w:val="auto"/>
          <w:szCs w:val="21"/>
          <w:highlight w:val="none"/>
        </w:rPr>
        <w:t>应</w:t>
      </w:r>
      <w:r>
        <w:rPr>
          <w:color w:val="auto"/>
          <w:szCs w:val="21"/>
          <w:highlight w:val="none"/>
        </w:rPr>
        <w:t>向</w:t>
      </w:r>
      <w:r>
        <w:rPr>
          <w:rFonts w:hint="eastAsia"/>
          <w:color w:val="auto"/>
          <w:szCs w:val="21"/>
          <w:highlight w:val="none"/>
        </w:rPr>
        <w:t>甲</w:t>
      </w:r>
      <w:r>
        <w:rPr>
          <w:color w:val="auto"/>
          <w:szCs w:val="21"/>
          <w:highlight w:val="none"/>
        </w:rPr>
        <w:t>方</w:t>
      </w:r>
      <w:r>
        <w:rPr>
          <w:rFonts w:hint="eastAsia"/>
          <w:color w:val="auto"/>
          <w:szCs w:val="21"/>
          <w:highlight w:val="none"/>
        </w:rPr>
        <w:t>支付</w:t>
      </w:r>
      <w:r>
        <w:rPr>
          <w:color w:val="auto"/>
          <w:szCs w:val="21"/>
          <w:highlight w:val="none"/>
        </w:rPr>
        <w:t>违约</w:t>
      </w:r>
      <w:r>
        <w:rPr>
          <w:rFonts w:hint="eastAsia"/>
          <w:color w:val="auto"/>
          <w:szCs w:val="21"/>
          <w:highlight w:val="none"/>
        </w:rPr>
        <w:t>金，标准为合同总价</w:t>
      </w:r>
      <w:r>
        <w:rPr>
          <w:color w:val="auto"/>
          <w:szCs w:val="21"/>
          <w:highlight w:val="none"/>
          <w:u w:val="single"/>
        </w:rPr>
        <w:t>3‰</w:t>
      </w:r>
      <w:r>
        <w:rPr>
          <w:color w:val="auto"/>
          <w:szCs w:val="21"/>
          <w:highlight w:val="none"/>
        </w:rPr>
        <w:t>/</w:t>
      </w:r>
      <w:r>
        <w:rPr>
          <w:rFonts w:hint="eastAsia"/>
          <w:color w:val="auto"/>
          <w:szCs w:val="21"/>
          <w:highlight w:val="none"/>
        </w:rPr>
        <w:t>日</w:t>
      </w:r>
      <w:r>
        <w:rPr>
          <w:color w:val="auto"/>
          <w:szCs w:val="21"/>
          <w:highlight w:val="none"/>
        </w:rPr>
        <w:t>，但违约金累计不得超过</w:t>
      </w:r>
      <w:r>
        <w:rPr>
          <w:rFonts w:hint="eastAsia"/>
          <w:color w:val="auto"/>
          <w:highlight w:val="none"/>
        </w:rPr>
        <w:t>合同总金额</w:t>
      </w:r>
      <w:r>
        <w:rPr>
          <w:color w:val="auto"/>
          <w:szCs w:val="21"/>
          <w:highlight w:val="none"/>
          <w:u w:val="single"/>
        </w:rPr>
        <w:t>5%，</w:t>
      </w:r>
      <w:r>
        <w:rPr>
          <w:color w:val="auto"/>
          <w:szCs w:val="21"/>
          <w:highlight w:val="none"/>
        </w:rPr>
        <w:t>甲方延期付</w:t>
      </w:r>
      <w:r>
        <w:rPr>
          <w:rFonts w:hint="eastAsia"/>
          <w:color w:val="auto"/>
          <w:szCs w:val="21"/>
          <w:highlight w:val="none"/>
        </w:rPr>
        <w:t>产品或服务费用</w:t>
      </w:r>
      <w:r>
        <w:rPr>
          <w:color w:val="auto"/>
          <w:szCs w:val="21"/>
          <w:highlight w:val="none"/>
        </w:rPr>
        <w:t>的，</w:t>
      </w:r>
      <w:r>
        <w:rPr>
          <w:rFonts w:hint="eastAsia"/>
          <w:color w:val="auto"/>
          <w:szCs w:val="21"/>
          <w:highlight w:val="none"/>
        </w:rPr>
        <w:t>应按照本合同订立时一年期贷款市场报价利率计算利息（逾期付款损失）。但利息（逾期付款损失）不得超过合同金额的5%。</w:t>
      </w:r>
      <w:r>
        <w:rPr>
          <w:color w:val="auto"/>
          <w:szCs w:val="21"/>
          <w:highlight w:val="none"/>
        </w:rPr>
        <w:t>。</w:t>
      </w:r>
    </w:p>
    <w:p w14:paraId="32B328FC">
      <w:pPr>
        <w:spacing w:line="360" w:lineRule="exact"/>
        <w:ind w:firstLine="420" w:firstLineChars="200"/>
        <w:rPr>
          <w:color w:val="auto"/>
          <w:szCs w:val="21"/>
          <w:highlight w:val="none"/>
        </w:rPr>
      </w:pPr>
      <w:r>
        <w:rPr>
          <w:rFonts w:hint="eastAsia"/>
          <w:color w:val="auto"/>
          <w:szCs w:val="21"/>
          <w:highlight w:val="none"/>
        </w:rPr>
        <w:t>3</w:t>
      </w:r>
      <w:r>
        <w:rPr>
          <w:color w:val="auto"/>
          <w:szCs w:val="21"/>
          <w:highlight w:val="none"/>
        </w:rPr>
        <w:t>. 乙方未得到甲方同意，擅自更换项目负责人及服务团队成员时，甲方有权书面通知乙方解除合同，且无需支付合同解除后的合同后续费用。同时，乙方必须退还甲方已付出的所有服务费用，并赔偿由此给甲方造成的全部损失。</w:t>
      </w:r>
    </w:p>
    <w:p w14:paraId="1E381727">
      <w:pPr>
        <w:spacing w:line="360" w:lineRule="exact"/>
        <w:ind w:firstLine="420" w:firstLineChars="200"/>
        <w:rPr>
          <w:color w:val="auto"/>
          <w:szCs w:val="21"/>
          <w:highlight w:val="none"/>
        </w:rPr>
      </w:pPr>
      <w:r>
        <w:rPr>
          <w:rFonts w:hint="eastAsia"/>
          <w:color w:val="auto"/>
          <w:szCs w:val="21"/>
          <w:highlight w:val="none"/>
        </w:rPr>
        <w:t>4</w:t>
      </w:r>
      <w:r>
        <w:rPr>
          <w:color w:val="auto"/>
          <w:szCs w:val="21"/>
          <w:highlight w:val="none"/>
        </w:rPr>
        <w:t>.乙方或乙方人员违反保密义务时，甲方有权书面通知乙方解除合同，且无需支付合同解除后的合同后续费用。同时，乙方必须退还甲方已付出的所有咨询费用，并赔偿由此给甲方造成的全部损失。</w:t>
      </w:r>
    </w:p>
    <w:p w14:paraId="68DCF135">
      <w:pPr>
        <w:spacing w:line="360" w:lineRule="exact"/>
        <w:ind w:firstLine="420" w:firstLineChars="200"/>
        <w:rPr>
          <w:color w:val="auto"/>
          <w:szCs w:val="21"/>
          <w:highlight w:val="none"/>
        </w:rPr>
      </w:pPr>
      <w:r>
        <w:rPr>
          <w:rFonts w:hint="eastAsia"/>
          <w:color w:val="auto"/>
          <w:szCs w:val="21"/>
          <w:highlight w:val="none"/>
        </w:rPr>
        <w:t>5</w:t>
      </w:r>
      <w:r>
        <w:rPr>
          <w:color w:val="auto"/>
          <w:szCs w:val="21"/>
          <w:highlight w:val="none"/>
        </w:rPr>
        <w:t>.乙方未按本合同和投标文件中规定的服务承诺提供售后服务的，乙方应按本合同</w:t>
      </w:r>
      <w:r>
        <w:rPr>
          <w:rStyle w:val="46"/>
          <w:rFonts w:hint="eastAsia"/>
          <w:color w:val="auto"/>
          <w:highlight w:val="none"/>
        </w:rPr>
        <w:t>总</w:t>
      </w:r>
      <w:r>
        <w:rPr>
          <w:color w:val="auto"/>
          <w:szCs w:val="21"/>
          <w:highlight w:val="none"/>
        </w:rPr>
        <w:t>金额</w:t>
      </w:r>
      <w:r>
        <w:rPr>
          <w:color w:val="auto"/>
          <w:szCs w:val="21"/>
          <w:highlight w:val="none"/>
          <w:u w:val="single"/>
        </w:rPr>
        <w:t xml:space="preserve"> 5%</w:t>
      </w:r>
      <w:r>
        <w:rPr>
          <w:color w:val="auto"/>
          <w:szCs w:val="21"/>
          <w:highlight w:val="none"/>
        </w:rPr>
        <w:t>向甲方支付违约金。</w:t>
      </w:r>
    </w:p>
    <w:p w14:paraId="7F1E6760">
      <w:pPr>
        <w:spacing w:line="360" w:lineRule="exact"/>
        <w:ind w:firstLine="420" w:firstLineChars="200"/>
        <w:rPr>
          <w:color w:val="auto"/>
          <w:szCs w:val="21"/>
          <w:highlight w:val="none"/>
        </w:rPr>
      </w:pPr>
      <w:r>
        <w:rPr>
          <w:rFonts w:hint="eastAsia"/>
          <w:color w:val="auto"/>
          <w:szCs w:val="21"/>
          <w:highlight w:val="none"/>
        </w:rPr>
        <w:t>6</w:t>
      </w:r>
      <w:r>
        <w:rPr>
          <w:color w:val="auto"/>
          <w:szCs w:val="21"/>
          <w:highlight w:val="none"/>
        </w:rPr>
        <w:t>.乙方提供的</w:t>
      </w:r>
      <w:r>
        <w:rPr>
          <w:rFonts w:hint="eastAsia"/>
          <w:color w:val="auto"/>
          <w:szCs w:val="21"/>
          <w:highlight w:val="none"/>
        </w:rPr>
        <w:t>产品</w:t>
      </w:r>
      <w:r>
        <w:rPr>
          <w:color w:val="auto"/>
          <w:szCs w:val="21"/>
          <w:highlight w:val="none"/>
        </w:rPr>
        <w:t>或服务成果在质量保证期内，因设计、工艺或材料的缺陷和其它质量原因造成的问题，由乙方负责，费用从质量保证金中扣除，质量保证金不足以支付的，由乙方另行支付。</w:t>
      </w:r>
    </w:p>
    <w:p w14:paraId="4C70C802">
      <w:pPr>
        <w:spacing w:line="360" w:lineRule="exact"/>
        <w:ind w:firstLine="420" w:firstLineChars="200"/>
        <w:jc w:val="left"/>
        <w:rPr>
          <w:color w:val="auto"/>
          <w:szCs w:val="21"/>
          <w:highlight w:val="none"/>
        </w:rPr>
      </w:pPr>
      <w:r>
        <w:rPr>
          <w:rFonts w:hint="eastAsia"/>
          <w:color w:val="auto"/>
          <w:szCs w:val="21"/>
          <w:highlight w:val="none"/>
        </w:rPr>
        <w:t>7</w:t>
      </w:r>
      <w:r>
        <w:rPr>
          <w:color w:val="auto"/>
          <w:szCs w:val="21"/>
          <w:highlight w:val="none"/>
        </w:rPr>
        <w:t>.乙方提供的</w:t>
      </w:r>
      <w:r>
        <w:rPr>
          <w:rFonts w:hint="eastAsia"/>
          <w:color w:val="auto"/>
          <w:szCs w:val="21"/>
          <w:highlight w:val="none"/>
        </w:rPr>
        <w:t>产品</w:t>
      </w:r>
      <w:r>
        <w:rPr>
          <w:color w:val="auto"/>
          <w:szCs w:val="21"/>
          <w:highlight w:val="none"/>
        </w:rPr>
        <w:t>或服务如侵犯了第三方合法权益而引发的任何纠纷或诉讼，均由乙方负责交涉并承担全部责任。</w:t>
      </w:r>
    </w:p>
    <w:p w14:paraId="1DB5D191">
      <w:pPr>
        <w:spacing w:line="360" w:lineRule="exact"/>
        <w:ind w:firstLine="420" w:firstLineChars="200"/>
        <w:rPr>
          <w:color w:val="auto"/>
          <w:szCs w:val="21"/>
          <w:highlight w:val="none"/>
        </w:rPr>
      </w:pPr>
      <w:r>
        <w:rPr>
          <w:rFonts w:hint="eastAsia"/>
          <w:color w:val="auto"/>
          <w:szCs w:val="21"/>
          <w:highlight w:val="none"/>
        </w:rPr>
        <w:t>8</w:t>
      </w:r>
      <w:r>
        <w:rPr>
          <w:color w:val="auto"/>
          <w:szCs w:val="21"/>
          <w:highlight w:val="none"/>
        </w:rPr>
        <w:t>.其它违约行为按违约</w:t>
      </w:r>
      <w:r>
        <w:rPr>
          <w:rFonts w:hint="eastAsia"/>
          <w:color w:val="auto"/>
          <w:szCs w:val="21"/>
          <w:highlight w:val="none"/>
        </w:rPr>
        <w:t>部分产品</w:t>
      </w:r>
      <w:r>
        <w:rPr>
          <w:color w:val="auto"/>
          <w:szCs w:val="21"/>
          <w:highlight w:val="none"/>
        </w:rPr>
        <w:t>或服务费用金额5%收取违约金并赔偿经济损失。</w:t>
      </w:r>
    </w:p>
    <w:p w14:paraId="63355D2C">
      <w:pPr>
        <w:spacing w:line="300" w:lineRule="exact"/>
        <w:ind w:firstLine="420" w:firstLineChars="200"/>
        <w:rPr>
          <w:color w:val="auto"/>
          <w:szCs w:val="21"/>
          <w:highlight w:val="none"/>
        </w:rPr>
      </w:pPr>
      <w:r>
        <w:rPr>
          <w:rFonts w:hint="eastAsia"/>
          <w:color w:val="auto"/>
          <w:szCs w:val="21"/>
          <w:highlight w:val="none"/>
        </w:rPr>
        <w:t>9</w:t>
      </w:r>
      <w:r>
        <w:rPr>
          <w:color w:val="auto"/>
          <w:szCs w:val="21"/>
          <w:highlight w:val="none"/>
        </w:rPr>
        <w:t>.</w:t>
      </w:r>
      <w:r>
        <w:rPr>
          <w:rFonts w:hint="eastAsia"/>
          <w:color w:val="auto"/>
          <w:szCs w:val="21"/>
          <w:highlight w:val="none"/>
        </w:rPr>
        <w:t>因甲方原因导致变更、中止或者终止政府采购合同的，应当依照合同约定对乙方受到的损失予以赔偿或者补偿。</w:t>
      </w:r>
      <w:r>
        <w:rPr>
          <w:color w:val="auto"/>
          <w:szCs w:val="21"/>
          <w:highlight w:val="none"/>
        </w:rPr>
        <w:t>赔偿（补偿）标准：</w:t>
      </w:r>
      <w:r>
        <w:rPr>
          <w:rFonts w:hint="eastAsia"/>
          <w:color w:val="auto"/>
          <w:szCs w:val="21"/>
          <w:highlight w:val="none"/>
          <w:u w:val="single"/>
        </w:rPr>
        <w:t xml:space="preserve"> </w:t>
      </w:r>
      <w:r>
        <w:rPr>
          <w:color w:val="auto"/>
          <w:szCs w:val="21"/>
          <w:highlight w:val="none"/>
          <w:u w:val="single"/>
        </w:rPr>
        <w:t xml:space="preserve"> </w:t>
      </w:r>
      <w:r>
        <w:rPr>
          <w:rFonts w:hint="eastAsia"/>
          <w:color w:val="auto"/>
          <w:szCs w:val="21"/>
          <w:highlight w:val="none"/>
          <w:u w:val="single"/>
        </w:rPr>
        <w:t>按实际损失赔偿</w:t>
      </w:r>
      <w:r>
        <w:rPr>
          <w:color w:val="auto"/>
          <w:szCs w:val="21"/>
          <w:highlight w:val="none"/>
          <w:u w:val="single"/>
        </w:rPr>
        <w:t xml:space="preserve">  </w:t>
      </w:r>
      <w:r>
        <w:rPr>
          <w:rFonts w:hint="eastAsia"/>
          <w:color w:val="auto"/>
          <w:szCs w:val="21"/>
          <w:highlight w:val="none"/>
        </w:rPr>
        <w:t>。</w:t>
      </w:r>
    </w:p>
    <w:p w14:paraId="13391FF8">
      <w:pPr>
        <w:spacing w:line="300" w:lineRule="exact"/>
        <w:ind w:firstLine="420" w:firstLineChars="200"/>
        <w:rPr>
          <w:color w:val="auto"/>
          <w:szCs w:val="21"/>
          <w:highlight w:val="none"/>
        </w:rPr>
      </w:pPr>
      <w:r>
        <w:rPr>
          <w:rFonts w:hint="eastAsia"/>
          <w:color w:val="auto"/>
          <w:szCs w:val="21"/>
          <w:highlight w:val="none"/>
        </w:rPr>
        <w:t>10.双方均应按协议约定履行，如违反本协议约定，违约方须赔偿由此给另一方造成的损失，包括直接的财产损失，以及因违约造成的可能产生的预期经济损失以及守约方为应对相关处罚、纠纷、诉讼支出的全部费用（包括但不限于守约方因此承担的处罚、赔偿责任、发生的当事人以及代理人差旅费、诉讼费、公告费、律师费、公证费、保全费、诉讼保全保险费、评估费、鉴定费及其他损失等）。</w:t>
      </w:r>
    </w:p>
    <w:p w14:paraId="1144555A">
      <w:pPr>
        <w:pStyle w:val="20"/>
        <w:spacing w:before="120" w:after="120" w:line="360" w:lineRule="exact"/>
        <w:ind w:firstLine="413" w:firstLineChars="196"/>
        <w:rPr>
          <w:rFonts w:ascii="Times New Roman" w:hAnsi="Times New Roman" w:cs="Times New Roman"/>
          <w:b/>
          <w:color w:val="auto"/>
          <w:highlight w:val="none"/>
        </w:rPr>
      </w:pPr>
      <w:r>
        <w:rPr>
          <w:rFonts w:ascii="Times New Roman" w:hAnsi="Times New Roman" w:cs="Times New Roman"/>
          <w:b/>
          <w:color w:val="auto"/>
          <w:highlight w:val="none"/>
        </w:rPr>
        <w:t>第十</w:t>
      </w:r>
      <w:r>
        <w:rPr>
          <w:rFonts w:hint="eastAsia" w:ascii="Times New Roman" w:hAnsi="Times New Roman" w:cs="Times New Roman"/>
          <w:b/>
          <w:color w:val="auto"/>
          <w:highlight w:val="none"/>
        </w:rPr>
        <w:t>三</w:t>
      </w:r>
      <w:r>
        <w:rPr>
          <w:rFonts w:ascii="Times New Roman" w:hAnsi="Times New Roman" w:cs="Times New Roman"/>
          <w:b/>
          <w:color w:val="auto"/>
          <w:highlight w:val="none"/>
        </w:rPr>
        <w:t>条 不可抗力事件处理</w:t>
      </w:r>
    </w:p>
    <w:p w14:paraId="058B148C">
      <w:pPr>
        <w:spacing w:line="360" w:lineRule="exact"/>
        <w:ind w:firstLine="420" w:firstLineChars="200"/>
        <w:rPr>
          <w:color w:val="auto"/>
          <w:szCs w:val="21"/>
          <w:highlight w:val="none"/>
        </w:rPr>
      </w:pPr>
      <w:r>
        <w:rPr>
          <w:color w:val="auto"/>
          <w:szCs w:val="21"/>
          <w:highlight w:val="none"/>
        </w:rPr>
        <w:t>1.在合同有效期内，任何一方因不可抗力事件导致不能履行合同，则合同履行期可延长，其延长期与不可抗力影响期相同。</w:t>
      </w:r>
    </w:p>
    <w:p w14:paraId="439FF0D6">
      <w:pPr>
        <w:spacing w:line="360" w:lineRule="exact"/>
        <w:ind w:firstLine="420" w:firstLineChars="200"/>
        <w:rPr>
          <w:color w:val="auto"/>
          <w:szCs w:val="21"/>
          <w:highlight w:val="none"/>
        </w:rPr>
      </w:pPr>
      <w:r>
        <w:rPr>
          <w:color w:val="auto"/>
          <w:szCs w:val="21"/>
          <w:highlight w:val="none"/>
        </w:rPr>
        <w:t>2.不可抗力事件发生后，应立即通知对方，并寄送有关权威机构出具的证明。</w:t>
      </w:r>
    </w:p>
    <w:p w14:paraId="69E72180">
      <w:pPr>
        <w:spacing w:line="360" w:lineRule="exact"/>
        <w:ind w:firstLine="420" w:firstLineChars="200"/>
        <w:rPr>
          <w:color w:val="auto"/>
          <w:szCs w:val="21"/>
          <w:highlight w:val="none"/>
        </w:rPr>
      </w:pPr>
      <w:r>
        <w:rPr>
          <w:color w:val="auto"/>
          <w:szCs w:val="21"/>
          <w:highlight w:val="none"/>
        </w:rPr>
        <w:t>3.不可抗力事件延续一百二十天以上，双方应通过友好协商，确定是否继续履行合同。</w:t>
      </w:r>
    </w:p>
    <w:p w14:paraId="62FD0A95">
      <w:pPr>
        <w:spacing w:line="360" w:lineRule="exact"/>
        <w:ind w:firstLine="422" w:firstLineChars="200"/>
        <w:rPr>
          <w:color w:val="auto"/>
          <w:szCs w:val="21"/>
          <w:highlight w:val="none"/>
        </w:rPr>
      </w:pPr>
      <w:r>
        <w:rPr>
          <w:b/>
          <w:color w:val="auto"/>
          <w:szCs w:val="21"/>
          <w:highlight w:val="none"/>
        </w:rPr>
        <w:t>第十</w:t>
      </w:r>
      <w:r>
        <w:rPr>
          <w:rFonts w:hint="eastAsia"/>
          <w:b/>
          <w:color w:val="auto"/>
          <w:szCs w:val="21"/>
          <w:highlight w:val="none"/>
        </w:rPr>
        <w:t>四</w:t>
      </w:r>
      <w:r>
        <w:rPr>
          <w:b/>
          <w:color w:val="auto"/>
          <w:szCs w:val="21"/>
          <w:highlight w:val="none"/>
        </w:rPr>
        <w:t>条  合同争议解决</w:t>
      </w:r>
    </w:p>
    <w:p w14:paraId="208BE33A">
      <w:pPr>
        <w:spacing w:line="360" w:lineRule="exact"/>
        <w:ind w:firstLine="420" w:firstLineChars="200"/>
        <w:rPr>
          <w:color w:val="auto"/>
          <w:szCs w:val="21"/>
          <w:highlight w:val="none"/>
        </w:rPr>
      </w:pPr>
      <w:r>
        <w:rPr>
          <w:color w:val="auto"/>
          <w:szCs w:val="21"/>
          <w:highlight w:val="none"/>
        </w:rPr>
        <w:t>1</w:t>
      </w:r>
      <w:r>
        <w:rPr>
          <w:rFonts w:hint="eastAsia"/>
          <w:color w:val="auto"/>
          <w:szCs w:val="21"/>
          <w:highlight w:val="none"/>
        </w:rPr>
        <w:t>.</w:t>
      </w:r>
      <w:r>
        <w:rPr>
          <w:color w:val="auto"/>
          <w:szCs w:val="21"/>
          <w:highlight w:val="none"/>
        </w:rPr>
        <w:t>因</w:t>
      </w:r>
      <w:r>
        <w:rPr>
          <w:rFonts w:hint="eastAsia"/>
          <w:color w:val="auto"/>
          <w:szCs w:val="21"/>
          <w:highlight w:val="none"/>
        </w:rPr>
        <w:t>产品</w:t>
      </w:r>
      <w:r>
        <w:rPr>
          <w:color w:val="auto"/>
          <w:szCs w:val="21"/>
          <w:highlight w:val="none"/>
        </w:rPr>
        <w:t>或服务成果质量问题</w:t>
      </w:r>
      <w:r>
        <w:rPr>
          <w:rFonts w:hint="eastAsia"/>
          <w:color w:val="auto"/>
          <w:szCs w:val="21"/>
          <w:highlight w:val="none"/>
        </w:rPr>
        <w:t>或验收结果</w:t>
      </w:r>
      <w:r>
        <w:rPr>
          <w:color w:val="auto"/>
          <w:szCs w:val="21"/>
          <w:highlight w:val="none"/>
        </w:rPr>
        <w:t>发生争议的，应邀请国家认</w:t>
      </w:r>
      <w:r>
        <w:rPr>
          <w:rFonts w:hint="eastAsia"/>
          <w:color w:val="auto"/>
          <w:szCs w:val="21"/>
          <w:highlight w:val="none"/>
        </w:rPr>
        <w:t>定</w:t>
      </w:r>
      <w:r>
        <w:rPr>
          <w:color w:val="auto"/>
          <w:szCs w:val="21"/>
          <w:highlight w:val="none"/>
        </w:rPr>
        <w:t>的质量检测机构按照国家标准对</w:t>
      </w:r>
      <w:r>
        <w:rPr>
          <w:rFonts w:hint="eastAsia"/>
          <w:color w:val="auto"/>
          <w:szCs w:val="21"/>
          <w:highlight w:val="none"/>
        </w:rPr>
        <w:t>产品</w:t>
      </w:r>
      <w:r>
        <w:rPr>
          <w:color w:val="auto"/>
          <w:szCs w:val="21"/>
          <w:highlight w:val="none"/>
        </w:rPr>
        <w:t>或服务成果质量进行验收。</w:t>
      </w:r>
      <w:r>
        <w:rPr>
          <w:rFonts w:hint="eastAsia"/>
          <w:color w:val="auto"/>
          <w:szCs w:val="21"/>
          <w:highlight w:val="none"/>
        </w:rPr>
        <w:t>产品</w:t>
      </w:r>
      <w:r>
        <w:rPr>
          <w:color w:val="auto"/>
          <w:szCs w:val="21"/>
          <w:highlight w:val="none"/>
        </w:rPr>
        <w:t>或服务成果符合国家标准的，鉴定费由甲方承担；</w:t>
      </w:r>
      <w:r>
        <w:rPr>
          <w:rFonts w:hint="eastAsia"/>
          <w:color w:val="auto"/>
          <w:szCs w:val="21"/>
          <w:highlight w:val="none"/>
        </w:rPr>
        <w:t>产品</w:t>
      </w:r>
      <w:r>
        <w:rPr>
          <w:color w:val="auto"/>
          <w:szCs w:val="21"/>
          <w:highlight w:val="none"/>
        </w:rPr>
        <w:t>或服务成果不符合国家标准的，鉴定费由乙方承担。</w:t>
      </w:r>
    </w:p>
    <w:p w14:paraId="3198ED88">
      <w:pPr>
        <w:spacing w:line="360" w:lineRule="exact"/>
        <w:ind w:firstLine="420" w:firstLineChars="200"/>
        <w:rPr>
          <w:color w:val="auto"/>
          <w:szCs w:val="21"/>
          <w:highlight w:val="none"/>
        </w:rPr>
      </w:pPr>
      <w:r>
        <w:rPr>
          <w:color w:val="auto"/>
          <w:szCs w:val="21"/>
          <w:highlight w:val="none"/>
        </w:rPr>
        <w:t>2</w:t>
      </w:r>
      <w:r>
        <w:rPr>
          <w:rFonts w:hint="eastAsia"/>
          <w:color w:val="auto"/>
          <w:szCs w:val="21"/>
          <w:highlight w:val="none"/>
        </w:rPr>
        <w:t>.</w:t>
      </w:r>
      <w:r>
        <w:rPr>
          <w:color w:val="auto"/>
          <w:szCs w:val="21"/>
          <w:highlight w:val="none"/>
        </w:rPr>
        <w:t>因履行本合同引起的或与本合同有关的争议，甲乙双方应首先通过友好协商解决，如果协商不能解决，可向甲方所在地人民法院提起诉讼。</w:t>
      </w:r>
    </w:p>
    <w:p w14:paraId="52DD3C7E">
      <w:pPr>
        <w:spacing w:line="360" w:lineRule="exact"/>
        <w:ind w:firstLine="420" w:firstLineChars="200"/>
        <w:rPr>
          <w:color w:val="auto"/>
          <w:szCs w:val="21"/>
          <w:highlight w:val="none"/>
        </w:rPr>
      </w:pPr>
      <w:r>
        <w:rPr>
          <w:color w:val="auto"/>
          <w:szCs w:val="21"/>
          <w:highlight w:val="none"/>
        </w:rPr>
        <w:t>3</w:t>
      </w:r>
      <w:r>
        <w:rPr>
          <w:rFonts w:hint="eastAsia"/>
          <w:color w:val="auto"/>
          <w:szCs w:val="21"/>
          <w:highlight w:val="none"/>
        </w:rPr>
        <w:t>.</w:t>
      </w:r>
      <w:r>
        <w:rPr>
          <w:color w:val="auto"/>
          <w:szCs w:val="21"/>
          <w:highlight w:val="none"/>
        </w:rPr>
        <w:t>诉讼期间，本合同继续履行。</w:t>
      </w:r>
    </w:p>
    <w:p w14:paraId="0C668F8F">
      <w:pPr>
        <w:pStyle w:val="20"/>
        <w:spacing w:before="120" w:after="120" w:line="360" w:lineRule="exact"/>
        <w:ind w:firstLine="422" w:firstLineChars="200"/>
        <w:rPr>
          <w:rFonts w:ascii="Times New Roman" w:hAnsi="Times New Roman" w:cs="Times New Roman"/>
          <w:b/>
          <w:color w:val="auto"/>
          <w:highlight w:val="none"/>
        </w:rPr>
      </w:pPr>
      <w:r>
        <w:rPr>
          <w:rFonts w:ascii="Times New Roman" w:hAnsi="Times New Roman" w:cs="Times New Roman"/>
          <w:b/>
          <w:color w:val="auto"/>
          <w:highlight w:val="none"/>
        </w:rPr>
        <w:t>第十</w:t>
      </w:r>
      <w:r>
        <w:rPr>
          <w:rFonts w:hint="eastAsia" w:ascii="Times New Roman" w:hAnsi="Times New Roman" w:cs="Times New Roman"/>
          <w:b/>
          <w:color w:val="auto"/>
          <w:highlight w:val="none"/>
        </w:rPr>
        <w:t>五</w:t>
      </w:r>
      <w:r>
        <w:rPr>
          <w:rFonts w:ascii="Times New Roman" w:hAnsi="Times New Roman" w:cs="Times New Roman"/>
          <w:b/>
          <w:color w:val="auto"/>
          <w:highlight w:val="none"/>
        </w:rPr>
        <w:t>条 合同生效及其它</w:t>
      </w:r>
    </w:p>
    <w:p w14:paraId="2CBEC88E">
      <w:pPr>
        <w:spacing w:line="300" w:lineRule="exact"/>
        <w:ind w:firstLine="420" w:firstLineChars="200"/>
        <w:rPr>
          <w:color w:val="auto"/>
          <w:szCs w:val="21"/>
          <w:highlight w:val="none"/>
        </w:rPr>
      </w:pPr>
      <w:r>
        <w:rPr>
          <w:rFonts w:hint="eastAsia"/>
          <w:color w:val="auto"/>
          <w:szCs w:val="21"/>
          <w:highlight w:val="none"/>
        </w:rPr>
        <w:t>1.</w:t>
      </w:r>
      <w:r>
        <w:rPr>
          <w:color w:val="auto"/>
          <w:szCs w:val="21"/>
          <w:highlight w:val="none"/>
        </w:rPr>
        <w:t>合同经双方法定代表人或授权代表签字并加盖单位公章后生效。</w:t>
      </w:r>
    </w:p>
    <w:p w14:paraId="2E20BF29">
      <w:pPr>
        <w:spacing w:line="300" w:lineRule="exact"/>
        <w:ind w:firstLine="420" w:firstLineChars="200"/>
        <w:rPr>
          <w:color w:val="auto"/>
          <w:szCs w:val="21"/>
          <w:highlight w:val="none"/>
        </w:rPr>
      </w:pPr>
      <w:r>
        <w:rPr>
          <w:rFonts w:hint="eastAsia"/>
          <w:color w:val="auto"/>
          <w:szCs w:val="21"/>
          <w:highlight w:val="none"/>
        </w:rPr>
        <w:t>2.</w:t>
      </w:r>
      <w:r>
        <w:rPr>
          <w:color w:val="auto"/>
          <w:szCs w:val="21"/>
          <w:highlight w:val="none"/>
        </w:rPr>
        <w:t>合同执行中涉及采购资金和采购内容修改或补充的，须经财政部门</w:t>
      </w:r>
      <w:r>
        <w:rPr>
          <w:rFonts w:hint="eastAsia"/>
          <w:color w:val="auto"/>
          <w:szCs w:val="21"/>
          <w:highlight w:val="none"/>
        </w:rPr>
        <w:t>备案</w:t>
      </w:r>
      <w:r>
        <w:rPr>
          <w:color w:val="auto"/>
          <w:szCs w:val="21"/>
          <w:highlight w:val="none"/>
        </w:rPr>
        <w:t>，</w:t>
      </w:r>
      <w:r>
        <w:rPr>
          <w:rFonts w:hint="eastAsia"/>
          <w:color w:val="auto"/>
          <w:szCs w:val="21"/>
          <w:highlight w:val="none"/>
        </w:rPr>
        <w:t>经</w:t>
      </w:r>
      <w:r>
        <w:rPr>
          <w:color w:val="auto"/>
          <w:szCs w:val="21"/>
          <w:highlight w:val="none"/>
        </w:rPr>
        <w:t>财政部门</w:t>
      </w:r>
      <w:r>
        <w:rPr>
          <w:rFonts w:hint="eastAsia"/>
          <w:color w:val="auto"/>
          <w:szCs w:val="21"/>
          <w:highlight w:val="none"/>
        </w:rPr>
        <w:t>同意后</w:t>
      </w:r>
      <w:r>
        <w:rPr>
          <w:color w:val="auto"/>
          <w:szCs w:val="21"/>
          <w:highlight w:val="none"/>
        </w:rPr>
        <w:t>签书面补充协议。</w:t>
      </w:r>
    </w:p>
    <w:p w14:paraId="39525DFD">
      <w:pPr>
        <w:spacing w:line="300" w:lineRule="exact"/>
        <w:ind w:firstLine="420" w:firstLineChars="200"/>
        <w:rPr>
          <w:color w:val="auto"/>
          <w:szCs w:val="21"/>
          <w:highlight w:val="none"/>
        </w:rPr>
      </w:pPr>
      <w:r>
        <w:rPr>
          <w:rFonts w:hint="eastAsia"/>
          <w:color w:val="auto"/>
          <w:szCs w:val="21"/>
          <w:highlight w:val="none"/>
        </w:rPr>
        <w:t>3.如无特别说明，</w:t>
      </w:r>
      <w:r>
        <w:rPr>
          <w:color w:val="auto"/>
          <w:szCs w:val="21"/>
          <w:highlight w:val="none"/>
        </w:rPr>
        <w:t>本合同使用货币币制为人民币</w:t>
      </w:r>
      <w:r>
        <w:rPr>
          <w:rFonts w:hint="eastAsia"/>
          <w:color w:val="auto"/>
          <w:szCs w:val="21"/>
          <w:highlight w:val="none"/>
        </w:rPr>
        <w:t>，使用单位为中国国家法定计量单位。</w:t>
      </w:r>
    </w:p>
    <w:p w14:paraId="27EC8170">
      <w:pPr>
        <w:spacing w:line="300" w:lineRule="exact"/>
        <w:ind w:firstLine="420" w:firstLineChars="200"/>
        <w:rPr>
          <w:color w:val="auto"/>
          <w:szCs w:val="21"/>
          <w:highlight w:val="none"/>
        </w:rPr>
      </w:pPr>
      <w:r>
        <w:rPr>
          <w:rFonts w:hint="eastAsia"/>
          <w:color w:val="auto"/>
          <w:szCs w:val="21"/>
          <w:highlight w:val="none"/>
        </w:rPr>
        <w:t>4.本合同中提及的招标与谈判、磋商、询价、单一来源采购为同一含义，提及的投标与响应为同一含义，提及的中标与成交为同一含义。</w:t>
      </w:r>
    </w:p>
    <w:p w14:paraId="372E66F3">
      <w:pPr>
        <w:spacing w:line="300" w:lineRule="exact"/>
        <w:ind w:firstLine="420" w:firstLineChars="200"/>
        <w:rPr>
          <w:color w:val="auto"/>
          <w:szCs w:val="21"/>
          <w:highlight w:val="none"/>
        </w:rPr>
      </w:pPr>
      <w:r>
        <w:rPr>
          <w:rFonts w:hint="eastAsia"/>
          <w:color w:val="auto"/>
          <w:szCs w:val="21"/>
          <w:highlight w:val="none"/>
        </w:rPr>
        <w:t>5.</w:t>
      </w:r>
      <w:r>
        <w:rPr>
          <w:color w:val="auto"/>
          <w:szCs w:val="21"/>
          <w:highlight w:val="none"/>
        </w:rPr>
        <w:t>本合同未尽事宜，遵照《</w:t>
      </w:r>
      <w:r>
        <w:rPr>
          <w:rFonts w:hint="eastAsia"/>
          <w:color w:val="auto"/>
          <w:szCs w:val="21"/>
          <w:highlight w:val="none"/>
        </w:rPr>
        <w:t>民法典</w:t>
      </w:r>
      <w:r>
        <w:rPr>
          <w:color w:val="auto"/>
          <w:szCs w:val="21"/>
          <w:highlight w:val="none"/>
        </w:rPr>
        <w:t>》有关条文执行。</w:t>
      </w:r>
    </w:p>
    <w:p w14:paraId="0A305A23">
      <w:pPr>
        <w:spacing w:line="300" w:lineRule="exact"/>
        <w:ind w:firstLine="420" w:firstLineChars="200"/>
        <w:rPr>
          <w:color w:val="auto"/>
          <w:szCs w:val="21"/>
          <w:highlight w:val="none"/>
        </w:rPr>
      </w:pPr>
      <w:r>
        <w:rPr>
          <w:rFonts w:hint="eastAsia"/>
          <w:color w:val="auto"/>
          <w:szCs w:val="21"/>
          <w:highlight w:val="none"/>
        </w:rPr>
        <w:t>6.本合同（否）为中小企业预留合同</w:t>
      </w:r>
    </w:p>
    <w:p w14:paraId="7BFEACBB">
      <w:pPr>
        <w:spacing w:line="360" w:lineRule="exact"/>
        <w:ind w:firstLine="422" w:firstLineChars="200"/>
        <w:rPr>
          <w:b/>
          <w:color w:val="auto"/>
          <w:szCs w:val="21"/>
          <w:highlight w:val="none"/>
        </w:rPr>
      </w:pPr>
      <w:r>
        <w:rPr>
          <w:b/>
          <w:color w:val="auto"/>
          <w:szCs w:val="21"/>
          <w:highlight w:val="none"/>
        </w:rPr>
        <w:t>第十</w:t>
      </w:r>
      <w:r>
        <w:rPr>
          <w:rFonts w:hint="eastAsia"/>
          <w:b/>
          <w:color w:val="auto"/>
          <w:szCs w:val="21"/>
          <w:highlight w:val="none"/>
        </w:rPr>
        <w:t>六</w:t>
      </w:r>
      <w:r>
        <w:rPr>
          <w:b/>
          <w:color w:val="auto"/>
          <w:szCs w:val="21"/>
          <w:highlight w:val="none"/>
        </w:rPr>
        <w:t>条　合同的变更、终止与转让</w:t>
      </w:r>
    </w:p>
    <w:p w14:paraId="74356EBA">
      <w:pPr>
        <w:spacing w:line="360" w:lineRule="exact"/>
        <w:ind w:firstLine="420" w:firstLineChars="200"/>
        <w:rPr>
          <w:color w:val="auto"/>
          <w:szCs w:val="21"/>
          <w:highlight w:val="none"/>
        </w:rPr>
      </w:pPr>
      <w:r>
        <w:rPr>
          <w:color w:val="auto"/>
          <w:szCs w:val="21"/>
          <w:highlight w:val="none"/>
        </w:rPr>
        <w:t>1.除《中华人民共和国政府采购法》第五十条规定的情形外，本合同一经签订，甲乙双方不得擅自变更、中止或终止。</w:t>
      </w:r>
      <w:bookmarkStart w:id="221" w:name="_Hlk155172858"/>
      <w:r>
        <w:rPr>
          <w:rFonts w:hint="eastAsia"/>
          <w:color w:val="auto"/>
          <w:szCs w:val="21"/>
          <w:highlight w:val="none"/>
        </w:rPr>
        <w:t>如依照政府采购法确需变更合同内容的，甲方应当自合同变更之日起2个工作日内在省级以上财政部门指定的媒体上发布合同变更公告。</w:t>
      </w:r>
      <w:bookmarkEnd w:id="221"/>
    </w:p>
    <w:p w14:paraId="40E5CBE2">
      <w:pPr>
        <w:spacing w:line="360" w:lineRule="exact"/>
        <w:ind w:firstLine="420" w:firstLineChars="200"/>
        <w:rPr>
          <w:color w:val="auto"/>
          <w:szCs w:val="21"/>
          <w:highlight w:val="none"/>
        </w:rPr>
      </w:pPr>
      <w:r>
        <w:rPr>
          <w:color w:val="auto"/>
          <w:szCs w:val="21"/>
          <w:highlight w:val="none"/>
        </w:rPr>
        <w:t>2.未经甲方书面同意，乙方不得擅自转让其应履行的合同义务。</w:t>
      </w:r>
    </w:p>
    <w:p w14:paraId="4ACB6FBF">
      <w:pPr>
        <w:spacing w:line="360" w:lineRule="exact"/>
        <w:ind w:firstLine="422" w:firstLineChars="200"/>
        <w:rPr>
          <w:b/>
          <w:color w:val="auto"/>
          <w:szCs w:val="21"/>
          <w:highlight w:val="none"/>
        </w:rPr>
      </w:pPr>
      <w:r>
        <w:rPr>
          <w:b/>
          <w:color w:val="auto"/>
          <w:szCs w:val="21"/>
          <w:highlight w:val="none"/>
        </w:rPr>
        <w:t>第十</w:t>
      </w:r>
      <w:r>
        <w:rPr>
          <w:rFonts w:hint="eastAsia"/>
          <w:b/>
          <w:color w:val="auto"/>
          <w:szCs w:val="21"/>
          <w:highlight w:val="none"/>
        </w:rPr>
        <w:t>七</w:t>
      </w:r>
      <w:r>
        <w:rPr>
          <w:b/>
          <w:color w:val="auto"/>
          <w:szCs w:val="21"/>
          <w:highlight w:val="none"/>
        </w:rPr>
        <w:t>条　</w:t>
      </w:r>
      <w:r>
        <w:rPr>
          <w:rFonts w:hint="eastAsia"/>
          <w:b/>
          <w:color w:val="auto"/>
          <w:szCs w:val="21"/>
          <w:highlight w:val="none"/>
        </w:rPr>
        <w:t>合同文件的组成</w:t>
      </w:r>
    </w:p>
    <w:p w14:paraId="798AD9A2">
      <w:pPr>
        <w:spacing w:line="360" w:lineRule="exact"/>
        <w:ind w:firstLine="420" w:firstLineChars="200"/>
        <w:rPr>
          <w:color w:val="auto"/>
          <w:szCs w:val="21"/>
          <w:highlight w:val="none"/>
        </w:rPr>
      </w:pPr>
      <w:r>
        <w:rPr>
          <w:color w:val="auto"/>
          <w:szCs w:val="21"/>
          <w:highlight w:val="none"/>
        </w:rPr>
        <w:t>1.</w:t>
      </w:r>
      <w:r>
        <w:rPr>
          <w:rFonts w:hint="eastAsia" w:hAnsi="宋体" w:cs="宋体"/>
          <w:color w:val="auto"/>
          <w:kern w:val="0"/>
          <w:highlight w:val="none"/>
        </w:rPr>
        <w:t>政府采购合同；</w:t>
      </w:r>
    </w:p>
    <w:p w14:paraId="5ECC2797">
      <w:pPr>
        <w:spacing w:line="360" w:lineRule="exact"/>
        <w:ind w:firstLine="420" w:firstLineChars="200"/>
        <w:rPr>
          <w:color w:val="auto"/>
          <w:szCs w:val="21"/>
          <w:highlight w:val="none"/>
        </w:rPr>
      </w:pPr>
      <w:r>
        <w:rPr>
          <w:rFonts w:hint="eastAsia"/>
          <w:color w:val="auto"/>
          <w:szCs w:val="21"/>
          <w:highlight w:val="none"/>
        </w:rPr>
        <w:t>2</w:t>
      </w:r>
      <w:r>
        <w:rPr>
          <w:color w:val="auto"/>
          <w:szCs w:val="21"/>
          <w:highlight w:val="none"/>
        </w:rPr>
        <w:t>.中标通知书；</w:t>
      </w:r>
    </w:p>
    <w:p w14:paraId="5917C2EA">
      <w:pPr>
        <w:spacing w:line="360" w:lineRule="exact"/>
        <w:ind w:firstLine="420" w:firstLineChars="200"/>
        <w:rPr>
          <w:color w:val="auto"/>
          <w:szCs w:val="21"/>
          <w:highlight w:val="none"/>
        </w:rPr>
      </w:pPr>
      <w:r>
        <w:rPr>
          <w:rFonts w:hint="eastAsia"/>
          <w:color w:val="auto"/>
          <w:szCs w:val="21"/>
          <w:highlight w:val="none"/>
        </w:rPr>
        <w:t>3</w:t>
      </w:r>
      <w:r>
        <w:rPr>
          <w:color w:val="auto"/>
          <w:szCs w:val="21"/>
          <w:highlight w:val="none"/>
        </w:rPr>
        <w:t>.乙方的投标文件；</w:t>
      </w:r>
    </w:p>
    <w:p w14:paraId="7F9D7CE5">
      <w:pPr>
        <w:spacing w:line="360" w:lineRule="exact"/>
        <w:ind w:firstLine="420" w:firstLineChars="200"/>
        <w:rPr>
          <w:color w:val="auto"/>
          <w:szCs w:val="21"/>
          <w:highlight w:val="none"/>
        </w:rPr>
      </w:pPr>
      <w:r>
        <w:rPr>
          <w:rFonts w:hint="eastAsia"/>
          <w:color w:val="auto"/>
          <w:szCs w:val="21"/>
          <w:highlight w:val="none"/>
        </w:rPr>
        <w:t>4</w:t>
      </w:r>
      <w:r>
        <w:rPr>
          <w:color w:val="auto"/>
          <w:szCs w:val="21"/>
          <w:highlight w:val="none"/>
        </w:rPr>
        <w:t>.</w:t>
      </w:r>
      <w:r>
        <w:rPr>
          <w:rFonts w:hint="eastAsia"/>
          <w:color w:val="auto"/>
          <w:szCs w:val="21"/>
          <w:highlight w:val="none"/>
        </w:rPr>
        <w:t>采购文件</w:t>
      </w:r>
      <w:r>
        <w:rPr>
          <w:color w:val="auto"/>
          <w:szCs w:val="21"/>
          <w:highlight w:val="none"/>
        </w:rPr>
        <w:t>；</w:t>
      </w:r>
    </w:p>
    <w:p w14:paraId="57CD60FD">
      <w:pPr>
        <w:spacing w:line="300" w:lineRule="exact"/>
        <w:ind w:firstLine="420" w:firstLineChars="200"/>
        <w:rPr>
          <w:rFonts w:hint="eastAsia"/>
          <w:color w:val="auto"/>
          <w:highlight w:val="none"/>
        </w:rPr>
      </w:pPr>
      <w:r>
        <w:rPr>
          <w:rFonts w:hint="eastAsia"/>
          <w:color w:val="auto"/>
          <w:highlight w:val="none"/>
        </w:rPr>
        <w:t>5.其他合同文件。</w:t>
      </w:r>
    </w:p>
    <w:p w14:paraId="31D6AE43">
      <w:pPr>
        <w:spacing w:line="300" w:lineRule="exact"/>
        <w:ind w:firstLine="420" w:firstLineChars="200"/>
        <w:rPr>
          <w:rFonts w:hint="eastAsia"/>
          <w:color w:val="auto"/>
          <w:highlight w:val="none"/>
        </w:rPr>
      </w:pPr>
      <w:r>
        <w:rPr>
          <w:rFonts w:hint="eastAsia"/>
          <w:color w:val="auto"/>
          <w:highlight w:val="none"/>
        </w:rPr>
        <w:t>如涉及乙方义务的合同文件之间存在矛盾或者不一致之处，以最高要求的约定为准。</w:t>
      </w:r>
    </w:p>
    <w:p w14:paraId="7D0EB73A">
      <w:pPr>
        <w:spacing w:line="360" w:lineRule="exact"/>
        <w:ind w:firstLine="422" w:firstLineChars="200"/>
        <w:rPr>
          <w:color w:val="auto"/>
          <w:szCs w:val="21"/>
          <w:highlight w:val="none"/>
        </w:rPr>
      </w:pPr>
      <w:r>
        <w:rPr>
          <w:b/>
          <w:color w:val="auto"/>
          <w:szCs w:val="21"/>
          <w:highlight w:val="none"/>
        </w:rPr>
        <w:t>第十</w:t>
      </w:r>
      <w:r>
        <w:rPr>
          <w:rFonts w:hint="eastAsia"/>
          <w:b/>
          <w:color w:val="auto"/>
          <w:szCs w:val="21"/>
          <w:highlight w:val="none"/>
        </w:rPr>
        <w:t>八</w:t>
      </w:r>
      <w:r>
        <w:rPr>
          <w:b/>
          <w:color w:val="auto"/>
          <w:szCs w:val="21"/>
          <w:highlight w:val="none"/>
        </w:rPr>
        <w:t>条　</w:t>
      </w:r>
      <w:r>
        <w:rPr>
          <w:color w:val="auto"/>
          <w:szCs w:val="21"/>
          <w:highlight w:val="none"/>
        </w:rPr>
        <w:t>本合同一式五份，具有同等法律效力。甲</w:t>
      </w:r>
      <w:r>
        <w:rPr>
          <w:rFonts w:hint="eastAsia"/>
          <w:color w:val="auto"/>
          <w:szCs w:val="21"/>
          <w:highlight w:val="none"/>
        </w:rPr>
        <w:t>、乙双方各执</w:t>
      </w:r>
      <w:r>
        <w:rPr>
          <w:color w:val="auto"/>
          <w:szCs w:val="21"/>
          <w:highlight w:val="none"/>
        </w:rPr>
        <w:t>两份，</w:t>
      </w:r>
      <w:r>
        <w:rPr>
          <w:color w:val="auto"/>
          <w:spacing w:val="4"/>
          <w:szCs w:val="21"/>
          <w:highlight w:val="none"/>
        </w:rPr>
        <w:t>采购代理机构</w:t>
      </w:r>
      <w:r>
        <w:rPr>
          <w:color w:val="auto"/>
          <w:szCs w:val="21"/>
          <w:highlight w:val="none"/>
        </w:rPr>
        <w:t>各一份。</w:t>
      </w:r>
    </w:p>
    <w:p w14:paraId="38982CCC">
      <w:pPr>
        <w:spacing w:line="360" w:lineRule="exact"/>
        <w:ind w:firstLine="420" w:firstLineChars="200"/>
        <w:rPr>
          <w:color w:val="auto"/>
          <w:szCs w:val="21"/>
          <w:highlight w:val="none"/>
        </w:rPr>
      </w:pPr>
      <w:r>
        <w:rPr>
          <w:color w:val="auto"/>
          <w:szCs w:val="21"/>
          <w:highlight w:val="none"/>
        </w:rPr>
        <w:t>本合同经甲乙双方法定代表人或被授权代表签字并加盖单位公章后生效。</w:t>
      </w:r>
    </w:p>
    <w:tbl>
      <w:tblPr>
        <w:tblStyle w:val="39"/>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4437"/>
        <w:gridCol w:w="4688"/>
      </w:tblGrid>
      <w:tr w14:paraId="6861DCE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975" w:hRule="atLeast"/>
        </w:trPr>
        <w:tc>
          <w:tcPr>
            <w:tcW w:w="4437" w:type="dxa"/>
            <w:vAlign w:val="center"/>
          </w:tcPr>
          <w:p w14:paraId="40FB6A59">
            <w:pPr>
              <w:spacing w:line="360" w:lineRule="exact"/>
              <w:rPr>
                <w:color w:val="auto"/>
                <w:szCs w:val="21"/>
                <w:highlight w:val="none"/>
              </w:rPr>
            </w:pPr>
            <w:r>
              <w:rPr>
                <w:color w:val="auto"/>
                <w:szCs w:val="21"/>
                <w:highlight w:val="none"/>
              </w:rPr>
              <w:t>甲方（章）</w:t>
            </w:r>
            <w:r>
              <w:rPr>
                <w:rFonts w:hint="eastAsia"/>
                <w:color w:val="auto"/>
                <w:szCs w:val="21"/>
                <w:highlight w:val="none"/>
              </w:rPr>
              <w:t>广西壮族自治区江滨医院</w:t>
            </w:r>
          </w:p>
          <w:p w14:paraId="082BA2D1">
            <w:pPr>
              <w:spacing w:line="360" w:lineRule="exact"/>
              <w:ind w:firstLine="945" w:firstLineChars="450"/>
              <w:jc w:val="right"/>
              <w:rPr>
                <w:color w:val="auto"/>
                <w:szCs w:val="21"/>
                <w:highlight w:val="none"/>
              </w:rPr>
            </w:pPr>
          </w:p>
        </w:tc>
        <w:tc>
          <w:tcPr>
            <w:tcW w:w="4688" w:type="dxa"/>
            <w:vAlign w:val="center"/>
          </w:tcPr>
          <w:p w14:paraId="0D11CE2C">
            <w:pPr>
              <w:spacing w:line="360" w:lineRule="exact"/>
              <w:rPr>
                <w:color w:val="auto"/>
                <w:szCs w:val="21"/>
                <w:highlight w:val="none"/>
              </w:rPr>
            </w:pPr>
            <w:r>
              <w:rPr>
                <w:color w:val="auto"/>
                <w:szCs w:val="21"/>
                <w:highlight w:val="none"/>
              </w:rPr>
              <w:t xml:space="preserve">乙方（章）              </w:t>
            </w:r>
          </w:p>
          <w:p w14:paraId="7F1F21D5">
            <w:pPr>
              <w:spacing w:line="360" w:lineRule="exact"/>
              <w:jc w:val="right"/>
              <w:rPr>
                <w:color w:val="auto"/>
                <w:szCs w:val="21"/>
                <w:highlight w:val="none"/>
              </w:rPr>
            </w:pPr>
          </w:p>
        </w:tc>
      </w:tr>
      <w:tr w14:paraId="785FB8C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82" w:hRule="atLeast"/>
        </w:trPr>
        <w:tc>
          <w:tcPr>
            <w:tcW w:w="4437" w:type="dxa"/>
            <w:vAlign w:val="center"/>
          </w:tcPr>
          <w:p w14:paraId="0D64020E">
            <w:pPr>
              <w:spacing w:line="360" w:lineRule="exact"/>
              <w:rPr>
                <w:color w:val="auto"/>
                <w:szCs w:val="21"/>
                <w:highlight w:val="none"/>
              </w:rPr>
            </w:pPr>
            <w:r>
              <w:rPr>
                <w:color w:val="auto"/>
                <w:szCs w:val="21"/>
                <w:highlight w:val="none"/>
              </w:rPr>
              <w:t>单位地址：</w:t>
            </w:r>
          </w:p>
        </w:tc>
        <w:tc>
          <w:tcPr>
            <w:tcW w:w="4688" w:type="dxa"/>
            <w:vAlign w:val="center"/>
          </w:tcPr>
          <w:p w14:paraId="50AF83CA">
            <w:pPr>
              <w:spacing w:line="360" w:lineRule="exact"/>
              <w:rPr>
                <w:color w:val="auto"/>
                <w:szCs w:val="21"/>
                <w:highlight w:val="none"/>
              </w:rPr>
            </w:pPr>
            <w:r>
              <w:rPr>
                <w:color w:val="auto"/>
                <w:szCs w:val="21"/>
                <w:highlight w:val="none"/>
              </w:rPr>
              <w:t>单位地址：</w:t>
            </w:r>
          </w:p>
        </w:tc>
      </w:tr>
      <w:tr w14:paraId="4385F99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65" w:hRule="atLeast"/>
        </w:trPr>
        <w:tc>
          <w:tcPr>
            <w:tcW w:w="4437" w:type="dxa"/>
            <w:vAlign w:val="center"/>
          </w:tcPr>
          <w:p w14:paraId="0B4035FC">
            <w:pPr>
              <w:spacing w:line="360" w:lineRule="exact"/>
              <w:rPr>
                <w:color w:val="auto"/>
                <w:szCs w:val="21"/>
                <w:highlight w:val="none"/>
              </w:rPr>
            </w:pPr>
            <w:r>
              <w:rPr>
                <w:color w:val="auto"/>
                <w:szCs w:val="21"/>
                <w:highlight w:val="none"/>
              </w:rPr>
              <w:t>法定代表人：</w:t>
            </w:r>
          </w:p>
        </w:tc>
        <w:tc>
          <w:tcPr>
            <w:tcW w:w="4688" w:type="dxa"/>
            <w:vAlign w:val="center"/>
          </w:tcPr>
          <w:p w14:paraId="3963C4E9">
            <w:pPr>
              <w:spacing w:line="360" w:lineRule="exact"/>
              <w:rPr>
                <w:color w:val="auto"/>
                <w:szCs w:val="21"/>
                <w:highlight w:val="none"/>
              </w:rPr>
            </w:pPr>
            <w:r>
              <w:rPr>
                <w:color w:val="auto"/>
                <w:szCs w:val="21"/>
                <w:highlight w:val="none"/>
              </w:rPr>
              <w:t>法定代表人：</w:t>
            </w:r>
          </w:p>
        </w:tc>
      </w:tr>
      <w:tr w14:paraId="2198A91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34" w:hRule="atLeast"/>
        </w:trPr>
        <w:tc>
          <w:tcPr>
            <w:tcW w:w="4437" w:type="dxa"/>
            <w:vAlign w:val="center"/>
          </w:tcPr>
          <w:p w14:paraId="05C59CC8">
            <w:pPr>
              <w:spacing w:line="360" w:lineRule="exact"/>
              <w:rPr>
                <w:color w:val="auto"/>
                <w:szCs w:val="21"/>
                <w:highlight w:val="none"/>
              </w:rPr>
            </w:pPr>
            <w:r>
              <w:rPr>
                <w:color w:val="auto"/>
                <w:szCs w:val="21"/>
                <w:highlight w:val="none"/>
              </w:rPr>
              <w:t>委托代理人：</w:t>
            </w:r>
          </w:p>
        </w:tc>
        <w:tc>
          <w:tcPr>
            <w:tcW w:w="4688" w:type="dxa"/>
            <w:vAlign w:val="center"/>
          </w:tcPr>
          <w:p w14:paraId="091C6699">
            <w:pPr>
              <w:spacing w:line="360" w:lineRule="exact"/>
              <w:rPr>
                <w:color w:val="auto"/>
                <w:szCs w:val="21"/>
                <w:highlight w:val="none"/>
              </w:rPr>
            </w:pPr>
            <w:r>
              <w:rPr>
                <w:color w:val="auto"/>
                <w:szCs w:val="21"/>
                <w:highlight w:val="none"/>
              </w:rPr>
              <w:t>委托代理人</w:t>
            </w:r>
          </w:p>
        </w:tc>
      </w:tr>
      <w:tr w14:paraId="3C704EB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3" w:hRule="atLeast"/>
        </w:trPr>
        <w:tc>
          <w:tcPr>
            <w:tcW w:w="4437" w:type="dxa"/>
            <w:vAlign w:val="center"/>
          </w:tcPr>
          <w:p w14:paraId="789AAE77">
            <w:pPr>
              <w:spacing w:line="360" w:lineRule="exact"/>
              <w:rPr>
                <w:color w:val="auto"/>
                <w:szCs w:val="21"/>
                <w:highlight w:val="none"/>
              </w:rPr>
            </w:pPr>
            <w:r>
              <w:rPr>
                <w:color w:val="auto"/>
                <w:szCs w:val="21"/>
                <w:highlight w:val="none"/>
              </w:rPr>
              <w:t>电话：</w:t>
            </w:r>
          </w:p>
        </w:tc>
        <w:tc>
          <w:tcPr>
            <w:tcW w:w="4688" w:type="dxa"/>
            <w:vAlign w:val="center"/>
          </w:tcPr>
          <w:p w14:paraId="6123FB65">
            <w:pPr>
              <w:spacing w:line="360" w:lineRule="exact"/>
              <w:rPr>
                <w:color w:val="auto"/>
                <w:szCs w:val="21"/>
                <w:highlight w:val="none"/>
              </w:rPr>
            </w:pPr>
            <w:r>
              <w:rPr>
                <w:color w:val="auto"/>
                <w:szCs w:val="21"/>
                <w:highlight w:val="none"/>
              </w:rPr>
              <w:t>电话：</w:t>
            </w:r>
          </w:p>
        </w:tc>
      </w:tr>
      <w:tr w14:paraId="7593948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0" w:hRule="atLeast"/>
        </w:trPr>
        <w:tc>
          <w:tcPr>
            <w:tcW w:w="4437" w:type="dxa"/>
            <w:vAlign w:val="center"/>
          </w:tcPr>
          <w:p w14:paraId="3B89D54C">
            <w:pPr>
              <w:spacing w:line="360" w:lineRule="exact"/>
              <w:rPr>
                <w:color w:val="auto"/>
                <w:szCs w:val="21"/>
                <w:highlight w:val="none"/>
              </w:rPr>
            </w:pPr>
            <w:r>
              <w:rPr>
                <w:color w:val="auto"/>
                <w:szCs w:val="21"/>
                <w:highlight w:val="none"/>
              </w:rPr>
              <w:t>开户银行：</w:t>
            </w:r>
          </w:p>
        </w:tc>
        <w:tc>
          <w:tcPr>
            <w:tcW w:w="4688" w:type="dxa"/>
            <w:vAlign w:val="center"/>
          </w:tcPr>
          <w:p w14:paraId="31C88B45">
            <w:pPr>
              <w:spacing w:line="360" w:lineRule="exact"/>
              <w:rPr>
                <w:color w:val="auto"/>
                <w:szCs w:val="21"/>
                <w:highlight w:val="none"/>
              </w:rPr>
            </w:pPr>
            <w:r>
              <w:rPr>
                <w:color w:val="auto"/>
                <w:szCs w:val="21"/>
                <w:highlight w:val="none"/>
              </w:rPr>
              <w:t>开户银行：</w:t>
            </w:r>
          </w:p>
        </w:tc>
      </w:tr>
      <w:tr w14:paraId="2BE970F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416" w:hRule="atLeast"/>
        </w:trPr>
        <w:tc>
          <w:tcPr>
            <w:tcW w:w="4437" w:type="dxa"/>
            <w:vAlign w:val="center"/>
          </w:tcPr>
          <w:p w14:paraId="39B6F828">
            <w:pPr>
              <w:spacing w:line="360" w:lineRule="exact"/>
              <w:rPr>
                <w:color w:val="auto"/>
                <w:szCs w:val="21"/>
                <w:highlight w:val="none"/>
              </w:rPr>
            </w:pPr>
            <w:r>
              <w:rPr>
                <w:color w:val="auto"/>
                <w:szCs w:val="21"/>
                <w:highlight w:val="none"/>
              </w:rPr>
              <w:t>账号：</w:t>
            </w:r>
          </w:p>
        </w:tc>
        <w:tc>
          <w:tcPr>
            <w:tcW w:w="4688" w:type="dxa"/>
            <w:vAlign w:val="center"/>
          </w:tcPr>
          <w:p w14:paraId="3B5AF803">
            <w:pPr>
              <w:spacing w:line="360" w:lineRule="exact"/>
              <w:rPr>
                <w:color w:val="auto"/>
                <w:szCs w:val="21"/>
                <w:highlight w:val="none"/>
              </w:rPr>
            </w:pPr>
            <w:r>
              <w:rPr>
                <w:color w:val="auto"/>
                <w:szCs w:val="21"/>
                <w:highlight w:val="none"/>
              </w:rPr>
              <w:t>账号：</w:t>
            </w:r>
          </w:p>
        </w:tc>
      </w:tr>
    </w:tbl>
    <w:p w14:paraId="35A09B50">
      <w:pPr>
        <w:spacing w:line="360" w:lineRule="exact"/>
        <w:ind w:firstLine="420" w:firstLineChars="200"/>
        <w:rPr>
          <w:color w:val="auto"/>
          <w:szCs w:val="21"/>
          <w:highlight w:val="none"/>
        </w:rPr>
      </w:pPr>
    </w:p>
    <w:p w14:paraId="6D731A23">
      <w:pPr>
        <w:spacing w:before="120" w:line="320" w:lineRule="atLeast"/>
        <w:jc w:val="left"/>
        <w:outlineLvl w:val="1"/>
        <w:rPr>
          <w:b/>
          <w:bCs/>
          <w:color w:val="auto"/>
          <w:kern w:val="0"/>
          <w:szCs w:val="21"/>
          <w:highlight w:val="none"/>
        </w:rPr>
      </w:pPr>
      <w:r>
        <w:rPr>
          <w:color w:val="auto"/>
          <w:szCs w:val="21"/>
          <w:highlight w:val="none"/>
        </w:rPr>
        <w:br w:type="page"/>
      </w:r>
      <w:bookmarkStart w:id="222" w:name="_Toc5253"/>
      <w:r>
        <w:rPr>
          <w:b/>
          <w:bCs/>
          <w:color w:val="auto"/>
          <w:kern w:val="0"/>
          <w:szCs w:val="21"/>
          <w:highlight w:val="none"/>
        </w:rPr>
        <w:t>合同附件1</w:t>
      </w:r>
      <w:bookmarkEnd w:id="222"/>
    </w:p>
    <w:p w14:paraId="73BE94E4">
      <w:pPr>
        <w:rPr>
          <w:color w:val="auto"/>
          <w:sz w:val="18"/>
          <w:szCs w:val="18"/>
          <w:highlight w:val="none"/>
        </w:rPr>
      </w:pPr>
    </w:p>
    <w:tbl>
      <w:tblPr>
        <w:tblStyle w:val="39"/>
        <w:tblW w:w="9648"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008"/>
        <w:gridCol w:w="8640"/>
      </w:tblGrid>
      <w:tr w14:paraId="6E2EBF1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15" w:hRule="atLeast"/>
        </w:trPr>
        <w:tc>
          <w:tcPr>
            <w:tcW w:w="1008" w:type="dxa"/>
            <w:vMerge w:val="restart"/>
            <w:vAlign w:val="center"/>
          </w:tcPr>
          <w:p w14:paraId="7162E97C">
            <w:pPr>
              <w:jc w:val="center"/>
              <w:rPr>
                <w:color w:val="auto"/>
                <w:szCs w:val="21"/>
                <w:highlight w:val="none"/>
              </w:rPr>
            </w:pPr>
            <w:r>
              <w:rPr>
                <w:color w:val="auto"/>
                <w:szCs w:val="21"/>
                <w:highlight w:val="none"/>
              </w:rPr>
              <w:t>供</w:t>
            </w:r>
          </w:p>
          <w:p w14:paraId="7AA42138">
            <w:pPr>
              <w:jc w:val="center"/>
              <w:rPr>
                <w:color w:val="auto"/>
                <w:szCs w:val="21"/>
                <w:highlight w:val="none"/>
              </w:rPr>
            </w:pPr>
            <w:r>
              <w:rPr>
                <w:color w:val="auto"/>
                <w:szCs w:val="21"/>
                <w:highlight w:val="none"/>
              </w:rPr>
              <w:t>应</w:t>
            </w:r>
          </w:p>
          <w:p w14:paraId="059B6632">
            <w:pPr>
              <w:jc w:val="center"/>
              <w:rPr>
                <w:color w:val="auto"/>
                <w:szCs w:val="21"/>
                <w:highlight w:val="none"/>
              </w:rPr>
            </w:pPr>
            <w:r>
              <w:rPr>
                <w:color w:val="auto"/>
                <w:szCs w:val="21"/>
                <w:highlight w:val="none"/>
              </w:rPr>
              <w:t>商</w:t>
            </w:r>
          </w:p>
          <w:p w14:paraId="35AC4197">
            <w:pPr>
              <w:jc w:val="center"/>
              <w:rPr>
                <w:color w:val="auto"/>
                <w:szCs w:val="21"/>
                <w:highlight w:val="none"/>
              </w:rPr>
            </w:pPr>
            <w:r>
              <w:rPr>
                <w:color w:val="auto"/>
                <w:szCs w:val="21"/>
                <w:highlight w:val="none"/>
              </w:rPr>
              <w:t>申</w:t>
            </w:r>
          </w:p>
          <w:p w14:paraId="2C5D04E4">
            <w:pPr>
              <w:jc w:val="center"/>
              <w:rPr>
                <w:color w:val="auto"/>
                <w:szCs w:val="21"/>
                <w:highlight w:val="none"/>
              </w:rPr>
            </w:pPr>
            <w:r>
              <w:rPr>
                <w:color w:val="auto"/>
                <w:szCs w:val="21"/>
                <w:highlight w:val="none"/>
              </w:rPr>
              <w:t>请</w:t>
            </w:r>
          </w:p>
        </w:tc>
        <w:tc>
          <w:tcPr>
            <w:tcW w:w="8640" w:type="dxa"/>
            <w:vAlign w:val="center"/>
          </w:tcPr>
          <w:p w14:paraId="079159CD">
            <w:pPr>
              <w:rPr>
                <w:color w:val="auto"/>
                <w:szCs w:val="21"/>
                <w:highlight w:val="none"/>
              </w:rPr>
            </w:pPr>
            <w:r>
              <w:rPr>
                <w:color w:val="auto"/>
                <w:szCs w:val="21"/>
                <w:highlight w:val="none"/>
              </w:rPr>
              <w:t>项目编号：</w:t>
            </w:r>
          </w:p>
        </w:tc>
      </w:tr>
      <w:tr w14:paraId="1DACE32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Height w:val="608" w:hRule="atLeast"/>
        </w:trPr>
        <w:tc>
          <w:tcPr>
            <w:tcW w:w="1008" w:type="dxa"/>
            <w:vMerge w:val="continue"/>
            <w:vAlign w:val="center"/>
          </w:tcPr>
          <w:p w14:paraId="12651F2F">
            <w:pPr>
              <w:rPr>
                <w:color w:val="auto"/>
                <w:szCs w:val="21"/>
                <w:highlight w:val="none"/>
              </w:rPr>
            </w:pPr>
          </w:p>
        </w:tc>
        <w:tc>
          <w:tcPr>
            <w:tcW w:w="8640" w:type="dxa"/>
            <w:vAlign w:val="center"/>
          </w:tcPr>
          <w:p w14:paraId="4C6A1B7A">
            <w:pPr>
              <w:rPr>
                <w:color w:val="auto"/>
                <w:szCs w:val="21"/>
                <w:highlight w:val="none"/>
              </w:rPr>
            </w:pPr>
            <w:r>
              <w:rPr>
                <w:color w:val="auto"/>
                <w:szCs w:val="21"/>
                <w:highlight w:val="none"/>
              </w:rPr>
              <w:t>项目名称：</w:t>
            </w:r>
          </w:p>
        </w:tc>
      </w:tr>
      <w:tr w14:paraId="5A8521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cantSplit/>
        </w:trPr>
        <w:tc>
          <w:tcPr>
            <w:tcW w:w="1008" w:type="dxa"/>
            <w:vMerge w:val="continue"/>
          </w:tcPr>
          <w:p w14:paraId="0C92FBC1">
            <w:pPr>
              <w:rPr>
                <w:color w:val="auto"/>
                <w:szCs w:val="21"/>
                <w:highlight w:val="none"/>
              </w:rPr>
            </w:pPr>
          </w:p>
        </w:tc>
        <w:tc>
          <w:tcPr>
            <w:tcW w:w="8640" w:type="dxa"/>
          </w:tcPr>
          <w:p w14:paraId="7DD0D182">
            <w:pPr>
              <w:rPr>
                <w:color w:val="auto"/>
                <w:szCs w:val="21"/>
                <w:highlight w:val="none"/>
              </w:rPr>
            </w:pPr>
            <w:r>
              <w:rPr>
                <w:color w:val="auto"/>
                <w:szCs w:val="21"/>
                <w:highlight w:val="none"/>
              </w:rPr>
              <w:t xml:space="preserve">  </w:t>
            </w:r>
          </w:p>
          <w:p w14:paraId="4F02637C">
            <w:pPr>
              <w:spacing w:line="400" w:lineRule="exact"/>
              <w:ind w:firstLine="420" w:firstLineChars="200"/>
              <w:rPr>
                <w:color w:val="auto"/>
                <w:szCs w:val="21"/>
                <w:highlight w:val="none"/>
              </w:rPr>
            </w:pPr>
            <w:r>
              <w:rPr>
                <w:color w:val="auto"/>
                <w:szCs w:val="21"/>
                <w:highlight w:val="none"/>
              </w:rPr>
              <w:t>该项目已于</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日验收并交付使用。根据合同规定，该项目的履约保证金期限于</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月</w:t>
            </w:r>
            <w:r>
              <w:rPr>
                <w:color w:val="auto"/>
                <w:szCs w:val="21"/>
                <w:highlight w:val="none"/>
                <w:u w:val="single"/>
              </w:rPr>
              <w:t xml:space="preserve">       </w:t>
            </w:r>
            <w:r>
              <w:rPr>
                <w:color w:val="auto"/>
                <w:szCs w:val="21"/>
                <w:highlight w:val="none"/>
              </w:rPr>
              <w:t>日已满，请将履约保证金</w:t>
            </w:r>
          </w:p>
          <w:p w14:paraId="29AF5E3F">
            <w:pPr>
              <w:spacing w:line="400" w:lineRule="exact"/>
              <w:rPr>
                <w:color w:val="auto"/>
                <w:szCs w:val="21"/>
                <w:highlight w:val="none"/>
              </w:rPr>
            </w:pPr>
            <w:r>
              <w:rPr>
                <w:color w:val="auto"/>
                <w:szCs w:val="21"/>
                <w:highlight w:val="none"/>
                <w:u w:val="single"/>
              </w:rPr>
              <w:t xml:space="preserve">                                        </w:t>
            </w:r>
            <w:r>
              <w:rPr>
                <w:color w:val="auto"/>
                <w:szCs w:val="21"/>
                <w:highlight w:val="none"/>
              </w:rPr>
              <w:t>（大写）¥</w:t>
            </w:r>
            <w:r>
              <w:rPr>
                <w:color w:val="auto"/>
                <w:szCs w:val="21"/>
                <w:highlight w:val="none"/>
                <w:u w:val="single"/>
              </w:rPr>
              <w:t xml:space="preserve">          </w:t>
            </w:r>
            <w:r>
              <w:rPr>
                <w:color w:val="auto"/>
                <w:szCs w:val="21"/>
                <w:highlight w:val="none"/>
              </w:rPr>
              <w:t>（小写）退付到达以下账户。</w:t>
            </w:r>
          </w:p>
          <w:p w14:paraId="47BF5454">
            <w:pPr>
              <w:spacing w:line="400" w:lineRule="exact"/>
              <w:ind w:firstLine="705"/>
              <w:rPr>
                <w:color w:val="auto"/>
                <w:szCs w:val="21"/>
                <w:highlight w:val="none"/>
              </w:rPr>
            </w:pPr>
            <w:r>
              <w:rPr>
                <w:color w:val="auto"/>
                <w:szCs w:val="21"/>
                <w:highlight w:val="none"/>
              </w:rPr>
              <w:t>单位名称：</w:t>
            </w:r>
          </w:p>
          <w:p w14:paraId="1212F243">
            <w:pPr>
              <w:spacing w:line="400" w:lineRule="exact"/>
              <w:ind w:firstLine="705"/>
              <w:rPr>
                <w:color w:val="auto"/>
                <w:szCs w:val="21"/>
                <w:highlight w:val="none"/>
              </w:rPr>
            </w:pPr>
            <w:r>
              <w:rPr>
                <w:color w:val="auto"/>
                <w:szCs w:val="21"/>
                <w:highlight w:val="none"/>
              </w:rPr>
              <w:t>开户银行：</w:t>
            </w:r>
          </w:p>
          <w:p w14:paraId="7BE49C59">
            <w:pPr>
              <w:spacing w:line="400" w:lineRule="exact"/>
              <w:ind w:firstLine="705"/>
              <w:rPr>
                <w:color w:val="auto"/>
                <w:szCs w:val="21"/>
                <w:highlight w:val="none"/>
              </w:rPr>
            </w:pPr>
            <w:r>
              <w:rPr>
                <w:color w:val="auto"/>
                <w:szCs w:val="21"/>
                <w:highlight w:val="none"/>
              </w:rPr>
              <w:t>账   号：</w:t>
            </w:r>
          </w:p>
          <w:p w14:paraId="0C4F0263">
            <w:pPr>
              <w:spacing w:line="400" w:lineRule="exact"/>
              <w:rPr>
                <w:color w:val="auto"/>
                <w:szCs w:val="21"/>
                <w:highlight w:val="none"/>
              </w:rPr>
            </w:pPr>
            <w:r>
              <w:rPr>
                <w:color w:val="auto"/>
                <w:szCs w:val="21"/>
                <w:highlight w:val="none"/>
              </w:rPr>
              <w:t>联系人及电话：</w:t>
            </w:r>
          </w:p>
          <w:p w14:paraId="4E1B53C6">
            <w:pPr>
              <w:spacing w:line="400" w:lineRule="exact"/>
              <w:rPr>
                <w:color w:val="auto"/>
                <w:szCs w:val="21"/>
                <w:highlight w:val="none"/>
              </w:rPr>
            </w:pPr>
          </w:p>
          <w:p w14:paraId="0969BB89">
            <w:pPr>
              <w:spacing w:line="520" w:lineRule="exact"/>
              <w:jc w:val="center"/>
              <w:rPr>
                <w:color w:val="auto"/>
                <w:szCs w:val="21"/>
                <w:highlight w:val="none"/>
              </w:rPr>
            </w:pPr>
            <w:r>
              <w:rPr>
                <w:color w:val="auto"/>
                <w:szCs w:val="21"/>
                <w:highlight w:val="none"/>
              </w:rPr>
              <w:t xml:space="preserve">                                     供应商</w:t>
            </w:r>
            <w:r>
              <w:rPr>
                <w:rFonts w:hint="eastAsia"/>
                <w:color w:val="auto"/>
                <w:szCs w:val="21"/>
                <w:highlight w:val="none"/>
              </w:rPr>
              <w:t>公</w:t>
            </w:r>
            <w:r>
              <w:rPr>
                <w:color w:val="auto"/>
                <w:szCs w:val="21"/>
                <w:highlight w:val="none"/>
              </w:rPr>
              <w:t>章：</w:t>
            </w:r>
          </w:p>
          <w:p w14:paraId="384C19C3">
            <w:pPr>
              <w:spacing w:line="520" w:lineRule="exact"/>
              <w:jc w:val="center"/>
              <w:rPr>
                <w:color w:val="auto"/>
                <w:szCs w:val="21"/>
                <w:highlight w:val="none"/>
              </w:rPr>
            </w:pPr>
            <w:r>
              <w:rPr>
                <w:color w:val="auto"/>
                <w:szCs w:val="21"/>
                <w:highlight w:val="none"/>
              </w:rPr>
              <w:t xml:space="preserve">                           年    月     日</w:t>
            </w:r>
          </w:p>
        </w:tc>
      </w:tr>
      <w:tr w14:paraId="451F847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8" w:type="dxa"/>
            <w:vAlign w:val="center"/>
          </w:tcPr>
          <w:p w14:paraId="40503B65">
            <w:pPr>
              <w:jc w:val="center"/>
              <w:rPr>
                <w:color w:val="auto"/>
                <w:szCs w:val="21"/>
                <w:highlight w:val="none"/>
              </w:rPr>
            </w:pPr>
            <w:r>
              <w:rPr>
                <w:color w:val="auto"/>
                <w:szCs w:val="21"/>
                <w:highlight w:val="none"/>
              </w:rPr>
              <w:t>采</w:t>
            </w:r>
          </w:p>
          <w:p w14:paraId="61035A38">
            <w:pPr>
              <w:jc w:val="center"/>
              <w:rPr>
                <w:color w:val="auto"/>
                <w:szCs w:val="21"/>
                <w:highlight w:val="none"/>
              </w:rPr>
            </w:pPr>
            <w:r>
              <w:rPr>
                <w:color w:val="auto"/>
                <w:szCs w:val="21"/>
                <w:highlight w:val="none"/>
              </w:rPr>
              <w:t>购</w:t>
            </w:r>
          </w:p>
          <w:p w14:paraId="58A90FF4">
            <w:pPr>
              <w:jc w:val="center"/>
              <w:rPr>
                <w:color w:val="auto"/>
                <w:szCs w:val="21"/>
                <w:highlight w:val="none"/>
              </w:rPr>
            </w:pPr>
            <w:r>
              <w:rPr>
                <w:color w:val="auto"/>
                <w:szCs w:val="21"/>
                <w:highlight w:val="none"/>
              </w:rPr>
              <w:t>单</w:t>
            </w:r>
          </w:p>
          <w:p w14:paraId="68D5D5E9">
            <w:pPr>
              <w:jc w:val="center"/>
              <w:rPr>
                <w:color w:val="auto"/>
                <w:szCs w:val="21"/>
                <w:highlight w:val="none"/>
              </w:rPr>
            </w:pPr>
            <w:r>
              <w:rPr>
                <w:color w:val="auto"/>
                <w:szCs w:val="21"/>
                <w:highlight w:val="none"/>
              </w:rPr>
              <w:t>位</w:t>
            </w:r>
          </w:p>
          <w:p w14:paraId="6E7C366A">
            <w:pPr>
              <w:jc w:val="center"/>
              <w:rPr>
                <w:color w:val="auto"/>
                <w:szCs w:val="21"/>
                <w:highlight w:val="none"/>
              </w:rPr>
            </w:pPr>
            <w:r>
              <w:rPr>
                <w:color w:val="auto"/>
                <w:szCs w:val="21"/>
                <w:highlight w:val="none"/>
              </w:rPr>
              <w:t>意</w:t>
            </w:r>
          </w:p>
          <w:p w14:paraId="2E407A7E">
            <w:pPr>
              <w:jc w:val="center"/>
              <w:rPr>
                <w:color w:val="auto"/>
                <w:szCs w:val="21"/>
                <w:highlight w:val="none"/>
              </w:rPr>
            </w:pPr>
            <w:r>
              <w:rPr>
                <w:color w:val="auto"/>
                <w:szCs w:val="21"/>
                <w:highlight w:val="none"/>
              </w:rPr>
              <w:t>见</w:t>
            </w:r>
          </w:p>
        </w:tc>
        <w:tc>
          <w:tcPr>
            <w:tcW w:w="8640" w:type="dxa"/>
          </w:tcPr>
          <w:p w14:paraId="7AA80285">
            <w:pPr>
              <w:rPr>
                <w:color w:val="auto"/>
                <w:szCs w:val="21"/>
                <w:highlight w:val="none"/>
              </w:rPr>
            </w:pPr>
          </w:p>
          <w:p w14:paraId="1A75A4DA">
            <w:pPr>
              <w:rPr>
                <w:color w:val="auto"/>
                <w:szCs w:val="21"/>
                <w:highlight w:val="none"/>
              </w:rPr>
            </w:pPr>
            <w:r>
              <w:rPr>
                <w:color w:val="auto"/>
                <w:szCs w:val="21"/>
                <w:highlight w:val="none"/>
              </w:rPr>
              <w:t>退付意见：是否同意退付履约保证金及退付金额：</w:t>
            </w:r>
          </w:p>
          <w:p w14:paraId="2E41EE7A">
            <w:pPr>
              <w:rPr>
                <w:color w:val="auto"/>
                <w:szCs w:val="21"/>
                <w:highlight w:val="none"/>
              </w:rPr>
            </w:pPr>
          </w:p>
          <w:p w14:paraId="32668966">
            <w:pPr>
              <w:rPr>
                <w:color w:val="auto"/>
                <w:szCs w:val="21"/>
                <w:highlight w:val="none"/>
              </w:rPr>
            </w:pPr>
          </w:p>
          <w:p w14:paraId="22B1E80C">
            <w:pPr>
              <w:spacing w:line="520" w:lineRule="exact"/>
              <w:rPr>
                <w:color w:val="auto"/>
                <w:szCs w:val="21"/>
                <w:highlight w:val="none"/>
              </w:rPr>
            </w:pPr>
            <w:r>
              <w:rPr>
                <w:color w:val="auto"/>
                <w:szCs w:val="21"/>
                <w:highlight w:val="none"/>
              </w:rPr>
              <w:t>联系人及电话：                                 采购单位</w:t>
            </w:r>
            <w:r>
              <w:rPr>
                <w:rFonts w:hint="eastAsia"/>
                <w:color w:val="auto"/>
                <w:szCs w:val="21"/>
                <w:highlight w:val="none"/>
              </w:rPr>
              <w:t>公</w:t>
            </w:r>
            <w:r>
              <w:rPr>
                <w:color w:val="auto"/>
                <w:szCs w:val="21"/>
                <w:highlight w:val="none"/>
              </w:rPr>
              <w:t>章</w:t>
            </w:r>
          </w:p>
          <w:p w14:paraId="1E1FCD9B">
            <w:pPr>
              <w:spacing w:line="520" w:lineRule="exact"/>
              <w:jc w:val="center"/>
              <w:rPr>
                <w:color w:val="auto"/>
                <w:szCs w:val="21"/>
                <w:highlight w:val="none"/>
              </w:rPr>
            </w:pPr>
            <w:r>
              <w:rPr>
                <w:color w:val="auto"/>
                <w:szCs w:val="21"/>
                <w:highlight w:val="none"/>
              </w:rPr>
              <w:t xml:space="preserve">                                        年    月     日</w:t>
            </w:r>
          </w:p>
        </w:tc>
      </w:tr>
      <w:tr w14:paraId="6537B3F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c>
          <w:tcPr>
            <w:tcW w:w="1008" w:type="dxa"/>
            <w:vAlign w:val="center"/>
          </w:tcPr>
          <w:p w14:paraId="65294B7A">
            <w:pPr>
              <w:jc w:val="center"/>
              <w:rPr>
                <w:color w:val="auto"/>
                <w:szCs w:val="21"/>
                <w:highlight w:val="none"/>
              </w:rPr>
            </w:pPr>
            <w:r>
              <w:rPr>
                <w:color w:val="auto"/>
                <w:szCs w:val="21"/>
                <w:highlight w:val="none"/>
              </w:rPr>
              <w:t>财</w:t>
            </w:r>
          </w:p>
          <w:p w14:paraId="7C417264">
            <w:pPr>
              <w:jc w:val="center"/>
              <w:rPr>
                <w:color w:val="auto"/>
                <w:szCs w:val="21"/>
                <w:highlight w:val="none"/>
              </w:rPr>
            </w:pPr>
            <w:r>
              <w:rPr>
                <w:color w:val="auto"/>
                <w:szCs w:val="21"/>
                <w:highlight w:val="none"/>
              </w:rPr>
              <w:t>务</w:t>
            </w:r>
          </w:p>
          <w:p w14:paraId="75CE55D2">
            <w:pPr>
              <w:jc w:val="center"/>
              <w:rPr>
                <w:color w:val="auto"/>
                <w:szCs w:val="21"/>
                <w:highlight w:val="none"/>
              </w:rPr>
            </w:pPr>
            <w:r>
              <w:rPr>
                <w:color w:val="auto"/>
                <w:szCs w:val="21"/>
                <w:highlight w:val="none"/>
              </w:rPr>
              <w:t>部</w:t>
            </w:r>
          </w:p>
          <w:p w14:paraId="07BF3DEC">
            <w:pPr>
              <w:jc w:val="center"/>
              <w:rPr>
                <w:color w:val="auto"/>
                <w:szCs w:val="21"/>
                <w:highlight w:val="none"/>
              </w:rPr>
            </w:pPr>
            <w:r>
              <w:rPr>
                <w:color w:val="auto"/>
                <w:szCs w:val="21"/>
                <w:highlight w:val="none"/>
              </w:rPr>
              <w:t>门</w:t>
            </w:r>
          </w:p>
          <w:p w14:paraId="4EB7381D">
            <w:pPr>
              <w:jc w:val="center"/>
              <w:rPr>
                <w:color w:val="auto"/>
                <w:szCs w:val="21"/>
                <w:highlight w:val="none"/>
              </w:rPr>
            </w:pPr>
            <w:r>
              <w:rPr>
                <w:color w:val="auto"/>
                <w:szCs w:val="21"/>
                <w:highlight w:val="none"/>
              </w:rPr>
              <w:t>意</w:t>
            </w:r>
          </w:p>
          <w:p w14:paraId="65F07EE8">
            <w:pPr>
              <w:jc w:val="center"/>
              <w:rPr>
                <w:color w:val="auto"/>
                <w:szCs w:val="21"/>
                <w:highlight w:val="none"/>
              </w:rPr>
            </w:pPr>
            <w:r>
              <w:rPr>
                <w:color w:val="auto"/>
                <w:szCs w:val="21"/>
                <w:highlight w:val="none"/>
              </w:rPr>
              <w:t>见</w:t>
            </w:r>
          </w:p>
        </w:tc>
        <w:tc>
          <w:tcPr>
            <w:tcW w:w="8640" w:type="dxa"/>
          </w:tcPr>
          <w:p w14:paraId="56418A55">
            <w:pPr>
              <w:spacing w:line="640" w:lineRule="exact"/>
              <w:rPr>
                <w:color w:val="auto"/>
                <w:szCs w:val="21"/>
                <w:highlight w:val="none"/>
              </w:rPr>
            </w:pPr>
            <w:r>
              <w:rPr>
                <w:color w:val="auto"/>
                <w:szCs w:val="21"/>
                <w:highlight w:val="none"/>
              </w:rPr>
              <w:t>此表于</w:t>
            </w:r>
            <w:r>
              <w:rPr>
                <w:color w:val="auto"/>
                <w:szCs w:val="21"/>
                <w:highlight w:val="none"/>
                <w:u w:val="single"/>
              </w:rPr>
              <w:t xml:space="preserve">     </w:t>
            </w:r>
            <w:r>
              <w:rPr>
                <w:color w:val="auto"/>
                <w:szCs w:val="21"/>
                <w:highlight w:val="none"/>
              </w:rPr>
              <w:t>年</w:t>
            </w:r>
            <w:r>
              <w:rPr>
                <w:color w:val="auto"/>
                <w:szCs w:val="21"/>
                <w:highlight w:val="none"/>
                <w:u w:val="single"/>
              </w:rPr>
              <w:t xml:space="preserve">    </w:t>
            </w:r>
            <w:r>
              <w:rPr>
                <w:color w:val="auto"/>
                <w:szCs w:val="21"/>
                <w:highlight w:val="none"/>
              </w:rPr>
              <w:t xml:space="preserve"> 月 </w:t>
            </w:r>
            <w:r>
              <w:rPr>
                <w:color w:val="auto"/>
                <w:szCs w:val="21"/>
                <w:highlight w:val="none"/>
                <w:u w:val="single"/>
              </w:rPr>
              <w:t xml:space="preserve">   </w:t>
            </w:r>
            <w:r>
              <w:rPr>
                <w:color w:val="auto"/>
                <w:szCs w:val="21"/>
                <w:highlight w:val="none"/>
              </w:rPr>
              <w:t xml:space="preserve"> 日收到。</w:t>
            </w:r>
          </w:p>
          <w:p w14:paraId="2B64C8FB">
            <w:pPr>
              <w:spacing w:line="640" w:lineRule="exact"/>
              <w:rPr>
                <w:color w:val="auto"/>
                <w:szCs w:val="21"/>
                <w:highlight w:val="none"/>
              </w:rPr>
            </w:pPr>
            <w:r>
              <w:rPr>
                <w:color w:val="auto"/>
                <w:szCs w:val="21"/>
                <w:highlight w:val="none"/>
              </w:rPr>
              <w:t>会计审核：</w:t>
            </w:r>
          </w:p>
          <w:p w14:paraId="547F0073">
            <w:pPr>
              <w:spacing w:line="640" w:lineRule="exact"/>
              <w:rPr>
                <w:color w:val="auto"/>
                <w:szCs w:val="21"/>
                <w:highlight w:val="none"/>
              </w:rPr>
            </w:pPr>
            <w:r>
              <w:rPr>
                <w:color w:val="auto"/>
                <w:szCs w:val="21"/>
                <w:highlight w:val="none"/>
              </w:rPr>
              <w:t>财务负责人审核：</w:t>
            </w:r>
          </w:p>
          <w:p w14:paraId="27412F9E">
            <w:pPr>
              <w:spacing w:line="640" w:lineRule="exact"/>
              <w:rPr>
                <w:color w:val="auto"/>
                <w:szCs w:val="21"/>
                <w:highlight w:val="none"/>
              </w:rPr>
            </w:pPr>
            <w:r>
              <w:rPr>
                <w:color w:val="auto"/>
                <w:szCs w:val="21"/>
                <w:highlight w:val="none"/>
              </w:rPr>
              <w:t>单位负责人签字：</w:t>
            </w:r>
          </w:p>
          <w:p w14:paraId="0ACC9333">
            <w:pPr>
              <w:spacing w:line="640" w:lineRule="exact"/>
              <w:rPr>
                <w:color w:val="auto"/>
                <w:szCs w:val="21"/>
                <w:highlight w:val="none"/>
              </w:rPr>
            </w:pPr>
            <w:r>
              <w:rPr>
                <w:color w:val="auto"/>
                <w:szCs w:val="21"/>
                <w:highlight w:val="none"/>
              </w:rPr>
              <w:t>出纳办理转账日期：</w:t>
            </w:r>
          </w:p>
        </w:tc>
      </w:tr>
    </w:tbl>
    <w:p w14:paraId="2500CE0C">
      <w:pPr>
        <w:pStyle w:val="15"/>
        <w:ind w:left="450" w:leftChars="114" w:hanging="211" w:hangingChars="100"/>
        <w:rPr>
          <w:b/>
          <w:bCs/>
          <w:color w:val="auto"/>
          <w:sz w:val="21"/>
          <w:szCs w:val="21"/>
          <w:highlight w:val="none"/>
        </w:rPr>
      </w:pPr>
      <w:r>
        <w:rPr>
          <w:b/>
          <w:bCs/>
          <w:color w:val="auto"/>
          <w:sz w:val="21"/>
          <w:szCs w:val="21"/>
          <w:highlight w:val="none"/>
        </w:rPr>
        <w:t>注：供应商凭经采购单位审批的退付意见书到相关财务部办理履约保证金退付事宜。</w:t>
      </w:r>
    </w:p>
    <w:p w14:paraId="2AED73BC">
      <w:pPr>
        <w:spacing w:before="120" w:line="320" w:lineRule="atLeast"/>
        <w:jc w:val="left"/>
        <w:outlineLvl w:val="1"/>
        <w:rPr>
          <w:b/>
          <w:bCs/>
          <w:color w:val="auto"/>
          <w:kern w:val="0"/>
          <w:szCs w:val="21"/>
          <w:highlight w:val="none"/>
        </w:rPr>
      </w:pPr>
      <w:r>
        <w:rPr>
          <w:b/>
          <w:color w:val="auto"/>
          <w:sz w:val="32"/>
          <w:szCs w:val="32"/>
          <w:highlight w:val="none"/>
        </w:rPr>
        <w:br w:type="page"/>
      </w:r>
      <w:bookmarkStart w:id="223" w:name="_Toc4475"/>
      <w:r>
        <w:rPr>
          <w:b/>
          <w:bCs/>
          <w:color w:val="auto"/>
          <w:kern w:val="0"/>
          <w:szCs w:val="21"/>
          <w:highlight w:val="none"/>
        </w:rPr>
        <w:t>合同附件2</w:t>
      </w:r>
      <w:bookmarkEnd w:id="223"/>
    </w:p>
    <w:p w14:paraId="727DB0CF">
      <w:pPr>
        <w:spacing w:line="360" w:lineRule="exact"/>
        <w:jc w:val="center"/>
        <w:rPr>
          <w:b/>
          <w:bCs/>
          <w:color w:val="auto"/>
          <w:szCs w:val="21"/>
          <w:highlight w:val="none"/>
        </w:rPr>
      </w:pPr>
      <w:bookmarkStart w:id="224" w:name="_Hlk80978015"/>
    </w:p>
    <w:p w14:paraId="5AF4FA45">
      <w:pPr>
        <w:spacing w:line="360" w:lineRule="exact"/>
        <w:jc w:val="center"/>
        <w:rPr>
          <w:b/>
          <w:bCs/>
          <w:color w:val="auto"/>
          <w:szCs w:val="21"/>
          <w:highlight w:val="none"/>
        </w:rPr>
      </w:pPr>
      <w:bookmarkStart w:id="225" w:name="_Hlk77607667"/>
      <w:r>
        <w:rPr>
          <w:b/>
          <w:bCs/>
          <w:color w:val="auto"/>
          <w:szCs w:val="21"/>
          <w:highlight w:val="none"/>
        </w:rPr>
        <w:t>履约</w:t>
      </w:r>
      <w:r>
        <w:rPr>
          <w:rFonts w:hint="eastAsia"/>
          <w:b/>
          <w:bCs/>
          <w:color w:val="auto"/>
          <w:szCs w:val="21"/>
          <w:highlight w:val="none"/>
        </w:rPr>
        <w:t>验收方案</w:t>
      </w:r>
    </w:p>
    <w:p w14:paraId="033219B0">
      <w:pPr>
        <w:widowControl/>
        <w:jc w:val="left"/>
        <w:rPr>
          <w:color w:val="auto"/>
          <w:szCs w:val="21"/>
          <w:highlight w:val="none"/>
        </w:rPr>
      </w:pPr>
    </w:p>
    <w:p w14:paraId="341028A4">
      <w:pPr>
        <w:pStyle w:val="20"/>
        <w:jc w:val="center"/>
        <w:rPr>
          <w:rFonts w:ascii="Times New Roman" w:hAnsi="Times New Roman" w:cs="Times New Roman"/>
          <w:b/>
          <w:color w:val="auto"/>
          <w:sz w:val="24"/>
          <w:szCs w:val="24"/>
          <w:highlight w:val="none"/>
        </w:rPr>
      </w:pPr>
      <w:bookmarkStart w:id="226" w:name="_Hlk77607077"/>
    </w:p>
    <w:bookmarkEnd w:id="226"/>
    <w:p w14:paraId="6AF3DBCB">
      <w:pPr>
        <w:pStyle w:val="129"/>
        <w:ind w:firstLineChars="0"/>
        <w:rPr>
          <w:rFonts w:ascii="Times New Roman" w:hAnsi="Times New Roman" w:eastAsia="宋体"/>
          <w:color w:val="auto"/>
          <w:kern w:val="2"/>
          <w:sz w:val="21"/>
          <w:szCs w:val="21"/>
          <w:highlight w:val="none"/>
        </w:rPr>
      </w:pPr>
    </w:p>
    <w:p w14:paraId="2843DEC7">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1.履约验收工作参加人员</w:t>
      </w:r>
    </w:p>
    <w:p w14:paraId="4EC63EA6">
      <w:pPr>
        <w:spacing w:before="120" w:line="32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1.1履约验收主体单位</w:t>
      </w:r>
    </w:p>
    <w:p w14:paraId="265E55A6">
      <w:pPr>
        <w:spacing w:before="120" w:line="320" w:lineRule="exact"/>
        <w:ind w:firstLine="420" w:firstLineChars="200"/>
        <w:jc w:val="left"/>
        <w:rPr>
          <w:rFonts w:hint="eastAsia" w:ascii="宋体" w:hAnsi="宋体" w:cs="宋体"/>
          <w:color w:val="auto"/>
          <w:szCs w:val="21"/>
          <w:highlight w:val="none"/>
          <w:u w:val="single"/>
        </w:rPr>
      </w:pPr>
      <w:r>
        <w:rPr>
          <w:rStyle w:val="46"/>
          <w:rFonts w:hint="eastAsia"/>
          <w:color w:val="auto"/>
          <w:highlight w:val="none"/>
          <w:u w:val="single"/>
        </w:rPr>
        <w:t>采购人</w:t>
      </w:r>
      <w:r>
        <w:rPr>
          <w:rStyle w:val="46"/>
          <w:rFonts w:hint="eastAsia"/>
          <w:color w:val="auto"/>
          <w:highlight w:val="none"/>
        </w:rPr>
        <w:t>（如委托第三方机构签订，应注明收费方式）</w:t>
      </w:r>
    </w:p>
    <w:p w14:paraId="0C089800">
      <w:pPr>
        <w:spacing w:before="120" w:line="320" w:lineRule="exact"/>
        <w:jc w:val="left"/>
        <w:rPr>
          <w:rFonts w:hint="eastAsia" w:ascii="宋体" w:hAnsi="宋体" w:cs="宋体"/>
          <w:color w:val="auto"/>
          <w:szCs w:val="21"/>
          <w:highlight w:val="none"/>
        </w:rPr>
      </w:pPr>
      <w:r>
        <w:rPr>
          <w:rFonts w:hint="eastAsia" w:ascii="宋体" w:hAnsi="宋体" w:cs="宋体"/>
          <w:b/>
          <w:bCs/>
          <w:color w:val="auto"/>
          <w:szCs w:val="21"/>
          <w:highlight w:val="none"/>
        </w:rPr>
        <w:t>1.2履约验收参加人员</w:t>
      </w:r>
    </w:p>
    <w:p w14:paraId="40BBF18C">
      <w:pPr>
        <w:spacing w:before="120" w:line="320" w:lineRule="exact"/>
        <w:ind w:firstLine="420" w:firstLineChars="200"/>
        <w:jc w:val="left"/>
        <w:rPr>
          <w:rFonts w:hint="eastAsia" w:ascii="宋体" w:hAnsi="宋体" w:cs="宋体"/>
          <w:color w:val="auto"/>
          <w:szCs w:val="21"/>
          <w:highlight w:val="none"/>
          <w:u w:val="single"/>
        </w:rPr>
      </w:pPr>
      <w:r>
        <w:rPr>
          <w:rFonts w:hint="eastAsia"/>
          <w:color w:val="auto"/>
          <w:highlight w:val="none"/>
        </w:rPr>
        <w:t>采购人代表、委托机构代表、成交供应商代表及采购人邀请的其他人员</w:t>
      </w:r>
    </w:p>
    <w:p w14:paraId="052E4E85">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2.履约验收时间</w:t>
      </w:r>
    </w:p>
    <w:p w14:paraId="5C8702CE">
      <w:pPr>
        <w:spacing w:before="120"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20XX年XX月XX日</w:t>
      </w:r>
    </w:p>
    <w:p w14:paraId="42838568">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3.履约验收地点</w:t>
      </w:r>
    </w:p>
    <w:p w14:paraId="4AA1C830">
      <w:pPr>
        <w:spacing w:before="120" w:line="320" w:lineRule="exact"/>
        <w:jc w:val="left"/>
        <w:rPr>
          <w:rFonts w:hint="eastAsia" w:ascii="宋体" w:hAnsi="宋体" w:cs="宋体"/>
          <w:color w:val="auto"/>
          <w:szCs w:val="21"/>
          <w:highlight w:val="none"/>
        </w:rPr>
      </w:pPr>
      <w:r>
        <w:rPr>
          <w:rFonts w:hint="eastAsia" w:ascii="宋体" w:hAnsi="宋体" w:cs="宋体"/>
          <w:color w:val="auto"/>
          <w:szCs w:val="21"/>
          <w:highlight w:val="none"/>
        </w:rPr>
        <w:t>XX市XX区XX路XX号</w:t>
      </w:r>
    </w:p>
    <w:p w14:paraId="3B89B85F">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4.履约验收方式</w:t>
      </w:r>
    </w:p>
    <w:p w14:paraId="2D72F3AC">
      <w:pPr>
        <w:spacing w:before="120" w:line="320" w:lineRule="exact"/>
        <w:jc w:val="left"/>
        <w:rPr>
          <w:rFonts w:hint="eastAsia" w:ascii="宋体" w:hAnsi="宋体" w:cs="宋体"/>
          <w:b/>
          <w:bCs/>
          <w:color w:val="auto"/>
          <w:szCs w:val="21"/>
          <w:highlight w:val="none"/>
          <w:u w:val="single"/>
        </w:rPr>
      </w:pPr>
      <w:r>
        <w:rPr>
          <w:rFonts w:hint="eastAsia" w:ascii="宋体" w:hAnsi="宋体" w:cs="宋体"/>
          <w:color w:val="auto"/>
          <w:szCs w:val="21"/>
          <w:highlight w:val="none"/>
          <w:u w:val="single"/>
        </w:rPr>
        <w:t>采购人自行验收</w:t>
      </w:r>
    </w:p>
    <w:p w14:paraId="2DFADB30">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5.履约验收程序</w:t>
      </w:r>
    </w:p>
    <w:p w14:paraId="0BB781C7">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5.1成立验收小组</w:t>
      </w:r>
    </w:p>
    <w:p w14:paraId="19FA71C2">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.2</w:t>
      </w:r>
      <w:r>
        <w:rPr>
          <w:rFonts w:hint="eastAsia" w:ascii="宋体" w:hAnsi="宋体" w:cs="宋体"/>
          <w:b/>
          <w:bCs/>
          <w:color w:val="auto"/>
          <w:szCs w:val="21"/>
          <w:highlight w:val="none"/>
        </w:rPr>
        <w:t>量化验收标准</w:t>
      </w:r>
    </w:p>
    <w:p w14:paraId="37EAD760">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3</w:t>
      </w:r>
      <w:r>
        <w:rPr>
          <w:rFonts w:hint="eastAsia" w:ascii="宋体" w:hAnsi="宋体" w:cs="宋体"/>
          <w:b/>
          <w:bCs/>
          <w:color w:val="auto"/>
          <w:szCs w:val="21"/>
          <w:highlight w:val="none"/>
        </w:rPr>
        <w:t>组织验收</w:t>
      </w:r>
    </w:p>
    <w:p w14:paraId="475544AF">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4</w:t>
      </w:r>
      <w:r>
        <w:rPr>
          <w:rFonts w:hint="eastAsia" w:ascii="宋体" w:hAnsi="宋体" w:cs="宋体"/>
          <w:b/>
          <w:bCs/>
          <w:color w:val="auto"/>
          <w:szCs w:val="21"/>
          <w:highlight w:val="none"/>
        </w:rPr>
        <w:t>出具验收报告</w:t>
      </w:r>
    </w:p>
    <w:p w14:paraId="2D38BA01">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5</w:t>
      </w:r>
      <w:r>
        <w:rPr>
          <w:rFonts w:hint="eastAsia" w:ascii="宋体" w:hAnsi="宋体" w:cs="宋体"/>
          <w:b/>
          <w:bCs/>
          <w:color w:val="auto"/>
          <w:szCs w:val="21"/>
          <w:highlight w:val="none"/>
        </w:rPr>
        <w:t>验收结果公告</w:t>
      </w:r>
    </w:p>
    <w:p w14:paraId="74447653">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5.</w:t>
      </w:r>
      <w:r>
        <w:rPr>
          <w:rFonts w:ascii="宋体" w:hAnsi="宋体" w:cs="宋体"/>
          <w:b/>
          <w:bCs/>
          <w:color w:val="auto"/>
          <w:szCs w:val="21"/>
          <w:highlight w:val="none"/>
        </w:rPr>
        <w:t>6</w:t>
      </w:r>
      <w:r>
        <w:rPr>
          <w:rFonts w:hint="eastAsia" w:ascii="宋体" w:hAnsi="宋体" w:cs="宋体"/>
          <w:b/>
          <w:bCs/>
          <w:color w:val="auto"/>
          <w:szCs w:val="21"/>
          <w:highlight w:val="none"/>
        </w:rPr>
        <w:t>验收资料归档</w:t>
      </w:r>
    </w:p>
    <w:p w14:paraId="017C56AD">
      <w:pPr>
        <w:spacing w:before="120" w:line="3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采购合同项目完成验收后，采购人整理好验收原始记录、验收书等资料后妥善保管，不得变造、隐匿或者销毁，验收资料保存期为采购结束之日起至少保存15年。</w:t>
      </w:r>
    </w:p>
    <w:p w14:paraId="1A15DC87">
      <w:pPr>
        <w:spacing w:before="120" w:line="320" w:lineRule="exact"/>
        <w:jc w:val="left"/>
        <w:rPr>
          <w:rFonts w:hint="eastAsia" w:ascii="宋体" w:hAnsi="宋体" w:cs="宋体"/>
          <w:b/>
          <w:bCs/>
          <w:iCs/>
          <w:color w:val="auto"/>
          <w:szCs w:val="21"/>
          <w:highlight w:val="none"/>
        </w:rPr>
      </w:pPr>
      <w:r>
        <w:rPr>
          <w:rFonts w:hint="eastAsia" w:ascii="宋体" w:hAnsi="宋体" w:cs="宋体"/>
          <w:b/>
          <w:bCs/>
          <w:color w:val="auto"/>
          <w:szCs w:val="21"/>
          <w:highlight w:val="none"/>
        </w:rPr>
        <w:t>6.履约验收内容</w:t>
      </w:r>
    </w:p>
    <w:p w14:paraId="53B9EAEE">
      <w:pPr>
        <w:spacing w:before="120" w:line="320" w:lineRule="exact"/>
        <w:jc w:val="left"/>
        <w:rPr>
          <w:rFonts w:hint="eastAsia" w:ascii="宋体" w:hAnsi="宋体" w:cs="宋体"/>
          <w:iCs/>
          <w:color w:val="auto"/>
          <w:szCs w:val="21"/>
          <w:highlight w:val="none"/>
        </w:rPr>
      </w:pPr>
      <w:r>
        <w:rPr>
          <w:rFonts w:hint="eastAsia" w:ascii="宋体" w:hAnsi="宋体" w:cs="宋体"/>
          <w:b/>
          <w:bCs/>
          <w:color w:val="auto"/>
          <w:szCs w:val="21"/>
          <w:highlight w:val="none"/>
        </w:rPr>
        <w:t>6.1商务验收内容</w:t>
      </w:r>
    </w:p>
    <w:p w14:paraId="1E76812B">
      <w:pPr>
        <w:spacing w:before="120" w:line="320" w:lineRule="exact"/>
        <w:ind w:firstLine="420" w:firstLineChars="200"/>
        <w:jc w:val="left"/>
        <w:rPr>
          <w:rFonts w:hint="eastAsia" w:ascii="宋体" w:hAnsi="宋体" w:eastAsia="Microsoft YaHei UI" w:cs="宋体"/>
          <w:color w:val="auto"/>
          <w:szCs w:val="21"/>
          <w:highlight w:val="none"/>
          <w:u w:val="single"/>
        </w:rPr>
      </w:pPr>
      <w:r>
        <w:rPr>
          <w:rFonts w:hint="eastAsia" w:ascii="宋体" w:hAnsi="宋体" w:cs="宋体"/>
          <w:color w:val="auto"/>
          <w:szCs w:val="21"/>
          <w:highlight w:val="none"/>
        </w:rPr>
        <w:t>对采购标的交付的情况、财务和服务要求，包括交付（实施）的时间（期限）和地点（范围），付款条件（进度和方式），包装和运输，售后服务，保险等进行验收。</w:t>
      </w:r>
    </w:p>
    <w:p w14:paraId="4346228A">
      <w:pPr>
        <w:spacing w:before="120" w:line="320" w:lineRule="exact"/>
        <w:jc w:val="left"/>
        <w:rPr>
          <w:rFonts w:hint="eastAsia" w:ascii="宋体" w:hAnsi="宋体" w:cs="宋体"/>
          <w:iCs/>
          <w:color w:val="auto"/>
          <w:szCs w:val="21"/>
          <w:highlight w:val="none"/>
        </w:rPr>
      </w:pPr>
      <w:r>
        <w:rPr>
          <w:rFonts w:hint="eastAsia" w:ascii="宋体" w:hAnsi="宋体" w:cs="宋体"/>
          <w:b/>
          <w:bCs/>
          <w:color w:val="auto"/>
          <w:szCs w:val="21"/>
          <w:highlight w:val="none"/>
        </w:rPr>
        <w:t>6.2技术验收内容</w:t>
      </w:r>
    </w:p>
    <w:p w14:paraId="74A7F2C1">
      <w:pPr>
        <w:spacing w:before="120" w:line="320" w:lineRule="exact"/>
        <w:ind w:firstLine="420" w:firstLineChars="200"/>
        <w:jc w:val="left"/>
        <w:rPr>
          <w:rFonts w:hint="eastAsia" w:ascii="宋体" w:hAnsi="宋体" w:cs="宋体"/>
          <w:color w:val="auto"/>
          <w:szCs w:val="21"/>
          <w:highlight w:val="none"/>
          <w:u w:val="single"/>
        </w:rPr>
      </w:pPr>
      <w:r>
        <w:rPr>
          <w:rFonts w:hint="eastAsia" w:ascii="宋体" w:hAnsi="宋体" w:cs="宋体"/>
          <w:color w:val="auto"/>
          <w:szCs w:val="21"/>
          <w:highlight w:val="none"/>
        </w:rPr>
        <w:t>对采购标的的功能和质量要求，包括性能、材料、结构、外观、安全，或者服务内容和标准等进行验收。</w:t>
      </w:r>
    </w:p>
    <w:p w14:paraId="6A18C228">
      <w:pPr>
        <w:spacing w:before="120" w:line="320" w:lineRule="exact"/>
        <w:jc w:val="left"/>
        <w:rPr>
          <w:rFonts w:hint="eastAsia" w:ascii="宋体" w:hAnsi="宋体" w:cs="宋体"/>
          <w:b/>
          <w:bCs/>
          <w:color w:val="auto"/>
          <w:szCs w:val="21"/>
          <w:highlight w:val="none"/>
        </w:rPr>
      </w:pPr>
      <w:r>
        <w:rPr>
          <w:rFonts w:hint="eastAsia" w:ascii="宋体" w:hAnsi="宋体" w:cs="宋体"/>
          <w:b/>
          <w:bCs/>
          <w:color w:val="auto"/>
          <w:szCs w:val="21"/>
          <w:highlight w:val="none"/>
        </w:rPr>
        <w:t>7.履约验收标准</w:t>
      </w:r>
    </w:p>
    <w:p w14:paraId="52DD7609">
      <w:pPr>
        <w:pStyle w:val="129"/>
        <w:spacing w:before="120" w:line="320" w:lineRule="exact"/>
        <w:ind w:firstLine="420"/>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验收标准：</w:t>
      </w:r>
    </w:p>
    <w:p w14:paraId="15061AA1">
      <w:pPr>
        <w:pStyle w:val="129"/>
        <w:spacing w:before="120" w:line="320" w:lineRule="exact"/>
        <w:ind w:firstLine="420"/>
        <w:rPr>
          <w:rFonts w:hint="eastAsia" w:ascii="宋体" w:hAnsi="宋体" w:eastAsia="宋体" w:cs="宋体"/>
          <w:color w:val="auto"/>
          <w:kern w:val="2"/>
          <w:sz w:val="21"/>
          <w:szCs w:val="21"/>
          <w:highlight w:val="none"/>
        </w:rPr>
      </w:pPr>
      <w:r>
        <w:rPr>
          <w:rFonts w:hint="eastAsia" w:ascii="宋体" w:hAnsi="宋体" w:eastAsia="宋体" w:cs="宋体"/>
          <w:color w:val="auto"/>
          <w:kern w:val="2"/>
          <w:sz w:val="21"/>
          <w:szCs w:val="21"/>
          <w:highlight w:val="none"/>
        </w:rPr>
        <w:t>（1）中标（成交）供应商应提供完备的技术或服务资料、装箱单和合格证等，并派遣专业人员进行现场安装调试。验收合格条件如下：</w:t>
      </w:r>
    </w:p>
    <w:p w14:paraId="2638406C">
      <w:pPr>
        <w:spacing w:before="120" w:line="320" w:lineRule="exact"/>
        <w:rPr>
          <w:rFonts w:hint="eastAsia" w:ascii="宋体" w:hAnsi="宋体" w:cs="宋体"/>
          <w:color w:val="auto"/>
          <w:szCs w:val="21"/>
          <w:highlight w:val="none"/>
        </w:rPr>
      </w:pPr>
      <w:r>
        <w:rPr>
          <w:rFonts w:hint="eastAsia" w:ascii="宋体" w:hAnsi="宋体" w:cs="宋体"/>
          <w:color w:val="auto"/>
          <w:szCs w:val="21"/>
          <w:highlight w:val="none"/>
        </w:rPr>
        <w:t>服务技术参数与响应文件中响应表或证明材料一致，性能或指标达到规定的标准。否则，以实际服务技术参数与响应文件响应表参数或证明材料比较，按如下情况处理：</w:t>
      </w:r>
    </w:p>
    <w:p w14:paraId="570C2FF9">
      <w:pPr>
        <w:spacing w:before="120" w:line="320" w:lineRule="exact"/>
        <w:rPr>
          <w:rFonts w:hint="eastAsia" w:ascii="宋体" w:hAnsi="宋体" w:cs="宋体"/>
          <w:color w:val="auto"/>
          <w:szCs w:val="21"/>
          <w:highlight w:val="none"/>
        </w:rPr>
      </w:pPr>
      <w:r>
        <w:rPr>
          <w:rFonts w:hint="eastAsia" w:ascii="宋体" w:hAnsi="宋体" w:cs="宋体"/>
          <w:color w:val="auto"/>
          <w:szCs w:val="21"/>
          <w:highlight w:val="none"/>
        </w:rPr>
        <w:t>①供应商响应文件响应表或证明材料中满足或优于的技术参数，在验收时实际不满足技术参数要求的，视为供应商违约，采购人有权终止合同拒收服务成果，并追究供应商责任，同时报财政部门备案。</w:t>
      </w:r>
    </w:p>
    <w:p w14:paraId="09993AE7">
      <w:pPr>
        <w:spacing w:before="120" w:line="320" w:lineRule="exact"/>
        <w:rPr>
          <w:rFonts w:hint="eastAsia" w:ascii="宋体" w:hAnsi="宋体" w:cs="宋体"/>
          <w:color w:val="auto"/>
          <w:szCs w:val="21"/>
          <w:highlight w:val="none"/>
        </w:rPr>
      </w:pPr>
      <w:r>
        <w:rPr>
          <w:rFonts w:hint="eastAsia" w:ascii="宋体" w:hAnsi="宋体" w:cs="宋体"/>
          <w:color w:val="auto"/>
          <w:szCs w:val="21"/>
          <w:highlight w:val="none"/>
        </w:rPr>
        <w:t>②供应商响应文件响应表或证明材料中优于的技术参数，在验收时实际仅满足并未优于技术参数要求的，视为供应商违约，采购人有权终止合同拒收服务成果，并追究供应商责任，同时报财政部门备案。</w:t>
      </w:r>
    </w:p>
    <w:p w14:paraId="5675626B">
      <w:pPr>
        <w:spacing w:before="120" w:line="320" w:lineRule="exact"/>
        <w:rPr>
          <w:rFonts w:hint="eastAsia" w:ascii="宋体" w:hAnsi="宋体" w:cs="宋体"/>
          <w:color w:val="auto"/>
          <w:szCs w:val="21"/>
          <w:highlight w:val="none"/>
        </w:rPr>
      </w:pPr>
      <w:r>
        <w:rPr>
          <w:rFonts w:hint="eastAsia" w:ascii="宋体" w:hAnsi="宋体" w:cs="宋体"/>
          <w:color w:val="auto"/>
          <w:szCs w:val="21"/>
          <w:highlight w:val="none"/>
        </w:rPr>
        <w:t xml:space="preserve">③供应商响应文件响应表或证明材料中不满足的技术参数，在验收时实际满足技术参数的要求，以满足技术参数的要求验收。 </w:t>
      </w:r>
    </w:p>
    <w:p w14:paraId="704D8D0B">
      <w:pPr>
        <w:spacing w:before="120" w:line="320" w:lineRule="exact"/>
        <w:rPr>
          <w:rFonts w:hint="eastAsia" w:ascii="宋体" w:hAnsi="宋体" w:cs="宋体"/>
          <w:color w:val="auto"/>
          <w:szCs w:val="21"/>
          <w:highlight w:val="none"/>
        </w:rPr>
      </w:pPr>
      <w:r>
        <w:rPr>
          <w:rFonts w:hint="eastAsia" w:ascii="宋体" w:hAnsi="宋体" w:cs="宋体"/>
          <w:color w:val="auto"/>
          <w:szCs w:val="21"/>
          <w:highlight w:val="none"/>
        </w:rPr>
        <w:t>④供应商响应文件响应表或证明材料中满足的技术参数，在验收时实际优于技术参数的要求，以满足技术参数的要求验收。</w:t>
      </w:r>
    </w:p>
    <w:p w14:paraId="6A28C798">
      <w:pPr>
        <w:spacing w:before="120" w:line="320" w:lineRule="exact"/>
        <w:rPr>
          <w:rFonts w:hint="eastAsia" w:ascii="宋体" w:hAnsi="宋体" w:cs="宋体"/>
          <w:color w:val="auto"/>
          <w:szCs w:val="21"/>
          <w:highlight w:val="none"/>
        </w:rPr>
      </w:pPr>
      <w:r>
        <w:rPr>
          <w:rFonts w:hint="eastAsia" w:ascii="宋体" w:hAnsi="宋体" w:cs="宋体"/>
          <w:color w:val="auto"/>
          <w:szCs w:val="21"/>
          <w:highlight w:val="none"/>
        </w:rPr>
        <w:t>⑤供应商响应文件响应表或证明材料中优于的技术参数，在验收时实际也优于技术参数的要求，但没有达到响应表或证明材料中优于的程度，由采购人与供应商协商按是否满足要求验收。</w:t>
      </w:r>
    </w:p>
    <w:p w14:paraId="397E01F0">
      <w:pPr>
        <w:spacing w:before="120" w:line="3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（1）在测试或试运行期间所出现的问题得到解决，并运行或工作正常。</w:t>
      </w:r>
    </w:p>
    <w:p w14:paraId="321D275C">
      <w:pPr>
        <w:spacing w:before="120" w:line="3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（2）在规定时间内完成交付及验收，并经采购人确认。</w:t>
      </w:r>
    </w:p>
    <w:p w14:paraId="237BBFBA">
      <w:pPr>
        <w:spacing w:before="120" w:line="3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（3）服务在安装调试并试运行符合要求后，才作为最终验收。</w:t>
      </w:r>
    </w:p>
    <w:p w14:paraId="5D770B19">
      <w:pPr>
        <w:spacing w:before="120" w:line="3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（4）成交供应商提供的服务未达到招标文件规定要求，且对采购人造成损失的，由成交供应商承担一切责任，并赔偿所造成的损失。</w:t>
      </w:r>
    </w:p>
    <w:p w14:paraId="3AF1B7B1">
      <w:pPr>
        <w:spacing w:before="120" w:line="3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（5）政府采购合同约定的其他要求及投标文件响应的其他标准。</w:t>
      </w:r>
    </w:p>
    <w:p w14:paraId="6620D392">
      <w:pPr>
        <w:spacing w:before="120" w:line="320" w:lineRule="exact"/>
        <w:ind w:firstLine="422" w:firstLineChars="200"/>
        <w:jc w:val="left"/>
        <w:rPr>
          <w:rFonts w:hint="eastAsia" w:ascii="宋体" w:hAnsi="宋体" w:cs="宋体"/>
          <w:b/>
          <w:bCs/>
          <w:color w:val="auto"/>
          <w:szCs w:val="21"/>
          <w:highlight w:val="none"/>
        </w:rPr>
      </w:pPr>
      <w:r>
        <w:rPr>
          <w:rFonts w:hint="eastAsia" w:ascii="宋体" w:hAnsi="宋体" w:cs="宋体"/>
          <w:b/>
          <w:bCs/>
          <w:color w:val="auto"/>
          <w:szCs w:val="21"/>
          <w:highlight w:val="none"/>
        </w:rPr>
        <w:t>8.履约验收其他事项</w:t>
      </w:r>
    </w:p>
    <w:p w14:paraId="146172D1">
      <w:pPr>
        <w:spacing w:before="120" w:line="32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无</w:t>
      </w:r>
    </w:p>
    <w:p w14:paraId="797E692E">
      <w:pPr>
        <w:spacing w:before="120" w:line="320" w:lineRule="exact"/>
        <w:rPr>
          <w:rFonts w:hint="eastAsia" w:ascii="仿宋" w:hAnsi="仿宋" w:eastAsia="仿宋"/>
          <w:color w:val="auto"/>
          <w:szCs w:val="21"/>
          <w:highlight w:val="none"/>
          <w:u w:val="single"/>
        </w:rPr>
      </w:pPr>
      <w:r>
        <w:rPr>
          <w:rFonts w:hint="eastAsia" w:ascii="仿宋" w:hAnsi="仿宋" w:eastAsia="仿宋"/>
          <w:color w:val="auto"/>
          <w:szCs w:val="21"/>
          <w:highlight w:val="none"/>
          <w:u w:val="single"/>
        </w:rPr>
        <w:br w:type="page"/>
      </w:r>
    </w:p>
    <w:bookmarkEnd w:id="224"/>
    <w:bookmarkEnd w:id="225"/>
    <w:p w14:paraId="0195FED4">
      <w:pPr>
        <w:spacing w:line="360" w:lineRule="exact"/>
        <w:jc w:val="center"/>
        <w:rPr>
          <w:b/>
          <w:bCs/>
          <w:color w:val="auto"/>
          <w:szCs w:val="21"/>
          <w:highlight w:val="none"/>
        </w:rPr>
      </w:pPr>
      <w:r>
        <w:rPr>
          <w:b/>
          <w:bCs/>
          <w:color w:val="auto"/>
          <w:szCs w:val="21"/>
          <w:highlight w:val="none"/>
        </w:rPr>
        <w:t>广西壮族自治区政府采购项目合同验收书</w:t>
      </w:r>
    </w:p>
    <w:p w14:paraId="725DBAE4">
      <w:pPr>
        <w:widowControl/>
        <w:spacing w:before="100" w:beforeAutospacing="1" w:after="100" w:afterAutospacing="1" w:line="320" w:lineRule="exact"/>
        <w:ind w:left="-359" w:leftChars="-171" w:firstLine="420" w:firstLineChars="200"/>
        <w:jc w:val="left"/>
        <w:rPr>
          <w:color w:val="auto"/>
          <w:kern w:val="0"/>
          <w:szCs w:val="21"/>
          <w:highlight w:val="none"/>
        </w:rPr>
      </w:pPr>
      <w:r>
        <w:rPr>
          <w:color w:val="auto"/>
          <w:kern w:val="0"/>
          <w:szCs w:val="21"/>
          <w:highlight w:val="none"/>
        </w:rPr>
        <w:t>根据政府采购项目（</w:t>
      </w:r>
      <w:r>
        <w:rPr>
          <w:color w:val="auto"/>
          <w:kern w:val="0"/>
          <w:szCs w:val="21"/>
          <w:highlight w:val="none"/>
          <w:u w:val="single"/>
        </w:rPr>
        <w:t>采购合同编号：</w:t>
      </w:r>
      <w:r>
        <w:rPr>
          <w:rFonts w:cs="Arial"/>
          <w:color w:val="auto"/>
          <w:szCs w:val="21"/>
          <w:highlight w:val="none"/>
          <w:u w:val="single"/>
        </w:rPr>
        <w:t>GXZC20XX-XX-XXXXX-JDZB</w:t>
      </w:r>
      <w:r>
        <w:rPr>
          <w:color w:val="auto"/>
          <w:kern w:val="0"/>
          <w:szCs w:val="21"/>
          <w:highlight w:val="none"/>
        </w:rPr>
        <w:t>）的约定，我单位对（</w:t>
      </w:r>
      <w:r>
        <w:rPr>
          <w:rFonts w:hint="eastAsia" w:cs="Arial"/>
          <w:color w:val="auto"/>
          <w:szCs w:val="21"/>
          <w:highlight w:val="none"/>
          <w:u w:val="single"/>
        </w:rPr>
        <w:t>XXXX采购项目</w:t>
      </w:r>
      <w:r>
        <w:rPr>
          <w:color w:val="auto"/>
          <w:kern w:val="0"/>
          <w:szCs w:val="21"/>
          <w:highlight w:val="none"/>
        </w:rPr>
        <w:t>）政府采购项目中标（或成交）供应商</w:t>
      </w:r>
      <w:r>
        <w:rPr>
          <w:rFonts w:hint="eastAsia"/>
          <w:color w:val="auto"/>
          <w:kern w:val="0"/>
          <w:szCs w:val="21"/>
          <w:highlight w:val="none"/>
          <w:u w:val="single"/>
        </w:rPr>
        <w:t>XX公司（填写供应商名称）</w:t>
      </w:r>
      <w:r>
        <w:rPr>
          <w:color w:val="auto"/>
          <w:kern w:val="0"/>
          <w:szCs w:val="21"/>
          <w:highlight w:val="none"/>
        </w:rPr>
        <w:t>提供的</w:t>
      </w:r>
      <w:r>
        <w:rPr>
          <w:rFonts w:hint="eastAsia"/>
          <w:color w:val="auto"/>
          <w:kern w:val="0"/>
          <w:szCs w:val="21"/>
          <w:highlight w:val="none"/>
        </w:rPr>
        <w:t>服务（或工程、货物）</w:t>
      </w:r>
      <w:r>
        <w:rPr>
          <w:color w:val="auto"/>
          <w:kern w:val="0"/>
          <w:szCs w:val="21"/>
          <w:highlight w:val="none"/>
        </w:rPr>
        <w:t>进行了验收，验收情况如下：</w:t>
      </w:r>
    </w:p>
    <w:tbl>
      <w:tblPr>
        <w:tblStyle w:val="39"/>
        <w:tblW w:w="9627" w:type="dxa"/>
        <w:jc w:val="center"/>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Layout w:type="fixed"/>
        <w:tblCellMar>
          <w:top w:w="0" w:type="dxa"/>
          <w:left w:w="0" w:type="dxa"/>
          <w:bottom w:w="0" w:type="dxa"/>
          <w:right w:w="0" w:type="dxa"/>
        </w:tblCellMar>
      </w:tblPr>
      <w:tblGrid>
        <w:gridCol w:w="661"/>
        <w:gridCol w:w="866"/>
        <w:gridCol w:w="977"/>
        <w:gridCol w:w="2263"/>
        <w:gridCol w:w="1608"/>
        <w:gridCol w:w="850"/>
        <w:gridCol w:w="242"/>
        <w:gridCol w:w="2160"/>
      </w:tblGrid>
      <w:tr w14:paraId="1C1A066A">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361" w:hRule="atLeast"/>
          <w:jc w:val="center"/>
        </w:trPr>
        <w:tc>
          <w:tcPr>
            <w:tcW w:w="2504" w:type="dxa"/>
            <w:gridSpan w:val="3"/>
            <w:tcBorders>
              <w:top w:val="single" w:color="000000" w:sz="8" w:space="0"/>
              <w:left w:val="single" w:color="000000" w:sz="8" w:space="0"/>
              <w:bottom w:val="single" w:color="000000" w:sz="8" w:space="0"/>
              <w:right w:val="single" w:color="000000" w:sz="8" w:space="0"/>
            </w:tcBorders>
            <w:vAlign w:val="center"/>
          </w:tcPr>
          <w:p w14:paraId="10D7BFA8">
            <w:pPr>
              <w:widowControl/>
              <w:spacing w:before="100" w:beforeAutospacing="1" w:after="100" w:afterAutospacing="1" w:line="320" w:lineRule="exact"/>
              <w:ind w:left="-3" w:firstLine="4" w:firstLineChars="2"/>
              <w:jc w:val="center"/>
              <w:rPr>
                <w:color w:val="auto"/>
                <w:kern w:val="0"/>
                <w:szCs w:val="21"/>
                <w:highlight w:val="none"/>
              </w:rPr>
            </w:pPr>
            <w:r>
              <w:rPr>
                <w:color w:val="auto"/>
                <w:kern w:val="0"/>
                <w:szCs w:val="21"/>
                <w:highlight w:val="none"/>
              </w:rPr>
              <w:t>验收方式：</w:t>
            </w:r>
          </w:p>
        </w:tc>
        <w:tc>
          <w:tcPr>
            <w:tcW w:w="7123" w:type="dxa"/>
            <w:gridSpan w:val="5"/>
            <w:tcBorders>
              <w:top w:val="single" w:color="000000" w:sz="8" w:space="0"/>
              <w:left w:val="single" w:color="000000" w:sz="8" w:space="0"/>
              <w:bottom w:val="single" w:color="000000" w:sz="8" w:space="0"/>
              <w:right w:val="single" w:color="000000" w:sz="8" w:space="0"/>
            </w:tcBorders>
            <w:vAlign w:val="center"/>
          </w:tcPr>
          <w:p w14:paraId="3FE05497">
            <w:pPr>
              <w:widowControl/>
              <w:spacing w:before="100" w:beforeAutospacing="1" w:after="100" w:afterAutospacing="1" w:line="320" w:lineRule="exact"/>
              <w:ind w:left="-3" w:firstLine="420" w:firstLineChars="200"/>
              <w:jc w:val="center"/>
              <w:rPr>
                <w:color w:val="auto"/>
                <w:kern w:val="0"/>
                <w:szCs w:val="21"/>
                <w:highlight w:val="none"/>
              </w:rPr>
            </w:pPr>
            <w:r>
              <w:rPr>
                <w:rFonts w:hint="eastAsia" w:cs="Arial"/>
                <w:color w:val="auto"/>
                <w:szCs w:val="21"/>
                <w:highlight w:val="none"/>
              </w:rPr>
              <w:t>□</w:t>
            </w:r>
            <w:r>
              <w:rPr>
                <w:color w:val="auto"/>
                <w:kern w:val="0"/>
                <w:szCs w:val="21"/>
                <w:highlight w:val="none"/>
              </w:rPr>
              <w:t>自行验收        委托验收</w:t>
            </w:r>
          </w:p>
        </w:tc>
      </w:tr>
      <w:tr w14:paraId="2767416E">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24" w:hRule="atLeast"/>
          <w:jc w:val="center"/>
        </w:trPr>
        <w:tc>
          <w:tcPr>
            <w:tcW w:w="661" w:type="dxa"/>
            <w:tcBorders>
              <w:top w:val="single" w:color="000000" w:sz="8" w:space="0"/>
              <w:left w:val="single" w:color="000000" w:sz="8" w:space="0"/>
              <w:bottom w:val="single" w:color="000000" w:sz="8" w:space="0"/>
              <w:right w:val="single" w:color="000000" w:sz="8" w:space="0"/>
            </w:tcBorders>
            <w:vAlign w:val="center"/>
          </w:tcPr>
          <w:p w14:paraId="2D74D704">
            <w:pPr>
              <w:widowControl/>
              <w:spacing w:before="100" w:beforeAutospacing="1" w:after="100" w:afterAutospacing="1" w:line="320" w:lineRule="exact"/>
              <w:ind w:firstLine="2" w:firstLineChars="1"/>
              <w:jc w:val="center"/>
              <w:rPr>
                <w:color w:val="auto"/>
                <w:kern w:val="0"/>
                <w:szCs w:val="21"/>
                <w:highlight w:val="none"/>
              </w:rPr>
            </w:pPr>
            <w:r>
              <w:rPr>
                <w:color w:val="auto"/>
                <w:kern w:val="0"/>
                <w:szCs w:val="21"/>
                <w:highlight w:val="none"/>
              </w:rPr>
              <w:t>序号</w:t>
            </w:r>
          </w:p>
        </w:tc>
        <w:tc>
          <w:tcPr>
            <w:tcW w:w="1843" w:type="dxa"/>
            <w:gridSpan w:val="2"/>
            <w:tcBorders>
              <w:top w:val="single" w:color="000000" w:sz="8" w:space="0"/>
              <w:left w:val="single" w:color="000000" w:sz="8" w:space="0"/>
              <w:bottom w:val="single" w:color="000000" w:sz="8" w:space="0"/>
              <w:right w:val="single" w:color="000000" w:sz="8" w:space="0"/>
            </w:tcBorders>
            <w:vAlign w:val="center"/>
          </w:tcPr>
          <w:p w14:paraId="76698B5E">
            <w:pPr>
              <w:widowControl/>
              <w:spacing w:before="100" w:beforeAutospacing="1" w:after="100" w:afterAutospacing="1" w:line="320" w:lineRule="exact"/>
              <w:ind w:left="-3" w:firstLine="2" w:firstLineChars="1"/>
              <w:jc w:val="center"/>
              <w:rPr>
                <w:color w:val="auto"/>
                <w:kern w:val="0"/>
                <w:szCs w:val="21"/>
                <w:highlight w:val="none"/>
              </w:rPr>
            </w:pPr>
            <w:r>
              <w:rPr>
                <w:color w:val="auto"/>
                <w:kern w:val="0"/>
                <w:szCs w:val="21"/>
                <w:highlight w:val="none"/>
              </w:rPr>
              <w:t>名  称</w:t>
            </w:r>
          </w:p>
        </w:tc>
        <w:tc>
          <w:tcPr>
            <w:tcW w:w="3871" w:type="dxa"/>
            <w:gridSpan w:val="2"/>
            <w:tcBorders>
              <w:top w:val="single" w:color="000000" w:sz="8" w:space="0"/>
              <w:left w:val="single" w:color="000000" w:sz="8" w:space="0"/>
              <w:bottom w:val="single" w:color="000000" w:sz="8" w:space="0"/>
              <w:right w:val="single" w:color="000000" w:sz="8" w:space="0"/>
            </w:tcBorders>
            <w:vAlign w:val="center"/>
          </w:tcPr>
          <w:p w14:paraId="4A1489F6">
            <w:pPr>
              <w:widowControl/>
              <w:spacing w:before="100" w:beforeAutospacing="1" w:after="100" w:afterAutospacing="1" w:line="320" w:lineRule="exact"/>
              <w:ind w:left="-3" w:firstLine="2" w:firstLineChars="1"/>
              <w:jc w:val="center"/>
              <w:rPr>
                <w:color w:val="auto"/>
                <w:kern w:val="0"/>
                <w:szCs w:val="21"/>
                <w:highlight w:val="none"/>
              </w:rPr>
            </w:pPr>
            <w:r>
              <w:rPr>
                <w:color w:val="auto"/>
                <w:kern w:val="0"/>
                <w:szCs w:val="21"/>
                <w:highlight w:val="none"/>
              </w:rPr>
              <w:t>服务内容、标准等</w:t>
            </w:r>
          </w:p>
        </w:tc>
        <w:tc>
          <w:tcPr>
            <w:tcW w:w="850" w:type="dxa"/>
            <w:tcBorders>
              <w:top w:val="single" w:color="000000" w:sz="8" w:space="0"/>
              <w:left w:val="single" w:color="000000" w:sz="8" w:space="0"/>
              <w:bottom w:val="single" w:color="000000" w:sz="8" w:space="0"/>
              <w:right w:val="single" w:color="000000" w:sz="8" w:space="0"/>
            </w:tcBorders>
            <w:vAlign w:val="center"/>
          </w:tcPr>
          <w:p w14:paraId="10FD831A">
            <w:pPr>
              <w:widowControl/>
              <w:spacing w:before="100" w:beforeAutospacing="1" w:after="100" w:afterAutospacing="1" w:line="320" w:lineRule="exact"/>
              <w:jc w:val="center"/>
              <w:rPr>
                <w:color w:val="auto"/>
                <w:kern w:val="0"/>
                <w:szCs w:val="21"/>
                <w:highlight w:val="none"/>
              </w:rPr>
            </w:pPr>
            <w:r>
              <w:rPr>
                <w:color w:val="auto"/>
                <w:kern w:val="0"/>
                <w:szCs w:val="21"/>
                <w:highlight w:val="none"/>
              </w:rPr>
              <w:t>数量</w:t>
            </w:r>
          </w:p>
        </w:tc>
        <w:tc>
          <w:tcPr>
            <w:tcW w:w="2402" w:type="dxa"/>
            <w:gridSpan w:val="2"/>
            <w:tcBorders>
              <w:top w:val="single" w:color="000000" w:sz="8" w:space="0"/>
              <w:left w:val="single" w:color="000000" w:sz="8" w:space="0"/>
              <w:bottom w:val="single" w:color="000000" w:sz="8" w:space="0"/>
              <w:right w:val="single" w:color="000000" w:sz="8" w:space="0"/>
            </w:tcBorders>
            <w:vAlign w:val="center"/>
          </w:tcPr>
          <w:p w14:paraId="689B4307">
            <w:pPr>
              <w:widowControl/>
              <w:spacing w:before="100" w:beforeAutospacing="1" w:after="100" w:afterAutospacing="1" w:line="320" w:lineRule="exact"/>
              <w:ind w:left="-3" w:firstLine="2" w:firstLineChars="1"/>
              <w:jc w:val="center"/>
              <w:rPr>
                <w:color w:val="auto"/>
                <w:kern w:val="0"/>
                <w:szCs w:val="21"/>
                <w:highlight w:val="none"/>
              </w:rPr>
            </w:pPr>
            <w:r>
              <w:rPr>
                <w:color w:val="auto"/>
                <w:kern w:val="0"/>
                <w:szCs w:val="21"/>
                <w:highlight w:val="none"/>
              </w:rPr>
              <w:t>金  额</w:t>
            </w:r>
          </w:p>
        </w:tc>
      </w:tr>
      <w:tr w14:paraId="359F02F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7" w:hRule="atLeast"/>
          <w:jc w:val="center"/>
        </w:trPr>
        <w:tc>
          <w:tcPr>
            <w:tcW w:w="661" w:type="dxa"/>
            <w:tcBorders>
              <w:top w:val="single" w:color="000000" w:sz="8" w:space="0"/>
              <w:left w:val="single" w:color="000000" w:sz="8" w:space="0"/>
              <w:bottom w:val="single" w:color="000000" w:sz="8" w:space="0"/>
              <w:right w:val="single" w:color="000000" w:sz="8" w:space="0"/>
            </w:tcBorders>
            <w:vAlign w:val="center"/>
          </w:tcPr>
          <w:p w14:paraId="3F45E34A">
            <w:pPr>
              <w:widowControl/>
              <w:spacing w:before="100" w:beforeAutospacing="1" w:after="100" w:afterAutospacing="1" w:line="320" w:lineRule="exact"/>
              <w:ind w:left="-3" w:firstLine="4" w:firstLineChars="2"/>
              <w:jc w:val="center"/>
              <w:rPr>
                <w:color w:val="auto"/>
                <w:kern w:val="0"/>
                <w:szCs w:val="21"/>
                <w:highlight w:val="none"/>
              </w:rPr>
            </w:pPr>
            <w:r>
              <w:rPr>
                <w:rFonts w:hint="eastAsia"/>
                <w:color w:val="auto"/>
                <w:kern w:val="0"/>
                <w:szCs w:val="21"/>
                <w:highlight w:val="none"/>
              </w:rPr>
              <w:t>1</w:t>
            </w:r>
          </w:p>
        </w:tc>
        <w:tc>
          <w:tcPr>
            <w:tcW w:w="1843" w:type="dxa"/>
            <w:gridSpan w:val="2"/>
            <w:tcBorders>
              <w:top w:val="single" w:color="000000" w:sz="8" w:space="0"/>
              <w:left w:val="single" w:color="000000" w:sz="8" w:space="0"/>
              <w:bottom w:val="single" w:color="000000" w:sz="8" w:space="0"/>
              <w:right w:val="single" w:color="000000" w:sz="8" w:space="0"/>
            </w:tcBorders>
            <w:vAlign w:val="center"/>
          </w:tcPr>
          <w:p w14:paraId="772D6EE9">
            <w:pPr>
              <w:widowControl/>
              <w:spacing w:before="100" w:beforeAutospacing="1" w:after="100" w:afterAutospacing="1" w:line="320" w:lineRule="exact"/>
              <w:ind w:left="-3" w:firstLine="420" w:firstLineChars="200"/>
              <w:jc w:val="left"/>
              <w:rPr>
                <w:color w:val="auto"/>
                <w:kern w:val="0"/>
                <w:szCs w:val="21"/>
                <w:highlight w:val="none"/>
              </w:rPr>
            </w:pPr>
            <w:r>
              <w:rPr>
                <w:rFonts w:hint="eastAsia"/>
                <w:color w:val="auto"/>
                <w:kern w:val="0"/>
                <w:szCs w:val="21"/>
                <w:highlight w:val="none"/>
              </w:rPr>
              <w:t>XXXX设备</w:t>
            </w:r>
          </w:p>
        </w:tc>
        <w:tc>
          <w:tcPr>
            <w:tcW w:w="3871" w:type="dxa"/>
            <w:gridSpan w:val="2"/>
            <w:tcBorders>
              <w:top w:val="single" w:color="000000" w:sz="8" w:space="0"/>
              <w:left w:val="single" w:color="000000" w:sz="8" w:space="0"/>
              <w:bottom w:val="single" w:color="000000" w:sz="8" w:space="0"/>
              <w:right w:val="single" w:color="000000" w:sz="8" w:space="0"/>
            </w:tcBorders>
            <w:vAlign w:val="center"/>
          </w:tcPr>
          <w:p w14:paraId="2504E977">
            <w:pPr>
              <w:pStyle w:val="87"/>
              <w:ind w:firstLine="0" w:firstLineChars="0"/>
              <w:rPr>
                <w:color w:val="auto"/>
                <w:szCs w:val="21"/>
                <w:highlight w:val="none"/>
              </w:rPr>
            </w:pPr>
          </w:p>
        </w:tc>
        <w:tc>
          <w:tcPr>
            <w:tcW w:w="850" w:type="dxa"/>
            <w:tcBorders>
              <w:top w:val="single" w:color="000000" w:sz="8" w:space="0"/>
              <w:left w:val="single" w:color="000000" w:sz="8" w:space="0"/>
              <w:bottom w:val="single" w:color="000000" w:sz="8" w:space="0"/>
              <w:right w:val="single" w:color="000000" w:sz="8" w:space="0"/>
            </w:tcBorders>
            <w:vAlign w:val="center"/>
          </w:tcPr>
          <w:p w14:paraId="487D47C8">
            <w:pPr>
              <w:widowControl/>
              <w:spacing w:before="100" w:beforeAutospacing="1" w:after="100" w:afterAutospacing="1" w:line="320" w:lineRule="exact"/>
              <w:jc w:val="center"/>
              <w:rPr>
                <w:color w:val="auto"/>
                <w:kern w:val="0"/>
                <w:szCs w:val="21"/>
                <w:highlight w:val="none"/>
              </w:rPr>
            </w:pPr>
            <w:r>
              <w:rPr>
                <w:color w:val="auto"/>
                <w:kern w:val="0"/>
                <w:szCs w:val="21"/>
                <w:highlight w:val="none"/>
              </w:rPr>
              <w:t>1</w:t>
            </w:r>
            <w:r>
              <w:rPr>
                <w:rFonts w:hint="eastAsia"/>
                <w:color w:val="auto"/>
                <w:kern w:val="0"/>
                <w:szCs w:val="21"/>
                <w:highlight w:val="none"/>
              </w:rPr>
              <w:t>套</w:t>
            </w:r>
          </w:p>
        </w:tc>
        <w:tc>
          <w:tcPr>
            <w:tcW w:w="2402" w:type="dxa"/>
            <w:gridSpan w:val="2"/>
            <w:tcBorders>
              <w:top w:val="single" w:color="000000" w:sz="8" w:space="0"/>
              <w:left w:val="single" w:color="000000" w:sz="8" w:space="0"/>
              <w:bottom w:val="single" w:color="000000" w:sz="8" w:space="0"/>
              <w:right w:val="single" w:color="000000" w:sz="8" w:space="0"/>
            </w:tcBorders>
            <w:vAlign w:val="center"/>
          </w:tcPr>
          <w:p w14:paraId="09379D6D">
            <w:pPr>
              <w:pStyle w:val="87"/>
              <w:ind w:firstLine="0" w:firstLineChars="0"/>
              <w:jc w:val="center"/>
              <w:rPr>
                <w:color w:val="auto"/>
                <w:szCs w:val="21"/>
                <w:highlight w:val="none"/>
              </w:rPr>
            </w:pPr>
            <w:r>
              <w:rPr>
                <w:color w:val="auto"/>
                <w:szCs w:val="21"/>
                <w:highlight w:val="none"/>
              </w:rPr>
              <w:t>¥0.00元</w:t>
            </w:r>
          </w:p>
        </w:tc>
      </w:tr>
      <w:tr w14:paraId="406DC4A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487" w:hRule="atLeast"/>
          <w:jc w:val="center"/>
        </w:trPr>
        <w:tc>
          <w:tcPr>
            <w:tcW w:w="6375" w:type="dxa"/>
            <w:gridSpan w:val="5"/>
            <w:tcBorders>
              <w:top w:val="single" w:color="000000" w:sz="8" w:space="0"/>
              <w:left w:val="single" w:color="000000" w:sz="8" w:space="0"/>
              <w:bottom w:val="single" w:color="000000" w:sz="8" w:space="0"/>
              <w:right w:val="single" w:color="000000" w:sz="8" w:space="0"/>
            </w:tcBorders>
            <w:vAlign w:val="center"/>
          </w:tcPr>
          <w:p w14:paraId="30408EB3">
            <w:pPr>
              <w:pStyle w:val="87"/>
              <w:ind w:firstLine="0" w:firstLineChars="0"/>
              <w:jc w:val="center"/>
              <w:rPr>
                <w:color w:val="auto"/>
                <w:szCs w:val="21"/>
                <w:highlight w:val="none"/>
              </w:rPr>
            </w:pPr>
            <w:r>
              <w:rPr>
                <w:rFonts w:hint="eastAsia"/>
                <w:color w:val="auto"/>
                <w:szCs w:val="21"/>
                <w:highlight w:val="none"/>
              </w:rPr>
              <w:t>合 计</w:t>
            </w:r>
          </w:p>
        </w:tc>
        <w:tc>
          <w:tcPr>
            <w:tcW w:w="850" w:type="dxa"/>
            <w:tcBorders>
              <w:top w:val="single" w:color="000000" w:sz="8" w:space="0"/>
              <w:left w:val="single" w:color="000000" w:sz="8" w:space="0"/>
              <w:bottom w:val="single" w:color="000000" w:sz="8" w:space="0"/>
              <w:right w:val="single" w:color="000000" w:sz="8" w:space="0"/>
            </w:tcBorders>
            <w:vAlign w:val="center"/>
          </w:tcPr>
          <w:p w14:paraId="37AF36E1">
            <w:pPr>
              <w:widowControl/>
              <w:spacing w:before="100" w:beforeAutospacing="1" w:after="100" w:afterAutospacing="1" w:line="320" w:lineRule="exact"/>
              <w:jc w:val="center"/>
              <w:rPr>
                <w:color w:val="auto"/>
                <w:kern w:val="0"/>
                <w:szCs w:val="21"/>
                <w:highlight w:val="none"/>
              </w:rPr>
            </w:pPr>
          </w:p>
        </w:tc>
        <w:tc>
          <w:tcPr>
            <w:tcW w:w="2402" w:type="dxa"/>
            <w:gridSpan w:val="2"/>
            <w:tcBorders>
              <w:top w:val="single" w:color="000000" w:sz="8" w:space="0"/>
              <w:left w:val="single" w:color="000000" w:sz="8" w:space="0"/>
              <w:bottom w:val="single" w:color="000000" w:sz="8" w:space="0"/>
              <w:right w:val="single" w:color="000000" w:sz="8" w:space="0"/>
            </w:tcBorders>
            <w:vAlign w:val="center"/>
          </w:tcPr>
          <w:p w14:paraId="57D92503">
            <w:pPr>
              <w:pStyle w:val="87"/>
              <w:ind w:firstLine="0" w:firstLineChars="0"/>
              <w:jc w:val="center"/>
              <w:rPr>
                <w:color w:val="auto"/>
                <w:szCs w:val="21"/>
                <w:highlight w:val="none"/>
              </w:rPr>
            </w:pPr>
            <w:r>
              <w:rPr>
                <w:color w:val="auto"/>
                <w:szCs w:val="21"/>
                <w:highlight w:val="none"/>
              </w:rPr>
              <w:t>¥0.00元</w:t>
            </w:r>
          </w:p>
        </w:tc>
      </w:tr>
      <w:tr w14:paraId="108A9CE7">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55" w:hRule="atLeast"/>
          <w:jc w:val="center"/>
        </w:trPr>
        <w:tc>
          <w:tcPr>
            <w:tcW w:w="9627" w:type="dxa"/>
            <w:gridSpan w:val="8"/>
            <w:tcBorders>
              <w:top w:val="single" w:color="000000" w:sz="8" w:space="0"/>
              <w:left w:val="single" w:color="000000" w:sz="8" w:space="0"/>
              <w:bottom w:val="single" w:color="000000" w:sz="8" w:space="0"/>
              <w:right w:val="single" w:color="000000" w:sz="8" w:space="0"/>
            </w:tcBorders>
            <w:vAlign w:val="center"/>
          </w:tcPr>
          <w:p w14:paraId="4E1ED97E">
            <w:pPr>
              <w:widowControl/>
              <w:spacing w:before="100" w:beforeAutospacing="1" w:after="100" w:afterAutospacing="1" w:line="320" w:lineRule="exact"/>
              <w:ind w:firstLine="2" w:firstLineChars="1"/>
              <w:jc w:val="left"/>
              <w:rPr>
                <w:color w:val="auto"/>
                <w:kern w:val="0"/>
                <w:szCs w:val="21"/>
                <w:highlight w:val="none"/>
              </w:rPr>
            </w:pPr>
            <w:r>
              <w:rPr>
                <w:color w:val="auto"/>
                <w:kern w:val="0"/>
                <w:szCs w:val="21"/>
                <w:highlight w:val="none"/>
              </w:rPr>
              <w:t>合计大写金额：</w:t>
            </w:r>
            <w:r>
              <w:rPr>
                <w:rFonts w:hint="eastAsia"/>
                <w:color w:val="auto"/>
                <w:kern w:val="0"/>
                <w:szCs w:val="21"/>
                <w:highlight w:val="none"/>
              </w:rPr>
              <w:t>人民币元整</w:t>
            </w:r>
          </w:p>
        </w:tc>
      </w:tr>
      <w:tr w14:paraId="790FFF01">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9" w:hRule="atLeast"/>
          <w:jc w:val="center"/>
        </w:trPr>
        <w:tc>
          <w:tcPr>
            <w:tcW w:w="1527" w:type="dxa"/>
            <w:gridSpan w:val="2"/>
            <w:tcBorders>
              <w:top w:val="single" w:color="000000" w:sz="8" w:space="0"/>
              <w:left w:val="single" w:color="000000" w:sz="8" w:space="0"/>
              <w:bottom w:val="single" w:color="000000" w:sz="8" w:space="0"/>
              <w:right w:val="single" w:color="000000" w:sz="8" w:space="0"/>
            </w:tcBorders>
            <w:vAlign w:val="center"/>
          </w:tcPr>
          <w:p w14:paraId="30B21380">
            <w:pPr>
              <w:widowControl/>
              <w:spacing w:before="100" w:beforeAutospacing="1" w:after="100" w:afterAutospacing="1" w:line="320" w:lineRule="exact"/>
              <w:ind w:firstLine="2" w:firstLineChars="1"/>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实际交付日期</w:t>
            </w:r>
          </w:p>
        </w:tc>
        <w:tc>
          <w:tcPr>
            <w:tcW w:w="3240" w:type="dxa"/>
            <w:gridSpan w:val="2"/>
            <w:tcBorders>
              <w:top w:val="single" w:color="000000" w:sz="8" w:space="0"/>
              <w:left w:val="single" w:color="000000" w:sz="8" w:space="0"/>
              <w:bottom w:val="single" w:color="000000" w:sz="8" w:space="0"/>
              <w:right w:val="single" w:color="000000" w:sz="8" w:space="0"/>
            </w:tcBorders>
            <w:vAlign w:val="center"/>
          </w:tcPr>
          <w:p w14:paraId="3AA2D736">
            <w:pPr>
              <w:spacing w:before="100" w:beforeAutospacing="1" w:after="100" w:afterAutospacing="1" w:line="3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  年  月  日</w:t>
            </w:r>
          </w:p>
        </w:tc>
        <w:tc>
          <w:tcPr>
            <w:tcW w:w="2700" w:type="dxa"/>
            <w:gridSpan w:val="3"/>
            <w:tcBorders>
              <w:top w:val="single" w:color="000000" w:sz="8" w:space="0"/>
              <w:left w:val="single" w:color="000000" w:sz="8" w:space="0"/>
              <w:bottom w:val="single" w:color="000000" w:sz="8" w:space="0"/>
              <w:right w:val="single" w:color="000000" w:sz="8" w:space="0"/>
            </w:tcBorders>
            <w:vAlign w:val="center"/>
          </w:tcPr>
          <w:p w14:paraId="142717EC">
            <w:pPr>
              <w:spacing w:before="100" w:beforeAutospacing="1" w:after="100" w:afterAutospacing="1" w:line="320" w:lineRule="exact"/>
              <w:ind w:firstLine="39" w:firstLineChars="19"/>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合同交付验收日期</w:t>
            </w:r>
          </w:p>
        </w:tc>
        <w:tc>
          <w:tcPr>
            <w:tcW w:w="2160" w:type="dxa"/>
            <w:tcBorders>
              <w:top w:val="single" w:color="000000" w:sz="8" w:space="0"/>
              <w:left w:val="single" w:color="000000" w:sz="8" w:space="0"/>
              <w:bottom w:val="single" w:color="000000" w:sz="8" w:space="0"/>
              <w:right w:val="single" w:color="000000" w:sz="8" w:space="0"/>
            </w:tcBorders>
            <w:vAlign w:val="center"/>
          </w:tcPr>
          <w:p w14:paraId="3ACD8264">
            <w:pPr>
              <w:spacing w:before="100" w:beforeAutospacing="1" w:after="100" w:afterAutospacing="1" w:line="32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20  年  月  日</w:t>
            </w:r>
          </w:p>
        </w:tc>
      </w:tr>
      <w:tr w14:paraId="244F45F4">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693" w:hRule="atLeast"/>
          <w:jc w:val="center"/>
        </w:trPr>
        <w:tc>
          <w:tcPr>
            <w:tcW w:w="1527" w:type="dxa"/>
            <w:gridSpan w:val="2"/>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5B6D0E8">
            <w:pPr>
              <w:widowControl/>
              <w:spacing w:before="100" w:beforeAutospacing="1" w:after="100" w:afterAutospacing="1" w:line="32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验收具体内容</w:t>
            </w:r>
          </w:p>
        </w:tc>
        <w:tc>
          <w:tcPr>
            <w:tcW w:w="8100" w:type="dxa"/>
            <w:gridSpan w:val="6"/>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017944C1">
            <w:pPr>
              <w:pStyle w:val="87"/>
              <w:ind w:firstLine="0" w:firstLineChars="0"/>
              <w:rPr>
                <w:rFonts w:hint="eastAsia" w:ascii="宋体" w:hAnsi="宋体" w:cs="宋体"/>
                <w:color w:val="auto"/>
                <w:szCs w:val="21"/>
                <w:highlight w:val="none"/>
              </w:rPr>
            </w:pPr>
            <w:r>
              <w:rPr>
                <w:rFonts w:hint="eastAsia" w:ascii="宋体" w:hAnsi="宋体" w:cs="宋体"/>
                <w:color w:val="auto"/>
                <w:szCs w:val="21"/>
                <w:highlight w:val="none"/>
              </w:rPr>
              <w:t>中标人所提供服务的内容满足采购合同约定的要求、标准。</w:t>
            </w:r>
          </w:p>
        </w:tc>
      </w:tr>
      <w:tr w14:paraId="27F50CCC">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546" w:hRule="atLeast"/>
          <w:jc w:val="center"/>
        </w:trPr>
        <w:tc>
          <w:tcPr>
            <w:tcW w:w="1527" w:type="dxa"/>
            <w:gridSpan w:val="2"/>
            <w:vMerge w:val="restart"/>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03B7112">
            <w:pPr>
              <w:widowControl/>
              <w:spacing w:before="100" w:beforeAutospacing="1" w:after="100" w:afterAutospacing="1" w:line="32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验收小组意见</w:t>
            </w:r>
          </w:p>
        </w:tc>
        <w:tc>
          <w:tcPr>
            <w:tcW w:w="8100" w:type="dxa"/>
            <w:gridSpan w:val="6"/>
            <w:tcBorders>
              <w:top w:val="single" w:color="000000" w:sz="8" w:space="0"/>
              <w:left w:val="single" w:color="000000" w:sz="8" w:space="0"/>
              <w:bottom w:val="single" w:color="000000" w:sz="4" w:space="0"/>
              <w:right w:val="single" w:color="000000" w:sz="8" w:space="0"/>
            </w:tcBorders>
            <w:vAlign w:val="center"/>
          </w:tcPr>
          <w:p w14:paraId="536D6CD5">
            <w:pPr>
              <w:widowControl/>
              <w:spacing w:before="100" w:beforeAutospacing="1" w:after="100" w:afterAutospacing="1" w:line="320" w:lineRule="exact"/>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验收结论性意见：同意（不同意）通过项目验收</w:t>
            </w:r>
          </w:p>
        </w:tc>
      </w:tr>
      <w:tr w14:paraId="144687B3">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037" w:hRule="atLeast"/>
          <w:jc w:val="center"/>
        </w:trPr>
        <w:tc>
          <w:tcPr>
            <w:tcW w:w="1527" w:type="dxa"/>
            <w:gridSpan w:val="2"/>
            <w:vMerge w:val="continue"/>
            <w:tcBorders>
              <w:top w:val="single" w:color="000000" w:sz="8" w:space="0"/>
              <w:left w:val="single" w:color="000000" w:sz="8" w:space="0"/>
              <w:bottom w:val="single" w:color="000000" w:sz="8" w:space="0"/>
              <w:right w:val="single" w:color="000000" w:sz="8" w:space="0"/>
            </w:tcBorders>
            <w:vAlign w:val="center"/>
          </w:tcPr>
          <w:p w14:paraId="7EF8AEFE">
            <w:pPr>
              <w:widowControl/>
              <w:spacing w:line="320" w:lineRule="exact"/>
              <w:jc w:val="left"/>
              <w:rPr>
                <w:rFonts w:hint="eastAsia" w:ascii="宋体" w:hAnsi="宋体" w:cs="宋体"/>
                <w:color w:val="auto"/>
                <w:kern w:val="0"/>
                <w:szCs w:val="21"/>
                <w:highlight w:val="none"/>
              </w:rPr>
            </w:pPr>
          </w:p>
        </w:tc>
        <w:tc>
          <w:tcPr>
            <w:tcW w:w="8100" w:type="dxa"/>
            <w:gridSpan w:val="6"/>
            <w:tcBorders>
              <w:top w:val="single" w:color="000000" w:sz="4" w:space="0"/>
              <w:left w:val="single" w:color="000000" w:sz="8" w:space="0"/>
              <w:bottom w:val="single" w:color="000000" w:sz="8" w:space="0"/>
              <w:right w:val="single" w:color="000000" w:sz="8" w:space="0"/>
            </w:tcBorders>
            <w:vAlign w:val="center"/>
          </w:tcPr>
          <w:p w14:paraId="255E5204">
            <w:pPr>
              <w:pStyle w:val="87"/>
              <w:ind w:firstLine="0" w:firstLineChars="0"/>
              <w:rPr>
                <w:rFonts w:hint="eastAsia" w:ascii="宋体" w:hAnsi="宋体" w:cs="宋体"/>
                <w:color w:val="auto"/>
                <w:szCs w:val="21"/>
                <w:highlight w:val="none"/>
              </w:rPr>
            </w:pPr>
            <w:r>
              <w:rPr>
                <w:rFonts w:hint="eastAsia" w:ascii="宋体" w:hAnsi="宋体" w:cs="宋体"/>
                <w:color w:val="auto"/>
                <w:szCs w:val="21"/>
                <w:highlight w:val="none"/>
              </w:rPr>
              <w:t>有异议的意见和说明理由：</w:t>
            </w:r>
          </w:p>
          <w:p w14:paraId="2E7D3427">
            <w:pPr>
              <w:pStyle w:val="87"/>
              <w:ind w:firstLine="5880" w:firstLineChars="2800"/>
              <w:rPr>
                <w:rFonts w:hint="eastAsia" w:ascii="宋体" w:hAnsi="宋体" w:cs="宋体"/>
                <w:color w:val="auto"/>
                <w:szCs w:val="21"/>
                <w:highlight w:val="none"/>
              </w:rPr>
            </w:pPr>
            <w:r>
              <w:rPr>
                <w:rFonts w:hint="eastAsia" w:ascii="宋体" w:hAnsi="宋体" w:cs="宋体"/>
                <w:color w:val="auto"/>
                <w:szCs w:val="21"/>
                <w:highlight w:val="none"/>
              </w:rPr>
              <w:t>签字：</w:t>
            </w:r>
          </w:p>
        </w:tc>
      </w:tr>
      <w:tr w14:paraId="2675E310">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331" w:hRule="atLeast"/>
          <w:jc w:val="center"/>
        </w:trPr>
        <w:tc>
          <w:tcPr>
            <w:tcW w:w="9627" w:type="dxa"/>
            <w:gridSpan w:val="8"/>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70D09519">
            <w:pPr>
              <w:widowControl/>
              <w:spacing w:before="100" w:beforeAutospacing="1" w:after="100" w:afterAutospacing="1" w:line="320" w:lineRule="exact"/>
              <w:jc w:val="left"/>
              <w:rPr>
                <w:color w:val="auto"/>
                <w:kern w:val="0"/>
                <w:szCs w:val="21"/>
                <w:highlight w:val="none"/>
              </w:rPr>
            </w:pPr>
            <w:r>
              <w:rPr>
                <w:color w:val="auto"/>
                <w:kern w:val="0"/>
                <w:szCs w:val="21"/>
                <w:highlight w:val="none"/>
              </w:rPr>
              <w:t>验收小组成员签字：</w:t>
            </w:r>
          </w:p>
          <w:p w14:paraId="0CF4CD55">
            <w:pPr>
              <w:widowControl/>
              <w:spacing w:before="100" w:beforeAutospacing="1" w:after="100" w:afterAutospacing="1" w:line="320" w:lineRule="exact"/>
              <w:jc w:val="left"/>
              <w:rPr>
                <w:color w:val="auto"/>
                <w:kern w:val="0"/>
                <w:szCs w:val="21"/>
                <w:highlight w:val="none"/>
              </w:rPr>
            </w:pPr>
          </w:p>
        </w:tc>
      </w:tr>
      <w:tr w14:paraId="39C09159">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110" w:hRule="atLeast"/>
          <w:jc w:val="center"/>
        </w:trPr>
        <w:tc>
          <w:tcPr>
            <w:tcW w:w="9627" w:type="dxa"/>
            <w:gridSpan w:val="8"/>
            <w:tcBorders>
              <w:top w:val="single" w:color="000000" w:sz="8" w:space="0"/>
              <w:left w:val="single" w:color="000000" w:sz="8" w:space="0"/>
              <w:bottom w:val="single" w:color="000000" w:sz="8" w:space="0"/>
              <w:right w:val="single" w:color="000000" w:sz="8" w:space="0"/>
            </w:tcBorders>
            <w:tcMar>
              <w:top w:w="0" w:type="dxa"/>
              <w:left w:w="108" w:type="dxa"/>
              <w:bottom w:w="0" w:type="dxa"/>
              <w:right w:w="108" w:type="dxa"/>
            </w:tcMar>
            <w:vAlign w:val="center"/>
          </w:tcPr>
          <w:p w14:paraId="1394A499">
            <w:pPr>
              <w:widowControl/>
              <w:spacing w:before="100" w:beforeAutospacing="1" w:after="100" w:afterAutospacing="1" w:line="320" w:lineRule="exact"/>
              <w:jc w:val="left"/>
              <w:rPr>
                <w:color w:val="auto"/>
                <w:kern w:val="0"/>
                <w:szCs w:val="21"/>
                <w:highlight w:val="none"/>
              </w:rPr>
            </w:pPr>
            <w:r>
              <w:rPr>
                <w:color w:val="auto"/>
                <w:kern w:val="0"/>
                <w:szCs w:val="21"/>
                <w:highlight w:val="none"/>
              </w:rPr>
              <w:t>监督人员或其他相关人员签字：</w:t>
            </w:r>
          </w:p>
          <w:p w14:paraId="487B3582">
            <w:pPr>
              <w:widowControl/>
              <w:spacing w:before="100" w:beforeAutospacing="1" w:after="100" w:afterAutospacing="1" w:line="320" w:lineRule="exact"/>
              <w:ind w:firstLine="65" w:firstLineChars="31"/>
              <w:jc w:val="left"/>
              <w:rPr>
                <w:color w:val="auto"/>
                <w:kern w:val="0"/>
                <w:szCs w:val="21"/>
                <w:highlight w:val="none"/>
              </w:rPr>
            </w:pPr>
            <w:r>
              <w:rPr>
                <w:color w:val="auto"/>
                <w:kern w:val="0"/>
                <w:szCs w:val="21"/>
                <w:highlight w:val="none"/>
              </w:rPr>
              <w:t>或受邀机构的意见（盖章）：</w:t>
            </w:r>
          </w:p>
        </w:tc>
      </w:tr>
      <w:tr w14:paraId="1BD4AFFF">
        <w:tblPrEx>
          <w:tblBorders>
            <w:top w:val="single" w:color="000000" w:sz="8" w:space="0"/>
            <w:left w:val="single" w:color="000000" w:sz="8" w:space="0"/>
            <w:bottom w:val="single" w:color="000000" w:sz="8" w:space="0"/>
            <w:right w:val="single" w:color="000000" w:sz="8" w:space="0"/>
            <w:insideH w:val="single" w:color="000000" w:sz="8" w:space="0"/>
            <w:insideV w:val="single" w:color="000000" w:sz="8" w:space="0"/>
          </w:tblBorders>
          <w:tblCellMar>
            <w:top w:w="0" w:type="dxa"/>
            <w:left w:w="0" w:type="dxa"/>
            <w:bottom w:w="0" w:type="dxa"/>
            <w:right w:w="0" w:type="dxa"/>
          </w:tblCellMar>
        </w:tblPrEx>
        <w:trPr>
          <w:trHeight w:val="1418" w:hRule="atLeast"/>
          <w:jc w:val="center"/>
        </w:trPr>
        <w:tc>
          <w:tcPr>
            <w:tcW w:w="4767" w:type="dxa"/>
            <w:gridSpan w:val="4"/>
            <w:tcBorders>
              <w:top w:val="single" w:color="000000" w:sz="8" w:space="0"/>
              <w:left w:val="single" w:color="000000" w:sz="8" w:space="0"/>
              <w:bottom w:val="single" w:color="000000" w:sz="8" w:space="0"/>
            </w:tcBorders>
            <w:tcMar>
              <w:top w:w="0" w:type="dxa"/>
              <w:left w:w="108" w:type="dxa"/>
              <w:bottom w:w="0" w:type="dxa"/>
              <w:right w:w="108" w:type="dxa"/>
            </w:tcMar>
            <w:vAlign w:val="center"/>
          </w:tcPr>
          <w:p w14:paraId="2B94C3FF">
            <w:pPr>
              <w:widowControl/>
              <w:spacing w:before="100" w:beforeAutospacing="1" w:after="100" w:afterAutospacing="1" w:line="320" w:lineRule="exact"/>
              <w:ind w:firstLine="65" w:firstLineChars="31"/>
              <w:jc w:val="left"/>
              <w:rPr>
                <w:color w:val="auto"/>
                <w:kern w:val="0"/>
                <w:szCs w:val="21"/>
                <w:highlight w:val="none"/>
              </w:rPr>
            </w:pPr>
            <w:r>
              <w:rPr>
                <w:color w:val="auto"/>
                <w:kern w:val="0"/>
                <w:szCs w:val="21"/>
                <w:highlight w:val="none"/>
              </w:rPr>
              <w:t>中标或者成交供应商负责人签字或盖章：</w:t>
            </w:r>
          </w:p>
          <w:p w14:paraId="052FDE1D">
            <w:pPr>
              <w:widowControl/>
              <w:spacing w:before="100" w:beforeAutospacing="1" w:after="100" w:afterAutospacing="1" w:line="320" w:lineRule="exact"/>
              <w:jc w:val="left"/>
              <w:rPr>
                <w:color w:val="auto"/>
                <w:kern w:val="0"/>
                <w:szCs w:val="21"/>
                <w:highlight w:val="none"/>
              </w:rPr>
            </w:pPr>
            <w:r>
              <w:rPr>
                <w:color w:val="auto"/>
                <w:kern w:val="0"/>
                <w:szCs w:val="21"/>
                <w:highlight w:val="none"/>
              </w:rPr>
              <w:t>联系电话：     </w:t>
            </w:r>
            <w:r>
              <w:rPr>
                <w:rFonts w:hint="eastAsia"/>
                <w:color w:val="auto"/>
                <w:kern w:val="0"/>
                <w:szCs w:val="21"/>
                <w:highlight w:val="none"/>
              </w:rPr>
              <w:t xml:space="preserve">   </w:t>
            </w:r>
            <w:r>
              <w:rPr>
                <w:color w:val="auto"/>
                <w:kern w:val="0"/>
                <w:szCs w:val="21"/>
                <w:highlight w:val="none"/>
              </w:rPr>
              <w:t>  年</w:t>
            </w:r>
            <w:r>
              <w:rPr>
                <w:rFonts w:hint="eastAsia"/>
                <w:color w:val="auto"/>
                <w:kern w:val="0"/>
                <w:szCs w:val="21"/>
                <w:highlight w:val="none"/>
              </w:rPr>
              <w:t xml:space="preserve">  </w:t>
            </w:r>
            <w:r>
              <w:rPr>
                <w:color w:val="auto"/>
                <w:kern w:val="0"/>
                <w:szCs w:val="21"/>
                <w:highlight w:val="none"/>
              </w:rPr>
              <w:t> 月 </w:t>
            </w:r>
            <w:r>
              <w:rPr>
                <w:rFonts w:hint="eastAsia"/>
                <w:color w:val="auto"/>
                <w:kern w:val="0"/>
                <w:szCs w:val="21"/>
                <w:highlight w:val="none"/>
              </w:rPr>
              <w:t xml:space="preserve">  </w:t>
            </w:r>
            <w:r>
              <w:rPr>
                <w:color w:val="auto"/>
                <w:kern w:val="0"/>
                <w:szCs w:val="21"/>
                <w:highlight w:val="none"/>
              </w:rPr>
              <w:t>日</w:t>
            </w:r>
          </w:p>
          <w:p w14:paraId="1868B529">
            <w:pPr>
              <w:widowControl/>
              <w:spacing w:before="100" w:beforeAutospacing="1" w:after="100" w:afterAutospacing="1" w:line="320" w:lineRule="exact"/>
              <w:jc w:val="left"/>
              <w:rPr>
                <w:color w:val="auto"/>
                <w:kern w:val="0"/>
                <w:szCs w:val="21"/>
                <w:highlight w:val="none"/>
              </w:rPr>
            </w:pPr>
          </w:p>
          <w:p w14:paraId="03FAA956">
            <w:pPr>
              <w:widowControl/>
              <w:spacing w:before="100" w:beforeAutospacing="1" w:after="100" w:afterAutospacing="1" w:line="320" w:lineRule="exact"/>
              <w:ind w:firstLine="65" w:firstLineChars="31"/>
              <w:jc w:val="left"/>
              <w:rPr>
                <w:color w:val="auto"/>
                <w:kern w:val="0"/>
                <w:szCs w:val="21"/>
                <w:highlight w:val="none"/>
              </w:rPr>
            </w:pPr>
            <w:r>
              <w:rPr>
                <w:rFonts w:hint="eastAsia"/>
                <w:color w:val="auto"/>
                <w:kern w:val="0"/>
                <w:szCs w:val="21"/>
                <w:highlight w:val="none"/>
              </w:rPr>
              <w:t>采购人</w:t>
            </w:r>
            <w:r>
              <w:rPr>
                <w:color w:val="auto"/>
                <w:kern w:val="0"/>
                <w:szCs w:val="21"/>
                <w:highlight w:val="none"/>
              </w:rPr>
              <w:t>签字或盖章：</w:t>
            </w:r>
          </w:p>
          <w:p w14:paraId="423EE7A3">
            <w:pPr>
              <w:widowControl/>
              <w:spacing w:before="100" w:beforeAutospacing="1" w:after="100" w:afterAutospacing="1" w:line="320" w:lineRule="exact"/>
              <w:jc w:val="left"/>
              <w:rPr>
                <w:color w:val="auto"/>
                <w:kern w:val="0"/>
                <w:szCs w:val="21"/>
                <w:highlight w:val="none"/>
              </w:rPr>
            </w:pPr>
            <w:r>
              <w:rPr>
                <w:color w:val="auto"/>
                <w:kern w:val="0"/>
                <w:szCs w:val="21"/>
                <w:highlight w:val="none"/>
              </w:rPr>
              <w:t xml:space="preserve">联系电话：      </w:t>
            </w:r>
            <w:r>
              <w:rPr>
                <w:rFonts w:hint="eastAsia"/>
                <w:color w:val="auto"/>
                <w:kern w:val="0"/>
                <w:szCs w:val="21"/>
                <w:highlight w:val="none"/>
              </w:rPr>
              <w:t xml:space="preserve"> </w:t>
            </w:r>
            <w:r>
              <w:rPr>
                <w:color w:val="auto"/>
                <w:kern w:val="0"/>
                <w:szCs w:val="21"/>
                <w:highlight w:val="none"/>
              </w:rPr>
              <w:t>  年</w:t>
            </w:r>
            <w:r>
              <w:rPr>
                <w:rFonts w:hint="eastAsia"/>
                <w:color w:val="auto"/>
                <w:kern w:val="0"/>
                <w:szCs w:val="21"/>
                <w:highlight w:val="none"/>
              </w:rPr>
              <w:t xml:space="preserve">  </w:t>
            </w:r>
            <w:r>
              <w:rPr>
                <w:color w:val="auto"/>
                <w:kern w:val="0"/>
                <w:szCs w:val="21"/>
                <w:highlight w:val="none"/>
              </w:rPr>
              <w:t> 月 </w:t>
            </w:r>
            <w:r>
              <w:rPr>
                <w:rFonts w:hint="eastAsia"/>
                <w:color w:val="auto"/>
                <w:kern w:val="0"/>
                <w:szCs w:val="21"/>
                <w:highlight w:val="none"/>
              </w:rPr>
              <w:t xml:space="preserve">  </w:t>
            </w:r>
            <w:r>
              <w:rPr>
                <w:color w:val="auto"/>
                <w:kern w:val="0"/>
                <w:szCs w:val="21"/>
                <w:highlight w:val="none"/>
              </w:rPr>
              <w:t>日</w:t>
            </w:r>
          </w:p>
        </w:tc>
        <w:tc>
          <w:tcPr>
            <w:tcW w:w="4860" w:type="dxa"/>
            <w:gridSpan w:val="4"/>
            <w:tcBorders>
              <w:top w:val="single" w:color="000000" w:sz="8" w:space="0"/>
              <w:bottom w:val="single" w:color="000000" w:sz="8" w:space="0"/>
              <w:right w:val="single" w:color="000000" w:sz="8" w:space="0"/>
            </w:tcBorders>
            <w:vAlign w:val="center"/>
          </w:tcPr>
          <w:p w14:paraId="0249362E">
            <w:pPr>
              <w:widowControl/>
              <w:spacing w:before="100" w:beforeAutospacing="1" w:after="100" w:afterAutospacing="1" w:line="320" w:lineRule="exact"/>
              <w:jc w:val="left"/>
              <w:rPr>
                <w:color w:val="auto"/>
                <w:kern w:val="0"/>
                <w:szCs w:val="21"/>
                <w:highlight w:val="none"/>
              </w:rPr>
            </w:pPr>
            <w:r>
              <w:rPr>
                <w:color w:val="auto"/>
                <w:kern w:val="0"/>
                <w:szCs w:val="21"/>
                <w:highlight w:val="none"/>
              </w:rPr>
              <w:t> 受托机构的意见（盖章）：</w:t>
            </w:r>
          </w:p>
          <w:p w14:paraId="4DB02DA5">
            <w:pPr>
              <w:widowControl/>
              <w:spacing w:before="100" w:beforeAutospacing="1" w:after="100" w:afterAutospacing="1" w:line="320" w:lineRule="exact"/>
              <w:jc w:val="left"/>
              <w:rPr>
                <w:color w:val="auto"/>
                <w:kern w:val="0"/>
                <w:szCs w:val="21"/>
                <w:highlight w:val="none"/>
              </w:rPr>
            </w:pPr>
            <w:r>
              <w:rPr>
                <w:color w:val="auto"/>
                <w:kern w:val="0"/>
                <w:szCs w:val="21"/>
                <w:highlight w:val="none"/>
              </w:rPr>
              <w:t xml:space="preserve">联系电话：                 </w:t>
            </w:r>
            <w:r>
              <w:rPr>
                <w:rFonts w:hint="eastAsia"/>
                <w:color w:val="auto"/>
                <w:kern w:val="0"/>
                <w:szCs w:val="21"/>
                <w:highlight w:val="none"/>
              </w:rPr>
              <w:t xml:space="preserve">    </w:t>
            </w:r>
            <w:r>
              <w:rPr>
                <w:color w:val="auto"/>
                <w:kern w:val="0"/>
                <w:szCs w:val="21"/>
                <w:highlight w:val="none"/>
              </w:rPr>
              <w:t>年   月   日</w:t>
            </w:r>
          </w:p>
          <w:p w14:paraId="7AD3EFDA">
            <w:pPr>
              <w:widowControl/>
              <w:spacing w:before="100" w:beforeAutospacing="1" w:after="100" w:afterAutospacing="1" w:line="320" w:lineRule="exact"/>
              <w:jc w:val="left"/>
              <w:rPr>
                <w:color w:val="auto"/>
                <w:kern w:val="0"/>
                <w:szCs w:val="21"/>
                <w:highlight w:val="none"/>
              </w:rPr>
            </w:pPr>
          </w:p>
          <w:p w14:paraId="2FA57808">
            <w:pPr>
              <w:widowControl/>
              <w:spacing w:before="100" w:beforeAutospacing="1" w:after="100" w:afterAutospacing="1" w:line="320" w:lineRule="exact"/>
              <w:jc w:val="left"/>
              <w:rPr>
                <w:color w:val="auto"/>
                <w:kern w:val="0"/>
                <w:szCs w:val="21"/>
                <w:highlight w:val="none"/>
              </w:rPr>
            </w:pPr>
          </w:p>
          <w:p w14:paraId="79FA8BDE">
            <w:pPr>
              <w:widowControl/>
              <w:spacing w:before="100" w:beforeAutospacing="1" w:after="100" w:afterAutospacing="1" w:line="320" w:lineRule="exact"/>
              <w:jc w:val="left"/>
              <w:rPr>
                <w:color w:val="auto"/>
                <w:kern w:val="0"/>
                <w:szCs w:val="21"/>
                <w:highlight w:val="none"/>
              </w:rPr>
            </w:pPr>
          </w:p>
        </w:tc>
      </w:tr>
    </w:tbl>
    <w:p w14:paraId="4970964A">
      <w:pPr>
        <w:widowControl/>
        <w:jc w:val="left"/>
        <w:rPr>
          <w:bCs/>
          <w:color w:val="auto"/>
          <w:sz w:val="24"/>
          <w:highlight w:val="none"/>
        </w:rPr>
      </w:pPr>
      <w:r>
        <w:rPr>
          <w:color w:val="auto"/>
          <w:spacing w:val="-10"/>
          <w:kern w:val="0"/>
          <w:szCs w:val="21"/>
          <w:highlight w:val="none"/>
        </w:rPr>
        <w:t>备注：本报告单一式</w:t>
      </w:r>
      <w:r>
        <w:rPr>
          <w:rFonts w:hint="eastAsia"/>
          <w:color w:val="auto"/>
          <w:spacing w:val="-10"/>
          <w:kern w:val="0"/>
          <w:szCs w:val="21"/>
          <w:highlight w:val="none"/>
        </w:rPr>
        <w:t>3</w:t>
      </w:r>
      <w:r>
        <w:rPr>
          <w:color w:val="auto"/>
          <w:spacing w:val="-10"/>
          <w:kern w:val="0"/>
          <w:szCs w:val="21"/>
          <w:highlight w:val="none"/>
        </w:rPr>
        <w:t>份（采购单位1份、供应商1份、采购监督部门备案1份）</w:t>
      </w:r>
    </w:p>
    <w:p w14:paraId="7F4267C0">
      <w:pPr>
        <w:spacing w:before="120" w:line="320" w:lineRule="atLeast"/>
        <w:jc w:val="left"/>
        <w:outlineLvl w:val="1"/>
        <w:rPr>
          <w:color w:val="auto"/>
          <w:highlight w:val="none"/>
        </w:rPr>
      </w:pPr>
      <w:r>
        <w:rPr>
          <w:color w:val="auto"/>
          <w:sz w:val="32"/>
          <w:szCs w:val="32"/>
          <w:highlight w:val="none"/>
        </w:rPr>
        <w:br w:type="page"/>
      </w:r>
    </w:p>
    <w:p w14:paraId="06A682A6">
      <w:pPr>
        <w:pStyle w:val="2"/>
        <w:jc w:val="both"/>
        <w:rPr>
          <w:rFonts w:hint="eastAsia" w:ascii="宋体" w:hAnsi="宋体" w:cs="宋体"/>
          <w:color w:val="auto"/>
          <w:highlight w:val="none"/>
        </w:rPr>
      </w:pPr>
    </w:p>
    <w:p w14:paraId="6AC4B2F3">
      <w:pPr>
        <w:pStyle w:val="2"/>
        <w:jc w:val="center"/>
        <w:rPr>
          <w:rFonts w:hint="eastAsia" w:ascii="宋体" w:hAnsi="宋体" w:cs="宋体"/>
          <w:color w:val="auto"/>
          <w:highlight w:val="none"/>
        </w:rPr>
      </w:pPr>
      <w:bookmarkStart w:id="227" w:name="_Toc2821"/>
      <w:r>
        <w:rPr>
          <w:rFonts w:hint="eastAsia" w:ascii="宋体" w:hAnsi="宋体" w:cs="宋体"/>
          <w:color w:val="auto"/>
          <w:highlight w:val="none"/>
        </w:rPr>
        <w:t>第六章　投标文件格式</w:t>
      </w:r>
      <w:bookmarkEnd w:id="211"/>
      <w:bookmarkEnd w:id="212"/>
      <w:bookmarkEnd w:id="213"/>
      <w:bookmarkEnd w:id="227"/>
    </w:p>
    <w:p w14:paraId="054AE307">
      <w:pPr>
        <w:snapToGrid w:val="0"/>
        <w:spacing w:before="50" w:after="50"/>
        <w:rPr>
          <w:rFonts w:hint="eastAsia" w:ascii="宋体" w:hAnsi="宋体" w:cs="宋体"/>
          <w:color w:val="auto"/>
          <w:sz w:val="32"/>
          <w:szCs w:val="20"/>
          <w:highlight w:val="none"/>
        </w:rPr>
      </w:pPr>
    </w:p>
    <w:p w14:paraId="3FB14F21">
      <w:pPr>
        <w:snapToGrid w:val="0"/>
        <w:spacing w:before="50" w:after="50"/>
        <w:rPr>
          <w:rFonts w:hint="eastAsia" w:ascii="宋体" w:hAnsi="宋体" w:cs="宋体"/>
          <w:color w:val="auto"/>
          <w:sz w:val="32"/>
          <w:szCs w:val="20"/>
          <w:highlight w:val="none"/>
        </w:rPr>
      </w:pPr>
    </w:p>
    <w:p w14:paraId="7CA01EA8">
      <w:pPr>
        <w:snapToGrid w:val="0"/>
        <w:spacing w:before="50" w:after="50"/>
        <w:rPr>
          <w:rFonts w:hint="eastAsia" w:ascii="宋体" w:hAnsi="宋体" w:cs="宋体"/>
          <w:color w:val="auto"/>
          <w:sz w:val="32"/>
          <w:szCs w:val="20"/>
          <w:highlight w:val="none"/>
        </w:rPr>
      </w:pPr>
    </w:p>
    <w:p w14:paraId="0B6C2C54">
      <w:pPr>
        <w:snapToGrid w:val="0"/>
        <w:spacing w:before="50" w:after="50"/>
        <w:rPr>
          <w:rFonts w:hint="eastAsia" w:ascii="宋体" w:hAnsi="宋体" w:cs="宋体"/>
          <w:color w:val="auto"/>
          <w:sz w:val="32"/>
          <w:szCs w:val="20"/>
          <w:highlight w:val="none"/>
        </w:rPr>
      </w:pPr>
    </w:p>
    <w:p w14:paraId="1B9EEE6B">
      <w:pPr>
        <w:snapToGrid w:val="0"/>
        <w:spacing w:before="50" w:after="50"/>
        <w:rPr>
          <w:rFonts w:hint="eastAsia" w:ascii="宋体" w:hAnsi="宋体" w:cs="宋体"/>
          <w:color w:val="auto"/>
          <w:sz w:val="32"/>
          <w:szCs w:val="20"/>
          <w:highlight w:val="none"/>
        </w:rPr>
      </w:pPr>
    </w:p>
    <w:p w14:paraId="6D1BCB07">
      <w:pPr>
        <w:snapToGrid w:val="0"/>
        <w:spacing w:before="50" w:after="50"/>
        <w:rPr>
          <w:rFonts w:hint="eastAsia" w:ascii="宋体" w:hAnsi="宋体" w:cs="宋体"/>
          <w:color w:val="auto"/>
          <w:sz w:val="32"/>
          <w:szCs w:val="20"/>
          <w:highlight w:val="none"/>
        </w:rPr>
      </w:pPr>
    </w:p>
    <w:p w14:paraId="258FFABF">
      <w:pPr>
        <w:snapToGrid w:val="0"/>
        <w:spacing w:before="50" w:after="50"/>
        <w:rPr>
          <w:rFonts w:hint="eastAsia" w:ascii="宋体" w:hAnsi="宋体" w:cs="宋体"/>
          <w:color w:val="auto"/>
          <w:sz w:val="32"/>
          <w:szCs w:val="20"/>
          <w:highlight w:val="none"/>
        </w:rPr>
      </w:pPr>
    </w:p>
    <w:p w14:paraId="3D81D208">
      <w:pPr>
        <w:snapToGrid w:val="0"/>
        <w:spacing w:before="50" w:after="50"/>
        <w:rPr>
          <w:rFonts w:hint="eastAsia" w:ascii="宋体" w:hAnsi="宋体" w:cs="宋体"/>
          <w:color w:val="auto"/>
          <w:sz w:val="32"/>
          <w:szCs w:val="20"/>
          <w:highlight w:val="none"/>
        </w:rPr>
      </w:pPr>
    </w:p>
    <w:p w14:paraId="718EEB17">
      <w:pPr>
        <w:outlineLvl w:val="1"/>
        <w:rPr>
          <w:rFonts w:hint="eastAsia" w:ascii="宋体" w:hAnsi="宋体" w:cs="宋体"/>
          <w:b/>
          <w:color w:val="auto"/>
          <w:sz w:val="28"/>
          <w:szCs w:val="28"/>
          <w:highlight w:val="none"/>
        </w:rPr>
      </w:pPr>
      <w:r>
        <w:rPr>
          <w:rFonts w:hint="eastAsia" w:ascii="宋体" w:hAnsi="宋体" w:cs="宋体"/>
          <w:color w:val="auto"/>
          <w:sz w:val="32"/>
          <w:szCs w:val="20"/>
          <w:highlight w:val="none"/>
        </w:rPr>
        <w:br w:type="page"/>
      </w:r>
      <w:bookmarkStart w:id="228" w:name="_Toc19686836"/>
      <w:bookmarkStart w:id="229" w:name="_Toc2369"/>
      <w:bookmarkStart w:id="230" w:name="_Toc7400"/>
      <w:bookmarkStart w:id="231" w:name="_Toc16660"/>
      <w:bookmarkStart w:id="232" w:name="_Toc254970698"/>
      <w:bookmarkStart w:id="233" w:name="_Toc254970557"/>
      <w:r>
        <w:rPr>
          <w:rFonts w:hint="eastAsia" w:ascii="宋体" w:hAnsi="宋体" w:cs="宋体"/>
          <w:b/>
          <w:color w:val="auto"/>
          <w:sz w:val="28"/>
          <w:szCs w:val="28"/>
          <w:highlight w:val="none"/>
        </w:rPr>
        <w:t>一、报价文件格式</w:t>
      </w:r>
      <w:bookmarkEnd w:id="228"/>
      <w:bookmarkEnd w:id="229"/>
      <w:bookmarkEnd w:id="230"/>
      <w:bookmarkEnd w:id="231"/>
    </w:p>
    <w:p w14:paraId="67EEFFB0">
      <w:pPr>
        <w:snapToGrid w:val="0"/>
        <w:spacing w:before="120" w:beforeLines="50" w:after="50" w:line="360" w:lineRule="auto"/>
        <w:ind w:left="142"/>
        <w:jc w:val="left"/>
        <w:rPr>
          <w:rFonts w:hint="eastAsia" w:ascii="宋体" w:hAnsi="宋体" w:cs="宋体"/>
          <w:color w:val="auto"/>
          <w:sz w:val="24"/>
          <w:szCs w:val="20"/>
          <w:highlight w:val="none"/>
        </w:rPr>
      </w:pPr>
      <w:r>
        <w:rPr>
          <w:rFonts w:hint="eastAsia" w:ascii="宋体" w:hAnsi="宋体" w:cs="宋体"/>
          <w:b/>
          <w:color w:val="auto"/>
          <w:sz w:val="24"/>
          <w:highlight w:val="none"/>
        </w:rPr>
        <w:t xml:space="preserve">1. 报价文件封面格式： </w:t>
      </w:r>
    </w:p>
    <w:p w14:paraId="15D3D7D5">
      <w:pPr>
        <w:snapToGrid w:val="0"/>
        <w:spacing w:before="120" w:beforeLines="50" w:after="50" w:line="360" w:lineRule="auto"/>
        <w:ind w:left="142"/>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484C7BB0">
      <w:pPr>
        <w:snapToGrid w:val="0"/>
        <w:spacing w:before="120" w:beforeLines="50" w:after="50" w:line="400" w:lineRule="exact"/>
        <w:rPr>
          <w:rFonts w:hint="eastAsia" w:ascii="宋体" w:hAnsi="宋体" w:cs="宋体"/>
          <w:bCs/>
          <w:color w:val="auto"/>
          <w:sz w:val="32"/>
          <w:szCs w:val="20"/>
          <w:highlight w:val="none"/>
        </w:rPr>
      </w:pPr>
      <w:r>
        <w:rPr>
          <w:rFonts w:hint="eastAsia" w:ascii="宋体" w:hAnsi="宋体" w:cs="宋体"/>
          <w:color w:val="auto"/>
          <w:sz w:val="24"/>
          <w:highlight w:val="none"/>
        </w:rPr>
        <w:t xml:space="preserve">                 </w:t>
      </w:r>
    </w:p>
    <w:p w14:paraId="734C5715">
      <w:pPr>
        <w:snapToGrid w:val="0"/>
        <w:spacing w:before="120" w:beforeLines="50" w:after="50" w:line="400" w:lineRule="exact"/>
        <w:jc w:val="center"/>
        <w:rPr>
          <w:rFonts w:hint="eastAsia" w:ascii="宋体" w:hAnsi="宋体" w:cs="宋体"/>
          <w:bCs/>
          <w:color w:val="auto"/>
          <w:sz w:val="24"/>
          <w:szCs w:val="20"/>
          <w:highlight w:val="none"/>
        </w:rPr>
      </w:pPr>
    </w:p>
    <w:p w14:paraId="615D0DD0">
      <w:pPr>
        <w:snapToGrid w:val="0"/>
        <w:spacing w:before="120" w:beforeLines="50" w:after="50" w:line="40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报价文件</w:t>
      </w:r>
    </w:p>
    <w:p w14:paraId="0A732CC7">
      <w:pPr>
        <w:snapToGrid w:val="0"/>
        <w:spacing w:before="120" w:beforeLines="50" w:after="50" w:line="400" w:lineRule="exact"/>
        <w:rPr>
          <w:rFonts w:hint="eastAsia" w:ascii="宋体" w:hAnsi="宋体" w:cs="宋体"/>
          <w:bCs/>
          <w:color w:val="auto"/>
          <w:sz w:val="24"/>
          <w:szCs w:val="20"/>
          <w:highlight w:val="none"/>
        </w:rPr>
      </w:pPr>
    </w:p>
    <w:p w14:paraId="4918C57F">
      <w:pPr>
        <w:snapToGrid w:val="0"/>
        <w:spacing w:before="120" w:beforeLines="50" w:after="50" w:line="400" w:lineRule="exact"/>
        <w:rPr>
          <w:rFonts w:hint="eastAsia" w:ascii="宋体" w:hAnsi="宋体" w:cs="宋体"/>
          <w:bCs/>
          <w:color w:val="auto"/>
          <w:sz w:val="24"/>
          <w:szCs w:val="20"/>
          <w:highlight w:val="none"/>
        </w:rPr>
      </w:pPr>
    </w:p>
    <w:p w14:paraId="60F19806">
      <w:pPr>
        <w:snapToGrid w:val="0"/>
        <w:spacing w:before="120" w:beforeLines="50" w:after="50" w:line="400" w:lineRule="exact"/>
        <w:rPr>
          <w:rFonts w:hint="eastAsia" w:ascii="宋体" w:hAnsi="宋体" w:cs="宋体"/>
          <w:bCs/>
          <w:color w:val="auto"/>
          <w:sz w:val="24"/>
          <w:szCs w:val="20"/>
          <w:highlight w:val="none"/>
        </w:rPr>
      </w:pPr>
    </w:p>
    <w:p w14:paraId="7F6DD465">
      <w:pPr>
        <w:snapToGrid w:val="0"/>
        <w:spacing w:before="120" w:beforeLines="50" w:after="50" w:line="400" w:lineRule="exact"/>
        <w:rPr>
          <w:rFonts w:hint="eastAsia" w:ascii="宋体" w:hAnsi="宋体" w:cs="宋体"/>
          <w:bCs/>
          <w:color w:val="auto"/>
          <w:sz w:val="24"/>
          <w:szCs w:val="20"/>
          <w:highlight w:val="none"/>
        </w:rPr>
      </w:pPr>
    </w:p>
    <w:p w14:paraId="70B4A3A4">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项目名称： </w:t>
      </w:r>
    </w:p>
    <w:p w14:paraId="63CA2FCB">
      <w:pPr>
        <w:snapToGrid w:val="0"/>
        <w:spacing w:before="120" w:beforeLines="50" w:after="50" w:line="400" w:lineRule="exact"/>
        <w:ind w:firstLine="360" w:firstLineChars="150"/>
        <w:rPr>
          <w:rFonts w:hint="eastAsia" w:ascii="宋体" w:hAnsi="宋体" w:cs="宋体"/>
          <w:bCs/>
          <w:color w:val="auto"/>
          <w:sz w:val="24"/>
          <w:highlight w:val="none"/>
        </w:rPr>
      </w:pPr>
    </w:p>
    <w:p w14:paraId="70728E21">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 xml:space="preserve">项目编号： </w:t>
      </w:r>
    </w:p>
    <w:p w14:paraId="0D8BF7AE">
      <w:pPr>
        <w:snapToGrid w:val="0"/>
        <w:spacing w:before="120" w:beforeLines="50" w:after="50" w:line="400" w:lineRule="exact"/>
        <w:ind w:firstLine="360" w:firstLineChars="150"/>
        <w:rPr>
          <w:rFonts w:hint="eastAsia" w:ascii="宋体" w:hAnsi="宋体" w:cs="宋体"/>
          <w:bCs/>
          <w:color w:val="auto"/>
          <w:sz w:val="24"/>
          <w:highlight w:val="none"/>
        </w:rPr>
      </w:pPr>
    </w:p>
    <w:p w14:paraId="1A0E8336">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51D49A2B">
      <w:pPr>
        <w:snapToGrid w:val="0"/>
        <w:spacing w:before="120" w:beforeLines="50" w:after="50" w:line="400" w:lineRule="exact"/>
        <w:ind w:firstLine="360" w:firstLineChars="150"/>
        <w:rPr>
          <w:rFonts w:hint="eastAsia" w:ascii="宋体" w:hAnsi="宋体" w:cs="宋体"/>
          <w:bCs/>
          <w:color w:val="auto"/>
          <w:sz w:val="24"/>
          <w:highlight w:val="none"/>
        </w:rPr>
      </w:pPr>
    </w:p>
    <w:p w14:paraId="42BC6A51">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投标人名称：</w:t>
      </w:r>
    </w:p>
    <w:p w14:paraId="6603527A">
      <w:pPr>
        <w:snapToGrid w:val="0"/>
        <w:spacing w:before="120" w:beforeLines="50" w:after="50" w:line="400" w:lineRule="exact"/>
        <w:ind w:firstLine="360" w:firstLineChars="150"/>
        <w:rPr>
          <w:rFonts w:hint="eastAsia" w:ascii="宋体" w:hAnsi="宋体" w:cs="宋体"/>
          <w:bCs/>
          <w:color w:val="auto"/>
          <w:sz w:val="24"/>
          <w:highlight w:val="none"/>
        </w:rPr>
      </w:pPr>
    </w:p>
    <w:p w14:paraId="4F0E5909">
      <w:pPr>
        <w:snapToGrid w:val="0"/>
        <w:spacing w:before="120" w:beforeLines="50" w:after="50" w:line="400" w:lineRule="exact"/>
        <w:ind w:firstLine="360" w:firstLineChars="150"/>
        <w:rPr>
          <w:rFonts w:hint="eastAsia" w:ascii="宋体" w:hAnsi="宋体" w:cs="宋体"/>
          <w:bCs/>
          <w:color w:val="auto"/>
          <w:sz w:val="24"/>
          <w:highlight w:val="none"/>
        </w:rPr>
      </w:pPr>
      <w:r>
        <w:rPr>
          <w:rFonts w:hint="eastAsia" w:ascii="宋体" w:hAnsi="宋体" w:cs="宋体"/>
          <w:bCs/>
          <w:color w:val="auto"/>
          <w:sz w:val="24"/>
          <w:highlight w:val="none"/>
        </w:rPr>
        <w:t>投标人地址：</w:t>
      </w:r>
    </w:p>
    <w:p w14:paraId="19625FFB">
      <w:pPr>
        <w:pStyle w:val="9"/>
        <w:snapToGrid w:val="0"/>
        <w:spacing w:before="50" w:after="50" w:line="400" w:lineRule="exact"/>
        <w:ind w:firstLine="960" w:firstLineChars="400"/>
        <w:rPr>
          <w:rFonts w:hint="eastAsia" w:ascii="宋体" w:hAnsi="宋体" w:cs="宋体"/>
          <w:bCs/>
          <w:color w:val="auto"/>
          <w:sz w:val="24"/>
          <w:szCs w:val="24"/>
          <w:highlight w:val="none"/>
        </w:rPr>
      </w:pPr>
    </w:p>
    <w:p w14:paraId="2A942AEC">
      <w:pPr>
        <w:snapToGrid w:val="0"/>
        <w:spacing w:before="120" w:beforeLines="50" w:after="50" w:line="400" w:lineRule="exact"/>
        <w:rPr>
          <w:rFonts w:hint="eastAsia" w:ascii="宋体" w:hAnsi="宋体" w:cs="宋体"/>
          <w:color w:val="auto"/>
          <w:sz w:val="30"/>
          <w:szCs w:val="20"/>
          <w:highlight w:val="none"/>
        </w:rPr>
      </w:pPr>
      <w:r>
        <w:rPr>
          <w:rFonts w:hint="eastAsia" w:ascii="宋体" w:hAnsi="宋体" w:cs="宋体"/>
          <w:color w:val="auto"/>
          <w:sz w:val="24"/>
          <w:highlight w:val="none"/>
        </w:rPr>
        <w:t xml:space="preserve">                                   年  月  日</w:t>
      </w:r>
    </w:p>
    <w:p w14:paraId="162570C0">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w:t>
      </w:r>
      <w:r>
        <w:rPr>
          <w:rFonts w:hint="eastAsia" w:ascii="宋体" w:hAnsi="宋体" w:cs="宋体"/>
          <w:b/>
          <w:bCs/>
          <w:color w:val="auto"/>
          <w:sz w:val="24"/>
          <w:highlight w:val="none"/>
        </w:rPr>
        <w:t>报价文件目录</w:t>
      </w:r>
    </w:p>
    <w:p w14:paraId="42E992AA">
      <w:pPr>
        <w:keepNext w:val="0"/>
        <w:keepLines w:val="0"/>
        <w:pageBreakBefore w:val="0"/>
        <w:widowControl w:val="0"/>
        <w:kinsoku/>
        <w:wordWrap/>
        <w:overflowPunct/>
        <w:topLinePunct w:val="0"/>
        <w:autoSpaceDE/>
        <w:autoSpaceDN/>
        <w:bidi w:val="0"/>
        <w:adjustRightInd/>
        <w:snapToGrid w:val="0"/>
        <w:spacing w:before="50" w:after="120" w:afterLines="50" w:line="400" w:lineRule="exact"/>
        <w:jc w:val="left"/>
        <w:textAlignment w:val="auto"/>
        <w:rPr>
          <w:rFonts w:hint="eastAsia" w:ascii="宋体" w:hAnsi="宋体" w:cs="宋体"/>
          <w:b/>
          <w:color w:val="auto"/>
          <w:sz w:val="24"/>
          <w:highlight w:val="none"/>
        </w:rPr>
      </w:pPr>
      <w:r>
        <w:rPr>
          <w:rFonts w:hint="eastAsia" w:ascii="宋体" w:hAnsi="宋体" w:cs="宋体"/>
          <w:color w:val="auto"/>
          <w:szCs w:val="21"/>
          <w:highlight w:val="none"/>
        </w:rPr>
        <w:t>根据招标文件规定及投标人提供的材料自行编写目录。</w:t>
      </w:r>
    </w:p>
    <w:p w14:paraId="5B34A4B2">
      <w:pPr>
        <w:snapToGrid w:val="0"/>
        <w:spacing w:before="120" w:beforeLines="50" w:after="50"/>
        <w:rPr>
          <w:rFonts w:hint="eastAsia" w:ascii="宋体" w:hAnsi="宋体" w:cs="宋体"/>
          <w:b/>
          <w:color w:val="auto"/>
          <w:sz w:val="24"/>
          <w:highlight w:val="none"/>
        </w:rPr>
      </w:pPr>
    </w:p>
    <w:p w14:paraId="32EDCFCB">
      <w:pPr>
        <w:snapToGrid w:val="0"/>
        <w:spacing w:before="120" w:beforeLines="50" w:after="50"/>
        <w:rPr>
          <w:rFonts w:hint="eastAsia" w:ascii="宋体" w:hAnsi="宋体" w:cs="宋体"/>
          <w:b/>
          <w:color w:val="auto"/>
          <w:sz w:val="24"/>
          <w:highlight w:val="none"/>
        </w:rPr>
      </w:pPr>
    </w:p>
    <w:p w14:paraId="7915AB50">
      <w:pPr>
        <w:snapToGrid w:val="0"/>
        <w:spacing w:before="120" w:beforeLines="50" w:after="50"/>
        <w:rPr>
          <w:rFonts w:hint="eastAsia" w:ascii="宋体" w:hAnsi="宋体" w:cs="宋体"/>
          <w:b/>
          <w:color w:val="auto"/>
          <w:sz w:val="24"/>
          <w:highlight w:val="none"/>
        </w:rPr>
      </w:pPr>
    </w:p>
    <w:p w14:paraId="3221CC36">
      <w:pPr>
        <w:snapToGrid w:val="0"/>
        <w:spacing w:before="120"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 投标函格式：</w:t>
      </w:r>
    </w:p>
    <w:p w14:paraId="12101210">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投 标 函</w:t>
      </w:r>
    </w:p>
    <w:p w14:paraId="40C5B2CC">
      <w:pPr>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采购人名称</w:t>
      </w:r>
    </w:p>
    <w:p w14:paraId="78A8561C">
      <w:pPr>
        <w:keepNext w:val="0"/>
        <w:keepLines w:val="0"/>
        <w:pageBreakBefore w:val="0"/>
        <w:widowControl w:val="0"/>
        <w:kinsoku/>
        <w:wordWrap/>
        <w:overflowPunct/>
        <w:topLinePunct w:val="0"/>
        <w:autoSpaceDE/>
        <w:autoSpaceDN/>
        <w:bidi w:val="0"/>
        <w:adjustRightInd/>
        <w:snapToGrid w:val="0"/>
        <w:spacing w:line="400" w:lineRule="exact"/>
        <w:ind w:firstLine="480"/>
        <w:textAlignment w:val="auto"/>
        <w:rPr>
          <w:rFonts w:hint="eastAsia" w:ascii="宋体" w:hAnsi="宋体" w:cs="宋体"/>
          <w:color w:val="auto"/>
          <w:szCs w:val="21"/>
          <w:highlight w:val="none"/>
        </w:rPr>
      </w:pPr>
      <w:r>
        <w:rPr>
          <w:rFonts w:hint="eastAsia" w:ascii="宋体" w:hAnsi="宋体" w:cs="宋体"/>
          <w:color w:val="auto"/>
          <w:szCs w:val="21"/>
          <w:highlight w:val="none"/>
        </w:rPr>
        <w:t>根据贵方</w:t>
      </w:r>
      <w:r>
        <w:rPr>
          <w:rFonts w:hint="eastAsia" w:ascii="宋体" w:hAnsi="宋体" w:cs="宋体"/>
          <w:color w:val="auto"/>
          <w:szCs w:val="21"/>
          <w:highlight w:val="none"/>
          <w:u w:val="single"/>
        </w:rPr>
        <w:t xml:space="preserve">     项目名称  </w:t>
      </w:r>
      <w:r>
        <w:rPr>
          <w:rFonts w:hint="eastAsia" w:ascii="宋体" w:hAnsi="宋体" w:cs="宋体"/>
          <w:color w:val="auto"/>
          <w:szCs w:val="21"/>
          <w:highlight w:val="none"/>
        </w:rPr>
        <w:t>（项目编号：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）的招标文件，签字代表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（姓名）经正式授权并代表投标人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（投标人名称）提交投标文件。</w:t>
      </w:r>
    </w:p>
    <w:p w14:paraId="6A98F8CC">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据此函，我方宣布同意如下：</w:t>
      </w:r>
    </w:p>
    <w:p w14:paraId="7F795F61">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1.我方已详细审查全部“招标文件”，包括修改文件（如有的话）以及全部参考资料和有关附件，已经了解我方对于招标文件、采购过程、采购结果有依法进行询问、质疑、投诉的权利及相关渠道和要求。</w:t>
      </w:r>
    </w:p>
    <w:p w14:paraId="30317BB1">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2.我方在投标之前已经完全理解并接受招标文件的各项规定和要求，对招标文件的合理性、合法性不再有异议。</w:t>
      </w:r>
    </w:p>
    <w:p w14:paraId="0B37841D">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3.本投标有效期自投标截止之日起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4325FE72">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4.如中标，本投标文件至本项目合同履行完毕止均保持有效，我方将按“招标文件”及政府采购</w:t>
      </w:r>
      <w:r>
        <w:rPr>
          <w:rFonts w:hint="eastAsia" w:ascii="宋体" w:hAnsi="宋体" w:cs="宋体"/>
          <w:color w:val="auto"/>
          <w:szCs w:val="21"/>
          <w:highlight w:val="none"/>
          <w:lang w:eastAsia="zh-CN"/>
        </w:rPr>
        <w:t>法律法规</w:t>
      </w:r>
      <w:r>
        <w:rPr>
          <w:rFonts w:hint="eastAsia" w:ascii="宋体" w:hAnsi="宋体" w:cs="宋体"/>
          <w:color w:val="auto"/>
          <w:szCs w:val="21"/>
          <w:highlight w:val="none"/>
        </w:rPr>
        <w:t>的规定履行合同责任和义务。</w:t>
      </w:r>
    </w:p>
    <w:p w14:paraId="61B76753">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5.我方同意按照贵方要求提供与投标有关的一切数据或者资料。</w:t>
      </w:r>
    </w:p>
    <w:p w14:paraId="7F1B3C31">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6.我方向贵方提交的所有投标文件、资料都是准确的和真实的。</w:t>
      </w:r>
    </w:p>
    <w:p w14:paraId="0801A828">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7.以上事项如有虚假或者隐瞒，我方愿意承担一切后果，并不再寻求任何旨在减轻或者免除法律责任的辩解。</w:t>
      </w:r>
    </w:p>
    <w:p w14:paraId="1D62CABC">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8.根据《中华人民共和国政府采购法实施条例》第五十条要求对政府采购合同进行公告，但政府采购合同中涉及国家秘密、商业秘密的内容除外。我方就对本次投标文件进行注明如下：（两项内容中必须选择一项）</w:t>
      </w:r>
    </w:p>
    <w:p w14:paraId="394F9CC6">
      <w:pPr>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内容中</w:t>
      </w:r>
      <w:r>
        <w:rPr>
          <w:rFonts w:hint="eastAsia" w:ascii="宋体" w:hAnsi="宋体" w:cs="宋体"/>
          <w:color w:val="auto"/>
          <w:szCs w:val="21"/>
          <w:highlight w:val="none"/>
        </w:rPr>
        <w:t>未</w:t>
      </w:r>
      <w:r>
        <w:rPr>
          <w:rFonts w:hint="eastAsia" w:ascii="宋体" w:hAnsi="宋体" w:cs="宋体"/>
          <w:color w:val="auto"/>
          <w:kern w:val="0"/>
          <w:szCs w:val="21"/>
          <w:highlight w:val="none"/>
        </w:rPr>
        <w:t>涉及商业秘密；</w:t>
      </w:r>
    </w:p>
    <w:p w14:paraId="401BDE84">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□我方本次投标文件</w:t>
      </w:r>
      <w:r>
        <w:rPr>
          <w:rFonts w:hint="eastAsia" w:ascii="宋体" w:hAnsi="宋体" w:cs="宋体"/>
          <w:color w:val="auto"/>
          <w:kern w:val="0"/>
          <w:szCs w:val="21"/>
          <w:highlight w:val="none"/>
        </w:rPr>
        <w:t>涉及商业秘密的内容有：</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14:paraId="057BF22D">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9.与本项目有关的一切正式往来信函请寄：</w:t>
      </w:r>
    </w:p>
    <w:p w14:paraId="02DA897F">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邮编：</w:t>
      </w:r>
      <w:r>
        <w:rPr>
          <w:rFonts w:hint="eastAsia" w:ascii="宋体" w:hAnsi="宋体" w:cs="宋体"/>
          <w:color w:val="auto"/>
          <w:szCs w:val="21"/>
          <w:highlight w:val="none"/>
          <w:u w:val="single"/>
        </w:rPr>
        <w:t xml:space="preserve">            </w:t>
      </w:r>
    </w:p>
    <w:p w14:paraId="5F84FB08">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联系人：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传真：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电子邮箱：</w:t>
      </w:r>
      <w:r>
        <w:rPr>
          <w:rFonts w:hint="eastAsia" w:ascii="宋体" w:hAnsi="宋体" w:cs="宋体"/>
          <w:color w:val="auto"/>
          <w:szCs w:val="21"/>
          <w:highlight w:val="none"/>
          <w:u w:val="single"/>
        </w:rPr>
        <w:t xml:space="preserve">         </w:t>
      </w:r>
    </w:p>
    <w:p w14:paraId="7B9CF0D3">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投标人名称：</w:t>
      </w:r>
      <w:r>
        <w:rPr>
          <w:rFonts w:hint="eastAsia" w:ascii="宋体" w:hAnsi="宋体" w:cs="宋体"/>
          <w:color w:val="auto"/>
          <w:szCs w:val="21"/>
          <w:highlight w:val="none"/>
          <w:u w:val="single"/>
        </w:rPr>
        <w:t xml:space="preserve">                </w:t>
      </w:r>
    </w:p>
    <w:p w14:paraId="15D7D801">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开户银行：</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银行账号：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462DA222">
      <w:pPr>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26F12C6D">
      <w:pPr>
        <w:keepNext w:val="0"/>
        <w:keepLines w:val="0"/>
        <w:pageBreakBefore w:val="0"/>
        <w:widowControl w:val="0"/>
        <w:kinsoku/>
        <w:wordWrap/>
        <w:overflowPunct/>
        <w:topLinePunct w:val="0"/>
        <w:autoSpaceDE/>
        <w:autoSpaceDN/>
        <w:bidi w:val="0"/>
        <w:adjustRightInd/>
        <w:snapToGrid w:val="0"/>
        <w:spacing w:line="400" w:lineRule="exact"/>
        <w:ind w:firstLine="3045" w:firstLineChars="1450"/>
        <w:jc w:val="left"/>
        <w:textAlignment w:val="auto"/>
        <w:rPr>
          <w:rFonts w:hint="eastAsia" w:ascii="宋体" w:hAnsi="宋体" w:cs="宋体"/>
          <w:color w:val="auto"/>
          <w:szCs w:val="21"/>
          <w:highlight w:val="none"/>
        </w:rPr>
      </w:pPr>
    </w:p>
    <w:p w14:paraId="77154CC5">
      <w:pPr>
        <w:keepNext w:val="0"/>
        <w:keepLines w:val="0"/>
        <w:pageBreakBefore w:val="0"/>
        <w:widowControl w:val="0"/>
        <w:kinsoku/>
        <w:wordWrap/>
        <w:overflowPunct/>
        <w:topLinePunct w:val="0"/>
        <w:autoSpaceDE/>
        <w:autoSpaceDN/>
        <w:bidi w:val="0"/>
        <w:adjustRightInd/>
        <w:snapToGrid w:val="0"/>
        <w:spacing w:line="400" w:lineRule="exact"/>
        <w:ind w:firstLine="3045" w:firstLineChars="1450"/>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法定代表人或者委托代理人（签字或者电子签名）：</w:t>
      </w:r>
      <w:r>
        <w:rPr>
          <w:rFonts w:hint="eastAsia" w:ascii="宋体" w:hAnsi="宋体" w:cs="宋体"/>
          <w:color w:val="auto"/>
          <w:szCs w:val="21"/>
          <w:highlight w:val="none"/>
          <w:u w:val="single"/>
        </w:rPr>
        <w:t xml:space="preserve">          </w:t>
      </w:r>
    </w:p>
    <w:p w14:paraId="00344C24">
      <w:pPr>
        <w:pStyle w:val="20"/>
        <w:keepNext w:val="0"/>
        <w:keepLines w:val="0"/>
        <w:pageBreakBefore w:val="0"/>
        <w:widowControl w:val="0"/>
        <w:kinsoku/>
        <w:wordWrap/>
        <w:overflowPunct/>
        <w:topLinePunct w:val="0"/>
        <w:autoSpaceDE/>
        <w:autoSpaceDN/>
        <w:bidi w:val="0"/>
        <w:adjustRightInd/>
        <w:snapToGrid w:val="0"/>
        <w:spacing w:before="295" w:after="295" w:line="400" w:lineRule="exact"/>
        <w:jc w:val="center"/>
        <w:textAlignment w:val="auto"/>
        <w:rPr>
          <w:rFonts w:hint="eastAsia" w:hAnsi="宋体" w:cs="宋体"/>
          <w:color w:val="auto"/>
          <w:highlight w:val="none"/>
          <w:u w:val="single"/>
        </w:rPr>
      </w:pPr>
      <w:r>
        <w:rPr>
          <w:rFonts w:hint="eastAsia" w:hAnsi="宋体" w:cs="宋体"/>
          <w:color w:val="auto"/>
          <w:highlight w:val="none"/>
        </w:rPr>
        <w:t xml:space="preserve">                                     投标人名称（电子签章）：</w:t>
      </w:r>
      <w:r>
        <w:rPr>
          <w:rFonts w:hint="eastAsia" w:hAnsi="宋体" w:cs="宋体"/>
          <w:color w:val="auto"/>
          <w:highlight w:val="none"/>
          <w:u w:val="single"/>
        </w:rPr>
        <w:t xml:space="preserve">          </w:t>
      </w:r>
    </w:p>
    <w:p w14:paraId="724F3298">
      <w:pPr>
        <w:pStyle w:val="20"/>
        <w:keepNext w:val="0"/>
        <w:keepLines w:val="0"/>
        <w:pageBreakBefore w:val="0"/>
        <w:widowControl w:val="0"/>
        <w:kinsoku/>
        <w:wordWrap/>
        <w:overflowPunct/>
        <w:topLinePunct w:val="0"/>
        <w:autoSpaceDE/>
        <w:autoSpaceDN/>
        <w:bidi w:val="0"/>
        <w:adjustRightInd/>
        <w:snapToGrid w:val="0"/>
        <w:spacing w:before="295" w:after="295" w:line="400" w:lineRule="exact"/>
        <w:textAlignment w:val="auto"/>
        <w:rPr>
          <w:rFonts w:hint="eastAsia" w:hAnsi="宋体" w:cs="宋体"/>
          <w:color w:val="auto"/>
          <w:highlight w:val="non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119CF075">
      <w:pPr>
        <w:snapToGrid w:val="0"/>
        <w:spacing w:before="120" w:beforeLines="50" w:after="50"/>
        <w:jc w:val="left"/>
        <w:rPr>
          <w:rFonts w:hint="eastAsia" w:ascii="宋体" w:hAnsi="宋体" w:cs="宋体"/>
          <w:b/>
          <w:color w:val="auto"/>
          <w:sz w:val="24"/>
          <w:szCs w:val="20"/>
          <w:highlight w:val="none"/>
        </w:rPr>
      </w:pPr>
      <w:r>
        <w:rPr>
          <w:rFonts w:hint="eastAsia" w:ascii="宋体" w:hAnsi="宋体" w:cs="宋体"/>
          <w:color w:val="auto"/>
          <w:highlight w:val="none"/>
          <w:u w:val="single"/>
        </w:rPr>
        <w:br w:type="page"/>
      </w:r>
      <w:r>
        <w:rPr>
          <w:rFonts w:hint="eastAsia" w:ascii="宋体" w:hAnsi="宋体" w:cs="宋体"/>
          <w:b/>
          <w:color w:val="auto"/>
          <w:sz w:val="24"/>
          <w:highlight w:val="none"/>
        </w:rPr>
        <w:t>4.开标一览表（服务类格式）</w:t>
      </w:r>
    </w:p>
    <w:p w14:paraId="0024E12B">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开标一览表</w:t>
      </w:r>
    </w:p>
    <w:p w14:paraId="261E919E">
      <w:pPr>
        <w:jc w:val="center"/>
        <w:rPr>
          <w:b/>
          <w:color w:val="auto"/>
          <w:szCs w:val="21"/>
          <w:highlight w:val="none"/>
        </w:rPr>
      </w:pPr>
      <w:r>
        <w:rPr>
          <w:rFonts w:hint="eastAsia"/>
          <w:b/>
          <w:color w:val="auto"/>
          <w:szCs w:val="21"/>
          <w:highlight w:val="none"/>
          <w:lang w:val="en-US" w:eastAsia="zh-CN"/>
        </w:rPr>
        <w:t xml:space="preserve">   </w:t>
      </w:r>
    </w:p>
    <w:p w14:paraId="7DC528FF">
      <w:pPr>
        <w:ind w:firstLine="2415" w:firstLineChars="1150"/>
        <w:rPr>
          <w:color w:val="auto"/>
          <w:szCs w:val="21"/>
          <w:highlight w:val="none"/>
        </w:rPr>
      </w:pPr>
      <w:r>
        <w:rPr>
          <w:color w:val="auto"/>
          <w:szCs w:val="21"/>
          <w:highlight w:val="none"/>
        </w:rPr>
        <w:t xml:space="preserve">                            金额单位：人民币（元）</w:t>
      </w:r>
    </w:p>
    <w:tbl>
      <w:tblPr>
        <w:tblStyle w:val="39"/>
        <w:tblW w:w="9455" w:type="dxa"/>
        <w:jc w:val="center"/>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Layout w:type="fixed"/>
        <w:tblCellMar>
          <w:top w:w="0" w:type="dxa"/>
          <w:left w:w="108" w:type="dxa"/>
          <w:bottom w:w="0" w:type="dxa"/>
          <w:right w:w="108" w:type="dxa"/>
        </w:tblCellMar>
      </w:tblPr>
      <w:tblGrid>
        <w:gridCol w:w="714"/>
        <w:gridCol w:w="1234"/>
        <w:gridCol w:w="1661"/>
        <w:gridCol w:w="1550"/>
        <w:gridCol w:w="859"/>
        <w:gridCol w:w="874"/>
        <w:gridCol w:w="1893"/>
        <w:gridCol w:w="670"/>
      </w:tblGrid>
      <w:tr w14:paraId="2EC4B7ED">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714" w:type="dxa"/>
            <w:tcBorders>
              <w:top w:val="single" w:color="000000" w:sz="4" w:space="0"/>
              <w:left w:val="single" w:color="000000" w:sz="4" w:space="0"/>
              <w:bottom w:val="single" w:color="000000" w:sz="4" w:space="0"/>
              <w:right w:val="single" w:color="000000" w:sz="4" w:space="0"/>
            </w:tcBorders>
            <w:vAlign w:val="center"/>
          </w:tcPr>
          <w:p w14:paraId="0FC2AD3C">
            <w:pPr>
              <w:jc w:val="center"/>
              <w:rPr>
                <w:b/>
                <w:bCs/>
                <w:color w:val="auto"/>
                <w:spacing w:val="20"/>
                <w:szCs w:val="21"/>
                <w:highlight w:val="none"/>
              </w:rPr>
            </w:pPr>
            <w:r>
              <w:rPr>
                <w:b/>
                <w:bCs/>
                <w:color w:val="auto"/>
                <w:szCs w:val="21"/>
                <w:highlight w:val="none"/>
              </w:rPr>
              <w:t>序号</w:t>
            </w:r>
          </w:p>
        </w:tc>
        <w:tc>
          <w:tcPr>
            <w:tcW w:w="1234" w:type="dxa"/>
            <w:tcBorders>
              <w:top w:val="single" w:color="000000" w:sz="4" w:space="0"/>
              <w:left w:val="single" w:color="000000" w:sz="4" w:space="0"/>
              <w:bottom w:val="single" w:color="000000" w:sz="4" w:space="0"/>
              <w:right w:val="single" w:color="000000" w:sz="4" w:space="0"/>
            </w:tcBorders>
            <w:vAlign w:val="center"/>
          </w:tcPr>
          <w:p w14:paraId="3A7C8E2B">
            <w:pPr>
              <w:jc w:val="center"/>
              <w:rPr>
                <w:b/>
                <w:bCs/>
                <w:color w:val="auto"/>
                <w:szCs w:val="21"/>
                <w:highlight w:val="none"/>
              </w:rPr>
            </w:pPr>
            <w:r>
              <w:rPr>
                <w:rFonts w:ascii="Arial" w:hAnsi="Arial" w:cs="Arial"/>
                <w:b/>
                <w:bCs/>
                <w:color w:val="auto"/>
                <w:kern w:val="0"/>
                <w:szCs w:val="21"/>
                <w:highlight w:val="none"/>
              </w:rPr>
              <w:t>品  名</w:t>
            </w:r>
          </w:p>
        </w:tc>
        <w:tc>
          <w:tcPr>
            <w:tcW w:w="1661" w:type="dxa"/>
            <w:tcBorders>
              <w:top w:val="single" w:color="000000" w:sz="4" w:space="0"/>
              <w:left w:val="single" w:color="000000" w:sz="4" w:space="0"/>
              <w:bottom w:val="single" w:color="000000" w:sz="4" w:space="0"/>
              <w:right w:val="single" w:color="000000" w:sz="4" w:space="0"/>
            </w:tcBorders>
            <w:vAlign w:val="center"/>
          </w:tcPr>
          <w:p w14:paraId="7F85E658">
            <w:pPr>
              <w:jc w:val="center"/>
              <w:rPr>
                <w:b/>
                <w:bCs/>
                <w:color w:val="auto"/>
                <w:szCs w:val="21"/>
                <w:highlight w:val="none"/>
              </w:rPr>
            </w:pPr>
            <w:r>
              <w:rPr>
                <w:rFonts w:ascii="Arial" w:hAnsi="Arial" w:cs="Arial"/>
                <w:b/>
                <w:bCs/>
                <w:color w:val="auto"/>
                <w:kern w:val="0"/>
                <w:szCs w:val="21"/>
                <w:highlight w:val="none"/>
              </w:rPr>
              <w:t>规  格</w:t>
            </w:r>
          </w:p>
        </w:tc>
        <w:tc>
          <w:tcPr>
            <w:tcW w:w="1550" w:type="dxa"/>
            <w:tcBorders>
              <w:top w:val="single" w:color="000000" w:sz="4" w:space="0"/>
              <w:left w:val="single" w:color="000000" w:sz="4" w:space="0"/>
              <w:bottom w:val="single" w:color="000000" w:sz="4" w:space="0"/>
              <w:right w:val="single" w:color="000000" w:sz="4" w:space="0"/>
            </w:tcBorders>
            <w:vAlign w:val="center"/>
          </w:tcPr>
          <w:p w14:paraId="5766EA60">
            <w:pPr>
              <w:jc w:val="center"/>
              <w:rPr>
                <w:b/>
                <w:bCs/>
                <w:color w:val="auto"/>
                <w:szCs w:val="21"/>
                <w:highlight w:val="none"/>
              </w:rPr>
            </w:pPr>
            <w:r>
              <w:rPr>
                <w:rFonts w:hint="eastAsia"/>
                <w:b/>
                <w:bCs/>
                <w:color w:val="auto"/>
                <w:szCs w:val="21"/>
                <w:highlight w:val="none"/>
              </w:rPr>
              <w:t>单价（元）</w:t>
            </w:r>
          </w:p>
        </w:tc>
        <w:tc>
          <w:tcPr>
            <w:tcW w:w="859" w:type="dxa"/>
            <w:tcBorders>
              <w:top w:val="single" w:color="000000" w:sz="4" w:space="0"/>
              <w:left w:val="single" w:color="000000" w:sz="4" w:space="0"/>
              <w:bottom w:val="single" w:color="000000" w:sz="4" w:space="0"/>
              <w:right w:val="single" w:color="000000" w:sz="4" w:space="0"/>
            </w:tcBorders>
            <w:vAlign w:val="center"/>
          </w:tcPr>
          <w:p w14:paraId="223A4E27">
            <w:pPr>
              <w:jc w:val="center"/>
              <w:rPr>
                <w:rFonts w:hint="default" w:eastAsia="宋体"/>
                <w:b/>
                <w:bCs/>
                <w:color w:val="auto"/>
                <w:szCs w:val="21"/>
                <w:highlight w:val="none"/>
                <w:lang w:val="en-US" w:eastAsia="zh-CN"/>
              </w:rPr>
            </w:pPr>
            <w:r>
              <w:rPr>
                <w:rFonts w:hint="eastAsia"/>
                <w:b/>
                <w:bCs/>
                <w:color w:val="auto"/>
                <w:szCs w:val="21"/>
                <w:highlight w:val="none"/>
                <w:lang w:val="en-US" w:eastAsia="zh-CN"/>
              </w:rPr>
              <w:t>单位</w:t>
            </w:r>
          </w:p>
        </w:tc>
        <w:tc>
          <w:tcPr>
            <w:tcW w:w="874" w:type="dxa"/>
            <w:tcBorders>
              <w:top w:val="single" w:color="000000" w:sz="4" w:space="0"/>
              <w:left w:val="single" w:color="000000" w:sz="4" w:space="0"/>
              <w:bottom w:val="single" w:color="000000" w:sz="4" w:space="0"/>
              <w:right w:val="single" w:color="000000" w:sz="4" w:space="0"/>
            </w:tcBorders>
            <w:vAlign w:val="center"/>
          </w:tcPr>
          <w:p w14:paraId="17D4A9A7">
            <w:pPr>
              <w:jc w:val="center"/>
              <w:rPr>
                <w:rFonts w:hint="eastAsia" w:eastAsia="宋体"/>
                <w:b/>
                <w:bCs/>
                <w:color w:val="auto"/>
                <w:szCs w:val="21"/>
                <w:highlight w:val="none"/>
                <w:lang w:val="en-US" w:eastAsia="zh-CN"/>
              </w:rPr>
            </w:pPr>
            <w:r>
              <w:rPr>
                <w:rFonts w:hint="eastAsia"/>
                <w:b/>
                <w:bCs/>
                <w:color w:val="auto"/>
                <w:szCs w:val="21"/>
                <w:highlight w:val="none"/>
              </w:rPr>
              <w:t>2年暂估量</w:t>
            </w:r>
          </w:p>
        </w:tc>
        <w:tc>
          <w:tcPr>
            <w:tcW w:w="1893" w:type="dxa"/>
            <w:tcBorders>
              <w:top w:val="single" w:color="000000" w:sz="4" w:space="0"/>
              <w:left w:val="single" w:color="000000" w:sz="4" w:space="0"/>
              <w:bottom w:val="single" w:color="000000" w:sz="4" w:space="0"/>
              <w:right w:val="single" w:color="000000" w:sz="4" w:space="0"/>
            </w:tcBorders>
            <w:vAlign w:val="center"/>
          </w:tcPr>
          <w:p w14:paraId="1AE1CEDB">
            <w:pPr>
              <w:jc w:val="center"/>
              <w:rPr>
                <w:rFonts w:hint="default"/>
                <w:b/>
                <w:bCs/>
                <w:color w:val="auto"/>
                <w:szCs w:val="21"/>
                <w:highlight w:val="none"/>
                <w:lang w:val="en-US"/>
              </w:rPr>
            </w:pPr>
            <w:r>
              <w:rPr>
                <w:rFonts w:hint="eastAsia"/>
                <w:b/>
                <w:bCs/>
                <w:color w:val="auto"/>
                <w:szCs w:val="21"/>
                <w:highlight w:val="none"/>
                <w:lang w:val="en-US" w:eastAsia="zh-CN"/>
              </w:rPr>
              <w:t>单项合计（元）</w:t>
            </w:r>
          </w:p>
        </w:tc>
        <w:tc>
          <w:tcPr>
            <w:tcW w:w="670" w:type="dxa"/>
            <w:tcBorders>
              <w:top w:val="single" w:color="000000" w:sz="4" w:space="0"/>
              <w:left w:val="single" w:color="000000" w:sz="4" w:space="0"/>
              <w:bottom w:val="single" w:color="000000" w:sz="4" w:space="0"/>
              <w:right w:val="single" w:color="000000" w:sz="4" w:space="0"/>
            </w:tcBorders>
            <w:vAlign w:val="center"/>
          </w:tcPr>
          <w:p w14:paraId="6CA4CDC2">
            <w:pPr>
              <w:jc w:val="center"/>
              <w:rPr>
                <w:rFonts w:hint="eastAsia" w:eastAsia="宋体"/>
                <w:b/>
                <w:bCs/>
                <w:color w:val="auto"/>
                <w:szCs w:val="21"/>
                <w:highlight w:val="none"/>
                <w:lang w:val="en-US" w:eastAsia="zh-CN"/>
              </w:rPr>
            </w:pPr>
            <w:r>
              <w:rPr>
                <w:rFonts w:hint="eastAsia"/>
                <w:b/>
                <w:bCs/>
                <w:color w:val="auto"/>
                <w:szCs w:val="21"/>
                <w:highlight w:val="none"/>
                <w:lang w:val="en-US" w:eastAsia="zh-CN"/>
              </w:rPr>
              <w:t>备注</w:t>
            </w:r>
          </w:p>
        </w:tc>
      </w:tr>
      <w:tr w14:paraId="318C5F72">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714" w:type="dxa"/>
            <w:tcBorders>
              <w:top w:val="single" w:color="000000" w:sz="4" w:space="0"/>
              <w:left w:val="single" w:color="000000" w:sz="4" w:space="0"/>
              <w:bottom w:val="single" w:color="000000" w:sz="4" w:space="0"/>
              <w:right w:val="single" w:color="000000" w:sz="4" w:space="0"/>
            </w:tcBorders>
            <w:vAlign w:val="center"/>
          </w:tcPr>
          <w:p w14:paraId="500F1B09">
            <w:pPr>
              <w:jc w:val="center"/>
              <w:rPr>
                <w:color w:val="auto"/>
                <w:spacing w:val="20"/>
                <w:szCs w:val="21"/>
                <w:highlight w:val="none"/>
              </w:rPr>
            </w:pPr>
            <w:r>
              <w:rPr>
                <w:rFonts w:hint="eastAsia"/>
                <w:color w:val="auto"/>
                <w:spacing w:val="20"/>
                <w:szCs w:val="21"/>
                <w:highlight w:val="none"/>
              </w:rPr>
              <w:t>1</w:t>
            </w:r>
          </w:p>
        </w:tc>
        <w:tc>
          <w:tcPr>
            <w:tcW w:w="1234" w:type="dxa"/>
            <w:tcBorders>
              <w:top w:val="single" w:color="000000" w:sz="4" w:space="0"/>
              <w:left w:val="single" w:color="000000" w:sz="4" w:space="0"/>
              <w:bottom w:val="single" w:color="000000" w:sz="4" w:space="0"/>
              <w:right w:val="single" w:color="000000" w:sz="4" w:space="0"/>
            </w:tcBorders>
            <w:vAlign w:val="center"/>
          </w:tcPr>
          <w:p w14:paraId="6E8CF6F1">
            <w:pPr>
              <w:jc w:val="center"/>
              <w:rPr>
                <w:bCs/>
                <w:color w:val="auto"/>
                <w:spacing w:val="20"/>
                <w:szCs w:val="21"/>
                <w:highlight w:val="none"/>
              </w:rPr>
            </w:pPr>
            <w:r>
              <w:rPr>
                <w:rFonts w:ascii="Arial" w:hAnsi="Arial" w:cs="Arial"/>
                <w:bCs/>
                <w:color w:val="auto"/>
                <w:szCs w:val="21"/>
                <w:highlight w:val="none"/>
              </w:rPr>
              <w:t>医用液态氧</w:t>
            </w:r>
          </w:p>
        </w:tc>
        <w:tc>
          <w:tcPr>
            <w:tcW w:w="1661" w:type="dxa"/>
            <w:tcBorders>
              <w:top w:val="single" w:color="000000" w:sz="4" w:space="0"/>
              <w:left w:val="single" w:color="000000" w:sz="4" w:space="0"/>
              <w:bottom w:val="single" w:color="000000" w:sz="4" w:space="0"/>
              <w:right w:val="single" w:color="000000" w:sz="4" w:space="0"/>
            </w:tcBorders>
            <w:vAlign w:val="center"/>
          </w:tcPr>
          <w:p w14:paraId="69C38575">
            <w:pPr>
              <w:jc w:val="center"/>
              <w:rPr>
                <w:bCs/>
                <w:color w:val="auto"/>
                <w:spacing w:val="20"/>
                <w:szCs w:val="21"/>
                <w:highlight w:val="none"/>
              </w:rPr>
            </w:pPr>
            <w:r>
              <w:rPr>
                <w:rFonts w:ascii="Arial" w:hAnsi="Arial" w:cs="Arial"/>
                <w:bCs/>
                <w:color w:val="auto"/>
                <w:kern w:val="0"/>
                <w:szCs w:val="21"/>
                <w:highlight w:val="none"/>
              </w:rPr>
              <w:t>O</w:t>
            </w:r>
            <w:r>
              <w:rPr>
                <w:rFonts w:ascii="Arial" w:hAnsi="Arial" w:cs="Arial"/>
                <w:bCs/>
                <w:color w:val="auto"/>
                <w:kern w:val="0"/>
                <w:szCs w:val="21"/>
                <w:highlight w:val="none"/>
                <w:vertAlign w:val="subscript"/>
              </w:rPr>
              <w:t>2</w:t>
            </w:r>
            <w:r>
              <w:rPr>
                <w:rFonts w:ascii="Arial" w:hAnsi="Arial" w:cs="Arial"/>
                <w:bCs/>
                <w:color w:val="auto"/>
                <w:kern w:val="0"/>
                <w:szCs w:val="21"/>
                <w:highlight w:val="none"/>
              </w:rPr>
              <w:t>≥99.5%</w:t>
            </w:r>
          </w:p>
        </w:tc>
        <w:tc>
          <w:tcPr>
            <w:tcW w:w="1550" w:type="dxa"/>
            <w:tcBorders>
              <w:top w:val="single" w:color="000000" w:sz="4" w:space="0"/>
              <w:left w:val="single" w:color="000000" w:sz="4" w:space="0"/>
              <w:bottom w:val="single" w:color="000000" w:sz="4" w:space="0"/>
              <w:right w:val="single" w:color="000000" w:sz="4" w:space="0"/>
            </w:tcBorders>
            <w:vAlign w:val="center"/>
          </w:tcPr>
          <w:p w14:paraId="30EA711D">
            <w:pPr>
              <w:jc w:val="center"/>
              <w:rPr>
                <w:color w:val="auto"/>
                <w:spacing w:val="20"/>
                <w:szCs w:val="21"/>
                <w:highlight w:val="none"/>
              </w:rPr>
            </w:pPr>
          </w:p>
        </w:tc>
        <w:tc>
          <w:tcPr>
            <w:tcW w:w="859" w:type="dxa"/>
            <w:tcBorders>
              <w:top w:val="single" w:color="000000" w:sz="4" w:space="0"/>
              <w:left w:val="single" w:color="000000" w:sz="4" w:space="0"/>
              <w:bottom w:val="single" w:color="000000" w:sz="4" w:space="0"/>
              <w:right w:val="single" w:color="000000" w:sz="4" w:space="0"/>
            </w:tcBorders>
            <w:vAlign w:val="center"/>
          </w:tcPr>
          <w:p w14:paraId="2D023F3A">
            <w:pPr>
              <w:spacing w:line="460" w:lineRule="exact"/>
              <w:jc w:val="center"/>
              <w:rPr>
                <w:color w:val="auto"/>
                <w:spacing w:val="20"/>
                <w:szCs w:val="21"/>
                <w:highlight w:val="none"/>
              </w:rPr>
            </w:pPr>
            <w:r>
              <w:rPr>
                <w:rFonts w:hint="eastAsia" w:ascii="宋体" w:hAnsi="宋体" w:eastAsia="宋体" w:cs="宋体"/>
                <w:color w:val="auto"/>
                <w:sz w:val="21"/>
                <w:szCs w:val="21"/>
                <w:highlight w:val="none"/>
              </w:rPr>
              <w:t>吨</w:t>
            </w:r>
          </w:p>
        </w:tc>
        <w:tc>
          <w:tcPr>
            <w:tcW w:w="874" w:type="dxa"/>
            <w:tcBorders>
              <w:top w:val="single" w:color="000000" w:sz="4" w:space="0"/>
              <w:left w:val="single" w:color="000000" w:sz="4" w:space="0"/>
              <w:bottom w:val="single" w:color="000000" w:sz="4" w:space="0"/>
              <w:right w:val="single" w:color="000000" w:sz="4" w:space="0"/>
            </w:tcBorders>
            <w:vAlign w:val="center"/>
          </w:tcPr>
          <w:p w14:paraId="5378B574">
            <w:pPr>
              <w:spacing w:line="460" w:lineRule="exact"/>
              <w:jc w:val="center"/>
              <w:rPr>
                <w:color w:val="auto"/>
                <w:spacing w:val="20"/>
                <w:szCs w:val="21"/>
                <w:highlight w:val="none"/>
              </w:rPr>
            </w:pPr>
            <w:r>
              <w:rPr>
                <w:rFonts w:hint="eastAsia" w:ascii="宋体" w:hAnsi="宋体" w:eastAsia="宋体" w:cs="宋体"/>
                <w:b w:val="0"/>
                <w:color w:val="auto"/>
                <w:sz w:val="21"/>
                <w:szCs w:val="21"/>
                <w:highlight w:val="none"/>
                <w:lang w:val="en-US" w:eastAsia="zh-CN"/>
              </w:rPr>
              <w:t>3800</w:t>
            </w:r>
          </w:p>
        </w:tc>
        <w:tc>
          <w:tcPr>
            <w:tcW w:w="1893" w:type="dxa"/>
            <w:tcBorders>
              <w:top w:val="single" w:color="000000" w:sz="4" w:space="0"/>
              <w:left w:val="single" w:color="000000" w:sz="4" w:space="0"/>
              <w:bottom w:val="single" w:color="000000" w:sz="4" w:space="0"/>
              <w:right w:val="single" w:color="000000" w:sz="4" w:space="0"/>
            </w:tcBorders>
            <w:vAlign w:val="center"/>
          </w:tcPr>
          <w:p w14:paraId="418A4DE0">
            <w:pPr>
              <w:jc w:val="center"/>
              <w:rPr>
                <w:color w:val="auto"/>
                <w:spacing w:val="20"/>
                <w:szCs w:val="21"/>
                <w:highlight w:val="none"/>
              </w:rPr>
            </w:pPr>
          </w:p>
        </w:tc>
        <w:tc>
          <w:tcPr>
            <w:tcW w:w="670" w:type="dxa"/>
            <w:tcBorders>
              <w:top w:val="single" w:color="000000" w:sz="4" w:space="0"/>
              <w:left w:val="single" w:color="000000" w:sz="4" w:space="0"/>
              <w:bottom w:val="single" w:color="000000" w:sz="4" w:space="0"/>
              <w:right w:val="single" w:color="000000" w:sz="4" w:space="0"/>
            </w:tcBorders>
            <w:vAlign w:val="center"/>
          </w:tcPr>
          <w:p w14:paraId="4AA58FBF">
            <w:pPr>
              <w:jc w:val="center"/>
              <w:rPr>
                <w:color w:val="auto"/>
                <w:spacing w:val="20"/>
                <w:szCs w:val="21"/>
                <w:highlight w:val="none"/>
              </w:rPr>
            </w:pPr>
          </w:p>
        </w:tc>
      </w:tr>
      <w:tr w14:paraId="33E255F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714" w:type="dxa"/>
            <w:tcBorders>
              <w:top w:val="single" w:color="000000" w:sz="4" w:space="0"/>
              <w:left w:val="single" w:color="000000" w:sz="4" w:space="0"/>
              <w:bottom w:val="single" w:color="000000" w:sz="4" w:space="0"/>
              <w:right w:val="single" w:color="000000" w:sz="4" w:space="0"/>
            </w:tcBorders>
            <w:vAlign w:val="center"/>
          </w:tcPr>
          <w:p w14:paraId="21755B78">
            <w:pPr>
              <w:jc w:val="center"/>
              <w:rPr>
                <w:color w:val="auto"/>
                <w:spacing w:val="20"/>
                <w:szCs w:val="21"/>
                <w:highlight w:val="none"/>
              </w:rPr>
            </w:pPr>
            <w:r>
              <w:rPr>
                <w:rFonts w:hint="eastAsia"/>
                <w:color w:val="auto"/>
                <w:spacing w:val="20"/>
                <w:szCs w:val="21"/>
                <w:highlight w:val="none"/>
              </w:rPr>
              <w:t>2</w:t>
            </w:r>
          </w:p>
        </w:tc>
        <w:tc>
          <w:tcPr>
            <w:tcW w:w="1234" w:type="dxa"/>
            <w:tcBorders>
              <w:top w:val="single" w:color="000000" w:sz="4" w:space="0"/>
              <w:left w:val="single" w:color="000000" w:sz="4" w:space="0"/>
              <w:bottom w:val="single" w:color="000000" w:sz="4" w:space="0"/>
              <w:right w:val="single" w:color="000000" w:sz="4" w:space="0"/>
            </w:tcBorders>
            <w:vAlign w:val="center"/>
          </w:tcPr>
          <w:p w14:paraId="2E42D812">
            <w:pPr>
              <w:jc w:val="center"/>
              <w:rPr>
                <w:bCs/>
                <w:color w:val="auto"/>
                <w:spacing w:val="20"/>
                <w:szCs w:val="21"/>
                <w:highlight w:val="none"/>
              </w:rPr>
            </w:pPr>
            <w:r>
              <w:rPr>
                <w:rFonts w:ascii="Arial" w:hAnsi="Arial" w:cs="Arial"/>
                <w:bCs/>
                <w:color w:val="auto"/>
                <w:szCs w:val="21"/>
                <w:highlight w:val="none"/>
                <w:shd w:val="clear" w:color="auto" w:fill="FFFFFF"/>
              </w:rPr>
              <w:t>医用氧</w:t>
            </w:r>
            <w:r>
              <w:rPr>
                <w:rFonts w:ascii="Arial" w:hAnsi="Arial" w:cs="Arial"/>
                <w:bCs/>
                <w:color w:val="auto"/>
                <w:szCs w:val="21"/>
                <w:highlight w:val="none"/>
              </w:rPr>
              <w:t xml:space="preserve"> </w:t>
            </w:r>
          </w:p>
        </w:tc>
        <w:tc>
          <w:tcPr>
            <w:tcW w:w="1661" w:type="dxa"/>
            <w:tcBorders>
              <w:top w:val="single" w:color="000000" w:sz="4" w:space="0"/>
              <w:left w:val="single" w:color="000000" w:sz="4" w:space="0"/>
              <w:bottom w:val="single" w:color="000000" w:sz="4" w:space="0"/>
              <w:right w:val="single" w:color="000000" w:sz="4" w:space="0"/>
            </w:tcBorders>
            <w:vAlign w:val="center"/>
          </w:tcPr>
          <w:p w14:paraId="17A31A4A">
            <w:pPr>
              <w:jc w:val="center"/>
              <w:rPr>
                <w:bCs/>
                <w:color w:val="auto"/>
                <w:spacing w:val="20"/>
                <w:szCs w:val="21"/>
                <w:highlight w:val="none"/>
              </w:rPr>
            </w:pPr>
            <w:r>
              <w:rPr>
                <w:rFonts w:ascii="Arial" w:hAnsi="Arial" w:cs="Arial"/>
                <w:bCs/>
                <w:color w:val="auto"/>
                <w:szCs w:val="21"/>
                <w:highlight w:val="none"/>
                <w:shd w:val="clear" w:color="auto" w:fill="FFFFFF"/>
              </w:rPr>
              <w:t xml:space="preserve">40L </w:t>
            </w:r>
            <w:r>
              <w:rPr>
                <w:rFonts w:hint="eastAsia" w:ascii="Arial" w:hAnsi="Arial" w:cs="Arial"/>
                <w:bCs/>
                <w:color w:val="auto"/>
                <w:szCs w:val="21"/>
                <w:highlight w:val="none"/>
                <w:shd w:val="clear" w:color="auto" w:fill="FFFFFF"/>
              </w:rPr>
              <w:t xml:space="preserve"> </w:t>
            </w:r>
            <w:r>
              <w:rPr>
                <w:rFonts w:ascii="Arial" w:hAnsi="Arial" w:cs="Arial"/>
                <w:bCs/>
                <w:color w:val="auto"/>
                <w:kern w:val="0"/>
                <w:szCs w:val="21"/>
                <w:highlight w:val="none"/>
              </w:rPr>
              <w:t>O</w:t>
            </w:r>
            <w:r>
              <w:rPr>
                <w:rFonts w:ascii="Arial" w:hAnsi="Arial" w:cs="Arial"/>
                <w:bCs/>
                <w:color w:val="auto"/>
                <w:kern w:val="0"/>
                <w:szCs w:val="21"/>
                <w:highlight w:val="none"/>
                <w:vertAlign w:val="subscript"/>
              </w:rPr>
              <w:t>2</w:t>
            </w:r>
            <w:r>
              <w:rPr>
                <w:rFonts w:ascii="Arial" w:hAnsi="Arial" w:cs="Arial"/>
                <w:bCs/>
                <w:color w:val="auto"/>
                <w:kern w:val="0"/>
                <w:szCs w:val="21"/>
                <w:highlight w:val="none"/>
              </w:rPr>
              <w:t>≥99.5%</w:t>
            </w:r>
          </w:p>
        </w:tc>
        <w:tc>
          <w:tcPr>
            <w:tcW w:w="1550" w:type="dxa"/>
            <w:tcBorders>
              <w:top w:val="single" w:color="000000" w:sz="4" w:space="0"/>
              <w:left w:val="single" w:color="000000" w:sz="4" w:space="0"/>
              <w:bottom w:val="single" w:color="000000" w:sz="4" w:space="0"/>
              <w:right w:val="single" w:color="000000" w:sz="4" w:space="0"/>
            </w:tcBorders>
            <w:vAlign w:val="center"/>
          </w:tcPr>
          <w:p w14:paraId="5567FD55">
            <w:pPr>
              <w:jc w:val="center"/>
              <w:rPr>
                <w:color w:val="auto"/>
                <w:spacing w:val="20"/>
                <w:szCs w:val="21"/>
                <w:highlight w:val="none"/>
              </w:rPr>
            </w:pPr>
          </w:p>
        </w:tc>
        <w:tc>
          <w:tcPr>
            <w:tcW w:w="859" w:type="dxa"/>
            <w:tcBorders>
              <w:top w:val="single" w:color="000000" w:sz="4" w:space="0"/>
              <w:left w:val="single" w:color="000000" w:sz="4" w:space="0"/>
              <w:bottom w:val="single" w:color="000000" w:sz="4" w:space="0"/>
              <w:right w:val="single" w:color="000000" w:sz="4" w:space="0"/>
            </w:tcBorders>
            <w:vAlign w:val="center"/>
          </w:tcPr>
          <w:p w14:paraId="116E9B12">
            <w:pPr>
              <w:spacing w:line="460" w:lineRule="exact"/>
              <w:jc w:val="center"/>
              <w:rPr>
                <w:color w:val="auto"/>
                <w:spacing w:val="20"/>
                <w:szCs w:val="21"/>
                <w:highlight w:val="none"/>
              </w:rPr>
            </w:pPr>
            <w:r>
              <w:rPr>
                <w:rFonts w:hint="eastAsia" w:ascii="宋体" w:hAnsi="宋体" w:eastAsia="宋体" w:cs="宋体"/>
                <w:b w:val="0"/>
                <w:color w:val="auto"/>
                <w:sz w:val="21"/>
                <w:szCs w:val="21"/>
                <w:highlight w:val="none"/>
                <w:lang w:val="en-US" w:eastAsia="zh-CN"/>
              </w:rPr>
              <w:t>瓶</w:t>
            </w:r>
          </w:p>
        </w:tc>
        <w:tc>
          <w:tcPr>
            <w:tcW w:w="874" w:type="dxa"/>
            <w:tcBorders>
              <w:top w:val="single" w:color="000000" w:sz="4" w:space="0"/>
              <w:left w:val="single" w:color="000000" w:sz="4" w:space="0"/>
              <w:bottom w:val="single" w:color="000000" w:sz="4" w:space="0"/>
              <w:right w:val="single" w:color="000000" w:sz="4" w:space="0"/>
            </w:tcBorders>
            <w:vAlign w:val="center"/>
          </w:tcPr>
          <w:p w14:paraId="78FA3DF9">
            <w:pPr>
              <w:spacing w:line="460" w:lineRule="exact"/>
              <w:jc w:val="center"/>
              <w:rPr>
                <w:color w:val="auto"/>
                <w:spacing w:val="20"/>
                <w:szCs w:val="21"/>
                <w:highlight w:val="none"/>
              </w:rPr>
            </w:pPr>
            <w:r>
              <w:rPr>
                <w:rFonts w:hint="eastAsia" w:ascii="宋体" w:hAnsi="宋体" w:eastAsia="宋体" w:cs="宋体"/>
                <w:b w:val="0"/>
                <w:color w:val="auto"/>
                <w:sz w:val="21"/>
                <w:szCs w:val="21"/>
                <w:highlight w:val="none"/>
                <w:lang w:val="en-US" w:eastAsia="zh-CN"/>
              </w:rPr>
              <w:t>600</w:t>
            </w:r>
          </w:p>
        </w:tc>
        <w:tc>
          <w:tcPr>
            <w:tcW w:w="1893" w:type="dxa"/>
            <w:tcBorders>
              <w:top w:val="single" w:color="000000" w:sz="4" w:space="0"/>
              <w:left w:val="single" w:color="000000" w:sz="4" w:space="0"/>
              <w:bottom w:val="single" w:color="000000" w:sz="4" w:space="0"/>
              <w:right w:val="single" w:color="000000" w:sz="4" w:space="0"/>
            </w:tcBorders>
            <w:vAlign w:val="center"/>
          </w:tcPr>
          <w:p w14:paraId="48E27281">
            <w:pPr>
              <w:jc w:val="center"/>
              <w:rPr>
                <w:color w:val="auto"/>
                <w:spacing w:val="20"/>
                <w:szCs w:val="21"/>
                <w:highlight w:val="none"/>
              </w:rPr>
            </w:pPr>
          </w:p>
        </w:tc>
        <w:tc>
          <w:tcPr>
            <w:tcW w:w="670" w:type="dxa"/>
            <w:tcBorders>
              <w:top w:val="single" w:color="000000" w:sz="4" w:space="0"/>
              <w:left w:val="single" w:color="000000" w:sz="4" w:space="0"/>
              <w:bottom w:val="single" w:color="000000" w:sz="4" w:space="0"/>
              <w:right w:val="single" w:color="000000" w:sz="4" w:space="0"/>
            </w:tcBorders>
            <w:vAlign w:val="center"/>
          </w:tcPr>
          <w:p w14:paraId="447B786B">
            <w:pPr>
              <w:jc w:val="center"/>
              <w:rPr>
                <w:color w:val="auto"/>
                <w:spacing w:val="20"/>
                <w:szCs w:val="21"/>
                <w:highlight w:val="none"/>
              </w:rPr>
            </w:pPr>
          </w:p>
        </w:tc>
      </w:tr>
      <w:tr w14:paraId="141CEB0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714" w:type="dxa"/>
            <w:tcBorders>
              <w:top w:val="single" w:color="000000" w:sz="4" w:space="0"/>
              <w:left w:val="single" w:color="000000" w:sz="4" w:space="0"/>
              <w:bottom w:val="single" w:color="000000" w:sz="4" w:space="0"/>
              <w:right w:val="single" w:color="000000" w:sz="4" w:space="0"/>
            </w:tcBorders>
            <w:vAlign w:val="center"/>
          </w:tcPr>
          <w:p w14:paraId="368EA66F">
            <w:pPr>
              <w:jc w:val="center"/>
              <w:rPr>
                <w:color w:val="auto"/>
                <w:spacing w:val="20"/>
                <w:szCs w:val="21"/>
                <w:highlight w:val="none"/>
              </w:rPr>
            </w:pPr>
            <w:r>
              <w:rPr>
                <w:rFonts w:hint="eastAsia"/>
                <w:color w:val="auto"/>
                <w:spacing w:val="20"/>
                <w:szCs w:val="21"/>
                <w:highlight w:val="none"/>
              </w:rPr>
              <w:t>3</w:t>
            </w:r>
          </w:p>
        </w:tc>
        <w:tc>
          <w:tcPr>
            <w:tcW w:w="1234" w:type="dxa"/>
            <w:tcBorders>
              <w:top w:val="single" w:color="000000" w:sz="4" w:space="0"/>
              <w:left w:val="single" w:color="000000" w:sz="4" w:space="0"/>
              <w:bottom w:val="single" w:color="000000" w:sz="4" w:space="0"/>
              <w:right w:val="single" w:color="000000" w:sz="4" w:space="0"/>
            </w:tcBorders>
            <w:vAlign w:val="center"/>
          </w:tcPr>
          <w:p w14:paraId="1993D435">
            <w:pPr>
              <w:jc w:val="center"/>
              <w:rPr>
                <w:bCs/>
                <w:color w:val="auto"/>
                <w:spacing w:val="20"/>
                <w:szCs w:val="21"/>
                <w:highlight w:val="none"/>
              </w:rPr>
            </w:pPr>
            <w:r>
              <w:rPr>
                <w:rFonts w:ascii="Arial" w:hAnsi="Arial" w:cs="Arial"/>
                <w:bCs/>
                <w:color w:val="auto"/>
                <w:szCs w:val="21"/>
                <w:highlight w:val="none"/>
                <w:shd w:val="clear" w:color="auto" w:fill="FFFFFF"/>
              </w:rPr>
              <w:t>医用氧</w:t>
            </w:r>
          </w:p>
        </w:tc>
        <w:tc>
          <w:tcPr>
            <w:tcW w:w="1661" w:type="dxa"/>
            <w:tcBorders>
              <w:top w:val="single" w:color="000000" w:sz="4" w:space="0"/>
              <w:left w:val="single" w:color="000000" w:sz="4" w:space="0"/>
              <w:bottom w:val="single" w:color="000000" w:sz="4" w:space="0"/>
              <w:right w:val="single" w:color="000000" w:sz="4" w:space="0"/>
            </w:tcBorders>
            <w:vAlign w:val="center"/>
          </w:tcPr>
          <w:p w14:paraId="5A5B42D3">
            <w:pPr>
              <w:jc w:val="center"/>
              <w:rPr>
                <w:bCs/>
                <w:color w:val="auto"/>
                <w:spacing w:val="20"/>
                <w:szCs w:val="21"/>
                <w:highlight w:val="none"/>
              </w:rPr>
            </w:pPr>
            <w:r>
              <w:rPr>
                <w:rFonts w:ascii="Arial" w:hAnsi="Arial" w:cs="Arial"/>
                <w:bCs/>
                <w:color w:val="auto"/>
                <w:szCs w:val="21"/>
                <w:highlight w:val="none"/>
                <w:shd w:val="clear" w:color="auto" w:fill="FFFFFF"/>
              </w:rPr>
              <w:t xml:space="preserve">15L  </w:t>
            </w:r>
            <w:r>
              <w:rPr>
                <w:rFonts w:ascii="Arial" w:hAnsi="Arial" w:cs="Arial"/>
                <w:bCs/>
                <w:color w:val="auto"/>
                <w:kern w:val="0"/>
                <w:szCs w:val="21"/>
                <w:highlight w:val="none"/>
              </w:rPr>
              <w:t>O</w:t>
            </w:r>
            <w:r>
              <w:rPr>
                <w:rFonts w:ascii="Arial" w:hAnsi="Arial" w:cs="Arial"/>
                <w:bCs/>
                <w:color w:val="auto"/>
                <w:kern w:val="0"/>
                <w:szCs w:val="21"/>
                <w:highlight w:val="none"/>
                <w:vertAlign w:val="subscript"/>
              </w:rPr>
              <w:t>2</w:t>
            </w:r>
            <w:r>
              <w:rPr>
                <w:rFonts w:ascii="Arial" w:hAnsi="Arial" w:cs="Arial"/>
                <w:bCs/>
                <w:color w:val="auto"/>
                <w:kern w:val="0"/>
                <w:szCs w:val="21"/>
                <w:highlight w:val="none"/>
              </w:rPr>
              <w:t>≥99.5%</w:t>
            </w:r>
          </w:p>
        </w:tc>
        <w:tc>
          <w:tcPr>
            <w:tcW w:w="1550" w:type="dxa"/>
            <w:tcBorders>
              <w:top w:val="single" w:color="000000" w:sz="4" w:space="0"/>
              <w:left w:val="single" w:color="000000" w:sz="4" w:space="0"/>
              <w:bottom w:val="single" w:color="000000" w:sz="4" w:space="0"/>
              <w:right w:val="single" w:color="000000" w:sz="4" w:space="0"/>
            </w:tcBorders>
            <w:vAlign w:val="center"/>
          </w:tcPr>
          <w:p w14:paraId="5740AD99">
            <w:pPr>
              <w:jc w:val="center"/>
              <w:rPr>
                <w:color w:val="auto"/>
                <w:spacing w:val="20"/>
                <w:szCs w:val="21"/>
                <w:highlight w:val="none"/>
              </w:rPr>
            </w:pPr>
          </w:p>
        </w:tc>
        <w:tc>
          <w:tcPr>
            <w:tcW w:w="859" w:type="dxa"/>
            <w:tcBorders>
              <w:top w:val="single" w:color="000000" w:sz="4" w:space="0"/>
              <w:left w:val="single" w:color="000000" w:sz="4" w:space="0"/>
              <w:bottom w:val="single" w:color="000000" w:sz="4" w:space="0"/>
              <w:right w:val="single" w:color="000000" w:sz="4" w:space="0"/>
            </w:tcBorders>
            <w:vAlign w:val="center"/>
          </w:tcPr>
          <w:p w14:paraId="6750B732">
            <w:pPr>
              <w:spacing w:line="460" w:lineRule="exact"/>
              <w:jc w:val="center"/>
              <w:rPr>
                <w:color w:val="auto"/>
                <w:spacing w:val="20"/>
                <w:szCs w:val="21"/>
                <w:highlight w:val="none"/>
              </w:rPr>
            </w:pPr>
            <w:r>
              <w:rPr>
                <w:rFonts w:hint="eastAsia" w:ascii="宋体" w:hAnsi="宋体" w:eastAsia="宋体" w:cs="宋体"/>
                <w:b w:val="0"/>
                <w:color w:val="auto"/>
                <w:sz w:val="21"/>
                <w:szCs w:val="21"/>
                <w:highlight w:val="none"/>
                <w:lang w:val="en-US" w:eastAsia="zh-CN"/>
              </w:rPr>
              <w:t>瓶</w:t>
            </w:r>
          </w:p>
        </w:tc>
        <w:tc>
          <w:tcPr>
            <w:tcW w:w="874" w:type="dxa"/>
            <w:tcBorders>
              <w:top w:val="single" w:color="000000" w:sz="4" w:space="0"/>
              <w:left w:val="single" w:color="000000" w:sz="4" w:space="0"/>
              <w:bottom w:val="single" w:color="000000" w:sz="4" w:space="0"/>
              <w:right w:val="single" w:color="000000" w:sz="4" w:space="0"/>
            </w:tcBorders>
            <w:vAlign w:val="center"/>
          </w:tcPr>
          <w:p w14:paraId="06E4249A">
            <w:pPr>
              <w:spacing w:line="460" w:lineRule="exact"/>
              <w:jc w:val="center"/>
              <w:rPr>
                <w:color w:val="auto"/>
                <w:spacing w:val="20"/>
                <w:szCs w:val="21"/>
                <w:highlight w:val="none"/>
              </w:rPr>
            </w:pPr>
            <w:r>
              <w:rPr>
                <w:rFonts w:hint="eastAsia" w:ascii="宋体" w:hAnsi="宋体" w:eastAsia="宋体" w:cs="宋体"/>
                <w:b w:val="0"/>
                <w:color w:val="auto"/>
                <w:sz w:val="21"/>
                <w:szCs w:val="21"/>
                <w:highlight w:val="none"/>
                <w:lang w:val="en-US" w:eastAsia="zh-CN"/>
              </w:rPr>
              <w:t>400</w:t>
            </w:r>
          </w:p>
        </w:tc>
        <w:tc>
          <w:tcPr>
            <w:tcW w:w="1893" w:type="dxa"/>
            <w:tcBorders>
              <w:top w:val="single" w:color="000000" w:sz="4" w:space="0"/>
              <w:left w:val="single" w:color="000000" w:sz="4" w:space="0"/>
              <w:bottom w:val="single" w:color="000000" w:sz="4" w:space="0"/>
              <w:right w:val="single" w:color="000000" w:sz="4" w:space="0"/>
            </w:tcBorders>
            <w:vAlign w:val="center"/>
          </w:tcPr>
          <w:p w14:paraId="046A838E">
            <w:pPr>
              <w:jc w:val="center"/>
              <w:rPr>
                <w:color w:val="auto"/>
                <w:spacing w:val="20"/>
                <w:szCs w:val="21"/>
                <w:highlight w:val="none"/>
              </w:rPr>
            </w:pPr>
          </w:p>
        </w:tc>
        <w:tc>
          <w:tcPr>
            <w:tcW w:w="670" w:type="dxa"/>
            <w:tcBorders>
              <w:top w:val="single" w:color="000000" w:sz="4" w:space="0"/>
              <w:left w:val="single" w:color="000000" w:sz="4" w:space="0"/>
              <w:bottom w:val="single" w:color="000000" w:sz="4" w:space="0"/>
              <w:right w:val="single" w:color="000000" w:sz="4" w:space="0"/>
            </w:tcBorders>
            <w:vAlign w:val="center"/>
          </w:tcPr>
          <w:p w14:paraId="1454E120">
            <w:pPr>
              <w:jc w:val="center"/>
              <w:rPr>
                <w:color w:val="auto"/>
                <w:spacing w:val="20"/>
                <w:szCs w:val="21"/>
                <w:highlight w:val="none"/>
              </w:rPr>
            </w:pPr>
          </w:p>
        </w:tc>
      </w:tr>
      <w:tr w14:paraId="3ECDC74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714" w:type="dxa"/>
            <w:tcBorders>
              <w:top w:val="single" w:color="000000" w:sz="4" w:space="0"/>
              <w:left w:val="single" w:color="000000" w:sz="4" w:space="0"/>
              <w:bottom w:val="single" w:color="000000" w:sz="4" w:space="0"/>
              <w:right w:val="single" w:color="000000" w:sz="4" w:space="0"/>
            </w:tcBorders>
            <w:vAlign w:val="center"/>
          </w:tcPr>
          <w:p w14:paraId="47D2E43D">
            <w:pPr>
              <w:jc w:val="center"/>
              <w:rPr>
                <w:color w:val="auto"/>
                <w:spacing w:val="20"/>
                <w:szCs w:val="21"/>
                <w:highlight w:val="none"/>
              </w:rPr>
            </w:pPr>
            <w:r>
              <w:rPr>
                <w:rFonts w:hint="eastAsia"/>
                <w:color w:val="auto"/>
                <w:spacing w:val="20"/>
                <w:szCs w:val="21"/>
                <w:highlight w:val="none"/>
              </w:rPr>
              <w:t>4</w:t>
            </w:r>
          </w:p>
        </w:tc>
        <w:tc>
          <w:tcPr>
            <w:tcW w:w="1234" w:type="dxa"/>
            <w:tcBorders>
              <w:top w:val="single" w:color="000000" w:sz="4" w:space="0"/>
              <w:left w:val="single" w:color="000000" w:sz="4" w:space="0"/>
              <w:bottom w:val="single" w:color="000000" w:sz="4" w:space="0"/>
              <w:right w:val="single" w:color="000000" w:sz="4" w:space="0"/>
            </w:tcBorders>
            <w:vAlign w:val="center"/>
          </w:tcPr>
          <w:p w14:paraId="008AD693">
            <w:pPr>
              <w:jc w:val="center"/>
              <w:rPr>
                <w:bCs/>
                <w:color w:val="auto"/>
                <w:spacing w:val="20"/>
                <w:szCs w:val="21"/>
                <w:highlight w:val="none"/>
              </w:rPr>
            </w:pPr>
            <w:r>
              <w:rPr>
                <w:rFonts w:ascii="Arial" w:hAnsi="Arial" w:cs="Arial"/>
                <w:bCs/>
                <w:color w:val="auto"/>
                <w:szCs w:val="21"/>
                <w:highlight w:val="none"/>
                <w:shd w:val="clear" w:color="auto" w:fill="FFFFFF"/>
              </w:rPr>
              <w:t>医用氧</w:t>
            </w:r>
          </w:p>
        </w:tc>
        <w:tc>
          <w:tcPr>
            <w:tcW w:w="1661" w:type="dxa"/>
            <w:tcBorders>
              <w:top w:val="single" w:color="000000" w:sz="4" w:space="0"/>
              <w:left w:val="single" w:color="000000" w:sz="4" w:space="0"/>
              <w:bottom w:val="single" w:color="000000" w:sz="4" w:space="0"/>
              <w:right w:val="single" w:color="000000" w:sz="4" w:space="0"/>
            </w:tcBorders>
            <w:vAlign w:val="center"/>
          </w:tcPr>
          <w:p w14:paraId="695673C8">
            <w:pPr>
              <w:jc w:val="center"/>
              <w:rPr>
                <w:bCs/>
                <w:color w:val="auto"/>
                <w:spacing w:val="20"/>
                <w:szCs w:val="21"/>
                <w:highlight w:val="none"/>
              </w:rPr>
            </w:pPr>
            <w:r>
              <w:rPr>
                <w:rFonts w:ascii="Arial" w:hAnsi="Arial" w:cs="Arial"/>
                <w:bCs/>
                <w:color w:val="auto"/>
                <w:szCs w:val="21"/>
                <w:highlight w:val="none"/>
                <w:shd w:val="clear" w:color="auto" w:fill="FFFFFF"/>
              </w:rPr>
              <w:t xml:space="preserve">10L  </w:t>
            </w:r>
            <w:r>
              <w:rPr>
                <w:rFonts w:ascii="Arial" w:hAnsi="Arial" w:cs="Arial"/>
                <w:bCs/>
                <w:color w:val="auto"/>
                <w:kern w:val="0"/>
                <w:szCs w:val="21"/>
                <w:highlight w:val="none"/>
              </w:rPr>
              <w:t>O</w:t>
            </w:r>
            <w:r>
              <w:rPr>
                <w:rFonts w:ascii="Arial" w:hAnsi="Arial" w:cs="Arial"/>
                <w:bCs/>
                <w:color w:val="auto"/>
                <w:kern w:val="0"/>
                <w:szCs w:val="21"/>
                <w:highlight w:val="none"/>
                <w:vertAlign w:val="subscript"/>
              </w:rPr>
              <w:t>2</w:t>
            </w:r>
            <w:r>
              <w:rPr>
                <w:rFonts w:ascii="Arial" w:hAnsi="Arial" w:cs="Arial"/>
                <w:bCs/>
                <w:color w:val="auto"/>
                <w:kern w:val="0"/>
                <w:szCs w:val="21"/>
                <w:highlight w:val="none"/>
              </w:rPr>
              <w:t>≥99.5%</w:t>
            </w:r>
          </w:p>
        </w:tc>
        <w:tc>
          <w:tcPr>
            <w:tcW w:w="1550" w:type="dxa"/>
            <w:tcBorders>
              <w:top w:val="single" w:color="000000" w:sz="4" w:space="0"/>
              <w:left w:val="single" w:color="000000" w:sz="4" w:space="0"/>
              <w:bottom w:val="single" w:color="000000" w:sz="4" w:space="0"/>
              <w:right w:val="single" w:color="000000" w:sz="4" w:space="0"/>
            </w:tcBorders>
            <w:vAlign w:val="center"/>
          </w:tcPr>
          <w:p w14:paraId="34A4AA35">
            <w:pPr>
              <w:jc w:val="center"/>
              <w:rPr>
                <w:color w:val="auto"/>
                <w:spacing w:val="20"/>
                <w:szCs w:val="21"/>
                <w:highlight w:val="none"/>
              </w:rPr>
            </w:pPr>
          </w:p>
        </w:tc>
        <w:tc>
          <w:tcPr>
            <w:tcW w:w="859" w:type="dxa"/>
            <w:tcBorders>
              <w:top w:val="single" w:color="000000" w:sz="4" w:space="0"/>
              <w:left w:val="single" w:color="000000" w:sz="4" w:space="0"/>
              <w:bottom w:val="single" w:color="000000" w:sz="4" w:space="0"/>
              <w:right w:val="single" w:color="000000" w:sz="4" w:space="0"/>
            </w:tcBorders>
            <w:vAlign w:val="center"/>
          </w:tcPr>
          <w:p w14:paraId="2C227D6F">
            <w:pPr>
              <w:spacing w:line="460" w:lineRule="exact"/>
              <w:jc w:val="center"/>
              <w:rPr>
                <w:color w:val="auto"/>
                <w:spacing w:val="20"/>
                <w:szCs w:val="21"/>
                <w:highlight w:val="none"/>
              </w:rPr>
            </w:pPr>
            <w:r>
              <w:rPr>
                <w:rFonts w:hint="eastAsia" w:ascii="宋体" w:hAnsi="宋体" w:eastAsia="宋体" w:cs="宋体"/>
                <w:b w:val="0"/>
                <w:color w:val="auto"/>
                <w:sz w:val="21"/>
                <w:szCs w:val="21"/>
                <w:highlight w:val="none"/>
                <w:lang w:val="en-US" w:eastAsia="zh-CN"/>
              </w:rPr>
              <w:t>瓶</w:t>
            </w:r>
          </w:p>
        </w:tc>
        <w:tc>
          <w:tcPr>
            <w:tcW w:w="874" w:type="dxa"/>
            <w:tcBorders>
              <w:top w:val="single" w:color="000000" w:sz="4" w:space="0"/>
              <w:left w:val="single" w:color="000000" w:sz="4" w:space="0"/>
              <w:bottom w:val="single" w:color="000000" w:sz="4" w:space="0"/>
              <w:right w:val="single" w:color="000000" w:sz="4" w:space="0"/>
            </w:tcBorders>
            <w:vAlign w:val="center"/>
          </w:tcPr>
          <w:p w14:paraId="32415CF9">
            <w:pPr>
              <w:spacing w:line="460" w:lineRule="exact"/>
              <w:jc w:val="center"/>
              <w:rPr>
                <w:color w:val="auto"/>
                <w:spacing w:val="20"/>
                <w:szCs w:val="21"/>
                <w:highlight w:val="none"/>
              </w:rPr>
            </w:pPr>
            <w:r>
              <w:rPr>
                <w:rFonts w:hint="eastAsia" w:ascii="宋体" w:hAnsi="宋体" w:eastAsia="宋体" w:cs="宋体"/>
                <w:b w:val="0"/>
                <w:color w:val="auto"/>
                <w:sz w:val="21"/>
                <w:szCs w:val="21"/>
                <w:highlight w:val="none"/>
                <w:lang w:val="en-US" w:eastAsia="zh-CN"/>
              </w:rPr>
              <w:t>400</w:t>
            </w:r>
          </w:p>
        </w:tc>
        <w:tc>
          <w:tcPr>
            <w:tcW w:w="1893" w:type="dxa"/>
            <w:tcBorders>
              <w:top w:val="single" w:color="000000" w:sz="4" w:space="0"/>
              <w:left w:val="single" w:color="000000" w:sz="4" w:space="0"/>
              <w:bottom w:val="single" w:color="000000" w:sz="4" w:space="0"/>
              <w:right w:val="single" w:color="000000" w:sz="4" w:space="0"/>
            </w:tcBorders>
            <w:vAlign w:val="center"/>
          </w:tcPr>
          <w:p w14:paraId="1CAEBBB1">
            <w:pPr>
              <w:jc w:val="center"/>
              <w:rPr>
                <w:color w:val="auto"/>
                <w:spacing w:val="20"/>
                <w:szCs w:val="21"/>
                <w:highlight w:val="none"/>
              </w:rPr>
            </w:pPr>
          </w:p>
        </w:tc>
        <w:tc>
          <w:tcPr>
            <w:tcW w:w="670" w:type="dxa"/>
            <w:tcBorders>
              <w:top w:val="single" w:color="000000" w:sz="4" w:space="0"/>
              <w:left w:val="single" w:color="000000" w:sz="4" w:space="0"/>
              <w:bottom w:val="single" w:color="000000" w:sz="4" w:space="0"/>
              <w:right w:val="single" w:color="000000" w:sz="4" w:space="0"/>
            </w:tcBorders>
            <w:vAlign w:val="center"/>
          </w:tcPr>
          <w:p w14:paraId="790F3758">
            <w:pPr>
              <w:jc w:val="center"/>
              <w:rPr>
                <w:color w:val="auto"/>
                <w:spacing w:val="20"/>
                <w:szCs w:val="21"/>
                <w:highlight w:val="none"/>
              </w:rPr>
            </w:pPr>
          </w:p>
        </w:tc>
      </w:tr>
      <w:tr w14:paraId="48C4E077">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714" w:type="dxa"/>
            <w:tcBorders>
              <w:top w:val="single" w:color="000000" w:sz="4" w:space="0"/>
              <w:left w:val="single" w:color="000000" w:sz="4" w:space="0"/>
              <w:bottom w:val="single" w:color="000000" w:sz="4" w:space="0"/>
              <w:right w:val="single" w:color="000000" w:sz="4" w:space="0"/>
            </w:tcBorders>
            <w:vAlign w:val="center"/>
          </w:tcPr>
          <w:p w14:paraId="3E83FB72">
            <w:pPr>
              <w:jc w:val="center"/>
              <w:rPr>
                <w:color w:val="auto"/>
                <w:spacing w:val="20"/>
                <w:szCs w:val="21"/>
                <w:highlight w:val="none"/>
              </w:rPr>
            </w:pPr>
            <w:r>
              <w:rPr>
                <w:rFonts w:hint="eastAsia"/>
                <w:color w:val="auto"/>
                <w:spacing w:val="20"/>
                <w:szCs w:val="21"/>
                <w:highlight w:val="none"/>
              </w:rPr>
              <w:t>5</w:t>
            </w:r>
          </w:p>
        </w:tc>
        <w:tc>
          <w:tcPr>
            <w:tcW w:w="1234" w:type="dxa"/>
            <w:tcBorders>
              <w:top w:val="single" w:color="000000" w:sz="4" w:space="0"/>
              <w:left w:val="single" w:color="000000" w:sz="4" w:space="0"/>
              <w:bottom w:val="single" w:color="000000" w:sz="4" w:space="0"/>
              <w:right w:val="single" w:color="000000" w:sz="4" w:space="0"/>
            </w:tcBorders>
            <w:vAlign w:val="center"/>
          </w:tcPr>
          <w:p w14:paraId="685224D8">
            <w:pPr>
              <w:jc w:val="center"/>
              <w:rPr>
                <w:bCs/>
                <w:color w:val="auto"/>
                <w:spacing w:val="20"/>
                <w:szCs w:val="21"/>
                <w:highlight w:val="none"/>
              </w:rPr>
            </w:pPr>
            <w:r>
              <w:rPr>
                <w:rFonts w:ascii="Arial" w:hAnsi="Arial" w:cs="Arial"/>
                <w:bCs/>
                <w:color w:val="auto"/>
                <w:szCs w:val="21"/>
                <w:highlight w:val="none"/>
                <w:shd w:val="clear" w:color="auto" w:fill="FFFFFF"/>
              </w:rPr>
              <w:t>医用氧</w:t>
            </w:r>
          </w:p>
        </w:tc>
        <w:tc>
          <w:tcPr>
            <w:tcW w:w="1661" w:type="dxa"/>
            <w:tcBorders>
              <w:top w:val="single" w:color="000000" w:sz="4" w:space="0"/>
              <w:left w:val="single" w:color="000000" w:sz="4" w:space="0"/>
              <w:bottom w:val="single" w:color="000000" w:sz="4" w:space="0"/>
              <w:right w:val="single" w:color="000000" w:sz="4" w:space="0"/>
            </w:tcBorders>
            <w:vAlign w:val="center"/>
          </w:tcPr>
          <w:p w14:paraId="325C69E8">
            <w:pPr>
              <w:jc w:val="center"/>
              <w:rPr>
                <w:bCs/>
                <w:color w:val="auto"/>
                <w:spacing w:val="20"/>
                <w:szCs w:val="21"/>
                <w:highlight w:val="none"/>
              </w:rPr>
            </w:pPr>
            <w:r>
              <w:rPr>
                <w:rFonts w:ascii="Arial" w:hAnsi="Arial" w:cs="Arial"/>
                <w:bCs/>
                <w:color w:val="auto"/>
                <w:szCs w:val="21"/>
                <w:highlight w:val="none"/>
                <w:shd w:val="clear" w:color="auto" w:fill="FFFFFF"/>
              </w:rPr>
              <w:t xml:space="preserve">4.2L  </w:t>
            </w:r>
            <w:r>
              <w:rPr>
                <w:rFonts w:ascii="Arial" w:hAnsi="Arial" w:cs="Arial"/>
                <w:bCs/>
                <w:color w:val="auto"/>
                <w:kern w:val="0"/>
                <w:szCs w:val="21"/>
                <w:highlight w:val="none"/>
              </w:rPr>
              <w:t>O</w:t>
            </w:r>
            <w:r>
              <w:rPr>
                <w:rFonts w:ascii="Arial" w:hAnsi="Arial" w:cs="Arial"/>
                <w:bCs/>
                <w:color w:val="auto"/>
                <w:kern w:val="0"/>
                <w:szCs w:val="21"/>
                <w:highlight w:val="none"/>
                <w:vertAlign w:val="subscript"/>
              </w:rPr>
              <w:t>2</w:t>
            </w:r>
            <w:r>
              <w:rPr>
                <w:rFonts w:ascii="Arial" w:hAnsi="Arial" w:cs="Arial"/>
                <w:bCs/>
                <w:color w:val="auto"/>
                <w:kern w:val="0"/>
                <w:szCs w:val="21"/>
                <w:highlight w:val="none"/>
              </w:rPr>
              <w:t>≥99.5%</w:t>
            </w:r>
          </w:p>
        </w:tc>
        <w:tc>
          <w:tcPr>
            <w:tcW w:w="1550" w:type="dxa"/>
            <w:tcBorders>
              <w:top w:val="single" w:color="000000" w:sz="4" w:space="0"/>
              <w:left w:val="single" w:color="000000" w:sz="4" w:space="0"/>
              <w:bottom w:val="single" w:color="000000" w:sz="4" w:space="0"/>
              <w:right w:val="single" w:color="000000" w:sz="4" w:space="0"/>
            </w:tcBorders>
            <w:vAlign w:val="center"/>
          </w:tcPr>
          <w:p w14:paraId="1E57B14A">
            <w:pPr>
              <w:jc w:val="center"/>
              <w:rPr>
                <w:color w:val="auto"/>
                <w:spacing w:val="20"/>
                <w:szCs w:val="21"/>
                <w:highlight w:val="none"/>
              </w:rPr>
            </w:pPr>
          </w:p>
        </w:tc>
        <w:tc>
          <w:tcPr>
            <w:tcW w:w="859" w:type="dxa"/>
            <w:tcBorders>
              <w:top w:val="single" w:color="000000" w:sz="4" w:space="0"/>
              <w:left w:val="single" w:color="000000" w:sz="4" w:space="0"/>
              <w:bottom w:val="single" w:color="000000" w:sz="4" w:space="0"/>
              <w:right w:val="single" w:color="000000" w:sz="4" w:space="0"/>
            </w:tcBorders>
            <w:vAlign w:val="center"/>
          </w:tcPr>
          <w:p w14:paraId="25392CB7">
            <w:pPr>
              <w:spacing w:line="460" w:lineRule="exact"/>
              <w:jc w:val="center"/>
              <w:rPr>
                <w:color w:val="auto"/>
                <w:spacing w:val="20"/>
                <w:szCs w:val="21"/>
                <w:highlight w:val="none"/>
              </w:rPr>
            </w:pPr>
            <w:r>
              <w:rPr>
                <w:rFonts w:hint="eastAsia" w:ascii="宋体" w:hAnsi="宋体" w:eastAsia="宋体" w:cs="宋体"/>
                <w:b w:val="0"/>
                <w:color w:val="auto"/>
                <w:sz w:val="21"/>
                <w:szCs w:val="21"/>
                <w:highlight w:val="none"/>
                <w:lang w:val="en-US" w:eastAsia="zh-CN"/>
              </w:rPr>
              <w:t>瓶</w:t>
            </w:r>
          </w:p>
        </w:tc>
        <w:tc>
          <w:tcPr>
            <w:tcW w:w="874" w:type="dxa"/>
            <w:tcBorders>
              <w:top w:val="single" w:color="000000" w:sz="4" w:space="0"/>
              <w:left w:val="single" w:color="000000" w:sz="4" w:space="0"/>
              <w:bottom w:val="single" w:color="000000" w:sz="4" w:space="0"/>
              <w:right w:val="single" w:color="000000" w:sz="4" w:space="0"/>
            </w:tcBorders>
            <w:vAlign w:val="center"/>
          </w:tcPr>
          <w:p w14:paraId="72B6AEA4">
            <w:pPr>
              <w:spacing w:line="460" w:lineRule="exact"/>
              <w:jc w:val="center"/>
              <w:rPr>
                <w:color w:val="auto"/>
                <w:spacing w:val="20"/>
                <w:szCs w:val="21"/>
                <w:highlight w:val="none"/>
              </w:rPr>
            </w:pPr>
            <w:r>
              <w:rPr>
                <w:rFonts w:hint="eastAsia" w:ascii="宋体" w:hAnsi="宋体" w:eastAsia="宋体" w:cs="宋体"/>
                <w:b w:val="0"/>
                <w:color w:val="auto"/>
                <w:sz w:val="21"/>
                <w:szCs w:val="21"/>
                <w:highlight w:val="none"/>
                <w:lang w:val="en-US" w:eastAsia="zh-CN"/>
              </w:rPr>
              <w:t>200</w:t>
            </w:r>
          </w:p>
        </w:tc>
        <w:tc>
          <w:tcPr>
            <w:tcW w:w="1893" w:type="dxa"/>
            <w:tcBorders>
              <w:top w:val="single" w:color="000000" w:sz="4" w:space="0"/>
              <w:left w:val="single" w:color="000000" w:sz="4" w:space="0"/>
              <w:bottom w:val="single" w:color="000000" w:sz="4" w:space="0"/>
              <w:right w:val="single" w:color="000000" w:sz="4" w:space="0"/>
            </w:tcBorders>
            <w:vAlign w:val="center"/>
          </w:tcPr>
          <w:p w14:paraId="0049662E">
            <w:pPr>
              <w:jc w:val="center"/>
              <w:rPr>
                <w:color w:val="auto"/>
                <w:spacing w:val="20"/>
                <w:szCs w:val="21"/>
                <w:highlight w:val="none"/>
              </w:rPr>
            </w:pPr>
          </w:p>
        </w:tc>
        <w:tc>
          <w:tcPr>
            <w:tcW w:w="670" w:type="dxa"/>
            <w:tcBorders>
              <w:top w:val="single" w:color="000000" w:sz="4" w:space="0"/>
              <w:left w:val="single" w:color="000000" w:sz="4" w:space="0"/>
              <w:bottom w:val="single" w:color="000000" w:sz="4" w:space="0"/>
              <w:right w:val="single" w:color="000000" w:sz="4" w:space="0"/>
            </w:tcBorders>
            <w:vAlign w:val="center"/>
          </w:tcPr>
          <w:p w14:paraId="4ACF3BCB">
            <w:pPr>
              <w:jc w:val="center"/>
              <w:rPr>
                <w:color w:val="auto"/>
                <w:spacing w:val="20"/>
                <w:szCs w:val="21"/>
                <w:highlight w:val="none"/>
              </w:rPr>
            </w:pPr>
          </w:p>
        </w:tc>
      </w:tr>
      <w:tr w14:paraId="3066143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714" w:type="dxa"/>
            <w:tcBorders>
              <w:top w:val="single" w:color="000000" w:sz="4" w:space="0"/>
              <w:left w:val="single" w:color="000000" w:sz="4" w:space="0"/>
              <w:bottom w:val="single" w:color="000000" w:sz="4" w:space="0"/>
              <w:right w:val="single" w:color="000000" w:sz="4" w:space="0"/>
            </w:tcBorders>
            <w:vAlign w:val="center"/>
          </w:tcPr>
          <w:p w14:paraId="0047FF0B">
            <w:pPr>
              <w:jc w:val="center"/>
              <w:rPr>
                <w:color w:val="auto"/>
                <w:spacing w:val="20"/>
                <w:szCs w:val="21"/>
                <w:highlight w:val="none"/>
              </w:rPr>
            </w:pPr>
            <w:r>
              <w:rPr>
                <w:rFonts w:hint="eastAsia"/>
                <w:color w:val="auto"/>
                <w:spacing w:val="20"/>
                <w:szCs w:val="21"/>
                <w:highlight w:val="none"/>
              </w:rPr>
              <w:t>6</w:t>
            </w:r>
          </w:p>
        </w:tc>
        <w:tc>
          <w:tcPr>
            <w:tcW w:w="1234" w:type="dxa"/>
            <w:tcBorders>
              <w:top w:val="single" w:color="000000" w:sz="4" w:space="0"/>
              <w:left w:val="single" w:color="000000" w:sz="4" w:space="0"/>
              <w:bottom w:val="single" w:color="000000" w:sz="4" w:space="0"/>
              <w:right w:val="single" w:color="000000" w:sz="4" w:space="0"/>
            </w:tcBorders>
            <w:vAlign w:val="center"/>
          </w:tcPr>
          <w:p w14:paraId="650FE9AA">
            <w:pPr>
              <w:jc w:val="center"/>
              <w:rPr>
                <w:bCs/>
                <w:color w:val="auto"/>
                <w:spacing w:val="20"/>
                <w:szCs w:val="21"/>
                <w:highlight w:val="none"/>
              </w:rPr>
            </w:pPr>
            <w:r>
              <w:rPr>
                <w:rFonts w:ascii="Arial" w:hAnsi="Arial" w:cs="Arial"/>
                <w:bCs/>
                <w:color w:val="auto"/>
                <w:szCs w:val="21"/>
                <w:highlight w:val="none"/>
                <w:shd w:val="clear" w:color="auto" w:fill="FFFFFF"/>
              </w:rPr>
              <w:t>高纯二氧化碳</w:t>
            </w:r>
          </w:p>
        </w:tc>
        <w:tc>
          <w:tcPr>
            <w:tcW w:w="1661" w:type="dxa"/>
            <w:tcBorders>
              <w:top w:val="single" w:color="000000" w:sz="4" w:space="0"/>
              <w:left w:val="single" w:color="000000" w:sz="4" w:space="0"/>
              <w:bottom w:val="single" w:color="000000" w:sz="4" w:space="0"/>
              <w:right w:val="single" w:color="000000" w:sz="4" w:space="0"/>
            </w:tcBorders>
            <w:vAlign w:val="center"/>
          </w:tcPr>
          <w:p w14:paraId="2E840018">
            <w:pPr>
              <w:jc w:val="center"/>
              <w:rPr>
                <w:bCs/>
                <w:color w:val="auto"/>
                <w:spacing w:val="20"/>
                <w:szCs w:val="21"/>
                <w:highlight w:val="none"/>
              </w:rPr>
            </w:pPr>
            <w:r>
              <w:rPr>
                <w:rFonts w:ascii="Arial" w:hAnsi="Arial" w:cs="Arial"/>
                <w:bCs/>
                <w:color w:val="auto"/>
                <w:szCs w:val="21"/>
                <w:highlight w:val="none"/>
                <w:shd w:val="clear" w:color="auto" w:fill="FFFFFF"/>
              </w:rPr>
              <w:t>40L</w:t>
            </w:r>
          </w:p>
        </w:tc>
        <w:tc>
          <w:tcPr>
            <w:tcW w:w="1550" w:type="dxa"/>
            <w:tcBorders>
              <w:top w:val="single" w:color="000000" w:sz="4" w:space="0"/>
              <w:left w:val="single" w:color="000000" w:sz="4" w:space="0"/>
              <w:bottom w:val="single" w:color="000000" w:sz="4" w:space="0"/>
              <w:right w:val="single" w:color="000000" w:sz="4" w:space="0"/>
            </w:tcBorders>
            <w:vAlign w:val="center"/>
          </w:tcPr>
          <w:p w14:paraId="190458B6">
            <w:pPr>
              <w:jc w:val="center"/>
              <w:rPr>
                <w:color w:val="auto"/>
                <w:spacing w:val="20"/>
                <w:szCs w:val="21"/>
                <w:highlight w:val="none"/>
              </w:rPr>
            </w:pPr>
          </w:p>
        </w:tc>
        <w:tc>
          <w:tcPr>
            <w:tcW w:w="859" w:type="dxa"/>
            <w:tcBorders>
              <w:top w:val="single" w:color="000000" w:sz="4" w:space="0"/>
              <w:left w:val="single" w:color="000000" w:sz="4" w:space="0"/>
              <w:bottom w:val="single" w:color="000000" w:sz="4" w:space="0"/>
              <w:right w:val="single" w:color="000000" w:sz="4" w:space="0"/>
            </w:tcBorders>
            <w:vAlign w:val="center"/>
          </w:tcPr>
          <w:p w14:paraId="56CBF63D">
            <w:pPr>
              <w:spacing w:line="460" w:lineRule="exact"/>
              <w:jc w:val="center"/>
              <w:rPr>
                <w:color w:val="auto"/>
                <w:spacing w:val="20"/>
                <w:szCs w:val="21"/>
                <w:highlight w:val="none"/>
              </w:rPr>
            </w:pPr>
            <w:r>
              <w:rPr>
                <w:rFonts w:hint="eastAsia" w:ascii="宋体" w:hAnsi="宋体" w:eastAsia="宋体" w:cs="宋体"/>
                <w:b w:val="0"/>
                <w:color w:val="auto"/>
                <w:sz w:val="21"/>
                <w:szCs w:val="21"/>
                <w:highlight w:val="none"/>
                <w:lang w:val="en-US" w:eastAsia="zh-CN"/>
              </w:rPr>
              <w:t>瓶</w:t>
            </w:r>
          </w:p>
        </w:tc>
        <w:tc>
          <w:tcPr>
            <w:tcW w:w="874" w:type="dxa"/>
            <w:tcBorders>
              <w:top w:val="single" w:color="000000" w:sz="4" w:space="0"/>
              <w:left w:val="single" w:color="000000" w:sz="4" w:space="0"/>
              <w:bottom w:val="single" w:color="000000" w:sz="4" w:space="0"/>
              <w:right w:val="single" w:color="000000" w:sz="4" w:space="0"/>
            </w:tcBorders>
            <w:vAlign w:val="center"/>
          </w:tcPr>
          <w:p w14:paraId="26B62E5C">
            <w:pPr>
              <w:spacing w:line="460" w:lineRule="exact"/>
              <w:jc w:val="center"/>
              <w:rPr>
                <w:color w:val="auto"/>
                <w:spacing w:val="20"/>
                <w:szCs w:val="21"/>
                <w:highlight w:val="none"/>
              </w:rPr>
            </w:pPr>
            <w:r>
              <w:rPr>
                <w:rFonts w:hint="eastAsia" w:ascii="宋体" w:hAnsi="宋体" w:eastAsia="宋体" w:cs="宋体"/>
                <w:b w:val="0"/>
                <w:color w:val="auto"/>
                <w:sz w:val="21"/>
                <w:szCs w:val="21"/>
                <w:highlight w:val="none"/>
                <w:lang w:val="en-US" w:eastAsia="zh-CN"/>
              </w:rPr>
              <w:t>24</w:t>
            </w:r>
          </w:p>
        </w:tc>
        <w:tc>
          <w:tcPr>
            <w:tcW w:w="1893" w:type="dxa"/>
            <w:tcBorders>
              <w:top w:val="single" w:color="000000" w:sz="4" w:space="0"/>
              <w:left w:val="single" w:color="000000" w:sz="4" w:space="0"/>
              <w:bottom w:val="single" w:color="000000" w:sz="4" w:space="0"/>
              <w:right w:val="single" w:color="000000" w:sz="4" w:space="0"/>
            </w:tcBorders>
            <w:vAlign w:val="center"/>
          </w:tcPr>
          <w:p w14:paraId="2D0C9282">
            <w:pPr>
              <w:jc w:val="center"/>
              <w:rPr>
                <w:color w:val="auto"/>
                <w:spacing w:val="20"/>
                <w:szCs w:val="21"/>
                <w:highlight w:val="none"/>
              </w:rPr>
            </w:pPr>
          </w:p>
        </w:tc>
        <w:tc>
          <w:tcPr>
            <w:tcW w:w="670" w:type="dxa"/>
            <w:tcBorders>
              <w:top w:val="single" w:color="000000" w:sz="4" w:space="0"/>
              <w:left w:val="single" w:color="000000" w:sz="4" w:space="0"/>
              <w:bottom w:val="single" w:color="000000" w:sz="4" w:space="0"/>
              <w:right w:val="single" w:color="000000" w:sz="4" w:space="0"/>
            </w:tcBorders>
            <w:vAlign w:val="center"/>
          </w:tcPr>
          <w:p w14:paraId="13B330B2">
            <w:pPr>
              <w:jc w:val="center"/>
              <w:rPr>
                <w:color w:val="auto"/>
                <w:spacing w:val="20"/>
                <w:szCs w:val="21"/>
                <w:highlight w:val="none"/>
              </w:rPr>
            </w:pPr>
          </w:p>
        </w:tc>
      </w:tr>
      <w:tr w14:paraId="3C8E50DB">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714" w:type="dxa"/>
            <w:tcBorders>
              <w:top w:val="single" w:color="000000" w:sz="4" w:space="0"/>
              <w:left w:val="single" w:color="000000" w:sz="4" w:space="0"/>
              <w:bottom w:val="single" w:color="000000" w:sz="4" w:space="0"/>
              <w:right w:val="single" w:color="000000" w:sz="4" w:space="0"/>
            </w:tcBorders>
            <w:vAlign w:val="center"/>
          </w:tcPr>
          <w:p w14:paraId="53D9F884">
            <w:pPr>
              <w:jc w:val="center"/>
              <w:rPr>
                <w:color w:val="auto"/>
                <w:spacing w:val="20"/>
                <w:szCs w:val="21"/>
                <w:highlight w:val="none"/>
              </w:rPr>
            </w:pPr>
            <w:r>
              <w:rPr>
                <w:rFonts w:hint="eastAsia"/>
                <w:color w:val="auto"/>
                <w:spacing w:val="20"/>
                <w:szCs w:val="21"/>
                <w:highlight w:val="none"/>
              </w:rPr>
              <w:t>7</w:t>
            </w:r>
          </w:p>
        </w:tc>
        <w:tc>
          <w:tcPr>
            <w:tcW w:w="1234" w:type="dxa"/>
            <w:tcBorders>
              <w:top w:val="single" w:color="000000" w:sz="4" w:space="0"/>
              <w:left w:val="single" w:color="000000" w:sz="4" w:space="0"/>
              <w:bottom w:val="single" w:color="000000" w:sz="4" w:space="0"/>
              <w:right w:val="single" w:color="000000" w:sz="4" w:space="0"/>
            </w:tcBorders>
            <w:vAlign w:val="center"/>
          </w:tcPr>
          <w:p w14:paraId="6C1FBCC9">
            <w:pPr>
              <w:jc w:val="center"/>
              <w:rPr>
                <w:bCs/>
                <w:color w:val="auto"/>
                <w:spacing w:val="20"/>
                <w:szCs w:val="21"/>
                <w:highlight w:val="none"/>
              </w:rPr>
            </w:pPr>
            <w:r>
              <w:rPr>
                <w:rFonts w:ascii="Arial" w:hAnsi="Arial" w:cs="Arial"/>
                <w:bCs/>
                <w:color w:val="auto"/>
                <w:szCs w:val="21"/>
                <w:highlight w:val="none"/>
                <w:shd w:val="clear" w:color="auto" w:fill="FFFFFF"/>
              </w:rPr>
              <w:t>氩气</w:t>
            </w:r>
          </w:p>
        </w:tc>
        <w:tc>
          <w:tcPr>
            <w:tcW w:w="1661" w:type="dxa"/>
            <w:tcBorders>
              <w:top w:val="single" w:color="000000" w:sz="4" w:space="0"/>
              <w:left w:val="single" w:color="000000" w:sz="4" w:space="0"/>
              <w:bottom w:val="single" w:color="000000" w:sz="4" w:space="0"/>
              <w:right w:val="single" w:color="000000" w:sz="4" w:space="0"/>
            </w:tcBorders>
            <w:vAlign w:val="center"/>
          </w:tcPr>
          <w:p w14:paraId="189A6D3F">
            <w:pPr>
              <w:jc w:val="center"/>
              <w:rPr>
                <w:bCs/>
                <w:color w:val="auto"/>
                <w:spacing w:val="20"/>
                <w:szCs w:val="21"/>
                <w:highlight w:val="none"/>
              </w:rPr>
            </w:pPr>
            <w:r>
              <w:rPr>
                <w:rFonts w:ascii="Arial" w:hAnsi="Arial" w:cs="Arial"/>
                <w:bCs/>
                <w:color w:val="auto"/>
                <w:szCs w:val="21"/>
                <w:highlight w:val="none"/>
                <w:shd w:val="clear" w:color="auto" w:fill="FFFFFF"/>
              </w:rPr>
              <w:t>40L</w:t>
            </w:r>
          </w:p>
        </w:tc>
        <w:tc>
          <w:tcPr>
            <w:tcW w:w="1550" w:type="dxa"/>
            <w:tcBorders>
              <w:top w:val="single" w:color="000000" w:sz="4" w:space="0"/>
              <w:left w:val="single" w:color="000000" w:sz="4" w:space="0"/>
              <w:bottom w:val="single" w:color="000000" w:sz="4" w:space="0"/>
              <w:right w:val="single" w:color="000000" w:sz="4" w:space="0"/>
            </w:tcBorders>
            <w:vAlign w:val="center"/>
          </w:tcPr>
          <w:p w14:paraId="775DD809">
            <w:pPr>
              <w:jc w:val="center"/>
              <w:rPr>
                <w:color w:val="auto"/>
                <w:spacing w:val="20"/>
                <w:szCs w:val="21"/>
                <w:highlight w:val="none"/>
              </w:rPr>
            </w:pPr>
          </w:p>
        </w:tc>
        <w:tc>
          <w:tcPr>
            <w:tcW w:w="859" w:type="dxa"/>
            <w:tcBorders>
              <w:top w:val="single" w:color="000000" w:sz="4" w:space="0"/>
              <w:left w:val="single" w:color="000000" w:sz="4" w:space="0"/>
              <w:bottom w:val="single" w:color="000000" w:sz="4" w:space="0"/>
              <w:right w:val="single" w:color="000000" w:sz="4" w:space="0"/>
            </w:tcBorders>
            <w:vAlign w:val="center"/>
          </w:tcPr>
          <w:p w14:paraId="6635BC6A">
            <w:pPr>
              <w:spacing w:line="460" w:lineRule="exact"/>
              <w:jc w:val="center"/>
              <w:rPr>
                <w:color w:val="auto"/>
                <w:spacing w:val="20"/>
                <w:szCs w:val="21"/>
                <w:highlight w:val="none"/>
              </w:rPr>
            </w:pPr>
            <w:r>
              <w:rPr>
                <w:rFonts w:hint="eastAsia" w:ascii="宋体" w:hAnsi="宋体" w:eastAsia="宋体" w:cs="宋体"/>
                <w:b w:val="0"/>
                <w:color w:val="auto"/>
                <w:sz w:val="21"/>
                <w:szCs w:val="21"/>
                <w:highlight w:val="none"/>
                <w:lang w:val="en-US" w:eastAsia="zh-CN"/>
              </w:rPr>
              <w:t>瓶</w:t>
            </w:r>
          </w:p>
        </w:tc>
        <w:tc>
          <w:tcPr>
            <w:tcW w:w="874" w:type="dxa"/>
            <w:tcBorders>
              <w:top w:val="single" w:color="000000" w:sz="4" w:space="0"/>
              <w:left w:val="single" w:color="000000" w:sz="4" w:space="0"/>
              <w:bottom w:val="single" w:color="000000" w:sz="4" w:space="0"/>
              <w:right w:val="single" w:color="000000" w:sz="4" w:space="0"/>
            </w:tcBorders>
            <w:vAlign w:val="center"/>
          </w:tcPr>
          <w:p w14:paraId="4C9E22B2">
            <w:pPr>
              <w:spacing w:line="460" w:lineRule="exact"/>
              <w:jc w:val="center"/>
              <w:rPr>
                <w:color w:val="auto"/>
                <w:spacing w:val="20"/>
                <w:szCs w:val="21"/>
                <w:highlight w:val="none"/>
              </w:rPr>
            </w:pPr>
            <w:r>
              <w:rPr>
                <w:rFonts w:hint="eastAsia" w:ascii="宋体" w:hAnsi="宋体" w:eastAsia="宋体" w:cs="宋体"/>
                <w:b w:val="0"/>
                <w:color w:val="auto"/>
                <w:sz w:val="21"/>
                <w:szCs w:val="21"/>
                <w:highlight w:val="none"/>
                <w:lang w:val="en-US" w:eastAsia="zh-CN"/>
              </w:rPr>
              <w:t>10</w:t>
            </w:r>
          </w:p>
        </w:tc>
        <w:tc>
          <w:tcPr>
            <w:tcW w:w="1893" w:type="dxa"/>
            <w:tcBorders>
              <w:top w:val="single" w:color="000000" w:sz="4" w:space="0"/>
              <w:left w:val="single" w:color="000000" w:sz="4" w:space="0"/>
              <w:bottom w:val="single" w:color="000000" w:sz="4" w:space="0"/>
              <w:right w:val="single" w:color="000000" w:sz="4" w:space="0"/>
            </w:tcBorders>
            <w:vAlign w:val="center"/>
          </w:tcPr>
          <w:p w14:paraId="6A0FB46F">
            <w:pPr>
              <w:jc w:val="center"/>
              <w:rPr>
                <w:color w:val="auto"/>
                <w:spacing w:val="20"/>
                <w:szCs w:val="21"/>
                <w:highlight w:val="none"/>
              </w:rPr>
            </w:pPr>
          </w:p>
        </w:tc>
        <w:tc>
          <w:tcPr>
            <w:tcW w:w="670" w:type="dxa"/>
            <w:tcBorders>
              <w:top w:val="single" w:color="000000" w:sz="4" w:space="0"/>
              <w:left w:val="single" w:color="000000" w:sz="4" w:space="0"/>
              <w:bottom w:val="single" w:color="000000" w:sz="4" w:space="0"/>
              <w:right w:val="single" w:color="000000" w:sz="4" w:space="0"/>
            </w:tcBorders>
            <w:vAlign w:val="center"/>
          </w:tcPr>
          <w:p w14:paraId="2BECDB4F">
            <w:pPr>
              <w:jc w:val="center"/>
              <w:rPr>
                <w:color w:val="auto"/>
                <w:spacing w:val="20"/>
                <w:szCs w:val="21"/>
                <w:highlight w:val="none"/>
              </w:rPr>
            </w:pPr>
          </w:p>
        </w:tc>
      </w:tr>
      <w:tr w14:paraId="1FB88A59">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714" w:type="dxa"/>
            <w:tcBorders>
              <w:top w:val="single" w:color="000000" w:sz="4" w:space="0"/>
              <w:left w:val="single" w:color="000000" w:sz="4" w:space="0"/>
              <w:bottom w:val="single" w:color="000000" w:sz="4" w:space="0"/>
              <w:right w:val="single" w:color="000000" w:sz="4" w:space="0"/>
            </w:tcBorders>
            <w:vAlign w:val="center"/>
          </w:tcPr>
          <w:p w14:paraId="7AC6DDBF">
            <w:pPr>
              <w:jc w:val="center"/>
              <w:rPr>
                <w:color w:val="auto"/>
                <w:spacing w:val="20"/>
                <w:szCs w:val="21"/>
                <w:highlight w:val="none"/>
              </w:rPr>
            </w:pPr>
            <w:r>
              <w:rPr>
                <w:rFonts w:hint="eastAsia"/>
                <w:color w:val="auto"/>
                <w:spacing w:val="20"/>
                <w:szCs w:val="21"/>
                <w:highlight w:val="none"/>
              </w:rPr>
              <w:t>8</w:t>
            </w:r>
          </w:p>
        </w:tc>
        <w:tc>
          <w:tcPr>
            <w:tcW w:w="1234" w:type="dxa"/>
            <w:tcBorders>
              <w:top w:val="single" w:color="000000" w:sz="4" w:space="0"/>
              <w:left w:val="single" w:color="000000" w:sz="4" w:space="0"/>
              <w:bottom w:val="single" w:color="000000" w:sz="4" w:space="0"/>
              <w:right w:val="single" w:color="000000" w:sz="4" w:space="0"/>
            </w:tcBorders>
            <w:vAlign w:val="center"/>
          </w:tcPr>
          <w:p w14:paraId="3A35E930">
            <w:pPr>
              <w:jc w:val="center"/>
              <w:rPr>
                <w:bCs/>
                <w:color w:val="auto"/>
                <w:spacing w:val="20"/>
                <w:szCs w:val="21"/>
                <w:highlight w:val="none"/>
              </w:rPr>
            </w:pPr>
            <w:r>
              <w:rPr>
                <w:rFonts w:ascii="Arial" w:hAnsi="Arial" w:cs="Arial"/>
                <w:bCs/>
                <w:color w:val="auto"/>
                <w:szCs w:val="21"/>
                <w:highlight w:val="none"/>
                <w:shd w:val="clear" w:color="auto" w:fill="FFFFFF"/>
              </w:rPr>
              <w:t>混合气体</w:t>
            </w:r>
          </w:p>
        </w:tc>
        <w:tc>
          <w:tcPr>
            <w:tcW w:w="1661" w:type="dxa"/>
            <w:tcBorders>
              <w:top w:val="single" w:color="000000" w:sz="4" w:space="0"/>
              <w:left w:val="single" w:color="000000" w:sz="4" w:space="0"/>
              <w:bottom w:val="single" w:color="000000" w:sz="4" w:space="0"/>
              <w:right w:val="single" w:color="000000" w:sz="4" w:space="0"/>
            </w:tcBorders>
            <w:vAlign w:val="center"/>
          </w:tcPr>
          <w:p w14:paraId="413FB991">
            <w:pPr>
              <w:jc w:val="center"/>
              <w:rPr>
                <w:bCs/>
                <w:color w:val="auto"/>
                <w:spacing w:val="20"/>
                <w:szCs w:val="21"/>
                <w:highlight w:val="none"/>
              </w:rPr>
            </w:pPr>
            <w:r>
              <w:rPr>
                <w:rFonts w:ascii="Arial" w:hAnsi="Arial" w:cs="Arial"/>
                <w:bCs/>
                <w:color w:val="auto"/>
                <w:szCs w:val="21"/>
                <w:highlight w:val="none"/>
                <w:shd w:val="clear" w:color="auto" w:fill="FFFFFF"/>
              </w:rPr>
              <w:t>40L（CH</w:t>
            </w:r>
            <w:r>
              <w:rPr>
                <w:rFonts w:ascii="Arial" w:hAnsi="Arial" w:cs="Arial"/>
                <w:bCs/>
                <w:color w:val="auto"/>
                <w:szCs w:val="21"/>
                <w:highlight w:val="none"/>
                <w:shd w:val="clear" w:color="auto" w:fill="FFFFFF"/>
                <w:vertAlign w:val="subscript"/>
              </w:rPr>
              <w:t>4</w:t>
            </w:r>
            <w:r>
              <w:rPr>
                <w:rFonts w:ascii="Arial" w:hAnsi="Arial" w:cs="Arial"/>
                <w:bCs/>
                <w:color w:val="auto"/>
                <w:szCs w:val="21"/>
                <w:highlight w:val="none"/>
                <w:shd w:val="clear" w:color="auto" w:fill="FFFFFF"/>
              </w:rPr>
              <w:t>,CO,C</w:t>
            </w:r>
            <w:r>
              <w:rPr>
                <w:rFonts w:ascii="Arial" w:hAnsi="Arial" w:cs="Arial"/>
                <w:bCs/>
                <w:color w:val="auto"/>
                <w:szCs w:val="21"/>
                <w:highlight w:val="none"/>
                <w:shd w:val="clear" w:color="auto" w:fill="FFFFFF"/>
                <w:vertAlign w:val="subscript"/>
              </w:rPr>
              <w:t>2</w:t>
            </w:r>
            <w:r>
              <w:rPr>
                <w:rFonts w:ascii="Arial" w:hAnsi="Arial" w:cs="Arial"/>
                <w:bCs/>
                <w:color w:val="auto"/>
                <w:szCs w:val="21"/>
                <w:highlight w:val="none"/>
                <w:shd w:val="clear" w:color="auto" w:fill="FFFFFF"/>
              </w:rPr>
              <w:t>H</w:t>
            </w:r>
            <w:r>
              <w:rPr>
                <w:rFonts w:ascii="Arial" w:hAnsi="Arial" w:cs="Arial"/>
                <w:bCs/>
                <w:color w:val="auto"/>
                <w:szCs w:val="21"/>
                <w:highlight w:val="none"/>
                <w:shd w:val="clear" w:color="auto" w:fill="FFFFFF"/>
                <w:vertAlign w:val="subscript"/>
              </w:rPr>
              <w:t>2</w:t>
            </w:r>
            <w:r>
              <w:rPr>
                <w:rFonts w:ascii="Arial" w:hAnsi="Arial" w:cs="Arial"/>
                <w:bCs/>
                <w:color w:val="auto"/>
                <w:szCs w:val="21"/>
                <w:highlight w:val="none"/>
                <w:shd w:val="clear" w:color="auto" w:fill="FFFFFF"/>
              </w:rPr>
              <w:t>,O</w:t>
            </w:r>
            <w:r>
              <w:rPr>
                <w:rFonts w:ascii="Arial" w:hAnsi="Arial" w:cs="Arial"/>
                <w:bCs/>
                <w:color w:val="auto"/>
                <w:szCs w:val="21"/>
                <w:highlight w:val="none"/>
                <w:shd w:val="clear" w:color="auto" w:fill="FFFFFF"/>
                <w:vertAlign w:val="subscript"/>
              </w:rPr>
              <w:t>2</w:t>
            </w:r>
            <w:r>
              <w:rPr>
                <w:rFonts w:ascii="Arial" w:hAnsi="Arial" w:cs="Arial"/>
                <w:bCs/>
                <w:color w:val="auto"/>
                <w:szCs w:val="21"/>
                <w:highlight w:val="none"/>
                <w:shd w:val="clear" w:color="auto" w:fill="FFFFFF"/>
              </w:rPr>
              <w:t>,N</w:t>
            </w:r>
            <w:r>
              <w:rPr>
                <w:rFonts w:ascii="Arial" w:hAnsi="Arial" w:cs="Arial"/>
                <w:bCs/>
                <w:color w:val="auto"/>
                <w:szCs w:val="21"/>
                <w:highlight w:val="none"/>
                <w:shd w:val="clear" w:color="auto" w:fill="FFFFFF"/>
                <w:vertAlign w:val="subscript"/>
              </w:rPr>
              <w:t>2</w:t>
            </w:r>
            <w:r>
              <w:rPr>
                <w:rFonts w:ascii="Arial" w:hAnsi="Arial" w:cs="Arial"/>
                <w:bCs/>
                <w:color w:val="auto"/>
                <w:szCs w:val="21"/>
                <w:highlight w:val="none"/>
                <w:shd w:val="clear" w:color="auto" w:fill="FFFFFF"/>
              </w:rPr>
              <w:t>）</w:t>
            </w:r>
          </w:p>
        </w:tc>
        <w:tc>
          <w:tcPr>
            <w:tcW w:w="1550" w:type="dxa"/>
            <w:tcBorders>
              <w:top w:val="single" w:color="000000" w:sz="4" w:space="0"/>
              <w:left w:val="single" w:color="000000" w:sz="4" w:space="0"/>
              <w:bottom w:val="single" w:color="000000" w:sz="4" w:space="0"/>
              <w:right w:val="single" w:color="000000" w:sz="4" w:space="0"/>
            </w:tcBorders>
            <w:vAlign w:val="center"/>
          </w:tcPr>
          <w:p w14:paraId="44BED56E">
            <w:pPr>
              <w:jc w:val="center"/>
              <w:rPr>
                <w:color w:val="auto"/>
                <w:spacing w:val="20"/>
                <w:szCs w:val="21"/>
                <w:highlight w:val="none"/>
              </w:rPr>
            </w:pPr>
          </w:p>
        </w:tc>
        <w:tc>
          <w:tcPr>
            <w:tcW w:w="859" w:type="dxa"/>
            <w:tcBorders>
              <w:top w:val="single" w:color="000000" w:sz="4" w:space="0"/>
              <w:left w:val="single" w:color="000000" w:sz="4" w:space="0"/>
              <w:bottom w:val="single" w:color="000000" w:sz="4" w:space="0"/>
              <w:right w:val="single" w:color="000000" w:sz="4" w:space="0"/>
            </w:tcBorders>
            <w:vAlign w:val="center"/>
          </w:tcPr>
          <w:p w14:paraId="680EAA0F">
            <w:pPr>
              <w:spacing w:line="460" w:lineRule="exact"/>
              <w:jc w:val="center"/>
              <w:rPr>
                <w:color w:val="auto"/>
                <w:spacing w:val="20"/>
                <w:szCs w:val="21"/>
                <w:highlight w:val="none"/>
              </w:rPr>
            </w:pPr>
            <w:r>
              <w:rPr>
                <w:rFonts w:hint="eastAsia" w:ascii="宋体" w:hAnsi="宋体" w:eastAsia="宋体" w:cs="宋体"/>
                <w:b w:val="0"/>
                <w:color w:val="auto"/>
                <w:sz w:val="21"/>
                <w:szCs w:val="21"/>
                <w:highlight w:val="none"/>
                <w:lang w:val="en-US" w:eastAsia="zh-CN"/>
              </w:rPr>
              <w:t>瓶</w:t>
            </w:r>
          </w:p>
        </w:tc>
        <w:tc>
          <w:tcPr>
            <w:tcW w:w="874" w:type="dxa"/>
            <w:tcBorders>
              <w:top w:val="single" w:color="000000" w:sz="4" w:space="0"/>
              <w:left w:val="single" w:color="000000" w:sz="4" w:space="0"/>
              <w:bottom w:val="single" w:color="000000" w:sz="4" w:space="0"/>
              <w:right w:val="single" w:color="000000" w:sz="4" w:space="0"/>
            </w:tcBorders>
            <w:vAlign w:val="center"/>
          </w:tcPr>
          <w:p w14:paraId="10870514">
            <w:pPr>
              <w:spacing w:line="460" w:lineRule="exact"/>
              <w:jc w:val="center"/>
              <w:rPr>
                <w:color w:val="auto"/>
                <w:spacing w:val="20"/>
                <w:szCs w:val="21"/>
                <w:highlight w:val="none"/>
              </w:rPr>
            </w:pPr>
            <w:r>
              <w:rPr>
                <w:rFonts w:hint="eastAsia" w:ascii="宋体" w:hAnsi="宋体" w:eastAsia="宋体" w:cs="宋体"/>
                <w:b w:val="0"/>
                <w:color w:val="auto"/>
                <w:sz w:val="21"/>
                <w:szCs w:val="21"/>
                <w:highlight w:val="none"/>
                <w:lang w:val="en-US" w:eastAsia="zh-CN"/>
              </w:rPr>
              <w:t>4</w:t>
            </w:r>
          </w:p>
        </w:tc>
        <w:tc>
          <w:tcPr>
            <w:tcW w:w="1893" w:type="dxa"/>
            <w:tcBorders>
              <w:top w:val="single" w:color="000000" w:sz="4" w:space="0"/>
              <w:left w:val="single" w:color="000000" w:sz="4" w:space="0"/>
              <w:bottom w:val="single" w:color="000000" w:sz="4" w:space="0"/>
              <w:right w:val="single" w:color="000000" w:sz="4" w:space="0"/>
            </w:tcBorders>
            <w:vAlign w:val="center"/>
          </w:tcPr>
          <w:p w14:paraId="74960DC8">
            <w:pPr>
              <w:jc w:val="center"/>
              <w:rPr>
                <w:color w:val="auto"/>
                <w:spacing w:val="20"/>
                <w:szCs w:val="21"/>
                <w:highlight w:val="none"/>
              </w:rPr>
            </w:pPr>
          </w:p>
        </w:tc>
        <w:tc>
          <w:tcPr>
            <w:tcW w:w="670" w:type="dxa"/>
            <w:tcBorders>
              <w:top w:val="single" w:color="000000" w:sz="4" w:space="0"/>
              <w:left w:val="single" w:color="000000" w:sz="4" w:space="0"/>
              <w:bottom w:val="single" w:color="000000" w:sz="4" w:space="0"/>
              <w:right w:val="single" w:color="000000" w:sz="4" w:space="0"/>
            </w:tcBorders>
            <w:vAlign w:val="center"/>
          </w:tcPr>
          <w:p w14:paraId="14DAEA38">
            <w:pPr>
              <w:jc w:val="center"/>
              <w:rPr>
                <w:color w:val="auto"/>
                <w:spacing w:val="20"/>
                <w:szCs w:val="21"/>
                <w:highlight w:val="none"/>
              </w:rPr>
            </w:pPr>
          </w:p>
        </w:tc>
      </w:tr>
      <w:tr w14:paraId="3C9851F3">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3609" w:type="dxa"/>
            <w:gridSpan w:val="3"/>
            <w:tcBorders>
              <w:top w:val="single" w:color="000000" w:sz="4" w:space="0"/>
              <w:left w:val="single" w:color="000000" w:sz="4" w:space="0"/>
              <w:bottom w:val="single" w:color="000000" w:sz="4" w:space="0"/>
              <w:right w:val="single" w:color="000000" w:sz="4" w:space="0"/>
            </w:tcBorders>
            <w:vAlign w:val="center"/>
          </w:tcPr>
          <w:p w14:paraId="5DB31416">
            <w:pPr>
              <w:jc w:val="center"/>
              <w:rPr>
                <w:rFonts w:hint="default" w:eastAsia="宋体"/>
                <w:color w:val="auto"/>
                <w:spacing w:val="20"/>
                <w:szCs w:val="21"/>
                <w:highlight w:val="none"/>
                <w:lang w:val="en-US" w:eastAsia="zh-CN"/>
              </w:rPr>
            </w:pPr>
            <w:r>
              <w:rPr>
                <w:rFonts w:hint="eastAsia"/>
                <w:color w:val="auto"/>
                <w:spacing w:val="20"/>
                <w:szCs w:val="21"/>
                <w:highlight w:val="none"/>
                <w:lang w:val="en-US" w:eastAsia="zh-CN"/>
              </w:rPr>
              <w:t>总价合计</w:t>
            </w:r>
          </w:p>
        </w:tc>
        <w:tc>
          <w:tcPr>
            <w:tcW w:w="5846" w:type="dxa"/>
            <w:gridSpan w:val="5"/>
            <w:tcBorders>
              <w:top w:val="single" w:color="000000" w:sz="4" w:space="0"/>
              <w:left w:val="single" w:color="000000" w:sz="4" w:space="0"/>
              <w:bottom w:val="single" w:color="000000" w:sz="4" w:space="0"/>
              <w:right w:val="single" w:color="000000" w:sz="4" w:space="0"/>
            </w:tcBorders>
            <w:vAlign w:val="center"/>
          </w:tcPr>
          <w:p w14:paraId="5DFEFA79">
            <w:pPr>
              <w:jc w:val="left"/>
              <w:rPr>
                <w:rFonts w:hint="eastAsia"/>
                <w:color w:val="auto"/>
                <w:spacing w:val="20"/>
                <w:szCs w:val="21"/>
                <w:highlight w:val="none"/>
                <w:lang w:val="en-US" w:eastAsia="zh-CN"/>
              </w:rPr>
            </w:pPr>
            <w:r>
              <w:rPr>
                <w:rFonts w:hint="eastAsia"/>
                <w:color w:val="auto"/>
                <w:spacing w:val="20"/>
                <w:szCs w:val="21"/>
                <w:highlight w:val="none"/>
                <w:lang w:val="en-US" w:eastAsia="zh-CN"/>
              </w:rPr>
              <w:t>大写：人民币</w:t>
            </w:r>
            <w:r>
              <w:rPr>
                <w:rFonts w:hint="eastAsia"/>
                <w:color w:val="auto"/>
                <w:spacing w:val="20"/>
                <w:szCs w:val="21"/>
                <w:highlight w:val="none"/>
                <w:u w:val="single"/>
                <w:lang w:val="en-US" w:eastAsia="zh-CN"/>
              </w:rPr>
              <w:t xml:space="preserve">                         </w:t>
            </w:r>
            <w:r>
              <w:rPr>
                <w:rFonts w:hint="eastAsia"/>
                <w:color w:val="auto"/>
                <w:spacing w:val="20"/>
                <w:szCs w:val="21"/>
                <w:highlight w:val="none"/>
                <w:lang w:val="en-US" w:eastAsia="zh-CN"/>
              </w:rPr>
              <w:t xml:space="preserve">    </w:t>
            </w:r>
          </w:p>
          <w:p w14:paraId="38709CCE">
            <w:pPr>
              <w:jc w:val="left"/>
              <w:rPr>
                <w:rFonts w:hint="default"/>
                <w:color w:val="auto"/>
                <w:spacing w:val="20"/>
                <w:szCs w:val="21"/>
                <w:highlight w:val="none"/>
                <w:lang w:val="en-US" w:eastAsia="zh-CN"/>
              </w:rPr>
            </w:pPr>
            <w:r>
              <w:rPr>
                <w:rFonts w:hint="eastAsia"/>
                <w:color w:val="auto"/>
                <w:spacing w:val="20"/>
                <w:szCs w:val="21"/>
                <w:highlight w:val="none"/>
                <w:lang w:val="en-US" w:eastAsia="zh-CN"/>
              </w:rPr>
              <w:t>小写：</w:t>
            </w:r>
            <w:r>
              <w:rPr>
                <w:rFonts w:hint="eastAsia"/>
                <w:color w:val="auto"/>
                <w:spacing w:val="20"/>
                <w:szCs w:val="21"/>
                <w:highlight w:val="none"/>
                <w:u w:val="single"/>
                <w:lang w:val="en-US" w:eastAsia="zh-CN"/>
              </w:rPr>
              <w:t xml:space="preserve">                   </w:t>
            </w:r>
            <w:r>
              <w:rPr>
                <w:rFonts w:hint="eastAsia"/>
                <w:color w:val="auto"/>
                <w:spacing w:val="20"/>
                <w:szCs w:val="21"/>
                <w:highlight w:val="none"/>
                <w:u w:val="none"/>
                <w:lang w:val="en-US" w:eastAsia="zh-CN"/>
              </w:rPr>
              <w:t>元</w:t>
            </w:r>
          </w:p>
        </w:tc>
      </w:tr>
      <w:tr w14:paraId="491AD988">
        <w:tblPrEx>
          <w:tblBorders>
            <w:top w:val="single" w:color="000000" w:sz="4" w:space="0"/>
            <w:left w:val="single" w:color="000000" w:sz="4" w:space="0"/>
            <w:bottom w:val="single" w:color="000000" w:sz="4" w:space="0"/>
            <w:right w:val="single" w:color="000000" w:sz="4" w:space="0"/>
            <w:insideH w:val="none" w:color="auto" w:sz="0" w:space="0"/>
            <w:insideV w:val="none" w:color="auto" w:sz="0" w:space="0"/>
          </w:tblBorders>
          <w:tblCellMar>
            <w:top w:w="0" w:type="dxa"/>
            <w:left w:w="108" w:type="dxa"/>
            <w:bottom w:w="0" w:type="dxa"/>
            <w:right w:w="108" w:type="dxa"/>
          </w:tblCellMar>
        </w:tblPrEx>
        <w:trPr>
          <w:trHeight w:val="784" w:hRule="exact"/>
          <w:jc w:val="center"/>
        </w:trPr>
        <w:tc>
          <w:tcPr>
            <w:tcW w:w="3609" w:type="dxa"/>
            <w:gridSpan w:val="3"/>
            <w:tcBorders>
              <w:top w:val="single" w:color="000000" w:sz="4" w:space="0"/>
              <w:left w:val="single" w:color="000000" w:sz="4" w:space="0"/>
              <w:bottom w:val="single" w:color="000000" w:sz="4" w:space="0"/>
              <w:right w:val="single" w:color="000000" w:sz="4" w:space="0"/>
            </w:tcBorders>
            <w:vAlign w:val="center"/>
          </w:tcPr>
          <w:p w14:paraId="4A0319AF">
            <w:pPr>
              <w:jc w:val="center"/>
              <w:rPr>
                <w:color w:val="auto"/>
                <w:spacing w:val="20"/>
                <w:szCs w:val="21"/>
                <w:highlight w:val="none"/>
              </w:rPr>
            </w:pPr>
            <w:r>
              <w:rPr>
                <w:rFonts w:hint="eastAsia" w:ascii="宋体" w:hAnsi="宋体" w:cs="宋体"/>
                <w:color w:val="auto"/>
                <w:szCs w:val="21"/>
                <w:highlight w:val="none"/>
              </w:rPr>
              <w:t>合同履约期限</w:t>
            </w:r>
          </w:p>
        </w:tc>
        <w:tc>
          <w:tcPr>
            <w:tcW w:w="5846" w:type="dxa"/>
            <w:gridSpan w:val="5"/>
            <w:tcBorders>
              <w:top w:val="single" w:color="000000" w:sz="4" w:space="0"/>
              <w:left w:val="single" w:color="000000" w:sz="4" w:space="0"/>
              <w:bottom w:val="single" w:color="000000" w:sz="4" w:space="0"/>
              <w:right w:val="single" w:color="000000" w:sz="4" w:space="0"/>
            </w:tcBorders>
            <w:vAlign w:val="center"/>
          </w:tcPr>
          <w:p w14:paraId="061CAE51">
            <w:pPr>
              <w:jc w:val="center"/>
              <w:rPr>
                <w:color w:val="auto"/>
                <w:spacing w:val="20"/>
                <w:szCs w:val="21"/>
                <w:highlight w:val="none"/>
              </w:rPr>
            </w:pPr>
            <w:bookmarkStart w:id="246" w:name="_GoBack"/>
            <w:bookmarkEnd w:id="246"/>
          </w:p>
        </w:tc>
      </w:tr>
    </w:tbl>
    <w:p w14:paraId="7F225B62">
      <w:pPr>
        <w:rPr>
          <w:color w:val="auto"/>
          <w:spacing w:val="20"/>
          <w:szCs w:val="21"/>
          <w:highlight w:val="none"/>
          <w:u w:val="single"/>
        </w:rPr>
      </w:pPr>
    </w:p>
    <w:p w14:paraId="0BB7FB5B">
      <w:pPr>
        <w:spacing w:line="360" w:lineRule="auto"/>
        <w:rPr>
          <w:color w:val="auto"/>
          <w:spacing w:val="20"/>
          <w:szCs w:val="21"/>
          <w:highlight w:val="none"/>
        </w:rPr>
      </w:pPr>
    </w:p>
    <w:p w14:paraId="7C74A9E1">
      <w:pPr>
        <w:tabs>
          <w:tab w:val="left" w:pos="7200"/>
        </w:tabs>
        <w:spacing w:before="50" w:after="120"/>
        <w:jc w:val="left"/>
        <w:rPr>
          <w:color w:val="auto"/>
          <w:szCs w:val="21"/>
          <w:highlight w:val="none"/>
        </w:rPr>
      </w:pPr>
      <w:r>
        <w:rPr>
          <w:rFonts w:hint="eastAsia"/>
          <w:color w:val="auto"/>
          <w:szCs w:val="21"/>
          <w:highlight w:val="none"/>
        </w:rPr>
        <w:t>注：单价报价不能超过最高控制单价，否则视为无效报价。</w:t>
      </w:r>
      <w:r>
        <w:rPr>
          <w:color w:val="auto"/>
          <w:szCs w:val="21"/>
          <w:highlight w:val="none"/>
        </w:rPr>
        <w:tab/>
      </w:r>
    </w:p>
    <w:p w14:paraId="2C327B0C">
      <w:pPr>
        <w:spacing w:before="50" w:after="120"/>
        <w:jc w:val="left"/>
        <w:rPr>
          <w:color w:val="auto"/>
          <w:szCs w:val="21"/>
          <w:highlight w:val="none"/>
        </w:rPr>
      </w:pPr>
      <w:r>
        <w:rPr>
          <w:rFonts w:hint="eastAsia"/>
          <w:color w:val="auto"/>
          <w:szCs w:val="21"/>
          <w:highlight w:val="none"/>
        </w:rPr>
        <w:t>本表如与广西政府采购云平台不一致的，以广西政府采购云平台为准。</w:t>
      </w:r>
    </w:p>
    <w:p w14:paraId="0C8A0A23">
      <w:pPr>
        <w:keepNext w:val="0"/>
        <w:keepLines w:val="0"/>
        <w:pageBreakBefore w:val="0"/>
        <w:wordWrap/>
        <w:overflowPunct/>
        <w:topLinePunct w:val="0"/>
        <w:bidi w:val="0"/>
        <w:snapToGrid w:val="0"/>
        <w:spacing w:line="400" w:lineRule="exact"/>
        <w:ind w:left="-2" w:leftChars="-1" w:right="-817" w:rightChars="-389"/>
        <w:rPr>
          <w:rFonts w:hint="eastAsia" w:ascii="宋体" w:hAnsi="宋体" w:cs="宋体"/>
          <w:color w:val="auto"/>
          <w:szCs w:val="21"/>
          <w:highlight w:val="none"/>
        </w:rPr>
      </w:pPr>
    </w:p>
    <w:p w14:paraId="5AE139B2">
      <w:pPr>
        <w:keepNext w:val="0"/>
        <w:keepLines w:val="0"/>
        <w:pageBreakBefore w:val="0"/>
        <w:wordWrap/>
        <w:overflowPunct/>
        <w:topLinePunct w:val="0"/>
        <w:bidi w:val="0"/>
        <w:snapToGrid w:val="0"/>
        <w:spacing w:line="400" w:lineRule="exact"/>
        <w:ind w:left="-2" w:leftChars="-1" w:right="-817" w:rightChars="-389"/>
        <w:rPr>
          <w:rFonts w:hint="eastAsia" w:ascii="宋体" w:hAnsi="宋体" w:cs="宋体"/>
          <w:color w:val="auto"/>
          <w:szCs w:val="21"/>
          <w:highlight w:val="none"/>
        </w:rPr>
      </w:pPr>
      <w:r>
        <w:rPr>
          <w:rFonts w:hint="eastAsia" w:ascii="宋体" w:hAnsi="宋体" w:cs="宋体"/>
          <w:color w:val="auto"/>
          <w:szCs w:val="21"/>
          <w:highlight w:val="none"/>
        </w:rPr>
        <w:t xml:space="preserve">                           法定代表人或者委托代理人（签字或者电子签名）： </w:t>
      </w:r>
    </w:p>
    <w:p w14:paraId="1679A081">
      <w:pPr>
        <w:keepNext w:val="0"/>
        <w:keepLines w:val="0"/>
        <w:pageBreakBefore w:val="0"/>
        <w:wordWrap/>
        <w:overflowPunct/>
        <w:topLinePunct w:val="0"/>
        <w:bidi w:val="0"/>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12A8D440">
      <w:pPr>
        <w:keepNext w:val="0"/>
        <w:keepLines w:val="0"/>
        <w:pageBreakBefore w:val="0"/>
        <w:wordWrap/>
        <w:overflowPunct/>
        <w:topLinePunct w:val="0"/>
        <w:bidi w:val="0"/>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1E1BA136">
      <w:pPr>
        <w:rPr>
          <w:rFonts w:hint="eastAsia" w:ascii="宋体" w:hAnsi="宋体" w:cs="宋体"/>
          <w:color w:val="auto"/>
          <w:highlight w:val="none"/>
        </w:rPr>
      </w:pPr>
      <w:r>
        <w:rPr>
          <w:rFonts w:hint="eastAsia" w:ascii="宋体" w:hAnsi="宋体" w:cs="宋体"/>
          <w:b/>
          <w:bCs/>
          <w:color w:val="auto"/>
          <w:sz w:val="24"/>
          <w:highlight w:val="none"/>
        </w:rPr>
        <w:br w:type="page"/>
      </w:r>
      <w:bookmarkStart w:id="234" w:name="_Toc19686837"/>
      <w:r>
        <w:rPr>
          <w:rFonts w:hint="eastAsia" w:ascii="宋体" w:hAnsi="宋体" w:cs="宋体"/>
          <w:b/>
          <w:color w:val="auto"/>
          <w:sz w:val="24"/>
          <w:highlight w:val="none"/>
        </w:rPr>
        <w:t>3.中小企业声明函格式</w:t>
      </w:r>
    </w:p>
    <w:p w14:paraId="3ABC7C49">
      <w:pPr>
        <w:rPr>
          <w:rFonts w:hint="eastAsia" w:ascii="宋体" w:hAnsi="宋体" w:cs="宋体"/>
          <w:color w:val="auto"/>
          <w:highlight w:val="none"/>
        </w:rPr>
      </w:pPr>
    </w:p>
    <w:p w14:paraId="10DA7BDA">
      <w:pPr>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中小企业声明函（服务）</w:t>
      </w:r>
    </w:p>
    <w:p w14:paraId="3284FC99">
      <w:pPr>
        <w:spacing w:before="2" w:line="500" w:lineRule="exact"/>
        <w:rPr>
          <w:rFonts w:hint="eastAsia" w:ascii="宋体" w:hAnsi="宋体" w:cs="宋体"/>
          <w:b/>
          <w:bCs/>
          <w:color w:val="auto"/>
          <w:szCs w:val="21"/>
          <w:highlight w:val="none"/>
        </w:rPr>
      </w:pPr>
    </w:p>
    <w:p w14:paraId="1AA22346">
      <w:pPr>
        <w:pStyle w:val="15"/>
        <w:keepNext w:val="0"/>
        <w:keepLines w:val="0"/>
        <w:pageBreakBefore w:val="0"/>
        <w:widowControl w:val="0"/>
        <w:kinsoku/>
        <w:wordWrap/>
        <w:overflowPunct/>
        <w:topLinePunct w:val="0"/>
        <w:autoSpaceDE/>
        <w:autoSpaceDN/>
        <w:bidi w:val="0"/>
        <w:adjustRightInd/>
        <w:snapToGrid/>
        <w:spacing w:line="400" w:lineRule="exact"/>
        <w:ind w:right="14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本公司（联合体）郑重声明，根据《政府采购促进中小企业发展管理办法》（财库﹝2020﹞46号）的规定，本公司（联合体）参加</w:t>
      </w:r>
      <w:r>
        <w:rPr>
          <w:rFonts w:hint="eastAsia" w:ascii="宋体" w:hAnsi="宋体" w:cs="宋体"/>
          <w:color w:val="auto"/>
          <w:szCs w:val="21"/>
          <w:highlight w:val="none"/>
          <w:u w:val="single"/>
        </w:rPr>
        <w:t>（单位名称）</w:t>
      </w:r>
      <w:r>
        <w:rPr>
          <w:rFonts w:hint="eastAsia" w:ascii="宋体" w:hAnsi="宋体" w:cs="宋体"/>
          <w:color w:val="auto"/>
          <w:szCs w:val="21"/>
          <w:highlight w:val="none"/>
        </w:rPr>
        <w:t>的</w:t>
      </w:r>
      <w:r>
        <w:rPr>
          <w:rFonts w:hint="eastAsia" w:ascii="宋体" w:hAnsi="宋体" w:cs="宋体"/>
          <w:color w:val="auto"/>
          <w:szCs w:val="21"/>
          <w:highlight w:val="none"/>
          <w:u w:val="single"/>
        </w:rPr>
        <w:t>（项目名称）</w:t>
      </w:r>
      <w:r>
        <w:rPr>
          <w:rFonts w:hint="eastAsia" w:ascii="宋体" w:hAnsi="宋体" w:cs="宋体"/>
          <w:color w:val="auto"/>
          <w:szCs w:val="21"/>
          <w:highlight w:val="none"/>
        </w:rPr>
        <w:t>采购活动，服务全部由符合政策要求的中小企业承接。相关企业（含联合体中的中小企业、签订分包意向协议的中小企业）的具体情况如下：</w:t>
      </w:r>
    </w:p>
    <w:p w14:paraId="65DCD61E">
      <w:pPr>
        <w:keepNext w:val="0"/>
        <w:keepLines w:val="0"/>
        <w:pageBreakBefore w:val="0"/>
        <w:widowControl w:val="0"/>
        <w:tabs>
          <w:tab w:val="left" w:pos="1384"/>
          <w:tab w:val="left" w:pos="4562"/>
          <w:tab w:val="left" w:pos="6803"/>
        </w:tabs>
        <w:kinsoku/>
        <w:wordWrap/>
        <w:overflowPunct/>
        <w:topLinePunct w:val="0"/>
        <w:autoSpaceDE/>
        <w:autoSpaceDN/>
        <w:bidi w:val="0"/>
        <w:adjustRightInd/>
        <w:snapToGrid/>
        <w:spacing w:before="13" w:line="400" w:lineRule="exact"/>
        <w:ind w:right="142" w:firstLine="600" w:firstLineChars="286"/>
        <w:textAlignment w:val="auto"/>
        <w:rPr>
          <w:rFonts w:hint="eastAsia" w:ascii="宋体" w:hAnsi="宋体" w:cs="宋体"/>
          <w:color w:val="auto"/>
          <w:szCs w:val="21"/>
          <w:highlight w:val="none"/>
        </w:rPr>
      </w:pPr>
      <w:r>
        <w:rPr>
          <w:rFonts w:hint="eastAsia" w:ascii="宋体" w:hAnsi="宋体" w:cs="宋体"/>
          <w:color w:val="auto"/>
          <w:szCs w:val="21"/>
          <w:highlight w:val="none"/>
        </w:rPr>
        <w:t>1.</w:t>
      </w:r>
      <w:r>
        <w:rPr>
          <w:rFonts w:hint="eastAsia" w:ascii="宋体" w:hAnsi="宋体" w:cs="宋体"/>
          <w:color w:val="auto"/>
          <w:szCs w:val="21"/>
          <w:highlight w:val="none"/>
          <w:u w:val="single"/>
        </w:rPr>
        <w:t>（标的名称）</w:t>
      </w:r>
      <w:r>
        <w:rPr>
          <w:rFonts w:hint="eastAsia" w:ascii="宋体" w:hAnsi="宋体" w:cs="宋体"/>
          <w:color w:val="auto"/>
          <w:szCs w:val="21"/>
          <w:highlight w:val="none"/>
        </w:rPr>
        <w:t>，属于</w:t>
      </w:r>
      <w:r>
        <w:rPr>
          <w:rFonts w:hint="eastAsia" w:ascii="宋体" w:hAnsi="宋体" w:cs="宋体"/>
          <w:color w:val="auto"/>
          <w:szCs w:val="21"/>
          <w:highlight w:val="none"/>
          <w:u w:val="single"/>
        </w:rPr>
        <w:t>（采购文件中明确的所属行业）</w:t>
      </w:r>
      <w:r>
        <w:rPr>
          <w:rFonts w:hint="eastAsia" w:ascii="宋体" w:hAnsi="宋体" w:cs="宋体"/>
          <w:color w:val="auto"/>
          <w:szCs w:val="21"/>
          <w:highlight w:val="none"/>
        </w:rPr>
        <w:t>；承接企业为</w:t>
      </w:r>
      <w:r>
        <w:rPr>
          <w:rFonts w:hint="eastAsia" w:ascii="宋体" w:hAnsi="宋体" w:cs="宋体"/>
          <w:color w:val="auto"/>
          <w:szCs w:val="21"/>
          <w:highlight w:val="none"/>
          <w:u w:val="single"/>
        </w:rPr>
        <w:t>（企业名称）</w:t>
      </w:r>
      <w:r>
        <w:rPr>
          <w:rFonts w:hint="eastAsia" w:ascii="宋体" w:hAnsi="宋体" w:cs="宋体"/>
          <w:color w:val="auto"/>
          <w:szCs w:val="21"/>
          <w:highlight w:val="none"/>
        </w:rPr>
        <w:t>，从业人员</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人，营业收入为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万元，资产总额为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万元，属于</w:t>
      </w:r>
      <w:r>
        <w:rPr>
          <w:rFonts w:hint="eastAsia" w:ascii="宋体" w:hAnsi="宋体" w:cs="宋体"/>
          <w:color w:val="auto"/>
          <w:szCs w:val="21"/>
          <w:highlight w:val="none"/>
          <w:u w:val="single"/>
        </w:rPr>
        <w:t>（中型企业、小型企业、微型企业）</w:t>
      </w:r>
      <w:r>
        <w:rPr>
          <w:rFonts w:hint="eastAsia" w:ascii="宋体" w:hAnsi="宋体" w:cs="宋体"/>
          <w:color w:val="auto"/>
          <w:szCs w:val="21"/>
          <w:highlight w:val="none"/>
        </w:rPr>
        <w:t>；</w:t>
      </w:r>
    </w:p>
    <w:p w14:paraId="2FD264F5">
      <w:pPr>
        <w:pStyle w:val="15"/>
        <w:keepNext w:val="0"/>
        <w:keepLines w:val="0"/>
        <w:pageBreakBefore w:val="0"/>
        <w:widowControl w:val="0"/>
        <w:kinsoku/>
        <w:wordWrap/>
        <w:overflowPunct/>
        <w:topLinePunct w:val="0"/>
        <w:autoSpaceDE/>
        <w:autoSpaceDN/>
        <w:bidi w:val="0"/>
        <w:adjustRightInd/>
        <w:snapToGrid/>
        <w:spacing w:before="34" w:line="400" w:lineRule="exact"/>
        <w:ind w:left="765" w:right="142" w:hanging="5"/>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28E5C44A">
      <w:pPr>
        <w:pStyle w:val="15"/>
        <w:keepNext w:val="0"/>
        <w:keepLines w:val="0"/>
        <w:pageBreakBefore w:val="0"/>
        <w:widowControl w:val="0"/>
        <w:kinsoku/>
        <w:wordWrap/>
        <w:overflowPunct/>
        <w:topLinePunct w:val="0"/>
        <w:autoSpaceDE/>
        <w:autoSpaceDN/>
        <w:bidi w:val="0"/>
        <w:adjustRightInd/>
        <w:snapToGrid/>
        <w:spacing w:before="34" w:line="400" w:lineRule="exact"/>
        <w:ind w:right="14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以上企业，不属于大企业的分支机构，不存在控股股东为大企业的情形，也不存在与大企业的负责人为同一人的情形。</w:t>
      </w:r>
    </w:p>
    <w:p w14:paraId="3AE5BB74">
      <w:pPr>
        <w:pStyle w:val="15"/>
        <w:keepNext w:val="0"/>
        <w:keepLines w:val="0"/>
        <w:pageBreakBefore w:val="0"/>
        <w:widowControl w:val="0"/>
        <w:kinsoku/>
        <w:wordWrap/>
        <w:overflowPunct/>
        <w:topLinePunct w:val="0"/>
        <w:autoSpaceDE/>
        <w:autoSpaceDN/>
        <w:bidi w:val="0"/>
        <w:adjustRightInd/>
        <w:snapToGrid/>
        <w:spacing w:before="34" w:line="400" w:lineRule="exact"/>
        <w:ind w:right="142" w:firstLine="420" w:firstLineChars="200"/>
        <w:textAlignment w:val="auto"/>
        <w:rPr>
          <w:rFonts w:hint="eastAsia" w:ascii="宋体" w:hAnsi="宋体" w:cs="宋体"/>
          <w:color w:val="auto"/>
          <w:szCs w:val="21"/>
          <w:highlight w:val="none"/>
        </w:rPr>
      </w:pPr>
      <w:r>
        <w:rPr>
          <w:rFonts w:hint="eastAsia" w:ascii="宋体" w:hAnsi="宋体" w:cs="宋体"/>
          <w:color w:val="auto"/>
          <w:szCs w:val="21"/>
          <w:highlight w:val="none"/>
        </w:rPr>
        <w:t>本企业对上述声明内容的真实性负责。如有虚假，将依法承担相应责任。</w:t>
      </w:r>
    </w:p>
    <w:p w14:paraId="23A46BE3">
      <w:pPr>
        <w:pStyle w:val="15"/>
        <w:keepNext w:val="0"/>
        <w:keepLines w:val="0"/>
        <w:pageBreakBefore w:val="0"/>
        <w:widowControl w:val="0"/>
        <w:kinsoku/>
        <w:wordWrap/>
        <w:overflowPunct/>
        <w:topLinePunct w:val="0"/>
        <w:autoSpaceDE/>
        <w:autoSpaceDN/>
        <w:bidi w:val="0"/>
        <w:adjustRightInd/>
        <w:snapToGrid/>
        <w:spacing w:before="56" w:line="400" w:lineRule="exact"/>
        <w:ind w:left="3960" w:right="1808"/>
        <w:textAlignment w:val="auto"/>
        <w:rPr>
          <w:rFonts w:hint="eastAsia" w:ascii="宋体" w:hAnsi="宋体" w:cs="宋体"/>
          <w:color w:val="auto"/>
          <w:szCs w:val="21"/>
          <w:highlight w:val="none"/>
        </w:rPr>
      </w:pPr>
      <w:r>
        <w:rPr>
          <w:rFonts w:hint="eastAsia" w:ascii="宋体" w:hAnsi="宋体" w:cs="宋体"/>
          <w:color w:val="auto"/>
          <w:kern w:val="24"/>
          <w:szCs w:val="21"/>
          <w:highlight w:val="none"/>
        </w:rPr>
        <w:t>企业名称（电子签章）：</w:t>
      </w:r>
      <w:r>
        <w:rPr>
          <w:rFonts w:hint="eastAsia" w:ascii="宋体" w:hAnsi="宋体" w:cs="宋体"/>
          <w:color w:val="auto"/>
          <w:szCs w:val="21"/>
          <w:highlight w:val="none"/>
        </w:rPr>
        <w:t xml:space="preserve"> </w:t>
      </w:r>
    </w:p>
    <w:p w14:paraId="0BDC81DA">
      <w:pPr>
        <w:pStyle w:val="15"/>
        <w:keepNext w:val="0"/>
        <w:keepLines w:val="0"/>
        <w:pageBreakBefore w:val="0"/>
        <w:widowControl w:val="0"/>
        <w:kinsoku/>
        <w:wordWrap/>
        <w:overflowPunct/>
        <w:topLinePunct w:val="0"/>
        <w:autoSpaceDE/>
        <w:autoSpaceDN/>
        <w:bidi w:val="0"/>
        <w:adjustRightInd/>
        <w:snapToGrid/>
        <w:spacing w:before="56" w:line="400" w:lineRule="exact"/>
        <w:ind w:left="3960" w:right="1808"/>
        <w:textAlignment w:val="auto"/>
        <w:rPr>
          <w:rFonts w:hint="eastAsia" w:ascii="宋体" w:hAnsi="宋体" w:cs="宋体"/>
          <w:color w:val="auto"/>
          <w:szCs w:val="21"/>
          <w:highlight w:val="none"/>
        </w:rPr>
      </w:pPr>
      <w:r>
        <w:rPr>
          <w:rFonts w:hint="eastAsia" w:ascii="宋体" w:hAnsi="宋体" w:cs="宋体"/>
          <w:color w:val="auto"/>
          <w:szCs w:val="21"/>
          <w:highlight w:val="none"/>
        </w:rPr>
        <w:t>日 期：</w:t>
      </w:r>
    </w:p>
    <w:p w14:paraId="087D344D">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pacing w:val="6"/>
          <w:szCs w:val="21"/>
          <w:highlight w:val="none"/>
        </w:rPr>
        <w:t xml:space="preserve"> </w:t>
      </w:r>
    </w:p>
    <w:p w14:paraId="5CBB6C50">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b/>
          <w:color w:val="auto"/>
          <w:sz w:val="24"/>
          <w:highlight w:val="none"/>
        </w:rPr>
      </w:pPr>
      <w:r>
        <w:rPr>
          <w:rFonts w:hint="eastAsia" w:ascii="宋体" w:hAnsi="宋体" w:cs="宋体"/>
          <w:color w:val="auto"/>
          <w:szCs w:val="21"/>
          <w:highlight w:val="none"/>
        </w:rPr>
        <w:t>注：享受《政府采购促进中小企业发展管理办法》（财库〔2020〕46号）规定的中小企业扶持政策的，采购人、采购代理机构应当随中标结果公开中标供应商的《中小企业声明函》。从业人员、营业收入、资产总额填报上一年度数据，无上一年度数据的新成立企业可不填报。</w:t>
      </w:r>
      <w:r>
        <w:rPr>
          <w:rFonts w:hint="eastAsia" w:ascii="宋体" w:hAnsi="宋体" w:cs="宋体"/>
          <w:color w:val="auto"/>
          <w:highlight w:val="none"/>
        </w:rPr>
        <w:br w:type="page"/>
      </w:r>
      <w:r>
        <w:rPr>
          <w:rFonts w:hint="eastAsia" w:ascii="宋体" w:hAnsi="宋体" w:cs="宋体"/>
          <w:color w:val="auto"/>
          <w:highlight w:val="none"/>
        </w:rPr>
        <w:t>4</w:t>
      </w:r>
      <w:r>
        <w:rPr>
          <w:rFonts w:hint="eastAsia" w:ascii="宋体" w:hAnsi="宋体" w:cs="宋体"/>
          <w:b/>
          <w:color w:val="auto"/>
          <w:sz w:val="24"/>
          <w:highlight w:val="none"/>
        </w:rPr>
        <w:t>.残疾人福利性单位声明函格式</w:t>
      </w:r>
    </w:p>
    <w:p w14:paraId="71A39D6D">
      <w:pPr>
        <w:spacing w:line="588" w:lineRule="exact"/>
        <w:jc w:val="center"/>
        <w:rPr>
          <w:rFonts w:hint="eastAsia" w:ascii="宋体" w:hAnsi="宋体" w:cs="宋体"/>
          <w:b/>
          <w:color w:val="auto"/>
          <w:spacing w:val="6"/>
          <w:sz w:val="32"/>
          <w:szCs w:val="32"/>
          <w:highlight w:val="none"/>
        </w:rPr>
      </w:pPr>
    </w:p>
    <w:p w14:paraId="43E4B74F">
      <w:pPr>
        <w:spacing w:line="588" w:lineRule="exact"/>
        <w:jc w:val="center"/>
        <w:rPr>
          <w:rFonts w:hint="eastAsia" w:ascii="宋体" w:hAnsi="宋体" w:cs="宋体"/>
          <w:b/>
          <w:bCs/>
          <w:color w:val="auto"/>
          <w:spacing w:val="6"/>
          <w:sz w:val="30"/>
          <w:szCs w:val="30"/>
          <w:highlight w:val="none"/>
        </w:rPr>
      </w:pPr>
      <w:r>
        <w:rPr>
          <w:rFonts w:hint="eastAsia" w:ascii="宋体" w:hAnsi="宋体" w:cs="宋体"/>
          <w:b/>
          <w:bCs/>
          <w:color w:val="auto"/>
          <w:spacing w:val="6"/>
          <w:sz w:val="30"/>
          <w:szCs w:val="30"/>
          <w:highlight w:val="none"/>
        </w:rPr>
        <w:t>残疾人福利性单位声明函</w:t>
      </w:r>
    </w:p>
    <w:p w14:paraId="726EE755">
      <w:pPr>
        <w:spacing w:line="588" w:lineRule="exact"/>
        <w:rPr>
          <w:rFonts w:hint="eastAsia" w:ascii="宋体" w:hAnsi="宋体" w:cs="宋体"/>
          <w:b/>
          <w:color w:val="auto"/>
          <w:spacing w:val="6"/>
          <w:sz w:val="30"/>
          <w:szCs w:val="30"/>
          <w:highlight w:val="none"/>
        </w:rPr>
      </w:pPr>
    </w:p>
    <w:p w14:paraId="6BB4C69C">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本单位郑重声明，根据《财政部 民政部 中国残疾人联合会关于促进残疾人就业政府采购政策的通知》（财库</w:t>
      </w:r>
      <w:r>
        <w:rPr>
          <w:rFonts w:hint="eastAsia" w:ascii="宋体" w:hAnsi="宋体" w:cs="宋体"/>
          <w:color w:val="auto"/>
          <w:spacing w:val="6"/>
          <w:szCs w:val="21"/>
          <w:highlight w:val="none"/>
          <w:lang w:eastAsia="zh-CN"/>
        </w:rPr>
        <w:t>〔2017〕141号</w:t>
      </w:r>
      <w:r>
        <w:rPr>
          <w:rFonts w:hint="eastAsia" w:ascii="宋体" w:hAnsi="宋体" w:cs="宋体"/>
          <w:color w:val="auto"/>
          <w:spacing w:val="6"/>
          <w:szCs w:val="21"/>
          <w:highlight w:val="none"/>
        </w:rPr>
        <w:t>）的规定，本单位为符合条件的残疾人福利性单位，且本单位参加______单位的______项目采购活动提供本单位制造的货物（由本单位承担工程/提供服务），或者提供其他残</w:t>
      </w:r>
      <w:r>
        <w:rPr>
          <w:rFonts w:hint="eastAsia" w:ascii="宋体" w:hAnsi="宋体" w:cs="宋体"/>
          <w:color w:val="auto"/>
          <w:spacing w:val="-6"/>
          <w:szCs w:val="21"/>
          <w:highlight w:val="none"/>
        </w:rPr>
        <w:t>疾人福利性单位制造的货物（不包括使用非残疾人福利性单位注册商标的货物）。</w:t>
      </w:r>
    </w:p>
    <w:p w14:paraId="6E4C8640">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本单位对上述声明的真实性负责。如有虚假，将依法承担相应责任。</w:t>
      </w:r>
    </w:p>
    <w:p w14:paraId="16B9999E">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p>
    <w:p w14:paraId="0304AEFB">
      <w:pPr>
        <w:keepNext w:val="0"/>
        <w:keepLines w:val="0"/>
        <w:pageBreakBefore w:val="0"/>
        <w:widowControl w:val="0"/>
        <w:kinsoku/>
        <w:wordWrap/>
        <w:overflowPunct/>
        <w:topLinePunct w:val="0"/>
        <w:autoSpaceDE/>
        <w:autoSpaceDN/>
        <w:bidi w:val="0"/>
        <w:adjustRightInd/>
        <w:snapToGrid/>
        <w:spacing w:line="400" w:lineRule="exact"/>
        <w:ind w:firstLine="444" w:firstLineChars="200"/>
        <w:textAlignment w:val="auto"/>
        <w:rPr>
          <w:rFonts w:hint="eastAsia" w:ascii="宋体" w:hAnsi="宋体" w:cs="宋体"/>
          <w:color w:val="auto"/>
          <w:spacing w:val="6"/>
          <w:szCs w:val="21"/>
          <w:highlight w:val="none"/>
        </w:rPr>
      </w:pPr>
    </w:p>
    <w:p w14:paraId="5CB7CA7F">
      <w:pPr>
        <w:keepNext w:val="0"/>
        <w:keepLines w:val="0"/>
        <w:pageBreakBefore w:val="0"/>
        <w:widowControl w:val="0"/>
        <w:tabs>
          <w:tab w:val="left" w:pos="4860"/>
        </w:tabs>
        <w:kinsoku/>
        <w:wordWrap/>
        <w:overflowPunct/>
        <w:topLinePunct w:val="0"/>
        <w:autoSpaceDE/>
        <w:autoSpaceDN/>
        <w:bidi w:val="0"/>
        <w:adjustRightInd/>
        <w:snapToGrid/>
        <w:spacing w:line="400" w:lineRule="exact"/>
        <w:ind w:right="1560" w:firstLine="444" w:firstLineChars="200"/>
        <w:contextualSpacing/>
        <w:jc w:val="center"/>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单位名称（电子签章）：</w:t>
      </w:r>
    </w:p>
    <w:p w14:paraId="322AAE1A">
      <w:pPr>
        <w:keepNext w:val="0"/>
        <w:keepLines w:val="0"/>
        <w:pageBreakBefore w:val="0"/>
        <w:widowControl w:val="0"/>
        <w:tabs>
          <w:tab w:val="left" w:pos="4860"/>
        </w:tabs>
        <w:kinsoku/>
        <w:wordWrap/>
        <w:overflowPunct/>
        <w:topLinePunct w:val="0"/>
        <w:autoSpaceDE/>
        <w:autoSpaceDN/>
        <w:bidi w:val="0"/>
        <w:adjustRightInd/>
        <w:snapToGrid/>
        <w:spacing w:line="400" w:lineRule="exact"/>
        <w:ind w:right="1560" w:firstLine="444" w:firstLineChars="200"/>
        <w:contextualSpacing/>
        <w:jc w:val="center"/>
        <w:textAlignment w:val="auto"/>
        <w:rPr>
          <w:rFonts w:hint="eastAsia" w:ascii="宋体" w:hAnsi="宋体" w:cs="宋体"/>
          <w:color w:val="auto"/>
          <w:spacing w:val="6"/>
          <w:szCs w:val="21"/>
          <w:highlight w:val="none"/>
        </w:rPr>
      </w:pPr>
      <w:r>
        <w:rPr>
          <w:rFonts w:hint="eastAsia" w:ascii="宋体" w:hAnsi="宋体" w:cs="宋体"/>
          <w:color w:val="auto"/>
          <w:spacing w:val="6"/>
          <w:szCs w:val="21"/>
          <w:highlight w:val="none"/>
        </w:rPr>
        <w:t>日  期：</w:t>
      </w:r>
    </w:p>
    <w:p w14:paraId="4EAFB081">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71D6B02A">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4538BEDF">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p>
    <w:p w14:paraId="7F37077E">
      <w:pPr>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ascii="宋体" w:hAnsi="宋体" w:cs="宋体"/>
          <w:color w:val="auto"/>
          <w:szCs w:val="21"/>
          <w:highlight w:val="none"/>
        </w:rPr>
      </w:pPr>
      <w:r>
        <w:rPr>
          <w:rFonts w:hint="eastAsia" w:ascii="宋体" w:hAnsi="宋体" w:cs="宋体"/>
          <w:color w:val="auto"/>
          <w:szCs w:val="21"/>
          <w:highlight w:val="none"/>
        </w:rPr>
        <w:t>注：请根据自己的真实情况出具《残疾人福利性单位声明函》。依法享受中小企业优惠政策的，采购人或者采购代理机构在公告中标结果时，同时公告其《残疾人福利性单位声明函》，接受社会监督。</w:t>
      </w:r>
    </w:p>
    <w:p w14:paraId="111BC58B">
      <w:pPr>
        <w:ind w:firstLine="3990" w:firstLineChars="1900"/>
        <w:rPr>
          <w:rFonts w:hint="eastAsia" w:ascii="宋体" w:hAnsi="宋体" w:cs="宋体"/>
          <w:color w:val="auto"/>
          <w:szCs w:val="21"/>
          <w:highlight w:val="none"/>
        </w:rPr>
      </w:pPr>
    </w:p>
    <w:p w14:paraId="7A433EA7">
      <w:pPr>
        <w:spacing w:line="360" w:lineRule="auto"/>
        <w:rPr>
          <w:rFonts w:hint="eastAsia"/>
          <w:color w:val="auto"/>
          <w:szCs w:val="21"/>
          <w:highlight w:val="none"/>
        </w:rPr>
      </w:pPr>
    </w:p>
    <w:p w14:paraId="6483FBA8">
      <w:pPr>
        <w:rPr>
          <w:rFonts w:hint="eastAsia"/>
          <w:color w:val="auto"/>
          <w:szCs w:val="21"/>
          <w:highlight w:val="none"/>
        </w:rPr>
      </w:pPr>
    </w:p>
    <w:p w14:paraId="2B7BACA7">
      <w:pPr>
        <w:spacing w:line="360" w:lineRule="auto"/>
        <w:rPr>
          <w:rFonts w:hint="eastAsia"/>
          <w:color w:val="auto"/>
          <w:highlight w:val="none"/>
        </w:rPr>
      </w:pPr>
    </w:p>
    <w:p w14:paraId="4206CD70">
      <w:pPr>
        <w:spacing w:line="360" w:lineRule="auto"/>
        <w:rPr>
          <w:rFonts w:hint="eastAsia"/>
          <w:color w:val="auto"/>
          <w:highlight w:val="none"/>
        </w:rPr>
      </w:pPr>
    </w:p>
    <w:p w14:paraId="47349EE0">
      <w:pPr>
        <w:rPr>
          <w:rFonts w:hint="eastAsia" w:ascii="宋体" w:hAnsi="宋体" w:cs="宋体"/>
          <w:color w:val="auto"/>
          <w:sz w:val="24"/>
          <w:highlight w:val="none"/>
        </w:rPr>
      </w:pPr>
    </w:p>
    <w:p w14:paraId="1F8AF43D">
      <w:pPr>
        <w:pStyle w:val="3"/>
        <w:rPr>
          <w:rFonts w:hint="eastAsia"/>
          <w:color w:val="auto"/>
          <w:highlight w:val="none"/>
        </w:rPr>
      </w:pPr>
      <w:r>
        <w:rPr>
          <w:rFonts w:hint="eastAsia"/>
          <w:color w:val="auto"/>
          <w:highlight w:val="none"/>
        </w:rPr>
        <w:br w:type="page"/>
      </w:r>
      <w:bookmarkStart w:id="235" w:name="_Toc6932"/>
      <w:bookmarkStart w:id="236" w:name="_Toc23452"/>
      <w:bookmarkStart w:id="237" w:name="_Toc560"/>
      <w:r>
        <w:rPr>
          <w:rFonts w:hint="eastAsia"/>
          <w:color w:val="auto"/>
          <w:highlight w:val="none"/>
        </w:rPr>
        <w:t>二、资格证明文件格式</w:t>
      </w:r>
      <w:bookmarkEnd w:id="232"/>
      <w:bookmarkEnd w:id="233"/>
      <w:bookmarkEnd w:id="234"/>
      <w:bookmarkEnd w:id="235"/>
      <w:bookmarkEnd w:id="236"/>
      <w:bookmarkEnd w:id="237"/>
    </w:p>
    <w:p w14:paraId="6BE04721">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 xml:space="preserve">1.资格证明文件封面格式： </w:t>
      </w:r>
    </w:p>
    <w:p w14:paraId="6042FF78">
      <w:pPr>
        <w:snapToGrid w:val="0"/>
        <w:spacing w:before="120" w:beforeLines="50" w:after="50"/>
        <w:jc w:val="center"/>
        <w:rPr>
          <w:rFonts w:hint="eastAsia" w:ascii="宋体" w:hAnsi="宋体" w:cs="宋体"/>
          <w:bCs/>
          <w:color w:val="auto"/>
          <w:sz w:val="48"/>
          <w:szCs w:val="48"/>
          <w:highlight w:val="none"/>
        </w:rPr>
      </w:pPr>
    </w:p>
    <w:p w14:paraId="7D8EC6BF">
      <w:pPr>
        <w:snapToGrid w:val="0"/>
        <w:spacing w:before="120" w:beforeLines="50" w:after="50"/>
        <w:jc w:val="center"/>
        <w:rPr>
          <w:rFonts w:hint="eastAsia" w:ascii="宋体" w:hAnsi="宋体" w:cs="宋体"/>
          <w:bCs/>
          <w:color w:val="auto"/>
          <w:sz w:val="48"/>
          <w:szCs w:val="48"/>
          <w:highlight w:val="none"/>
        </w:rPr>
      </w:pPr>
    </w:p>
    <w:p w14:paraId="18F98771">
      <w:pPr>
        <w:snapToGrid w:val="0"/>
        <w:spacing w:before="120" w:beforeLines="50" w:after="50"/>
        <w:jc w:val="center"/>
        <w:rPr>
          <w:rFonts w:hint="eastAsia" w:ascii="宋体" w:hAnsi="宋体" w:cs="宋体"/>
          <w:bCs/>
          <w:color w:val="auto"/>
          <w:sz w:val="48"/>
          <w:szCs w:val="48"/>
          <w:highlight w:val="none"/>
        </w:rPr>
      </w:pPr>
      <w:r>
        <w:rPr>
          <w:rFonts w:hint="eastAsia" w:ascii="宋体" w:hAnsi="宋体" w:cs="宋体"/>
          <w:bCs/>
          <w:color w:val="auto"/>
          <w:sz w:val="48"/>
          <w:szCs w:val="48"/>
          <w:highlight w:val="none"/>
        </w:rPr>
        <w:t>电子投标文件</w:t>
      </w:r>
    </w:p>
    <w:p w14:paraId="7B0BB3E7">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highlight w:val="none"/>
        </w:rPr>
        <w:t xml:space="preserve">                 </w:t>
      </w:r>
    </w:p>
    <w:p w14:paraId="11B1487D">
      <w:pPr>
        <w:snapToGrid w:val="0"/>
        <w:spacing w:before="120" w:beforeLines="50" w:after="50"/>
        <w:jc w:val="center"/>
        <w:rPr>
          <w:rFonts w:hint="eastAsia" w:ascii="宋体" w:hAnsi="宋体" w:cs="宋体"/>
          <w:b/>
          <w:color w:val="auto"/>
          <w:sz w:val="24"/>
          <w:szCs w:val="20"/>
          <w:highlight w:val="none"/>
        </w:rPr>
      </w:pPr>
      <w:r>
        <w:rPr>
          <w:rFonts w:hint="eastAsia" w:ascii="宋体" w:hAnsi="宋体" w:cs="宋体"/>
          <w:b/>
          <w:color w:val="auto"/>
          <w:sz w:val="32"/>
          <w:szCs w:val="32"/>
          <w:highlight w:val="none"/>
        </w:rPr>
        <w:t>资格证明文件</w:t>
      </w:r>
    </w:p>
    <w:p w14:paraId="494F14C9">
      <w:pPr>
        <w:snapToGrid w:val="0"/>
        <w:spacing w:before="120" w:beforeLines="50" w:after="50"/>
        <w:rPr>
          <w:rFonts w:hint="eastAsia" w:ascii="宋体" w:hAnsi="宋体" w:cs="宋体"/>
          <w:bCs/>
          <w:color w:val="auto"/>
          <w:sz w:val="24"/>
          <w:szCs w:val="20"/>
          <w:highlight w:val="none"/>
        </w:rPr>
      </w:pPr>
    </w:p>
    <w:p w14:paraId="41FE6C4B">
      <w:pPr>
        <w:snapToGrid w:val="0"/>
        <w:spacing w:before="120" w:beforeLines="50" w:after="50"/>
        <w:rPr>
          <w:rFonts w:hint="eastAsia" w:ascii="宋体" w:hAnsi="宋体" w:cs="宋体"/>
          <w:bCs/>
          <w:color w:val="auto"/>
          <w:sz w:val="24"/>
          <w:szCs w:val="20"/>
          <w:highlight w:val="none"/>
        </w:rPr>
      </w:pPr>
    </w:p>
    <w:p w14:paraId="5D6E2CCD">
      <w:pPr>
        <w:snapToGrid w:val="0"/>
        <w:spacing w:before="120" w:beforeLines="50" w:after="50"/>
        <w:rPr>
          <w:rFonts w:hint="eastAsia" w:ascii="宋体" w:hAnsi="宋体" w:cs="宋体"/>
          <w:bCs/>
          <w:color w:val="auto"/>
          <w:sz w:val="24"/>
          <w:szCs w:val="20"/>
          <w:highlight w:val="none"/>
        </w:rPr>
      </w:pPr>
    </w:p>
    <w:p w14:paraId="456F0BC2">
      <w:pPr>
        <w:snapToGrid w:val="0"/>
        <w:spacing w:before="120" w:beforeLines="50" w:after="50"/>
        <w:rPr>
          <w:rFonts w:hint="eastAsia" w:ascii="宋体" w:hAnsi="宋体" w:cs="宋体"/>
          <w:bCs/>
          <w:color w:val="auto"/>
          <w:sz w:val="24"/>
          <w:szCs w:val="20"/>
          <w:highlight w:val="none"/>
        </w:rPr>
      </w:pPr>
    </w:p>
    <w:p w14:paraId="36349652">
      <w:pPr>
        <w:snapToGrid w:val="0"/>
        <w:spacing w:before="120" w:beforeLines="50" w:after="50"/>
        <w:rPr>
          <w:rFonts w:hint="eastAsia" w:ascii="宋体" w:hAnsi="宋体" w:cs="宋体"/>
          <w:bCs/>
          <w:color w:val="auto"/>
          <w:sz w:val="24"/>
          <w:szCs w:val="20"/>
          <w:highlight w:val="none"/>
        </w:rPr>
      </w:pPr>
    </w:p>
    <w:p w14:paraId="0F0CE634">
      <w:pPr>
        <w:snapToGrid w:val="0"/>
        <w:spacing w:before="120" w:beforeLines="50" w:after="50"/>
        <w:rPr>
          <w:rFonts w:hint="eastAsia" w:ascii="宋体" w:hAnsi="宋体" w:cs="宋体"/>
          <w:bCs/>
          <w:color w:val="auto"/>
          <w:sz w:val="24"/>
          <w:szCs w:val="20"/>
          <w:highlight w:val="none"/>
        </w:rPr>
      </w:pPr>
    </w:p>
    <w:p w14:paraId="383E448D">
      <w:pPr>
        <w:snapToGrid w:val="0"/>
        <w:spacing w:before="120" w:beforeLines="50" w:after="50"/>
        <w:rPr>
          <w:rFonts w:hint="eastAsia" w:ascii="宋体" w:hAnsi="宋体" w:cs="宋体"/>
          <w:bCs/>
          <w:color w:val="auto"/>
          <w:sz w:val="24"/>
          <w:szCs w:val="20"/>
          <w:highlight w:val="none"/>
        </w:rPr>
      </w:pPr>
    </w:p>
    <w:p w14:paraId="6DE4E2DF">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199B071A">
      <w:pPr>
        <w:snapToGrid w:val="0"/>
        <w:spacing w:before="120" w:beforeLines="50" w:after="50"/>
        <w:ind w:firstLine="540" w:firstLineChars="225"/>
        <w:rPr>
          <w:rFonts w:hint="eastAsia" w:ascii="宋体" w:hAnsi="宋体" w:cs="宋体"/>
          <w:bCs/>
          <w:color w:val="auto"/>
          <w:sz w:val="24"/>
          <w:szCs w:val="20"/>
          <w:highlight w:val="none"/>
        </w:rPr>
      </w:pPr>
    </w:p>
    <w:p w14:paraId="69E5E996">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5E18C5D6">
      <w:pPr>
        <w:snapToGrid w:val="0"/>
        <w:spacing w:before="120" w:beforeLines="50" w:after="50"/>
        <w:ind w:firstLine="540" w:firstLineChars="225"/>
        <w:rPr>
          <w:rFonts w:hint="eastAsia" w:ascii="宋体" w:hAnsi="宋体" w:cs="宋体"/>
          <w:bCs/>
          <w:color w:val="auto"/>
          <w:sz w:val="24"/>
          <w:szCs w:val="20"/>
          <w:highlight w:val="none"/>
        </w:rPr>
      </w:pPr>
    </w:p>
    <w:p w14:paraId="3C896F6D">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7FF93B8F">
      <w:pPr>
        <w:pStyle w:val="9"/>
        <w:snapToGrid w:val="0"/>
        <w:spacing w:before="50" w:after="50"/>
        <w:ind w:firstLine="540" w:firstLineChars="225"/>
        <w:rPr>
          <w:rFonts w:hint="eastAsia" w:ascii="宋体" w:hAnsi="宋体" w:cs="宋体"/>
          <w:bCs/>
          <w:color w:val="auto"/>
          <w:sz w:val="24"/>
          <w:szCs w:val="24"/>
          <w:highlight w:val="none"/>
        </w:rPr>
      </w:pPr>
    </w:p>
    <w:p w14:paraId="375DA2D6">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05EB0F23">
      <w:pPr>
        <w:pStyle w:val="9"/>
        <w:snapToGrid w:val="0"/>
        <w:spacing w:before="50" w:after="50"/>
        <w:ind w:firstLine="540" w:firstLineChars="225"/>
        <w:rPr>
          <w:rFonts w:hint="eastAsia" w:ascii="宋体" w:hAnsi="宋体" w:cs="宋体"/>
          <w:bCs/>
          <w:color w:val="auto"/>
          <w:sz w:val="24"/>
          <w:szCs w:val="24"/>
          <w:highlight w:val="none"/>
        </w:rPr>
      </w:pPr>
    </w:p>
    <w:p w14:paraId="453714C5">
      <w:pPr>
        <w:pStyle w:val="9"/>
        <w:snapToGrid w:val="0"/>
        <w:spacing w:before="50" w:after="50"/>
        <w:ind w:firstLine="960" w:firstLineChars="400"/>
        <w:rPr>
          <w:rFonts w:hint="eastAsia" w:ascii="宋体" w:hAnsi="宋体" w:cs="宋体"/>
          <w:bCs/>
          <w:color w:val="auto"/>
          <w:sz w:val="24"/>
          <w:szCs w:val="24"/>
          <w:highlight w:val="none"/>
        </w:rPr>
      </w:pPr>
    </w:p>
    <w:p w14:paraId="0FCE31D5">
      <w:pPr>
        <w:snapToGrid w:val="0"/>
        <w:spacing w:before="120" w:beforeLines="50" w:after="50"/>
        <w:ind w:firstLine="645"/>
        <w:jc w:val="center"/>
        <w:rPr>
          <w:rFonts w:hint="eastAsia" w:ascii="宋体" w:hAnsi="宋体" w:cs="宋体"/>
          <w:color w:val="auto"/>
          <w:sz w:val="24"/>
          <w:highlight w:val="none"/>
        </w:rPr>
      </w:pPr>
      <w:r>
        <w:rPr>
          <w:rFonts w:hint="eastAsia" w:ascii="宋体" w:hAnsi="宋体" w:cs="宋体"/>
          <w:color w:val="auto"/>
          <w:sz w:val="24"/>
          <w:highlight w:val="none"/>
        </w:rPr>
        <w:t>年  月  日</w:t>
      </w:r>
    </w:p>
    <w:p w14:paraId="707EC23E">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7DD6D527">
      <w:pPr>
        <w:snapToGrid w:val="0"/>
        <w:spacing w:before="120" w:beforeLines="50" w:after="50"/>
        <w:rPr>
          <w:rFonts w:hint="eastAsia" w:ascii="宋体" w:hAnsi="宋体" w:cs="宋体"/>
          <w:color w:val="auto"/>
          <w:sz w:val="24"/>
          <w:szCs w:val="20"/>
          <w:highlight w:val="none"/>
        </w:rPr>
      </w:pPr>
    </w:p>
    <w:p w14:paraId="165D502B">
      <w:pPr>
        <w:snapToGrid w:val="0"/>
        <w:spacing w:before="120" w:beforeLines="50" w:after="50" w:line="360" w:lineRule="auto"/>
        <w:ind w:firstLine="120" w:firstLineChars="50"/>
        <w:jc w:val="left"/>
        <w:rPr>
          <w:rFonts w:hint="eastAsia" w:ascii="宋体" w:hAnsi="宋体" w:cs="宋体"/>
          <w:color w:val="auto"/>
          <w:sz w:val="24"/>
          <w:szCs w:val="20"/>
          <w:highlight w:val="none"/>
        </w:rPr>
      </w:pPr>
      <w:r>
        <w:rPr>
          <w:rFonts w:hint="eastAsia" w:ascii="宋体" w:hAnsi="宋体" w:cs="宋体"/>
          <w:b/>
          <w:bCs/>
          <w:color w:val="auto"/>
          <w:sz w:val="24"/>
          <w:highlight w:val="none"/>
        </w:rPr>
        <w:br w:type="page"/>
      </w:r>
      <w:r>
        <w:rPr>
          <w:rFonts w:hint="eastAsia" w:ascii="宋体" w:hAnsi="宋体" w:cs="宋体"/>
          <w:b/>
          <w:bCs/>
          <w:color w:val="auto"/>
          <w:sz w:val="24"/>
          <w:highlight w:val="none"/>
        </w:rPr>
        <w:t>2.资格证明文件目录</w:t>
      </w:r>
    </w:p>
    <w:p w14:paraId="705D696A">
      <w:pPr>
        <w:snapToGrid w:val="0"/>
        <w:spacing w:line="360" w:lineRule="auto"/>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38566ACA">
      <w:pPr>
        <w:snapToGrid w:val="0"/>
        <w:spacing w:before="50" w:after="120" w:afterLines="50"/>
        <w:jc w:val="left"/>
        <w:rPr>
          <w:rFonts w:hint="eastAsia" w:ascii="宋体" w:hAnsi="宋体" w:cs="宋体"/>
          <w:color w:val="auto"/>
          <w:sz w:val="24"/>
          <w:highlight w:val="none"/>
        </w:rPr>
      </w:pPr>
    </w:p>
    <w:p w14:paraId="12A08D47">
      <w:pPr>
        <w:snapToGrid w:val="0"/>
        <w:spacing w:before="50" w:after="120" w:afterLines="50"/>
        <w:jc w:val="left"/>
        <w:rPr>
          <w:rFonts w:hint="eastAsia" w:ascii="宋体" w:hAnsi="宋体" w:cs="宋体"/>
          <w:color w:val="auto"/>
          <w:sz w:val="24"/>
          <w:highlight w:val="none"/>
        </w:rPr>
      </w:pPr>
    </w:p>
    <w:p w14:paraId="2E0379F6">
      <w:pPr>
        <w:snapToGrid w:val="0"/>
        <w:spacing w:before="120"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w:t>
      </w:r>
      <w:r>
        <w:rPr>
          <w:rFonts w:hint="eastAsia" w:ascii="宋体" w:hAnsi="宋体" w:cs="宋体"/>
          <w:b/>
          <w:color w:val="auto"/>
          <w:sz w:val="28"/>
          <w:szCs w:val="28"/>
          <w:highlight w:val="none"/>
        </w:rPr>
        <w:t>投标人直接控股、管理关系信息表</w:t>
      </w:r>
    </w:p>
    <w:p w14:paraId="7D18D3B9">
      <w:pPr>
        <w:snapToGrid w:val="0"/>
        <w:spacing w:before="50" w:after="120" w:afterLines="50"/>
        <w:jc w:val="center"/>
        <w:rPr>
          <w:rFonts w:hint="eastAsia" w:ascii="宋体" w:hAnsi="宋体" w:cs="宋体"/>
          <w:b/>
          <w:color w:val="auto"/>
          <w:sz w:val="28"/>
          <w:szCs w:val="28"/>
          <w:highlight w:val="none"/>
        </w:rPr>
      </w:pPr>
    </w:p>
    <w:p w14:paraId="5FAD3F60">
      <w:pPr>
        <w:shd w:val="clear" w:color="auto" w:fill="auto"/>
        <w:snapToGrid w:val="0"/>
        <w:spacing w:before="50" w:after="120" w:afterLines="50"/>
        <w:jc w:val="center"/>
        <w:rPr>
          <w:rFonts w:hint="eastAsia" w:ascii="宋体" w:hAnsi="宋体"/>
          <w:b/>
          <w:color w:val="auto"/>
          <w:sz w:val="28"/>
          <w:szCs w:val="28"/>
          <w:highlight w:val="none"/>
        </w:rPr>
      </w:pPr>
    </w:p>
    <w:p w14:paraId="0B1947E7">
      <w:pPr>
        <w:shd w:val="clear" w:color="auto" w:fill="auto"/>
        <w:snapToGrid w:val="0"/>
        <w:spacing w:before="50" w:after="120" w:afterLines="50" w:line="360" w:lineRule="auto"/>
        <w:jc w:val="center"/>
        <w:rPr>
          <w:rFonts w:hint="eastAsia" w:ascii="宋体" w:hAnsi="宋体"/>
          <w:b/>
          <w:color w:val="auto"/>
          <w:sz w:val="32"/>
          <w:szCs w:val="32"/>
          <w:highlight w:val="none"/>
        </w:rPr>
      </w:pPr>
      <w:r>
        <w:rPr>
          <w:rFonts w:hint="eastAsia" w:ascii="宋体" w:hAnsi="宋体"/>
          <w:b/>
          <w:color w:val="auto"/>
          <w:sz w:val="32"/>
          <w:szCs w:val="32"/>
          <w:highlight w:val="none"/>
        </w:rPr>
        <w:t>投标人直接控股股东信息表</w:t>
      </w:r>
    </w:p>
    <w:tbl>
      <w:tblPr>
        <w:tblStyle w:val="39"/>
        <w:tblW w:w="0" w:type="auto"/>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4CB90508">
        <w:tblPrEx>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3141DC47">
            <w:pPr>
              <w:shd w:val="clear" w:color="auto" w:fill="auto"/>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C1B9ADE">
            <w:pPr>
              <w:shd w:val="clear" w:color="auto" w:fill="auto"/>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2565A809">
            <w:pPr>
              <w:shd w:val="clear" w:color="auto" w:fill="auto"/>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7A2BC88D">
            <w:pPr>
              <w:shd w:val="clear" w:color="auto" w:fill="auto"/>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noWrap w:val="0"/>
            <w:tcMar>
              <w:top w:w="120" w:type="dxa"/>
              <w:left w:w="120" w:type="dxa"/>
              <w:bottom w:w="120" w:type="dxa"/>
              <w:right w:w="120" w:type="dxa"/>
            </w:tcMar>
            <w:vAlign w:val="center"/>
          </w:tcPr>
          <w:p w14:paraId="6AB219E7">
            <w:pPr>
              <w:shd w:val="clear" w:color="auto" w:fill="auto"/>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7E4EEFC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432C739F">
            <w:pPr>
              <w:shd w:val="clear" w:color="auto" w:fill="auto"/>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37C711D">
            <w:pPr>
              <w:shd w:val="clear" w:color="auto" w:fill="auto"/>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F40CD5F">
            <w:pPr>
              <w:shd w:val="clear" w:color="auto" w:fill="auto"/>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B95A9F4">
            <w:pPr>
              <w:shd w:val="clear" w:color="auto" w:fill="auto"/>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DFD1145">
            <w:pPr>
              <w:shd w:val="clear" w:color="auto" w:fill="auto"/>
              <w:spacing w:line="360" w:lineRule="auto"/>
              <w:jc w:val="center"/>
              <w:rPr>
                <w:rFonts w:ascii="宋体" w:hAnsi="宋体" w:cs="宋体"/>
                <w:color w:val="auto"/>
                <w:kern w:val="0"/>
                <w:sz w:val="24"/>
                <w:highlight w:val="none"/>
              </w:rPr>
            </w:pPr>
          </w:p>
        </w:tc>
      </w:tr>
      <w:tr w14:paraId="5B9BDDEE">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1FFDD0F4">
            <w:pPr>
              <w:shd w:val="clear" w:color="auto" w:fill="auto"/>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CA1F3E3">
            <w:pPr>
              <w:shd w:val="clear" w:color="auto" w:fill="auto"/>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CACBDD6">
            <w:pPr>
              <w:shd w:val="clear" w:color="auto" w:fill="auto"/>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84C4FDF">
            <w:pPr>
              <w:shd w:val="clear" w:color="auto" w:fill="auto"/>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E168F41">
            <w:pPr>
              <w:shd w:val="clear" w:color="auto" w:fill="auto"/>
              <w:spacing w:line="360" w:lineRule="auto"/>
              <w:jc w:val="center"/>
              <w:rPr>
                <w:rFonts w:ascii="宋体" w:hAnsi="宋体" w:cs="宋体"/>
                <w:color w:val="auto"/>
                <w:kern w:val="0"/>
                <w:sz w:val="24"/>
                <w:highlight w:val="none"/>
              </w:rPr>
            </w:pPr>
          </w:p>
        </w:tc>
      </w:tr>
      <w:tr w14:paraId="55CEEFB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ADE7944">
            <w:pPr>
              <w:shd w:val="clear" w:color="auto" w:fill="auto"/>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6B9408A">
            <w:pPr>
              <w:shd w:val="clear" w:color="auto" w:fill="auto"/>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7D6FCED8">
            <w:pPr>
              <w:shd w:val="clear" w:color="auto" w:fill="auto"/>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F9535C4">
            <w:pPr>
              <w:shd w:val="clear" w:color="auto" w:fill="auto"/>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24FC1832">
            <w:pPr>
              <w:shd w:val="clear" w:color="auto" w:fill="auto"/>
              <w:spacing w:line="360" w:lineRule="auto"/>
              <w:jc w:val="center"/>
              <w:rPr>
                <w:rFonts w:ascii="宋体" w:hAnsi="宋体" w:cs="宋体"/>
                <w:color w:val="auto"/>
                <w:kern w:val="0"/>
                <w:sz w:val="24"/>
                <w:highlight w:val="none"/>
              </w:rPr>
            </w:pPr>
          </w:p>
        </w:tc>
      </w:tr>
      <w:tr w14:paraId="45A14AFA">
        <w:tblPrEx>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6D9F5BCF">
            <w:pPr>
              <w:shd w:val="clear" w:color="auto" w:fill="auto"/>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26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6416FC">
            <w:pPr>
              <w:shd w:val="clear" w:color="auto" w:fill="auto"/>
              <w:spacing w:line="360" w:lineRule="auto"/>
              <w:jc w:val="center"/>
              <w:rPr>
                <w:rFonts w:ascii="宋体" w:hAnsi="宋体" w:cs="宋体"/>
                <w:color w:val="auto"/>
                <w:kern w:val="0"/>
                <w:sz w:val="24"/>
                <w:highlight w:val="none"/>
              </w:rPr>
            </w:pPr>
          </w:p>
        </w:tc>
        <w:tc>
          <w:tcPr>
            <w:tcW w:w="1239"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0ADF0707">
            <w:pPr>
              <w:shd w:val="clear" w:color="auto" w:fill="auto"/>
              <w:spacing w:line="360" w:lineRule="auto"/>
              <w:jc w:val="center"/>
              <w:rPr>
                <w:rFonts w:ascii="宋体" w:hAnsi="宋体" w:cs="宋体"/>
                <w:color w:val="auto"/>
                <w:kern w:val="0"/>
                <w:sz w:val="24"/>
                <w:highlight w:val="none"/>
              </w:rPr>
            </w:pPr>
          </w:p>
        </w:tc>
        <w:tc>
          <w:tcPr>
            <w:tcW w:w="3722"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3CFF7663">
            <w:pPr>
              <w:shd w:val="clear" w:color="auto" w:fill="auto"/>
              <w:spacing w:line="360" w:lineRule="auto"/>
              <w:jc w:val="center"/>
              <w:rPr>
                <w:rFonts w:ascii="宋体" w:hAnsi="宋体" w:cs="宋体"/>
                <w:color w:val="auto"/>
                <w:kern w:val="0"/>
                <w:sz w:val="24"/>
                <w:highlight w:val="none"/>
              </w:rPr>
            </w:pPr>
          </w:p>
        </w:tc>
        <w:tc>
          <w:tcPr>
            <w:tcW w:w="1418" w:type="dxa"/>
            <w:tcBorders>
              <w:top w:val="single" w:color="auto" w:sz="4" w:space="0"/>
              <w:left w:val="single" w:color="auto" w:sz="4" w:space="0"/>
              <w:bottom w:val="single" w:color="auto" w:sz="4" w:space="0"/>
              <w:right w:val="single" w:color="auto" w:sz="4" w:space="0"/>
            </w:tcBorders>
            <w:shd w:val="clear" w:color="auto" w:fill="F9F9F9"/>
            <w:noWrap w:val="0"/>
            <w:tcMar>
              <w:top w:w="120" w:type="dxa"/>
              <w:left w:w="120" w:type="dxa"/>
              <w:bottom w:w="120" w:type="dxa"/>
              <w:right w:w="120" w:type="dxa"/>
            </w:tcMar>
            <w:vAlign w:val="center"/>
          </w:tcPr>
          <w:p w14:paraId="59C86EA2">
            <w:pPr>
              <w:shd w:val="clear" w:color="auto" w:fill="auto"/>
              <w:spacing w:line="360" w:lineRule="auto"/>
              <w:jc w:val="center"/>
              <w:rPr>
                <w:rFonts w:ascii="宋体" w:hAnsi="宋体" w:cs="宋体"/>
                <w:color w:val="auto"/>
                <w:kern w:val="0"/>
                <w:sz w:val="24"/>
                <w:highlight w:val="none"/>
              </w:rPr>
            </w:pPr>
          </w:p>
        </w:tc>
      </w:tr>
    </w:tbl>
    <w:p w14:paraId="02B35F11">
      <w:pPr>
        <w:shd w:val="clear" w:color="auto" w:fill="auto"/>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4AE13592">
      <w:pPr>
        <w:shd w:val="clear" w:color="auto" w:fill="auto"/>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213C57F3">
      <w:pPr>
        <w:shd w:val="clear" w:color="auto" w:fill="auto"/>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2.本表所指的控股关系仅限于直接控股关系，不包括间接的控股关系。公司实际控制人与公司之间的关系不属于本表所指的直接控股关系。</w:t>
      </w:r>
    </w:p>
    <w:p w14:paraId="65B5E440">
      <w:pPr>
        <w:shd w:val="clear" w:color="auto" w:fill="auto"/>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3.供应商不存在直接控股股东的，则填“无”。</w:t>
      </w:r>
    </w:p>
    <w:p w14:paraId="5DD9B358">
      <w:pPr>
        <w:shd w:val="clear" w:color="auto" w:fill="auto"/>
        <w:snapToGrid w:val="0"/>
        <w:spacing w:line="360" w:lineRule="auto"/>
        <w:jc w:val="left"/>
        <w:rPr>
          <w:rFonts w:hint="eastAsia" w:ascii="宋体" w:hAnsi="宋体"/>
          <w:color w:val="auto"/>
          <w:sz w:val="24"/>
          <w:highlight w:val="none"/>
        </w:rPr>
      </w:pPr>
    </w:p>
    <w:p w14:paraId="5FC2A951">
      <w:pPr>
        <w:shd w:val="clear" w:color="auto" w:fill="auto"/>
        <w:snapToGrid w:val="0"/>
        <w:spacing w:line="360" w:lineRule="auto"/>
        <w:jc w:val="left"/>
        <w:rPr>
          <w:rFonts w:hint="eastAsia" w:ascii="宋体" w:hAnsi="宋体"/>
          <w:color w:val="auto"/>
          <w:sz w:val="24"/>
          <w:highlight w:val="none"/>
        </w:rPr>
      </w:pPr>
    </w:p>
    <w:p w14:paraId="689382B5">
      <w:pPr>
        <w:shd w:val="clear" w:color="auto" w:fill="auto"/>
        <w:snapToGrid w:val="0"/>
        <w:spacing w:line="360" w:lineRule="auto"/>
        <w:jc w:val="left"/>
        <w:rPr>
          <w:rFonts w:hint="eastAsia" w:ascii="宋体" w:hAnsi="宋体"/>
          <w:color w:val="auto"/>
          <w:sz w:val="24"/>
          <w:highlight w:val="none"/>
        </w:rPr>
      </w:pPr>
    </w:p>
    <w:p w14:paraId="296B8190">
      <w:pPr>
        <w:shd w:val="clear" w:color="auto" w:fill="auto"/>
        <w:snapToGrid w:val="0"/>
        <w:spacing w:line="360" w:lineRule="auto"/>
        <w:jc w:val="left"/>
        <w:rPr>
          <w:rFonts w:hint="eastAsia" w:ascii="宋体" w:hAnsi="宋体"/>
          <w:color w:val="auto"/>
          <w:sz w:val="24"/>
          <w:highlight w:val="none"/>
        </w:rPr>
      </w:pPr>
    </w:p>
    <w:p w14:paraId="083070DD">
      <w:pPr>
        <w:shd w:val="clear" w:color="auto" w:fill="auto"/>
        <w:snapToGrid w:val="0"/>
        <w:spacing w:line="360" w:lineRule="auto"/>
        <w:jc w:val="left"/>
        <w:rPr>
          <w:rFonts w:hint="eastAsia" w:ascii="宋体" w:hAnsi="宋体"/>
          <w:color w:val="auto"/>
          <w:sz w:val="24"/>
          <w:highlight w:val="none"/>
        </w:rPr>
      </w:pPr>
    </w:p>
    <w:p w14:paraId="548DE5B7">
      <w:pPr>
        <w:shd w:val="clear" w:color="auto" w:fill="auto"/>
        <w:snapToGrid w:val="0"/>
        <w:spacing w:before="120" w:beforeLines="50" w:line="360" w:lineRule="auto"/>
        <w:ind w:right="480" w:firstLine="3967" w:firstLineChars="1653"/>
        <w:rPr>
          <w:rFonts w:hint="eastAsia" w:ascii="宋体" w:hAnsi="宋体" w:eastAsia="宋体"/>
          <w:color w:val="auto"/>
          <w:sz w:val="24"/>
          <w:highlight w:val="none"/>
          <w:u w:val="single"/>
          <w:lang w:eastAsia="zh-CN"/>
        </w:rPr>
      </w:pPr>
      <w:r>
        <w:rPr>
          <w:rFonts w:hint="eastAsia" w:ascii="宋体" w:hAnsi="宋体"/>
          <w:color w:val="auto"/>
          <w:sz w:val="24"/>
          <w:highlight w:val="none"/>
        </w:rPr>
        <w:t>法定代表人或者委托代理人（签字）：</w:t>
      </w:r>
    </w:p>
    <w:p w14:paraId="2B3C7FD0">
      <w:pPr>
        <w:shd w:val="clear" w:color="auto" w:fill="auto"/>
        <w:snapToGrid w:val="0"/>
        <w:spacing w:before="120" w:beforeLines="50" w:after="50" w:line="360" w:lineRule="auto"/>
        <w:ind w:right="480" w:firstLine="5520" w:firstLineChars="2300"/>
        <w:rPr>
          <w:rFonts w:hint="eastAsia" w:ascii="宋体" w:hAnsi="宋体" w:eastAsia="宋体"/>
          <w:color w:val="auto"/>
          <w:sz w:val="24"/>
          <w:highlight w:val="none"/>
          <w:u w:val="single"/>
          <w:lang w:eastAsia="zh-CN"/>
        </w:rPr>
      </w:pPr>
      <w:r>
        <w:rPr>
          <w:rFonts w:hint="eastAsia" w:ascii="宋体" w:hAnsi="宋体"/>
          <w:color w:val="auto"/>
          <w:sz w:val="24"/>
          <w:highlight w:val="none"/>
        </w:rPr>
        <w:t>投标人（盖公章）：</w:t>
      </w:r>
    </w:p>
    <w:p w14:paraId="7EAFA3F6">
      <w:pPr>
        <w:shd w:val="clear" w:color="auto" w:fill="auto"/>
        <w:snapToGrid w:val="0"/>
        <w:spacing w:before="120" w:beforeLines="50" w:after="50" w:line="360" w:lineRule="auto"/>
        <w:ind w:right="480" w:firstLine="5520" w:firstLineChars="2300"/>
        <w:rPr>
          <w:rFonts w:hint="eastAsia" w:ascii="宋体" w:hAnsi="宋体"/>
          <w:color w:val="auto"/>
          <w:szCs w:val="21"/>
          <w:highlight w:val="none"/>
        </w:rPr>
      </w:pPr>
      <w:r>
        <w:rPr>
          <w:rFonts w:hint="eastAsia" w:ascii="宋体" w:hAnsi="宋体"/>
          <w:color w:val="auto"/>
          <w:sz w:val="24"/>
          <w:highlight w:val="none"/>
        </w:rPr>
        <w:t>年月日</w:t>
      </w:r>
    </w:p>
    <w:p w14:paraId="0C893C1B">
      <w:pPr>
        <w:shd w:val="clear" w:color="auto" w:fill="auto"/>
        <w:snapToGrid w:val="0"/>
        <w:spacing w:line="360" w:lineRule="auto"/>
        <w:jc w:val="center"/>
        <w:rPr>
          <w:rFonts w:hint="eastAsia" w:ascii="宋体" w:hAnsi="宋体"/>
          <w:color w:val="auto"/>
          <w:sz w:val="32"/>
          <w:szCs w:val="32"/>
          <w:highlight w:val="none"/>
        </w:rPr>
      </w:pPr>
      <w:r>
        <w:rPr>
          <w:rFonts w:hint="eastAsia" w:ascii="宋体" w:hAnsi="宋体"/>
          <w:b/>
          <w:color w:val="auto"/>
          <w:sz w:val="32"/>
          <w:szCs w:val="32"/>
          <w:highlight w:val="none"/>
        </w:rPr>
        <w:t>投标人直接管理关系信息表</w:t>
      </w:r>
    </w:p>
    <w:tbl>
      <w:tblPr>
        <w:tblStyle w:val="39"/>
        <w:tblW w:w="0" w:type="auto"/>
        <w:tblInd w:w="0" w:type="dxa"/>
        <w:tblLayout w:type="fixed"/>
        <w:tblCellMar>
          <w:top w:w="0" w:type="dxa"/>
          <w:left w:w="0" w:type="dxa"/>
          <w:bottom w:w="0" w:type="dxa"/>
          <w:right w:w="0" w:type="dxa"/>
        </w:tblCellMar>
      </w:tblPr>
      <w:tblGrid>
        <w:gridCol w:w="1005"/>
        <w:gridCol w:w="2659"/>
        <w:gridCol w:w="3924"/>
        <w:gridCol w:w="2064"/>
      </w:tblGrid>
      <w:tr w14:paraId="1AB81F64">
        <w:trPr>
          <w:tblHeader/>
        </w:trPr>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1859272">
            <w:pPr>
              <w:shd w:val="clear" w:color="auto" w:fill="auto"/>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序号</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560B8C38">
            <w:pPr>
              <w:shd w:val="clear" w:color="auto" w:fill="auto"/>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直接管理关系单位名称</w:t>
            </w: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ED4E754">
            <w:pPr>
              <w:shd w:val="clear" w:color="auto" w:fill="auto"/>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统一社会信用代码</w:t>
            </w: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6A8D568">
            <w:pPr>
              <w:shd w:val="clear" w:color="auto" w:fill="auto"/>
              <w:spacing w:line="360" w:lineRule="auto"/>
              <w:jc w:val="center"/>
              <w:rPr>
                <w:rFonts w:ascii="宋体" w:hAnsi="宋体" w:cs="宋体"/>
                <w:b/>
                <w:bCs/>
                <w:color w:val="auto"/>
                <w:kern w:val="0"/>
                <w:sz w:val="24"/>
                <w:highlight w:val="none"/>
              </w:rPr>
            </w:pPr>
            <w:r>
              <w:rPr>
                <w:rFonts w:hint="eastAsia" w:ascii="宋体" w:hAnsi="宋体" w:cs="宋体"/>
                <w:b/>
                <w:bCs/>
                <w:color w:val="auto"/>
                <w:kern w:val="0"/>
                <w:sz w:val="24"/>
                <w:highlight w:val="none"/>
              </w:rPr>
              <w:t>备注</w:t>
            </w:r>
          </w:p>
        </w:tc>
      </w:tr>
      <w:tr w14:paraId="46B5AB4E">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2514B21">
            <w:pPr>
              <w:shd w:val="clear" w:color="auto" w:fill="auto"/>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1</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273999D">
            <w:pPr>
              <w:shd w:val="clear" w:color="auto" w:fill="auto"/>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5B15A5F">
            <w:pPr>
              <w:shd w:val="clear" w:color="auto" w:fill="auto"/>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B75FFFF">
            <w:pPr>
              <w:shd w:val="clear" w:color="auto" w:fill="auto"/>
              <w:spacing w:line="360" w:lineRule="auto"/>
              <w:jc w:val="center"/>
              <w:rPr>
                <w:rFonts w:ascii="宋体" w:hAnsi="宋体" w:cs="宋体"/>
                <w:color w:val="auto"/>
                <w:kern w:val="0"/>
                <w:sz w:val="24"/>
                <w:highlight w:val="none"/>
              </w:rPr>
            </w:pPr>
          </w:p>
        </w:tc>
      </w:tr>
      <w:tr w14:paraId="740F917B">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4E40CAE">
            <w:pPr>
              <w:shd w:val="clear" w:color="auto" w:fill="auto"/>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2</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084832FA">
            <w:pPr>
              <w:shd w:val="clear" w:color="auto" w:fill="auto"/>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535A049">
            <w:pPr>
              <w:shd w:val="clear" w:color="auto" w:fill="auto"/>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F321BCA">
            <w:pPr>
              <w:shd w:val="clear" w:color="auto" w:fill="auto"/>
              <w:spacing w:line="360" w:lineRule="auto"/>
              <w:jc w:val="center"/>
              <w:rPr>
                <w:rFonts w:ascii="宋体" w:hAnsi="宋体" w:cs="宋体"/>
                <w:color w:val="auto"/>
                <w:kern w:val="0"/>
                <w:sz w:val="24"/>
                <w:highlight w:val="none"/>
              </w:rPr>
            </w:pPr>
          </w:p>
        </w:tc>
      </w:tr>
      <w:tr w14:paraId="7017262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6D83F826">
            <w:pPr>
              <w:shd w:val="clear" w:color="auto" w:fill="auto"/>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3</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A041478">
            <w:pPr>
              <w:shd w:val="clear" w:color="auto" w:fill="auto"/>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3A598F0D">
            <w:pPr>
              <w:shd w:val="clear" w:color="auto" w:fill="auto"/>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2E0F31C2">
            <w:pPr>
              <w:shd w:val="clear" w:color="auto" w:fill="auto"/>
              <w:spacing w:line="360" w:lineRule="auto"/>
              <w:jc w:val="center"/>
              <w:rPr>
                <w:rFonts w:ascii="宋体" w:hAnsi="宋体" w:cs="宋体"/>
                <w:color w:val="auto"/>
                <w:kern w:val="0"/>
                <w:sz w:val="24"/>
                <w:highlight w:val="none"/>
              </w:rPr>
            </w:pPr>
          </w:p>
        </w:tc>
      </w:tr>
      <w:tr w14:paraId="671721AA">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7ABC459">
            <w:pPr>
              <w:shd w:val="clear" w:color="auto" w:fill="auto"/>
              <w:spacing w:line="360" w:lineRule="auto"/>
              <w:jc w:val="center"/>
              <w:rPr>
                <w:rFonts w:ascii="宋体" w:hAnsi="宋体" w:cs="宋体"/>
                <w:color w:val="auto"/>
                <w:kern w:val="0"/>
                <w:sz w:val="24"/>
                <w:highlight w:val="none"/>
              </w:rPr>
            </w:pPr>
            <w:r>
              <w:rPr>
                <w:rFonts w:hint="eastAsia" w:ascii="宋体" w:hAnsi="宋体" w:cs="宋体"/>
                <w:color w:val="auto"/>
                <w:kern w:val="0"/>
                <w:sz w:val="24"/>
                <w:highlight w:val="none"/>
              </w:rPr>
              <w:t>……</w:t>
            </w:r>
          </w:p>
        </w:tc>
        <w:tc>
          <w:tcPr>
            <w:tcW w:w="2659"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46F6047F">
            <w:pPr>
              <w:shd w:val="clear" w:color="auto" w:fill="auto"/>
              <w:spacing w:line="360" w:lineRule="auto"/>
              <w:jc w:val="center"/>
              <w:rPr>
                <w:rFonts w:ascii="宋体" w:hAnsi="宋体" w:cs="宋体"/>
                <w:color w:val="auto"/>
                <w:kern w:val="0"/>
                <w:sz w:val="24"/>
                <w:highlight w:val="none"/>
              </w:rPr>
            </w:pPr>
          </w:p>
        </w:tc>
        <w:tc>
          <w:tcPr>
            <w:tcW w:w="392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3F65C8E">
            <w:pPr>
              <w:shd w:val="clear" w:color="auto" w:fill="auto"/>
              <w:spacing w:line="360" w:lineRule="auto"/>
              <w:jc w:val="center"/>
              <w:rPr>
                <w:rFonts w:ascii="宋体" w:hAnsi="宋体" w:cs="宋体"/>
                <w:color w:val="auto"/>
                <w:kern w:val="0"/>
                <w:sz w:val="24"/>
                <w:highlight w:val="none"/>
              </w:rPr>
            </w:pPr>
          </w:p>
        </w:tc>
        <w:tc>
          <w:tcPr>
            <w:tcW w:w="2064" w:type="dxa"/>
            <w:tcBorders>
              <w:top w:val="single" w:color="auto" w:sz="4" w:space="0"/>
              <w:left w:val="single" w:color="auto" w:sz="4" w:space="0"/>
              <w:bottom w:val="single" w:color="auto" w:sz="4" w:space="0"/>
              <w:right w:val="single" w:color="auto" w:sz="4" w:space="0"/>
            </w:tcBorders>
            <w:noWrap w:val="0"/>
            <w:tcMar>
              <w:top w:w="120" w:type="dxa"/>
              <w:left w:w="120" w:type="dxa"/>
              <w:bottom w:w="120" w:type="dxa"/>
              <w:right w:w="120" w:type="dxa"/>
            </w:tcMar>
            <w:vAlign w:val="center"/>
          </w:tcPr>
          <w:p w14:paraId="75E559D6">
            <w:pPr>
              <w:shd w:val="clear" w:color="auto" w:fill="auto"/>
              <w:spacing w:line="360" w:lineRule="auto"/>
              <w:jc w:val="center"/>
              <w:rPr>
                <w:rFonts w:ascii="宋体" w:hAnsi="宋体" w:cs="宋体"/>
                <w:color w:val="auto"/>
                <w:kern w:val="0"/>
                <w:sz w:val="24"/>
                <w:highlight w:val="none"/>
              </w:rPr>
            </w:pPr>
          </w:p>
        </w:tc>
      </w:tr>
    </w:tbl>
    <w:p w14:paraId="48410FDB">
      <w:pPr>
        <w:shd w:val="clear" w:color="auto" w:fill="auto"/>
        <w:snapToGrid w:val="0"/>
        <w:spacing w:line="360" w:lineRule="auto"/>
        <w:jc w:val="left"/>
        <w:rPr>
          <w:rFonts w:hint="eastAsia" w:ascii="宋体" w:hAnsi="宋体"/>
          <w:color w:val="auto"/>
          <w:sz w:val="24"/>
          <w:highlight w:val="none"/>
        </w:rPr>
      </w:pPr>
      <w:r>
        <w:rPr>
          <w:rFonts w:hint="eastAsia" w:ascii="宋体" w:hAnsi="宋体"/>
          <w:color w:val="auto"/>
          <w:sz w:val="24"/>
          <w:highlight w:val="none"/>
        </w:rPr>
        <w:t>注：</w:t>
      </w:r>
    </w:p>
    <w:p w14:paraId="1D271976">
      <w:pPr>
        <w:shd w:val="clear" w:color="auto" w:fill="auto"/>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1.管理关系：是指不具有出资持股关系的其他单位之间存在的管理与被管理关系，如一些上下级关系的事业单位和团体组织。</w:t>
      </w:r>
    </w:p>
    <w:p w14:paraId="6734E9FB">
      <w:pPr>
        <w:shd w:val="clear" w:color="auto" w:fill="auto"/>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2.</w:t>
      </w:r>
      <w:r>
        <w:rPr>
          <w:rFonts w:hint="eastAsia" w:ascii="宋体" w:hAnsi="宋体"/>
          <w:color w:val="auto"/>
          <w:spacing w:val="-6"/>
          <w:sz w:val="24"/>
          <w:highlight w:val="none"/>
        </w:rPr>
        <w:t>本表所指的管理关系仅限于直接管理关系，不包括间接的管理关系。</w:t>
      </w:r>
    </w:p>
    <w:p w14:paraId="1C675D90">
      <w:pPr>
        <w:shd w:val="clear" w:color="auto" w:fill="auto"/>
        <w:snapToGrid w:val="0"/>
        <w:spacing w:line="360" w:lineRule="auto"/>
        <w:ind w:firstLine="480" w:firstLineChars="200"/>
        <w:jc w:val="left"/>
        <w:rPr>
          <w:rFonts w:hint="eastAsia" w:ascii="宋体" w:hAnsi="宋体"/>
          <w:color w:val="auto"/>
          <w:sz w:val="24"/>
          <w:highlight w:val="none"/>
        </w:rPr>
      </w:pPr>
      <w:r>
        <w:rPr>
          <w:rFonts w:hint="eastAsia" w:ascii="宋体" w:hAnsi="宋体"/>
          <w:color w:val="auto"/>
          <w:sz w:val="24"/>
          <w:highlight w:val="none"/>
        </w:rPr>
        <w:t>3.供应商不存在直接管理关系的，则填“无”。</w:t>
      </w:r>
    </w:p>
    <w:p w14:paraId="20217AB2">
      <w:pPr>
        <w:shd w:val="clear" w:color="auto" w:fill="auto"/>
        <w:snapToGrid w:val="0"/>
        <w:spacing w:line="360" w:lineRule="auto"/>
        <w:jc w:val="left"/>
        <w:rPr>
          <w:rFonts w:hint="eastAsia" w:ascii="宋体" w:hAnsi="宋体"/>
          <w:color w:val="auto"/>
          <w:sz w:val="24"/>
          <w:highlight w:val="none"/>
        </w:rPr>
      </w:pPr>
    </w:p>
    <w:p w14:paraId="4372A588">
      <w:pPr>
        <w:snapToGrid w:val="0"/>
        <w:spacing w:line="400" w:lineRule="exact"/>
        <w:ind w:left="-6" w:leftChars="-15" w:right="-817" w:rightChars="-389" w:hanging="25" w:hangingChars="12"/>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p>
    <w:p w14:paraId="7D47F1EA">
      <w:pPr>
        <w:snapToGrid w:val="0"/>
        <w:spacing w:line="400" w:lineRule="exact"/>
        <w:jc w:val="left"/>
        <w:rPr>
          <w:rFonts w:hint="eastAsia" w:ascii="宋体" w:hAnsi="宋体" w:cs="宋体"/>
          <w:color w:val="auto"/>
          <w:szCs w:val="21"/>
          <w:highlight w:val="none"/>
        </w:rPr>
      </w:pPr>
      <w:r>
        <w:rPr>
          <w:rFonts w:hint="eastAsia" w:ascii="宋体" w:hAnsi="宋体" w:cs="宋体"/>
          <w:color w:val="auto"/>
          <w:szCs w:val="21"/>
          <w:highlight w:val="none"/>
        </w:rPr>
        <w:t xml:space="preserve">                                    日期：    年   月   日</w:t>
      </w:r>
    </w:p>
    <w:p w14:paraId="59759396">
      <w:pPr>
        <w:snapToGrid w:val="0"/>
        <w:jc w:val="center"/>
        <w:rPr>
          <w:rFonts w:hint="eastAsia" w:ascii="宋体" w:hAnsi="宋体" w:cs="宋体"/>
          <w:b/>
          <w:color w:val="auto"/>
          <w:sz w:val="28"/>
          <w:szCs w:val="28"/>
          <w:highlight w:val="none"/>
        </w:rPr>
      </w:pPr>
    </w:p>
    <w:p w14:paraId="62C594D0">
      <w:pPr>
        <w:snapToGrid w:val="0"/>
        <w:spacing w:before="120" w:beforeLines="50" w:after="50"/>
        <w:jc w:val="left"/>
        <w:rPr>
          <w:rFonts w:hint="eastAsia"/>
          <w:color w:val="auto"/>
          <w:szCs w:val="20"/>
          <w:highlight w:val="none"/>
        </w:rPr>
      </w:pPr>
      <w:r>
        <w:rPr>
          <w:rFonts w:hint="eastAsia" w:ascii="宋体" w:hAnsi="宋体" w:cs="宋体"/>
          <w:b/>
          <w:color w:val="auto"/>
          <w:sz w:val="32"/>
          <w:szCs w:val="32"/>
          <w:highlight w:val="none"/>
        </w:rPr>
        <w:br w:type="page"/>
      </w:r>
      <w:r>
        <w:rPr>
          <w:rFonts w:hint="eastAsia" w:ascii="宋体" w:hAnsi="宋体" w:cs="宋体"/>
          <w:b/>
          <w:color w:val="auto"/>
          <w:sz w:val="28"/>
          <w:szCs w:val="28"/>
          <w:highlight w:val="none"/>
        </w:rPr>
        <w:t>4.投标声明</w:t>
      </w:r>
    </w:p>
    <w:p w14:paraId="17DAA3BF">
      <w:pPr>
        <w:snapToGrid w:val="0"/>
        <w:spacing w:before="50" w:after="120" w:afterLines="50"/>
        <w:jc w:val="left"/>
        <w:rPr>
          <w:rFonts w:hint="eastAsia" w:ascii="宋体" w:hAnsi="宋体" w:cs="宋体"/>
          <w:color w:val="auto"/>
          <w:highlight w:val="none"/>
        </w:rPr>
      </w:pPr>
    </w:p>
    <w:p w14:paraId="016862DF">
      <w:pPr>
        <w:snapToGrid w:val="0"/>
        <w:spacing w:before="120" w:beforeLines="50" w:after="50"/>
        <w:ind w:left="420"/>
        <w:jc w:val="center"/>
        <w:rPr>
          <w:rFonts w:hint="eastAsia" w:ascii="宋体" w:hAnsi="宋体" w:cs="宋体"/>
          <w:b/>
          <w:bCs/>
          <w:color w:val="auto"/>
          <w:spacing w:val="-17"/>
          <w:sz w:val="30"/>
          <w:szCs w:val="30"/>
          <w:highlight w:val="none"/>
        </w:rPr>
      </w:pPr>
      <w:r>
        <w:rPr>
          <w:rFonts w:hint="eastAsia" w:ascii="宋体" w:hAnsi="宋体" w:cs="宋体"/>
          <w:b/>
          <w:bCs/>
          <w:color w:val="auto"/>
          <w:spacing w:val="-17"/>
          <w:sz w:val="30"/>
          <w:szCs w:val="30"/>
          <w:highlight w:val="none"/>
        </w:rPr>
        <w:t>投标声明</w:t>
      </w:r>
    </w:p>
    <w:p w14:paraId="1FA53EEA">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（采购人名称）：</w:t>
      </w:r>
    </w:p>
    <w:p w14:paraId="5DDC7AA0">
      <w:pPr>
        <w:keepNext w:val="0"/>
        <w:keepLines w:val="0"/>
        <w:pageBreakBefore w:val="0"/>
        <w:widowControl w:val="0"/>
        <w:kinsoku/>
        <w:wordWrap/>
        <w:overflowPunct/>
        <w:topLinePunct w:val="0"/>
        <w:autoSpaceDE/>
        <w:autoSpaceDN/>
        <w:bidi w:val="0"/>
        <w:adjustRightInd/>
        <w:spacing w:line="400" w:lineRule="exact"/>
        <w:ind w:firstLine="457" w:firstLineChars="218"/>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我方参加贵单位组织</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）的政府采购活动。我方在此郑重声明：</w:t>
      </w:r>
    </w:p>
    <w:p w14:paraId="27910B1B">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我方参加本项目的政府采购活动前三年内在经营活动中没有重大违法记录（重大违法记录是指供应商因违法经营受到刑事处罚或者责令停产停业、吊销许可证或者执照、较大数额罚款等行政处罚），未被列入失信被执行人、重大税收违法失信主体、政府采购严重违法失信行为记录名单，完全符合《中华人民共和国政府采购法》第二十二条规定的供应商资格条件，我方对此声明负全部法律责任。</w:t>
      </w:r>
    </w:p>
    <w:p w14:paraId="6F81C249">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2.我方不是为本次采购项目提供整体设计、规范编制或者项目管理、监理、检测等服务的供应商。</w:t>
      </w:r>
    </w:p>
    <w:p w14:paraId="6F9E46CA">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3.我方承诺符合《中华人民共和国政府采购法》第二十二条规定：</w:t>
      </w:r>
    </w:p>
    <w:p w14:paraId="27ACDC87">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（一）具有独立承担民事责任的能力；</w:t>
      </w:r>
    </w:p>
    <w:p w14:paraId="5BA2CE7B">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（二）具有良好的商业信誉和健全的财务会计制度；</w:t>
      </w:r>
    </w:p>
    <w:p w14:paraId="4E320DA1">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（三）具有履行合同所必需的设备和专业技术能力；</w:t>
      </w:r>
    </w:p>
    <w:p w14:paraId="0F7695C0">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（四）有依法缴纳税收和社会保障资金的良好记录；</w:t>
      </w:r>
    </w:p>
    <w:p w14:paraId="0F4B2070">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（五）参加政府采购活动前三年内，在经营活动中没有重大违法记录；</w:t>
      </w:r>
    </w:p>
    <w:p w14:paraId="78950C19">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（六）法律、行政法规规定的其他条件。</w:t>
      </w:r>
    </w:p>
    <w:p w14:paraId="2F0D87C7">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4.以上事项如有虚假或者隐瞒，我方愿意承担一切后果，并不再寻求任何旨在减轻或者免除法律责任的辩解。</w:t>
      </w:r>
    </w:p>
    <w:p w14:paraId="2AEE2B96">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特此承诺。</w:t>
      </w:r>
    </w:p>
    <w:p w14:paraId="1C2AC492">
      <w:pPr>
        <w:keepNext w:val="0"/>
        <w:keepLines w:val="0"/>
        <w:pageBreakBefore w:val="0"/>
        <w:widowControl w:val="0"/>
        <w:kinsoku/>
        <w:wordWrap/>
        <w:overflowPunct/>
        <w:topLinePunct w:val="0"/>
        <w:autoSpaceDE/>
        <w:autoSpaceDN/>
        <w:bidi w:val="0"/>
        <w:adjustRightInd/>
        <w:snapToGrid w:val="0"/>
        <w:spacing w:before="50" w:after="50" w:line="400" w:lineRule="exact"/>
        <w:ind w:firstLine="930" w:firstLineChars="441"/>
        <w:textAlignment w:val="auto"/>
        <w:rPr>
          <w:rFonts w:hint="eastAsia" w:ascii="宋体" w:hAnsi="宋体" w:cs="宋体"/>
          <w:color w:val="auto"/>
          <w:spacing w:val="20"/>
          <w:szCs w:val="21"/>
          <w:highlight w:val="none"/>
          <w:u w:val="single"/>
        </w:rPr>
      </w:pPr>
      <w:r>
        <w:rPr>
          <w:rFonts w:hint="eastAsia" w:ascii="宋体" w:hAnsi="宋体" w:cs="宋体"/>
          <w:b/>
          <w:color w:val="auto"/>
          <w:szCs w:val="21"/>
          <w:highlight w:val="none"/>
        </w:rPr>
        <w:t xml:space="preserve">                 </w:t>
      </w:r>
      <w:r>
        <w:rPr>
          <w:rFonts w:hint="eastAsia" w:ascii="宋体" w:hAnsi="宋体" w:cs="宋体"/>
          <w:color w:val="auto"/>
          <w:szCs w:val="21"/>
          <w:highlight w:val="none"/>
        </w:rPr>
        <w:t>法定代表人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46510F7F">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r>
        <w:rPr>
          <w:rFonts w:hint="eastAsia" w:ascii="宋体" w:hAnsi="宋体" w:cs="宋体"/>
          <w:color w:val="auto"/>
          <w:szCs w:val="21"/>
          <w:highlight w:val="none"/>
          <w:u w:val="single"/>
        </w:rPr>
        <w:t xml:space="preserve">                 </w:t>
      </w:r>
    </w:p>
    <w:p w14:paraId="56E7D9A0">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14:paraId="4FF4F91E">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b/>
          <w:color w:val="auto"/>
          <w:szCs w:val="21"/>
          <w:highlight w:val="none"/>
        </w:rPr>
      </w:pPr>
      <w:r>
        <w:rPr>
          <w:rFonts w:hint="eastAsia" w:ascii="宋体" w:hAnsi="宋体" w:cs="宋体"/>
          <w:b/>
          <w:color w:val="auto"/>
          <w:szCs w:val="21"/>
          <w:highlight w:val="none"/>
        </w:rPr>
        <w:t>注：如为联合体投标，盖章处须加盖联合体牵头人电子签章并由联合体牵头人法定代表人分别签字或者盖章或者电子签名，否则投标无效。</w:t>
      </w:r>
    </w:p>
    <w:p w14:paraId="2D3031B9">
      <w:pPr>
        <w:snapToGrid w:val="0"/>
        <w:spacing w:before="120" w:beforeLines="50" w:after="50"/>
        <w:jc w:val="left"/>
        <w:rPr>
          <w:rFonts w:ascii="宋体" w:hAnsi="宋体" w:cs="宋体"/>
          <w:b/>
          <w:color w:val="auto"/>
          <w:sz w:val="28"/>
          <w:szCs w:val="28"/>
          <w:highlight w:val="none"/>
        </w:rPr>
      </w:pPr>
    </w:p>
    <w:p w14:paraId="11D4C259">
      <w:pPr>
        <w:snapToGrid w:val="0"/>
        <w:spacing w:before="120" w:beforeLines="50" w:after="50"/>
        <w:jc w:val="left"/>
        <w:rPr>
          <w:rFonts w:hint="eastAsia"/>
          <w:color w:val="auto"/>
          <w:spacing w:val="20"/>
          <w:sz w:val="24"/>
          <w:highlight w:val="none"/>
        </w:rPr>
      </w:pPr>
      <w:r>
        <w:rPr>
          <w:b/>
          <w:color w:val="auto"/>
          <w:highlight w:val="none"/>
        </w:rPr>
        <w:br w:type="page"/>
      </w:r>
      <w:r>
        <w:rPr>
          <w:rFonts w:hint="eastAsia" w:ascii="宋体" w:hAnsi="宋体" w:cs="宋体"/>
          <w:b/>
          <w:color w:val="auto"/>
          <w:sz w:val="28"/>
          <w:szCs w:val="28"/>
          <w:highlight w:val="none"/>
        </w:rPr>
        <w:t>5.联合投标协议书格式</w:t>
      </w:r>
    </w:p>
    <w:p w14:paraId="43670C18">
      <w:pPr>
        <w:pStyle w:val="9"/>
        <w:overflowPunct w:val="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联合体协议书</w:t>
      </w:r>
    </w:p>
    <w:p w14:paraId="480CD0ED">
      <w:pPr>
        <w:pStyle w:val="9"/>
        <w:overflowPunct w:val="0"/>
        <w:spacing w:line="360" w:lineRule="auto"/>
        <w:ind w:firstLine="0"/>
        <w:contextualSpacing/>
        <w:rPr>
          <w:rFonts w:hint="eastAsia" w:ascii="宋体" w:hAnsi="宋体" w:cs="宋体"/>
          <w:color w:val="auto"/>
          <w:sz w:val="24"/>
          <w:highlight w:val="none"/>
        </w:rPr>
      </w:pPr>
    </w:p>
    <w:p w14:paraId="2BC3EC9B">
      <w:pPr>
        <w:pStyle w:val="9"/>
        <w:keepNext w:val="0"/>
        <w:keepLines w:val="0"/>
        <w:pageBreakBefore w:val="0"/>
        <w:widowControl w:val="0"/>
        <w:kinsoku/>
        <w:wordWrap/>
        <w:overflowPunct w:val="0"/>
        <w:topLinePunct w:val="0"/>
        <w:autoSpaceDE/>
        <w:autoSpaceDN/>
        <w:bidi w:val="0"/>
        <w:adjustRightInd/>
        <w:snapToGri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（所有成员单位名称）自愿组成</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（联合体名称）联合体，共同参加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（项目名称）   </w:t>
      </w:r>
      <w:r>
        <w:rPr>
          <w:rFonts w:hint="eastAsia" w:ascii="宋体" w:cs="宋体"/>
          <w:color w:val="auto"/>
          <w:kern w:val="0"/>
          <w:szCs w:val="21"/>
          <w:highlight w:val="none"/>
        </w:rPr>
        <w:t>（项目编号：</w:t>
      </w:r>
      <w:r>
        <w:rPr>
          <w:rFonts w:hint="eastAsia" w:ascii="宋体" w:cs="宋体"/>
          <w:color w:val="auto"/>
          <w:kern w:val="0"/>
          <w:szCs w:val="21"/>
          <w:highlight w:val="none"/>
          <w:u w:val="single"/>
        </w:rPr>
        <w:t xml:space="preserve">     </w:t>
      </w:r>
      <w:r>
        <w:rPr>
          <w:rFonts w:hint="eastAsia" w:ascii="宋体" w:cs="宋体"/>
          <w:color w:val="auto"/>
          <w:kern w:val="0"/>
          <w:szCs w:val="21"/>
          <w:highlight w:val="none"/>
        </w:rPr>
        <w:t>）</w:t>
      </w:r>
      <w:r>
        <w:rPr>
          <w:rFonts w:hint="eastAsia" w:ascii="宋体" w:cs="宋体"/>
          <w:color w:val="auto"/>
          <w:kern w:val="0"/>
          <w:szCs w:val="21"/>
          <w:highlight w:val="none"/>
          <w:u w:val="single"/>
        </w:rPr>
        <w:t xml:space="preserve">   </w:t>
      </w:r>
      <w:r>
        <w:rPr>
          <w:rFonts w:hint="eastAsia" w:ascii="宋体" w:hAnsi="宋体" w:cs="宋体"/>
          <w:color w:val="auto"/>
          <w:szCs w:val="21"/>
          <w:highlight w:val="none"/>
        </w:rPr>
        <w:t>分标采购招标项目投标。现就联合体投标事宜订立如下协议。</w:t>
      </w:r>
    </w:p>
    <w:p w14:paraId="283380C2">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1.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（某成员单位名称）为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（联合体名称）牵头人。</w:t>
      </w:r>
    </w:p>
    <w:p w14:paraId="3A4DCDD9">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2.联合体各成员授权牵头人代表联合体参加投标活动，签署文件及对文件的盖章，提交和接收相关的资料、 信息及指示，进行合同谈判活动，负责合同实施阶段的组织和协调工作，以及处理与本招标项 目有关的一切事宜。</w:t>
      </w:r>
    </w:p>
    <w:p w14:paraId="673B2FDD">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3.联合体牵头人在本项目中签署和盖章的一切文件和处理的一切事宜，联合体各成员均予以承认。 联合体各成员将严格按照招标文件、投标文件和合同的要求全面履行义务，并向招标人承担连带责任。</w:t>
      </w:r>
    </w:p>
    <w:p w14:paraId="71680F66">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4.联合体各成员单位内部的职责分工如下：</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w:t>
      </w:r>
    </w:p>
    <w:p w14:paraId="5F5BA07F">
      <w:pPr>
        <w:keepNext w:val="0"/>
        <w:keepLines w:val="0"/>
        <w:pageBreakBefore w:val="0"/>
        <w:widowControl w:val="0"/>
        <w:kinsoku/>
        <w:wordWrap/>
        <w:topLinePunct w:val="0"/>
        <w:autoSpaceDE/>
        <w:autoSpaceDN/>
        <w:bidi w:val="0"/>
        <w:adjustRightInd/>
        <w:snapToGrid/>
        <w:spacing w:line="400" w:lineRule="exact"/>
        <w:ind w:firstLine="420" w:firstLineChars="200"/>
        <w:textAlignment w:val="auto"/>
        <w:rPr>
          <w:rFonts w:hint="eastAsia"/>
          <w:color w:val="auto"/>
          <w:szCs w:val="21"/>
          <w:highlight w:val="none"/>
        </w:rPr>
      </w:pPr>
      <w:r>
        <w:rPr>
          <w:rFonts w:hint="eastAsia" w:ascii="宋体" w:hAnsi="宋体" w:cs="宋体"/>
          <w:color w:val="auto"/>
          <w:kern w:val="0"/>
          <w:szCs w:val="20"/>
          <w:highlight w:val="none"/>
        </w:rPr>
        <w:t>5.本联合体中，</w:t>
      </w:r>
      <w:r>
        <w:rPr>
          <w:rFonts w:hint="eastAsia" w:ascii="宋体" w:hAnsi="宋体" w:cs="宋体"/>
          <w:color w:val="auto"/>
          <w:kern w:val="0"/>
          <w:szCs w:val="20"/>
          <w:highlight w:val="none"/>
          <w:u w:val="single"/>
        </w:rPr>
        <w:t xml:space="preserve"> （某成员单位名称） </w:t>
      </w:r>
      <w:r>
        <w:rPr>
          <w:rFonts w:hint="eastAsia" w:ascii="宋体" w:hAnsi="宋体" w:cs="宋体"/>
          <w:color w:val="auto"/>
          <w:kern w:val="0"/>
          <w:szCs w:val="20"/>
          <w:highlight w:val="none"/>
        </w:rPr>
        <w:t>为</w:t>
      </w:r>
      <w:r>
        <w:rPr>
          <w:rFonts w:hint="eastAsia" w:ascii="宋体" w:hAnsi="Courier New"/>
          <w:color w:val="auto"/>
          <w:szCs w:val="20"/>
          <w:highlight w:val="none"/>
          <w:u w:val="single"/>
        </w:rPr>
        <w:t xml:space="preserve">        </w:t>
      </w:r>
      <w:r>
        <w:rPr>
          <w:rFonts w:hint="eastAsia" w:ascii="宋体" w:hAnsi="Courier New"/>
          <w:color w:val="auto"/>
          <w:szCs w:val="20"/>
          <w:highlight w:val="none"/>
        </w:rPr>
        <w:t>（请填写：中型、小型、微型）企业，其协议合同金额占联合体协议合同总金额的</w:t>
      </w:r>
      <w:r>
        <w:rPr>
          <w:rFonts w:hint="eastAsia" w:ascii="宋体" w:hAnsi="Courier New"/>
          <w:color w:val="auto"/>
          <w:szCs w:val="20"/>
          <w:highlight w:val="none"/>
          <w:u w:val="single"/>
        </w:rPr>
        <w:t xml:space="preserve">           </w:t>
      </w:r>
      <w:r>
        <w:rPr>
          <w:rFonts w:hint="eastAsia" w:ascii="宋体" w:hAnsi="Courier New"/>
          <w:color w:val="auto"/>
          <w:szCs w:val="20"/>
          <w:highlight w:val="none"/>
        </w:rPr>
        <w:t>%。【如联合体成员中有小型、微型企业的，请填写此条，否则无需填写；如联合体成员中有多个小型、微型企业的，请逐一列出</w:t>
      </w:r>
      <w:r>
        <w:rPr>
          <w:rFonts w:hint="eastAsia" w:ascii="宋体" w:hAnsi="Courier New"/>
          <w:color w:val="auto"/>
          <w:szCs w:val="20"/>
          <w:highlight w:val="none"/>
          <w:lang w:eastAsia="zh-CN"/>
        </w:rPr>
        <w:t>】</w:t>
      </w:r>
    </w:p>
    <w:p w14:paraId="7F5BEC3E">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6.本协议书自所有成员单位法定代表人或者其委托代理人签字（或者电子签名）或</w:t>
      </w:r>
      <w:r>
        <w:rPr>
          <w:rFonts w:hint="eastAsia" w:ascii="宋体" w:hAnsi="宋体" w:cs="宋体"/>
          <w:color w:val="auto"/>
          <w:szCs w:val="21"/>
          <w:highlight w:val="none"/>
          <w:lang w:eastAsia="zh-CN"/>
        </w:rPr>
        <w:t>者加</w:t>
      </w:r>
      <w:r>
        <w:rPr>
          <w:rFonts w:hint="eastAsia" w:ascii="宋体" w:hAnsi="宋体" w:cs="宋体"/>
          <w:color w:val="auto"/>
          <w:szCs w:val="21"/>
          <w:highlight w:val="none"/>
        </w:rPr>
        <w:t>盖公章之日起生效，合同履行完毕后自动失效。</w:t>
      </w:r>
    </w:p>
    <w:p w14:paraId="1681F41F">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7.本协议书一式</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rPr>
        <w:t>份，联合体成员和招标人各执一份。</w:t>
      </w:r>
    </w:p>
    <w:p w14:paraId="5565F9EB">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注：本协议书应附法定代表人身份证明；有委托代理的，应附授权委托书（格式自拟）。</w:t>
      </w:r>
    </w:p>
    <w:p w14:paraId="03ABD7D8">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p>
    <w:p w14:paraId="138AE0B9">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联合体牵头人名称（电子签章）：</w:t>
      </w:r>
    </w:p>
    <w:p w14:paraId="0E6C30F4">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法定代表人或者其委托代理人：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（签字或者电子签名）</w:t>
      </w:r>
    </w:p>
    <w:p w14:paraId="64576E86">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p>
    <w:p w14:paraId="6055E661">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联合体成员名称（盖公章或者电子签章）：</w:t>
      </w:r>
    </w:p>
    <w:p w14:paraId="68F68F77">
      <w:pPr>
        <w:pStyle w:val="9"/>
        <w:keepNext w:val="0"/>
        <w:keepLines w:val="0"/>
        <w:pageBreakBefore w:val="0"/>
        <w:widowControl w:val="0"/>
        <w:kinsoku/>
        <w:wordWrap/>
        <w:overflowPunct w:val="0"/>
        <w:topLinePunct w:val="0"/>
        <w:autoSpaceDE/>
        <w:autoSpaceDN/>
        <w:bidi w:val="0"/>
        <w:adjustRightInd/>
        <w:snapToGrid/>
        <w:spacing w:line="400" w:lineRule="exact"/>
        <w:ind w:firstLine="367" w:firstLineChars="175"/>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法定代表人或者其委托代理人：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u w:val="single"/>
        </w:rPr>
        <w:tab/>
      </w:r>
      <w:r>
        <w:rPr>
          <w:rFonts w:hint="eastAsia" w:ascii="宋体" w:hAnsi="宋体" w:cs="宋体"/>
          <w:color w:val="auto"/>
          <w:szCs w:val="21"/>
          <w:highlight w:val="none"/>
          <w:u w:val="single"/>
        </w:rPr>
        <w:t>（签字或者电子签名）</w:t>
      </w:r>
    </w:p>
    <w:p w14:paraId="091E2DE1">
      <w:pPr>
        <w:pStyle w:val="9"/>
        <w:overflowPunct w:val="0"/>
        <w:spacing w:line="360" w:lineRule="auto"/>
        <w:ind w:firstLine="367" w:firstLineChars="175"/>
        <w:contextualSpacing/>
        <w:rPr>
          <w:rFonts w:hint="eastAsia" w:ascii="宋体" w:hAnsi="宋体" w:cs="宋体"/>
          <w:color w:val="auto"/>
          <w:szCs w:val="21"/>
          <w:highlight w:val="none"/>
        </w:rPr>
      </w:pPr>
      <w:r>
        <w:rPr>
          <w:rFonts w:hint="eastAsia" w:ascii="宋体" w:hAnsi="宋体" w:cs="宋体"/>
          <w:color w:val="auto"/>
          <w:szCs w:val="21"/>
          <w:highlight w:val="none"/>
        </w:rPr>
        <w:t>……</w:t>
      </w:r>
    </w:p>
    <w:p w14:paraId="3A90EABA">
      <w:pPr>
        <w:pStyle w:val="3"/>
        <w:rPr>
          <w:rFonts w:hint="eastAsia" w:ascii="宋体" w:hAnsi="宋体" w:cs="宋体"/>
          <w:color w:val="auto"/>
          <w:sz w:val="28"/>
          <w:szCs w:val="28"/>
          <w:highlight w:val="none"/>
        </w:rPr>
      </w:pPr>
      <w:r>
        <w:rPr>
          <w:color w:val="auto"/>
          <w:sz w:val="21"/>
          <w:szCs w:val="21"/>
          <w:highlight w:val="none"/>
        </w:rPr>
        <w:br w:type="page"/>
      </w:r>
      <w:bookmarkStart w:id="238" w:name="_Toc11259"/>
      <w:bookmarkStart w:id="239" w:name="_Toc7619"/>
      <w:bookmarkStart w:id="240" w:name="_Toc6222"/>
      <w:bookmarkStart w:id="241" w:name="_Toc19686838"/>
      <w:r>
        <w:rPr>
          <w:rFonts w:hint="eastAsia" w:ascii="宋体" w:hAnsi="宋体" w:cs="宋体"/>
          <w:color w:val="auto"/>
          <w:sz w:val="28"/>
          <w:szCs w:val="28"/>
          <w:highlight w:val="none"/>
        </w:rPr>
        <w:t>三、商务及技术文件格式</w:t>
      </w:r>
      <w:bookmarkEnd w:id="238"/>
      <w:bookmarkEnd w:id="239"/>
      <w:bookmarkEnd w:id="240"/>
      <w:bookmarkEnd w:id="241"/>
    </w:p>
    <w:p w14:paraId="4D762DDF">
      <w:pPr>
        <w:snapToGrid w:val="0"/>
        <w:spacing w:before="120" w:beforeLines="50" w:after="50"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t xml:space="preserve">（一）商务文件封面格式： </w:t>
      </w:r>
    </w:p>
    <w:p w14:paraId="7B619E3B">
      <w:pPr>
        <w:snapToGrid w:val="0"/>
        <w:spacing w:before="120" w:beforeLines="50" w:after="50"/>
        <w:jc w:val="center"/>
        <w:rPr>
          <w:rFonts w:hint="eastAsia" w:ascii="宋体" w:hAnsi="宋体" w:cs="宋体"/>
          <w:color w:val="auto"/>
          <w:sz w:val="24"/>
          <w:highlight w:val="none"/>
        </w:rPr>
      </w:pPr>
      <w:r>
        <w:rPr>
          <w:rFonts w:hint="eastAsia" w:ascii="宋体" w:hAnsi="宋体" w:cs="宋体"/>
          <w:bCs/>
          <w:color w:val="auto"/>
          <w:sz w:val="48"/>
          <w:szCs w:val="48"/>
          <w:highlight w:val="none"/>
        </w:rPr>
        <w:t>电子投标文件</w:t>
      </w:r>
    </w:p>
    <w:p w14:paraId="15709BBA">
      <w:pPr>
        <w:snapToGrid w:val="0"/>
        <w:spacing w:before="120" w:beforeLines="50" w:after="5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76D4EA01">
      <w:pPr>
        <w:rPr>
          <w:rFonts w:hint="eastAsia" w:ascii="宋体" w:hAnsi="宋体" w:cs="宋体"/>
          <w:color w:val="auto"/>
          <w:sz w:val="24"/>
          <w:highlight w:val="none"/>
        </w:rPr>
      </w:pPr>
    </w:p>
    <w:p w14:paraId="4B38293F">
      <w:pPr>
        <w:rPr>
          <w:rFonts w:hint="eastAsia"/>
          <w:color w:val="auto"/>
          <w:highlight w:val="none"/>
        </w:rPr>
      </w:pPr>
    </w:p>
    <w:p w14:paraId="2218334B">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商务文件</w:t>
      </w:r>
    </w:p>
    <w:p w14:paraId="57F7739A">
      <w:pPr>
        <w:rPr>
          <w:rFonts w:hint="eastAsia" w:ascii="宋体" w:hAnsi="宋体" w:cs="宋体"/>
          <w:b/>
          <w:color w:val="auto"/>
          <w:sz w:val="32"/>
          <w:szCs w:val="32"/>
          <w:highlight w:val="none"/>
        </w:rPr>
      </w:pPr>
    </w:p>
    <w:p w14:paraId="706513B0">
      <w:pPr>
        <w:rPr>
          <w:rFonts w:hint="eastAsia"/>
          <w:color w:val="auto"/>
          <w:highlight w:val="none"/>
        </w:rPr>
      </w:pPr>
    </w:p>
    <w:p w14:paraId="1ED71326">
      <w:pPr>
        <w:snapToGrid w:val="0"/>
        <w:spacing w:before="120" w:beforeLines="50" w:after="50"/>
        <w:rPr>
          <w:rFonts w:hint="eastAsia" w:ascii="宋体" w:hAnsi="宋体" w:cs="宋体"/>
          <w:bCs/>
          <w:color w:val="auto"/>
          <w:sz w:val="24"/>
          <w:szCs w:val="20"/>
          <w:highlight w:val="none"/>
        </w:rPr>
      </w:pPr>
    </w:p>
    <w:p w14:paraId="56326486">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59CC4611">
      <w:pPr>
        <w:snapToGrid w:val="0"/>
        <w:spacing w:before="120" w:beforeLines="50" w:after="50"/>
        <w:ind w:firstLine="540" w:firstLineChars="225"/>
        <w:rPr>
          <w:rFonts w:hint="eastAsia" w:ascii="宋体" w:hAnsi="宋体" w:cs="宋体"/>
          <w:bCs/>
          <w:color w:val="auto"/>
          <w:sz w:val="24"/>
          <w:szCs w:val="20"/>
          <w:highlight w:val="none"/>
        </w:rPr>
      </w:pPr>
    </w:p>
    <w:p w14:paraId="62761A06">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79E000F9">
      <w:pPr>
        <w:snapToGrid w:val="0"/>
        <w:spacing w:before="120" w:beforeLines="50" w:after="50"/>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408AF7E9">
      <w:pPr>
        <w:snapToGrid w:val="0"/>
        <w:spacing w:before="120"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06D7DB27">
      <w:pPr>
        <w:snapToGrid w:val="0"/>
        <w:spacing w:before="120" w:beforeLines="50" w:after="50"/>
        <w:ind w:firstLine="540" w:firstLineChars="225"/>
        <w:rPr>
          <w:rFonts w:hint="eastAsia" w:ascii="宋体" w:hAnsi="宋体" w:cs="宋体"/>
          <w:bCs/>
          <w:color w:val="auto"/>
          <w:sz w:val="24"/>
          <w:szCs w:val="20"/>
          <w:highlight w:val="none"/>
        </w:rPr>
      </w:pPr>
    </w:p>
    <w:p w14:paraId="53776535">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5A4D7042">
      <w:pPr>
        <w:pStyle w:val="9"/>
        <w:snapToGrid w:val="0"/>
        <w:spacing w:before="50" w:after="50"/>
        <w:ind w:firstLine="540" w:firstLineChars="225"/>
        <w:rPr>
          <w:rFonts w:hint="eastAsia" w:ascii="宋体" w:hAnsi="宋体" w:cs="宋体"/>
          <w:bCs/>
          <w:color w:val="auto"/>
          <w:sz w:val="24"/>
          <w:szCs w:val="24"/>
          <w:highlight w:val="none"/>
        </w:rPr>
      </w:pPr>
    </w:p>
    <w:p w14:paraId="41F007BF">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2FB7647E">
      <w:pPr>
        <w:pStyle w:val="9"/>
        <w:snapToGrid w:val="0"/>
        <w:spacing w:before="50" w:after="50"/>
        <w:ind w:firstLine="960" w:firstLineChars="400"/>
        <w:rPr>
          <w:rFonts w:hint="eastAsia" w:ascii="宋体" w:hAnsi="宋体" w:cs="宋体"/>
          <w:bCs/>
          <w:color w:val="auto"/>
          <w:sz w:val="24"/>
          <w:szCs w:val="24"/>
          <w:highlight w:val="none"/>
        </w:rPr>
      </w:pPr>
    </w:p>
    <w:p w14:paraId="71E5A017">
      <w:pPr>
        <w:snapToGrid w:val="0"/>
        <w:spacing w:before="120" w:beforeLines="50" w:after="50"/>
        <w:ind w:firstLine="645"/>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337B4A38">
      <w:pPr>
        <w:snapToGrid w:val="0"/>
        <w:spacing w:before="120"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2BB4D4E9">
      <w:pPr>
        <w:snapToGrid w:val="0"/>
        <w:spacing w:line="360" w:lineRule="auto"/>
        <w:jc w:val="center"/>
        <w:rPr>
          <w:rFonts w:hint="eastAsia" w:ascii="宋体" w:hAnsi="宋体" w:cs="宋体"/>
          <w:b/>
          <w:bCs/>
          <w:color w:val="auto"/>
          <w:sz w:val="28"/>
          <w:szCs w:val="28"/>
          <w:highlight w:val="none"/>
        </w:rPr>
      </w:pPr>
      <w:r>
        <w:rPr>
          <w:rFonts w:hint="eastAsia" w:ascii="宋体" w:hAnsi="宋体" w:cs="宋体"/>
          <w:color w:val="auto"/>
          <w:sz w:val="24"/>
          <w:szCs w:val="20"/>
          <w:highlight w:val="none"/>
        </w:rPr>
        <w:br w:type="page"/>
      </w:r>
      <w:r>
        <w:rPr>
          <w:rFonts w:hint="eastAsia" w:ascii="宋体" w:hAnsi="宋体" w:cs="宋体"/>
          <w:b/>
          <w:bCs/>
          <w:color w:val="auto"/>
          <w:sz w:val="28"/>
          <w:szCs w:val="28"/>
          <w:highlight w:val="none"/>
        </w:rPr>
        <w:t>商务文件目录</w:t>
      </w:r>
    </w:p>
    <w:p w14:paraId="54C1C56E">
      <w:pPr>
        <w:snapToGrid w:val="0"/>
        <w:spacing w:before="50" w:after="120" w:afterLines="50" w:line="360" w:lineRule="auto"/>
        <w:jc w:val="center"/>
        <w:rPr>
          <w:rFonts w:hint="eastAsia" w:ascii="宋体" w:hAnsi="宋体" w:cs="宋体"/>
          <w:b/>
          <w:bCs/>
          <w:color w:val="auto"/>
          <w:sz w:val="24"/>
          <w:highlight w:val="none"/>
        </w:rPr>
      </w:pPr>
      <w:r>
        <w:rPr>
          <w:rFonts w:hint="eastAsia" w:ascii="宋体" w:hAnsi="宋体" w:cs="宋体"/>
          <w:color w:val="auto"/>
          <w:szCs w:val="21"/>
          <w:highlight w:val="none"/>
        </w:rPr>
        <w:t>根据招标文件规定及投标人提供的材料自行编写目录。</w:t>
      </w:r>
    </w:p>
    <w:p w14:paraId="48132032">
      <w:pPr>
        <w:snapToGrid w:val="0"/>
        <w:spacing w:before="50" w:after="120" w:afterLines="50"/>
        <w:jc w:val="left"/>
        <w:rPr>
          <w:rFonts w:hint="eastAsia" w:ascii="宋体" w:hAnsi="宋体" w:cs="宋体"/>
          <w:color w:val="auto"/>
          <w:highlight w:val="none"/>
        </w:rPr>
      </w:pPr>
    </w:p>
    <w:p w14:paraId="254935AB">
      <w:pPr>
        <w:snapToGrid w:val="0"/>
        <w:spacing w:before="120"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1. 无串通投标行为的承诺函</w:t>
      </w:r>
    </w:p>
    <w:p w14:paraId="6BD938D1">
      <w:pPr>
        <w:snapToGrid w:val="0"/>
        <w:spacing w:before="120" w:beforeLines="50" w:after="50"/>
        <w:jc w:val="left"/>
        <w:rPr>
          <w:rFonts w:hint="eastAsia" w:ascii="宋体" w:hAnsi="宋体" w:cs="宋体"/>
          <w:b/>
          <w:color w:val="auto"/>
          <w:sz w:val="24"/>
          <w:highlight w:val="none"/>
        </w:rPr>
      </w:pPr>
    </w:p>
    <w:p w14:paraId="0C88E3BF">
      <w:pPr>
        <w:snapToGrid w:val="0"/>
        <w:spacing w:before="120" w:beforeLines="50" w:after="50"/>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无串通投标行为的承诺函</w:t>
      </w:r>
    </w:p>
    <w:p w14:paraId="37F4774B">
      <w:pPr>
        <w:keepNext w:val="0"/>
        <w:keepLines w:val="0"/>
        <w:pageBreakBefore w:val="0"/>
        <w:widowControl w:val="0"/>
        <w:kinsoku/>
        <w:wordWrap/>
        <w:overflowPunct/>
        <w:topLinePunct w:val="0"/>
        <w:autoSpaceDE/>
        <w:autoSpaceDN/>
        <w:bidi w:val="0"/>
        <w:adjustRightInd/>
        <w:snapToGrid/>
        <w:spacing w:line="400" w:lineRule="exact"/>
        <w:contextualSpacing/>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一、我方承诺无下列相互串通投标的情形：</w:t>
      </w:r>
    </w:p>
    <w:p w14:paraId="047E4D84">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1.不同投标人的投标文件由同一单位或者个人编制；或者不同投标人报名的IP地址一致的；或者编制标书硬件设备CPU编号、硬盘编号、网卡地址一致的情况。</w:t>
      </w:r>
    </w:p>
    <w:p w14:paraId="1140CF92">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2.不同投标人委托同一单位或者个人办理投标事宜；</w:t>
      </w:r>
    </w:p>
    <w:p w14:paraId="01D44EDB">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3.不同的投标人的投标文件载明的项目管理员为同一个人；</w:t>
      </w:r>
    </w:p>
    <w:p w14:paraId="1E47F71E">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4.不同投标人的投标文件异常一致或者投标报价呈规律性差异；</w:t>
      </w:r>
    </w:p>
    <w:p w14:paraId="2D684829">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5.不同投标人的投标文件相互混装；</w:t>
      </w:r>
    </w:p>
    <w:p w14:paraId="37A4C87E">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6.不同投标人的投标保证金从同一单位或者个人账户转出。</w:t>
      </w:r>
    </w:p>
    <w:p w14:paraId="2C4292B5">
      <w:pPr>
        <w:keepNext w:val="0"/>
        <w:keepLines w:val="0"/>
        <w:pageBreakBefore w:val="0"/>
        <w:widowControl w:val="0"/>
        <w:kinsoku/>
        <w:wordWrap/>
        <w:overflowPunct/>
        <w:topLinePunct w:val="0"/>
        <w:autoSpaceDE/>
        <w:autoSpaceDN/>
        <w:bidi w:val="0"/>
        <w:adjustRightInd/>
        <w:snapToGri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b/>
          <w:color w:val="auto"/>
          <w:szCs w:val="21"/>
          <w:highlight w:val="none"/>
        </w:rPr>
        <w:t>二、我方承诺无下列恶意串通的情形：</w:t>
      </w:r>
    </w:p>
    <w:p w14:paraId="44E4E5E6">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1.投标人直接或者间接从采购人或者采购代理机构处获得其他投标人的相关信息并修改其投标文件或者响应文件；</w:t>
      </w:r>
    </w:p>
    <w:p w14:paraId="269436EE">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2.投标人按照采购人或者采购代理机构的授意撤换、修改投标文件或者响应文件；</w:t>
      </w:r>
    </w:p>
    <w:p w14:paraId="38FB6A01">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3.投标人之间协商报价、技术方案等投标文件或者响应文件的实质性内容；</w:t>
      </w:r>
    </w:p>
    <w:p w14:paraId="6C33C5C3">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4.属于同一集团、协会、商会等组织成员的投标人按照该组织要求协同参加政府采购活动；</w:t>
      </w:r>
    </w:p>
    <w:p w14:paraId="478A3F34">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5.投标人之间事先约定一致抬高或者压低投标报价，或者在招标项目中事先约定轮流以高价位或者低价位中标，或者事先约定由某一特定投标人中标，然后再参加投标；</w:t>
      </w:r>
    </w:p>
    <w:p w14:paraId="133044B0">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6.投标人之间商定部分投标人放弃参加政府采购活动或者放弃中标；</w:t>
      </w:r>
    </w:p>
    <w:p w14:paraId="17964603">
      <w:pPr>
        <w:keepNext w:val="0"/>
        <w:keepLines w:val="0"/>
        <w:pageBreakBefore w:val="0"/>
        <w:widowControl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7.投标人与采购人或者采购代理机构之间、投标人相互之间，为谋求特定投标人中标或者排斥其他投标人的其他串通行为。</w:t>
      </w:r>
    </w:p>
    <w:p w14:paraId="3BA23B7C">
      <w:pPr>
        <w:keepNext w:val="0"/>
        <w:keepLines w:val="0"/>
        <w:pageBreakBefore w:val="0"/>
        <w:widowControl w:val="0"/>
        <w:kinsoku/>
        <w:wordWrap/>
        <w:overflowPunct/>
        <w:topLinePunct w:val="0"/>
        <w:autoSpaceDE/>
        <w:autoSpaceDN/>
        <w:bidi w:val="0"/>
        <w:adjustRightInd/>
        <w:snapToGrid/>
        <w:spacing w:line="400" w:lineRule="exact"/>
        <w:ind w:firstLine="413" w:firstLineChars="196"/>
        <w:contextualSpacing/>
        <w:jc w:val="left"/>
        <w:textAlignment w:val="auto"/>
        <w:rPr>
          <w:rFonts w:hint="eastAsia" w:ascii="宋体" w:hAnsi="宋体" w:cs="宋体"/>
          <w:b/>
          <w:color w:val="auto"/>
          <w:szCs w:val="21"/>
          <w:highlight w:val="none"/>
        </w:rPr>
      </w:pPr>
      <w:r>
        <w:rPr>
          <w:rFonts w:hint="eastAsia" w:ascii="宋体" w:hAnsi="宋体" w:cs="宋体"/>
          <w:b/>
          <w:color w:val="auto"/>
          <w:szCs w:val="21"/>
          <w:highlight w:val="none"/>
        </w:rPr>
        <w:t>以上情形一经核查属实，我方愿意承担一切后果，并不再寻求任何旨在减轻或者免除法律责任的辩解。</w:t>
      </w:r>
    </w:p>
    <w:p w14:paraId="6C1B2F6D">
      <w:pPr>
        <w:pStyle w:val="20"/>
        <w:keepNext w:val="0"/>
        <w:keepLines w:val="0"/>
        <w:pageBreakBefore w:val="0"/>
        <w:widowControl w:val="0"/>
        <w:kinsoku/>
        <w:wordWrap/>
        <w:overflowPunct/>
        <w:topLinePunct w:val="0"/>
        <w:autoSpaceDE/>
        <w:autoSpaceDN/>
        <w:bidi w:val="0"/>
        <w:adjustRightInd/>
        <w:snapToGrid/>
        <w:spacing w:line="400" w:lineRule="exact"/>
        <w:ind w:firstLine="840" w:firstLineChars="400"/>
        <w:textAlignment w:val="auto"/>
        <w:rPr>
          <w:rFonts w:hint="eastAsia" w:hAnsi="宋体" w:cs="宋体"/>
          <w:color w:val="auto"/>
          <w:highlight w:val="none"/>
        </w:rPr>
      </w:pPr>
      <w:r>
        <w:rPr>
          <w:rFonts w:hint="eastAsia" w:hAnsi="宋体" w:cs="宋体"/>
          <w:color w:val="auto"/>
          <w:highlight w:val="none"/>
        </w:rPr>
        <w:t xml:space="preserve"> </w:t>
      </w:r>
    </w:p>
    <w:p w14:paraId="2022B914">
      <w:pPr>
        <w:pStyle w:val="20"/>
        <w:keepNext w:val="0"/>
        <w:keepLines w:val="0"/>
        <w:pageBreakBefore w:val="0"/>
        <w:widowControl w:val="0"/>
        <w:kinsoku/>
        <w:wordWrap/>
        <w:overflowPunct/>
        <w:topLinePunct w:val="0"/>
        <w:autoSpaceDE/>
        <w:autoSpaceDN/>
        <w:bidi w:val="0"/>
        <w:adjustRightInd/>
        <w:snapToGrid/>
        <w:spacing w:line="400" w:lineRule="exact"/>
        <w:contextualSpacing/>
        <w:jc w:val="center"/>
        <w:textAlignment w:val="auto"/>
        <w:rPr>
          <w:rFonts w:hint="eastAsia" w:hAnsi="宋体" w:cs="宋体"/>
          <w:color w:val="auto"/>
          <w:highlight w:val="none"/>
        </w:rPr>
      </w:pPr>
      <w:r>
        <w:rPr>
          <w:rFonts w:hint="eastAsia" w:hAnsi="宋体" w:cs="宋体"/>
          <w:color w:val="auto"/>
          <w:highlight w:val="none"/>
        </w:rPr>
        <w:t xml:space="preserve">                                    投标人名称（电子签章）</w:t>
      </w:r>
      <w:r>
        <w:rPr>
          <w:rFonts w:hint="eastAsia" w:hAnsi="宋体" w:cs="宋体"/>
          <w:color w:val="auto"/>
          <w:highlight w:val="none"/>
          <w:lang w:eastAsia="zh-CN"/>
        </w:rPr>
        <w:t>：</w:t>
      </w:r>
      <w:r>
        <w:rPr>
          <w:rFonts w:hint="eastAsia" w:hAnsi="宋体" w:cs="宋体"/>
          <w:color w:val="auto"/>
          <w:spacing w:val="20"/>
          <w:highlight w:val="none"/>
          <w:u w:val="single"/>
        </w:rPr>
        <w:t xml:space="preserve">            </w:t>
      </w:r>
      <w:r>
        <w:rPr>
          <w:rFonts w:hint="eastAsia" w:hAnsi="宋体" w:cs="宋体"/>
          <w:color w:val="auto"/>
          <w:spacing w:val="20"/>
          <w:highlight w:val="none"/>
        </w:rPr>
        <w:t xml:space="preserve"> </w:t>
      </w:r>
    </w:p>
    <w:p w14:paraId="7741759F">
      <w:pPr>
        <w:pStyle w:val="20"/>
        <w:keepNext w:val="0"/>
        <w:keepLines w:val="0"/>
        <w:pageBreakBefore w:val="0"/>
        <w:widowControl w:val="0"/>
        <w:kinsoku/>
        <w:wordWrap/>
        <w:overflowPunct/>
        <w:topLinePunct w:val="0"/>
        <w:autoSpaceDE/>
        <w:autoSpaceDN/>
        <w:bidi w:val="0"/>
        <w:adjustRightInd/>
        <w:snapToGrid/>
        <w:spacing w:line="400" w:lineRule="exact"/>
        <w:contextualSpacing/>
        <w:jc w:val="right"/>
        <w:textAlignment w:val="auto"/>
        <w:rPr>
          <w:rFonts w:hint="eastAsia" w:hAnsi="宋体" w:cs="宋体"/>
          <w:color w:val="auto"/>
          <w:highlight w:val="none"/>
        </w:rPr>
      </w:pPr>
      <w:r>
        <w:rPr>
          <w:rFonts w:hint="eastAsia" w:hAnsi="宋体" w:cs="宋体"/>
          <w:color w:val="auto"/>
          <w:highlight w:val="none"/>
        </w:rPr>
        <w:t xml:space="preserve">                                                </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p>
    <w:p w14:paraId="50CC18A5">
      <w:pPr>
        <w:snapToGrid w:val="0"/>
        <w:spacing w:before="120" w:beforeLines="50" w:after="50" w:line="360" w:lineRule="auto"/>
        <w:ind w:firstLine="472" w:firstLineChars="196"/>
        <w:jc w:val="left"/>
        <w:rPr>
          <w:rFonts w:hint="eastAsia"/>
          <w:color w:val="auto"/>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2.投标保证金缴纳证明</w:t>
      </w:r>
    </w:p>
    <w:p w14:paraId="3BFB63B6">
      <w:pPr>
        <w:pStyle w:val="20"/>
        <w:keepNext w:val="0"/>
        <w:keepLines w:val="0"/>
        <w:pageBreakBefore w:val="0"/>
        <w:kinsoku/>
        <w:wordWrap/>
        <w:overflowPunct/>
        <w:topLinePunct w:val="0"/>
        <w:autoSpaceDE/>
        <w:autoSpaceDN/>
        <w:bidi w:val="0"/>
        <w:adjustRightInd/>
        <w:snapToGrid/>
        <w:spacing w:line="400" w:lineRule="exact"/>
        <w:ind w:firstLine="480" w:firstLineChars="200"/>
        <w:textAlignment w:val="auto"/>
        <w:rPr>
          <w:rFonts w:hAnsi="宋体"/>
          <w:color w:val="auto"/>
          <w:sz w:val="24"/>
          <w:szCs w:val="24"/>
          <w:highlight w:val="none"/>
        </w:rPr>
      </w:pPr>
    </w:p>
    <w:p w14:paraId="0EFC01AD">
      <w:pPr>
        <w:keepNext w:val="0"/>
        <w:keepLines w:val="0"/>
        <w:pageBreakBefore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olor w:val="auto"/>
          <w:szCs w:val="21"/>
          <w:highlight w:val="none"/>
        </w:rPr>
      </w:pPr>
    </w:p>
    <w:p w14:paraId="68109812">
      <w:pPr>
        <w:keepNext w:val="0"/>
        <w:keepLines w:val="0"/>
        <w:pageBreakBefore w:val="0"/>
        <w:kinsoku/>
        <w:wordWrap/>
        <w:overflowPunct/>
        <w:topLinePunct w:val="0"/>
        <w:autoSpaceDE/>
        <w:autoSpaceDN/>
        <w:bidi w:val="0"/>
        <w:adjustRightInd/>
        <w:snapToGrid/>
        <w:spacing w:line="400" w:lineRule="exact"/>
        <w:ind w:firstLine="411" w:firstLineChars="196"/>
        <w:contextualSpacing/>
        <w:jc w:val="left"/>
        <w:textAlignment w:val="auto"/>
        <w:rPr>
          <w:rFonts w:hint="eastAsia" w:ascii="宋体" w:hAnsi="宋体"/>
          <w:color w:val="auto"/>
          <w:szCs w:val="21"/>
          <w:highlight w:val="none"/>
        </w:rPr>
      </w:pPr>
      <w:r>
        <w:rPr>
          <w:rFonts w:hint="eastAsia" w:ascii="宋体" w:hAnsi="宋体"/>
          <w:color w:val="auto"/>
          <w:szCs w:val="21"/>
          <w:highlight w:val="none"/>
        </w:rPr>
        <w:t>附：银行出具的汇款单或转账凭证扫描件或保函扫描件。</w:t>
      </w:r>
    </w:p>
    <w:p w14:paraId="63EC8DBE">
      <w:pPr>
        <w:rPr>
          <w:rFonts w:hint="eastAsia"/>
          <w:color w:val="auto"/>
          <w:highlight w:val="none"/>
        </w:rPr>
      </w:pPr>
    </w:p>
    <w:p w14:paraId="6957C4EB">
      <w:pPr>
        <w:spacing w:line="520" w:lineRule="exact"/>
        <w:ind w:left="239" w:leftChars="114" w:firstLine="6144" w:firstLineChars="2550"/>
        <w:jc w:val="left"/>
        <w:rPr>
          <w:rFonts w:hint="eastAsia" w:ascii="宋体" w:hAnsi="宋体" w:cs="宋体"/>
          <w:b/>
          <w:color w:val="auto"/>
          <w:kern w:val="0"/>
          <w:sz w:val="24"/>
          <w:highlight w:val="none"/>
        </w:rPr>
      </w:pPr>
    </w:p>
    <w:p w14:paraId="11B1991A">
      <w:pPr>
        <w:snapToGrid w:val="0"/>
        <w:spacing w:before="120" w:beforeLines="50" w:after="50"/>
        <w:ind w:firstLine="472" w:firstLineChars="196"/>
        <w:jc w:val="left"/>
        <w:rPr>
          <w:rFonts w:hint="eastAsia"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3.法定代表人身份证明</w:t>
      </w:r>
    </w:p>
    <w:p w14:paraId="37E4C4BF">
      <w:pPr>
        <w:spacing w:before="240" w:beforeLines="100" w:after="120" w:afterLines="50"/>
        <w:ind w:left="540"/>
        <w:jc w:val="center"/>
        <w:rPr>
          <w:rFonts w:hint="eastAsia" w:ascii="宋体" w:hAnsi="宋体" w:cs="宋体"/>
          <w:b/>
          <w:color w:val="auto"/>
          <w:sz w:val="32"/>
          <w:szCs w:val="32"/>
          <w:highlight w:val="none"/>
        </w:rPr>
      </w:pPr>
    </w:p>
    <w:p w14:paraId="7B0587E9">
      <w:pPr>
        <w:spacing w:before="240" w:beforeLines="100" w:after="120" w:afterLines="50"/>
        <w:ind w:left="54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法定代表人身份证明</w:t>
      </w:r>
    </w:p>
    <w:p w14:paraId="6B6D05A2">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投 标 人：</w:t>
      </w:r>
      <w:r>
        <w:rPr>
          <w:rFonts w:hint="eastAsia" w:ascii="宋体" w:hAnsi="宋体" w:cs="宋体"/>
          <w:color w:val="auto"/>
          <w:szCs w:val="21"/>
          <w:highlight w:val="none"/>
          <w:u w:val="single"/>
        </w:rPr>
        <w:t xml:space="preserve">                                                        </w:t>
      </w:r>
    </w:p>
    <w:p w14:paraId="3620E53C">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地    址：</w:t>
      </w:r>
      <w:r>
        <w:rPr>
          <w:rFonts w:hint="eastAsia" w:ascii="宋体" w:hAnsi="宋体" w:cs="宋体"/>
          <w:color w:val="auto"/>
          <w:szCs w:val="21"/>
          <w:highlight w:val="none"/>
          <w:u w:val="single"/>
        </w:rPr>
        <w:t xml:space="preserve">                                                        </w:t>
      </w:r>
    </w:p>
    <w:p w14:paraId="0F830474">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姓    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性      别：</w:t>
      </w:r>
      <w:r>
        <w:rPr>
          <w:rFonts w:hint="eastAsia" w:ascii="宋体" w:hAnsi="宋体" w:cs="宋体"/>
          <w:color w:val="auto"/>
          <w:szCs w:val="21"/>
          <w:highlight w:val="none"/>
          <w:u w:val="single"/>
        </w:rPr>
        <w:t xml:space="preserve">                </w:t>
      </w:r>
    </w:p>
    <w:p w14:paraId="1819CBE1">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年    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职      务：</w:t>
      </w:r>
      <w:r>
        <w:rPr>
          <w:rFonts w:hint="eastAsia" w:ascii="宋体" w:hAnsi="宋体" w:cs="宋体"/>
          <w:color w:val="auto"/>
          <w:szCs w:val="21"/>
          <w:highlight w:val="none"/>
          <w:u w:val="single"/>
        </w:rPr>
        <w:t xml:space="preserve">                </w:t>
      </w:r>
    </w:p>
    <w:p w14:paraId="13C23628">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身份证号码：</w:t>
      </w:r>
      <w:r>
        <w:rPr>
          <w:rFonts w:hint="eastAsia" w:ascii="宋体" w:hAnsi="宋体" w:cs="宋体"/>
          <w:color w:val="auto"/>
          <w:szCs w:val="21"/>
          <w:highlight w:val="none"/>
          <w:u w:val="single"/>
        </w:rPr>
        <w:t xml:space="preserve">                                 </w:t>
      </w:r>
    </w:p>
    <w:p w14:paraId="0E890DF6">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系</w:t>
      </w:r>
      <w:r>
        <w:rPr>
          <w:rFonts w:hint="eastAsia" w:ascii="宋体" w:hAnsi="宋体" w:cs="宋体"/>
          <w:color w:val="auto"/>
          <w:szCs w:val="21"/>
          <w:highlight w:val="none"/>
          <w:u w:val="single"/>
        </w:rPr>
        <w:t xml:space="preserve">            （投标人名称）              </w:t>
      </w:r>
      <w:r>
        <w:rPr>
          <w:rFonts w:hint="eastAsia" w:ascii="宋体" w:hAnsi="宋体" w:cs="宋体"/>
          <w:color w:val="auto"/>
          <w:szCs w:val="21"/>
          <w:highlight w:val="none"/>
        </w:rPr>
        <w:t>的法定代表人。</w:t>
      </w:r>
    </w:p>
    <w:p w14:paraId="62E66F8A">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特此证明。</w:t>
      </w:r>
    </w:p>
    <w:p w14:paraId="17B8E551">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p>
    <w:p w14:paraId="6003C90F">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p>
    <w:p w14:paraId="40D8FE6C">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r>
        <w:rPr>
          <w:rFonts w:hint="eastAsia" w:ascii="宋体" w:hAnsi="宋体" w:cs="宋体"/>
          <w:color w:val="auto"/>
          <w:szCs w:val="21"/>
          <w:highlight w:val="none"/>
        </w:rPr>
        <w:t>附件：法定代表人有效身份证正反面复印件</w:t>
      </w:r>
    </w:p>
    <w:p w14:paraId="26BFFCFB">
      <w:pPr>
        <w:keepNext w:val="0"/>
        <w:keepLines w:val="0"/>
        <w:pageBreakBefore w:val="0"/>
        <w:widowControl w:val="0"/>
        <w:kinsoku/>
        <w:wordWrap/>
        <w:overflowPunct/>
        <w:topLinePunct w:val="0"/>
        <w:autoSpaceDE/>
        <w:autoSpaceDN/>
        <w:bidi w:val="0"/>
        <w:adjustRightInd/>
        <w:spacing w:line="400" w:lineRule="exact"/>
        <w:ind w:left="540"/>
        <w:textAlignment w:val="auto"/>
        <w:rPr>
          <w:rFonts w:hint="eastAsia" w:ascii="宋体" w:hAnsi="宋体" w:cs="宋体"/>
          <w:color w:val="auto"/>
          <w:szCs w:val="21"/>
          <w:highlight w:val="none"/>
        </w:rPr>
      </w:pPr>
    </w:p>
    <w:p w14:paraId="46F3734A">
      <w:pPr>
        <w:keepNext w:val="0"/>
        <w:keepLines w:val="0"/>
        <w:pageBreakBefore w:val="0"/>
        <w:widowControl w:val="0"/>
        <w:kinsoku/>
        <w:wordWrap/>
        <w:overflowPunct/>
        <w:topLinePunct w:val="0"/>
        <w:autoSpaceDE/>
        <w:autoSpaceDN/>
        <w:bidi w:val="0"/>
        <w:adjustRightInd/>
        <w:spacing w:line="400" w:lineRule="exact"/>
        <w:ind w:right="420" w:firstLine="4620" w:firstLineChars="2200"/>
        <w:textAlignment w:val="auto"/>
        <w:rPr>
          <w:rFonts w:hint="eastAsia" w:ascii="宋体" w:hAnsi="宋体" w:cs="宋体"/>
          <w:color w:val="auto"/>
          <w:szCs w:val="21"/>
          <w:highlight w:val="none"/>
        </w:rPr>
      </w:pPr>
      <w:r>
        <w:rPr>
          <w:rFonts w:hint="eastAsia" w:ascii="宋体" w:hAnsi="宋体" w:cs="宋体"/>
          <w:color w:val="auto"/>
          <w:szCs w:val="21"/>
          <w:highlight w:val="none"/>
        </w:rPr>
        <w:t>投标人名称（电子签章）</w:t>
      </w:r>
      <w:r>
        <w:rPr>
          <w:rFonts w:hint="eastAsia" w:ascii="宋体" w:hAnsi="宋体" w:cs="宋体"/>
          <w:color w:val="auto"/>
          <w:szCs w:val="21"/>
          <w:highlight w:val="none"/>
          <w:lang w:eastAsia="zh-CN"/>
        </w:rPr>
        <w:t>：</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18CBA684">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left="540" w:right="420"/>
        <w:jc w:val="right"/>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4D87AB8">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center"/>
        <w:textAlignment w:val="auto"/>
        <w:rPr>
          <w:rFonts w:hint="eastAsia" w:ascii="宋体" w:hAnsi="宋体" w:cs="宋体"/>
          <w:b/>
          <w:color w:val="auto"/>
          <w:szCs w:val="21"/>
          <w:highlight w:val="none"/>
        </w:rPr>
      </w:pPr>
    </w:p>
    <w:p w14:paraId="5D8D4809">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Cs w:val="21"/>
          <w:highlight w:val="none"/>
        </w:rPr>
      </w:pPr>
      <w:r>
        <w:rPr>
          <w:rFonts w:hint="eastAsia" w:ascii="宋体" w:hAnsi="宋体" w:cs="宋体"/>
          <w:color w:val="auto"/>
          <w:szCs w:val="21"/>
          <w:highlight w:val="none"/>
        </w:rPr>
        <w:t>注：自然人投标的无需提供</w:t>
      </w:r>
    </w:p>
    <w:p w14:paraId="707C44B9">
      <w:pPr>
        <w:keepNext w:val="0"/>
        <w:keepLines w:val="0"/>
        <w:pageBreakBefore w:val="0"/>
        <w:widowControl w:val="0"/>
        <w:kinsoku/>
        <w:wordWrap/>
        <w:overflowPunct/>
        <w:topLinePunct w:val="0"/>
        <w:autoSpaceDE/>
        <w:autoSpaceDN/>
        <w:bidi w:val="0"/>
        <w:adjustRightInd/>
        <w:snapToGrid w:val="0"/>
        <w:spacing w:before="120" w:beforeLines="50" w:after="50" w:line="400" w:lineRule="exact"/>
        <w:jc w:val="left"/>
        <w:textAlignment w:val="auto"/>
        <w:rPr>
          <w:rFonts w:hint="eastAsia" w:ascii="宋体" w:hAnsi="宋体" w:cs="宋体"/>
          <w:b/>
          <w:color w:val="auto"/>
          <w:sz w:val="24"/>
          <w:szCs w:val="20"/>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4.授权委托书格式</w:t>
      </w:r>
    </w:p>
    <w:p w14:paraId="44522D30">
      <w:pPr>
        <w:snapToGrid w:val="0"/>
        <w:spacing w:before="120" w:beforeLines="50" w:after="50"/>
        <w:jc w:val="center"/>
        <w:rPr>
          <w:rFonts w:hint="eastAsia" w:ascii="宋体" w:hAnsi="宋体" w:cs="宋体"/>
          <w:b/>
          <w:bCs/>
          <w:color w:val="auto"/>
          <w:sz w:val="30"/>
          <w:szCs w:val="30"/>
          <w:highlight w:val="none"/>
        </w:rPr>
      </w:pPr>
      <w:r>
        <w:rPr>
          <w:rFonts w:hint="eastAsia" w:ascii="宋体" w:hAnsi="宋体" w:cs="宋体"/>
          <w:b/>
          <w:bCs/>
          <w:color w:val="auto"/>
          <w:sz w:val="30"/>
          <w:szCs w:val="30"/>
          <w:highlight w:val="none"/>
        </w:rPr>
        <w:t>授权委托书</w:t>
      </w:r>
    </w:p>
    <w:p w14:paraId="546F3224">
      <w:pPr>
        <w:snapToGrid w:val="0"/>
        <w:spacing w:before="120"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（非联合体投标格式）</w:t>
      </w:r>
    </w:p>
    <w:p w14:paraId="43203B8F">
      <w:pPr>
        <w:snapToGrid w:val="0"/>
        <w:spacing w:before="120" w:beforeLines="50" w:after="50"/>
        <w:jc w:val="center"/>
        <w:rPr>
          <w:rFonts w:hint="eastAsia" w:ascii="宋体" w:hAnsi="宋体" w:cs="宋体"/>
          <w:b/>
          <w:color w:val="auto"/>
          <w:sz w:val="24"/>
          <w:highlight w:val="none"/>
        </w:rPr>
      </w:pPr>
      <w:r>
        <w:rPr>
          <w:rFonts w:hint="eastAsia" w:ascii="宋体" w:hAnsi="宋体" w:cs="宋体"/>
          <w:b/>
          <w:color w:val="auto"/>
          <w:sz w:val="32"/>
          <w:szCs w:val="32"/>
          <w:highlight w:val="none"/>
        </w:rPr>
        <w:t>（如有委托时）</w:t>
      </w:r>
    </w:p>
    <w:p w14:paraId="69CAD7F8">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p>
    <w:p w14:paraId="556123E2">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（投标人名称）的法定代表人，现授权委托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2AFFFCB4">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我方对委托代理人的签字或者电子签名事项负全部责任。</w:t>
      </w:r>
    </w:p>
    <w:p w14:paraId="6A6E83E4">
      <w:pPr>
        <w:keepNext w:val="0"/>
        <w:keepLines w:val="0"/>
        <w:pageBreakBefore w:val="0"/>
        <w:widowControl w:val="0"/>
        <w:kinsoku/>
        <w:wordWrap/>
        <w:overflowPunct/>
        <w:topLinePunct w:val="0"/>
        <w:autoSpaceDE/>
        <w:autoSpaceDN/>
        <w:bidi w:val="0"/>
        <w:adjustRightInd/>
        <w:spacing w:line="400" w:lineRule="exact"/>
        <w:ind w:firstLine="48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u w:val="single"/>
        </w:rPr>
        <w:t>本授权书自签署之日起生效，在撤销授权的书面通知以前，本授权书一直有效。委托代理人在授权书有效期内签署的所有文件不因授权的撤销而失效。</w:t>
      </w:r>
    </w:p>
    <w:p w14:paraId="5E98F98A">
      <w:pPr>
        <w:keepNext w:val="0"/>
        <w:keepLines w:val="0"/>
        <w:pageBreakBefore w:val="0"/>
        <w:widowControl w:val="0"/>
        <w:kinsoku/>
        <w:wordWrap/>
        <w:overflowPunct/>
        <w:topLinePunct w:val="0"/>
        <w:autoSpaceDE/>
        <w:autoSpaceDN/>
        <w:bidi w:val="0"/>
        <w:adjustRightInd/>
        <w:spacing w:line="400" w:lineRule="exact"/>
        <w:ind w:firstLine="48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63D093E5">
      <w:pPr>
        <w:keepNext w:val="0"/>
        <w:keepLines w:val="0"/>
        <w:pageBreakBefore w:val="0"/>
        <w:widowControl w:val="0"/>
        <w:kinsoku/>
        <w:wordWrap/>
        <w:overflowPunct/>
        <w:topLinePunct w:val="0"/>
        <w:autoSpaceDE/>
        <w:autoSpaceDN/>
        <w:bidi w:val="0"/>
        <w:adjustRightInd/>
        <w:spacing w:line="400" w:lineRule="exact"/>
        <w:ind w:firstLine="480"/>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附：法定代表人身份证明及委托代理人有效身份证正反面复印件</w:t>
      </w:r>
    </w:p>
    <w:p w14:paraId="3C24D984">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p>
    <w:p w14:paraId="27C31FE2">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委托代理人（签字或者电子签名）：</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14:paraId="19EF9E1B">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委托代理人身份证号码：</w:t>
      </w:r>
      <w:r>
        <w:rPr>
          <w:rFonts w:hint="eastAsia" w:ascii="宋体" w:hAnsi="宋体" w:cs="宋体"/>
          <w:color w:val="auto"/>
          <w:szCs w:val="21"/>
          <w:highlight w:val="none"/>
          <w:u w:val="single"/>
        </w:rPr>
        <w:t xml:space="preserve">                             </w:t>
      </w:r>
    </w:p>
    <w:p w14:paraId="7C2840D0">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u w:val="single"/>
        </w:rPr>
      </w:pPr>
      <w:r>
        <w:rPr>
          <w:rFonts w:hint="eastAsia" w:ascii="宋体" w:hAnsi="宋体" w:cs="宋体"/>
          <w:color w:val="auto"/>
          <w:szCs w:val="21"/>
          <w:highlight w:val="none"/>
        </w:rPr>
        <w:t>法定代表人（签字或者盖章或者电子签名）：</w:t>
      </w:r>
      <w:r>
        <w:rPr>
          <w:rFonts w:hint="eastAsia" w:ascii="宋体" w:hAnsi="宋体" w:cs="宋体"/>
          <w:color w:val="auto"/>
          <w:szCs w:val="21"/>
          <w:highlight w:val="none"/>
          <w:u w:val="single"/>
        </w:rPr>
        <w:t xml:space="preserve">              </w:t>
      </w:r>
    </w:p>
    <w:p w14:paraId="5776F1B0">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p>
    <w:p w14:paraId="18ECDC4D">
      <w:pPr>
        <w:keepNext w:val="0"/>
        <w:keepLines w:val="0"/>
        <w:pageBreakBefore w:val="0"/>
        <w:widowControl w:val="0"/>
        <w:kinsoku/>
        <w:wordWrap/>
        <w:overflowPunct/>
        <w:topLinePunct w:val="0"/>
        <w:autoSpaceDE/>
        <w:autoSpaceDN/>
        <w:bidi w:val="0"/>
        <w:adjustRightInd/>
        <w:spacing w:line="400" w:lineRule="exact"/>
        <w:contextualSpacing/>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714EE936">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left="540" w:right="420"/>
        <w:jc w:val="right"/>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                                            </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795C9AF">
      <w:pPr>
        <w:keepNext w:val="0"/>
        <w:keepLines w:val="0"/>
        <w:pageBreakBefore w:val="0"/>
        <w:widowControl w:val="0"/>
        <w:kinsoku/>
        <w:wordWrap/>
        <w:overflowPunct/>
        <w:topLinePunct w:val="0"/>
        <w:autoSpaceDE/>
        <w:autoSpaceDN/>
        <w:bidi w:val="0"/>
        <w:adjustRightInd/>
        <w:spacing w:line="400" w:lineRule="exact"/>
        <w:contextualSpacing/>
        <w:jc w:val="center"/>
        <w:textAlignment w:val="auto"/>
        <w:rPr>
          <w:rFonts w:hint="eastAsia" w:ascii="宋体" w:hAnsi="宋体" w:cs="宋体"/>
          <w:color w:val="auto"/>
          <w:szCs w:val="21"/>
          <w:highlight w:val="none"/>
        </w:rPr>
      </w:pPr>
    </w:p>
    <w:p w14:paraId="0289D06A">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注：1.</w:t>
      </w:r>
      <w:bookmarkStart w:id="242" w:name="_Hlk65851555"/>
      <w:bookmarkStart w:id="243" w:name="_Hlk65851620"/>
      <w:r>
        <w:rPr>
          <w:rFonts w:hint="eastAsia" w:ascii="宋体" w:hAnsi="宋体" w:cs="宋体"/>
          <w:color w:val="auto"/>
          <w:szCs w:val="21"/>
          <w:highlight w:val="none"/>
        </w:rPr>
        <w:t>法定代表人必须在授权委托书上签字或者盖章或者电子签名，</w:t>
      </w:r>
      <w:bookmarkEnd w:id="242"/>
      <w:r>
        <w:rPr>
          <w:rFonts w:hint="eastAsia" w:ascii="宋体" w:hAnsi="宋体" w:cs="宋体"/>
          <w:color w:val="auto"/>
          <w:szCs w:val="21"/>
          <w:highlight w:val="none"/>
        </w:rPr>
        <w:t>委托代理人必须在授权委托书上签字或者电子签名，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bookmarkEnd w:id="243"/>
    </w:p>
    <w:p w14:paraId="1BBFAF72">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2.法人、其他组织投标时“我方”是指“我单位”，自然人投标时“我方”是指“本人”。</w:t>
      </w:r>
    </w:p>
    <w:p w14:paraId="69946DDD">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firstLine="566" w:firstLineChars="236"/>
        <w:jc w:val="center"/>
        <w:textAlignment w:val="auto"/>
        <w:rPr>
          <w:rFonts w:hint="eastAsia" w:ascii="宋体" w:hAnsi="宋体" w:cs="宋体"/>
          <w:b/>
          <w:color w:val="auto"/>
          <w:sz w:val="30"/>
          <w:szCs w:val="30"/>
          <w:highlight w:val="none"/>
        </w:rPr>
      </w:pPr>
      <w:r>
        <w:rPr>
          <w:rFonts w:hint="eastAsia" w:ascii="宋体" w:hAnsi="宋体" w:cs="宋体"/>
          <w:color w:val="auto"/>
          <w:sz w:val="24"/>
          <w:highlight w:val="none"/>
        </w:rPr>
        <w:br w:type="page"/>
      </w:r>
      <w:r>
        <w:rPr>
          <w:rFonts w:hint="eastAsia" w:ascii="宋体" w:hAnsi="宋体" w:cs="宋体"/>
          <w:b/>
          <w:color w:val="auto"/>
          <w:sz w:val="30"/>
          <w:szCs w:val="30"/>
          <w:highlight w:val="none"/>
        </w:rPr>
        <w:t>授权委托书</w:t>
      </w:r>
    </w:p>
    <w:p w14:paraId="1CCEF1D8">
      <w:pPr>
        <w:snapToGrid w:val="0"/>
        <w:spacing w:before="120" w:beforeLines="50" w:after="50"/>
        <w:ind w:firstLine="758" w:firstLineChars="236"/>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（联合体投标格式）</w:t>
      </w:r>
    </w:p>
    <w:p w14:paraId="6E70E2A7">
      <w:pPr>
        <w:snapToGrid w:val="0"/>
        <w:spacing w:before="120" w:beforeLines="50" w:after="50"/>
        <w:ind w:firstLine="758" w:firstLineChars="236"/>
        <w:jc w:val="center"/>
        <w:rPr>
          <w:rFonts w:hint="eastAsia" w:ascii="宋体" w:hAnsi="宋体" w:cs="宋体"/>
          <w:color w:val="auto"/>
          <w:sz w:val="24"/>
          <w:highlight w:val="none"/>
        </w:rPr>
      </w:pPr>
      <w:r>
        <w:rPr>
          <w:rFonts w:hint="eastAsia" w:ascii="宋体" w:hAnsi="宋体" w:cs="宋体"/>
          <w:b/>
          <w:bCs/>
          <w:color w:val="auto"/>
          <w:sz w:val="32"/>
          <w:szCs w:val="32"/>
          <w:highlight w:val="none"/>
        </w:rPr>
        <w:t>（如有委托时）</w:t>
      </w:r>
    </w:p>
    <w:p w14:paraId="5642B521">
      <w:pPr>
        <w:keepNext w:val="0"/>
        <w:keepLines w:val="0"/>
        <w:pageBreakBefore w:val="0"/>
        <w:widowControl w:val="0"/>
        <w:kinsoku/>
        <w:wordWrap/>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u w:val="single"/>
        </w:rPr>
        <w:t>采购人名称</w:t>
      </w:r>
    </w:p>
    <w:p w14:paraId="6E0CA110">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 xml:space="preserve">根据 </w:t>
      </w:r>
      <w:r>
        <w:rPr>
          <w:rFonts w:hint="eastAsia" w:ascii="宋体" w:hAnsi="宋体" w:cs="宋体"/>
          <w:color w:val="auto"/>
          <w:szCs w:val="21"/>
          <w:highlight w:val="none"/>
          <w:u w:val="single"/>
        </w:rPr>
        <w:t xml:space="preserve"> （牵头人名称）</w:t>
      </w:r>
      <w:r>
        <w:rPr>
          <w:rFonts w:hint="eastAsia" w:ascii="宋体" w:hAnsi="宋体" w:cs="宋体"/>
          <w:color w:val="auto"/>
          <w:szCs w:val="21"/>
          <w:highlight w:val="none"/>
        </w:rPr>
        <w:t>与</w:t>
      </w:r>
      <w:r>
        <w:rPr>
          <w:rFonts w:hint="eastAsia" w:ascii="宋体" w:hAnsi="宋体" w:cs="宋体"/>
          <w:color w:val="auto"/>
          <w:szCs w:val="21"/>
          <w:highlight w:val="none"/>
          <w:u w:val="single"/>
        </w:rPr>
        <w:t>（联合体其他成员名称）</w:t>
      </w:r>
      <w:r>
        <w:rPr>
          <w:rFonts w:hint="eastAsia" w:ascii="宋体" w:hAnsi="宋体" w:cs="宋体"/>
          <w:color w:val="auto"/>
          <w:szCs w:val="21"/>
          <w:highlight w:val="none"/>
        </w:rPr>
        <w:t>签订的《联合体投标协议书》的内容，</w:t>
      </w:r>
      <w:r>
        <w:rPr>
          <w:rFonts w:hint="eastAsia" w:ascii="宋体" w:hAnsi="宋体" w:cs="宋体"/>
          <w:color w:val="auto"/>
          <w:szCs w:val="21"/>
          <w:highlight w:val="none"/>
          <w:u w:val="single"/>
        </w:rPr>
        <w:t>（牵头人名称）</w:t>
      </w:r>
      <w:r>
        <w:rPr>
          <w:rFonts w:hint="eastAsia" w:ascii="宋体" w:hAnsi="宋体" w:cs="宋体"/>
          <w:color w:val="auto"/>
          <w:szCs w:val="21"/>
          <w:highlight w:val="none"/>
        </w:rPr>
        <w:t>的法定代表人</w:t>
      </w:r>
      <w:r>
        <w:rPr>
          <w:rFonts w:hint="eastAsia" w:ascii="宋体" w:hAnsi="宋体" w:cs="宋体"/>
          <w:color w:val="auto"/>
          <w:szCs w:val="21"/>
          <w:highlight w:val="none"/>
          <w:u w:val="single"/>
        </w:rPr>
        <w:t>（姓名）</w:t>
      </w:r>
      <w:r>
        <w:rPr>
          <w:rFonts w:hint="eastAsia" w:ascii="宋体" w:hAnsi="宋体" w:cs="宋体"/>
          <w:color w:val="auto"/>
          <w:szCs w:val="21"/>
          <w:highlight w:val="none"/>
        </w:rPr>
        <w:t>现授权委托</w:t>
      </w:r>
      <w:r>
        <w:rPr>
          <w:rFonts w:hint="eastAsia" w:ascii="宋体" w:hAnsi="宋体" w:cs="宋体"/>
          <w:color w:val="auto"/>
          <w:szCs w:val="21"/>
          <w:highlight w:val="none"/>
          <w:u w:val="single"/>
        </w:rPr>
        <w:t xml:space="preserve">          （姓名）</w:t>
      </w:r>
      <w:r>
        <w:rPr>
          <w:rFonts w:hint="eastAsia" w:ascii="宋体" w:hAnsi="宋体" w:cs="宋体"/>
          <w:color w:val="auto"/>
          <w:szCs w:val="21"/>
          <w:highlight w:val="none"/>
        </w:rPr>
        <w:t>以我方的名义参加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项目的投标活动，并代表我方全权办理针对上述项目的所有采购程序和环节的具体事务和签署相关文件。</w:t>
      </w:r>
    </w:p>
    <w:p w14:paraId="5F5B71F9">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bookmarkStart w:id="244" w:name="_Hlk65852658"/>
      <w:r>
        <w:rPr>
          <w:rFonts w:hint="eastAsia" w:ascii="宋体" w:hAnsi="宋体" w:cs="宋体"/>
          <w:color w:val="auto"/>
          <w:szCs w:val="21"/>
          <w:highlight w:val="none"/>
        </w:rPr>
        <w:t>我方对委托代理人的签字或者电子签名事项负全部责任。</w:t>
      </w:r>
    </w:p>
    <w:p w14:paraId="49AB7A6D">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本授权书自签署之日起生效，在撤销授权的书面通知以前，本授权书一直有效。委托代理人在授权书有效期内签署的所有文件不因授权的撤销而失效。</w:t>
      </w:r>
    </w:p>
    <w:p w14:paraId="2F86BB6E">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委托代理人无转委托权，特此委托。</w:t>
      </w:r>
    </w:p>
    <w:p w14:paraId="5D4AE9DB">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附：牵头人法定代表人身份证明及委托代理人有效身份证正反面复印件</w:t>
      </w:r>
    </w:p>
    <w:p w14:paraId="1AB41C88">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p>
    <w:p w14:paraId="06A36B02">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牵头人法定代表人（签字或者盖章或者电子签名）：</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4231DB16">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牵头人（电子签章）：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0D4F6A38">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48349B7A">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p>
    <w:p w14:paraId="643BF2A9">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被授权人（签字或者电子签名）：</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799A6264">
      <w:pPr>
        <w:keepNext w:val="0"/>
        <w:keepLines w:val="0"/>
        <w:pageBreakBefore w:val="0"/>
        <w:widowControl w:val="0"/>
        <w:kinsoku/>
        <w:wordWrap/>
        <w:overflowPunct/>
        <w:topLinePunct w:val="0"/>
        <w:autoSpaceDE/>
        <w:autoSpaceDN/>
        <w:bidi w:val="0"/>
        <w:adjustRightInd/>
        <w:spacing w:line="400" w:lineRule="exact"/>
        <w:ind w:firstLine="495" w:firstLineChars="236"/>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日期：    年   月   日</w:t>
      </w:r>
    </w:p>
    <w:p w14:paraId="50DD58EC">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r>
        <w:rPr>
          <w:rFonts w:hint="eastAsia" w:ascii="宋体" w:hAnsi="宋体" w:cs="宋体"/>
          <w:color w:val="auto"/>
          <w:szCs w:val="21"/>
          <w:highlight w:val="none"/>
        </w:rPr>
        <w:t>注：1.法定代表人必须在授权委托书上签字或者盖章或者电子签名，委托代理人必须在授权委托书上签字或者电子签名，</w:t>
      </w:r>
      <w:r>
        <w:rPr>
          <w:rFonts w:hint="eastAsia" w:ascii="宋体" w:hAnsi="宋体" w:cs="宋体"/>
          <w:b/>
          <w:bCs/>
          <w:color w:val="auto"/>
          <w:szCs w:val="21"/>
          <w:highlight w:val="none"/>
        </w:rPr>
        <w:t>否则按无效投标处理</w:t>
      </w:r>
      <w:r>
        <w:rPr>
          <w:rFonts w:hint="eastAsia" w:ascii="宋体" w:hAnsi="宋体" w:cs="宋体"/>
          <w:color w:val="auto"/>
          <w:szCs w:val="21"/>
          <w:highlight w:val="none"/>
        </w:rPr>
        <w:t>；</w:t>
      </w:r>
    </w:p>
    <w:p w14:paraId="4AA7AA6C">
      <w:pPr>
        <w:keepNext w:val="0"/>
        <w:keepLines w:val="0"/>
        <w:pageBreakBefore w:val="0"/>
        <w:widowControl w:val="0"/>
        <w:kinsoku/>
        <w:wordWrap/>
        <w:overflowPunct/>
        <w:topLinePunct w:val="0"/>
        <w:autoSpaceDE/>
        <w:autoSpaceDN/>
        <w:bidi w:val="0"/>
        <w:adjustRightInd/>
        <w:spacing w:line="400" w:lineRule="exact"/>
        <w:ind w:firstLine="420" w:firstLineChars="200"/>
        <w:contextualSpacing/>
        <w:jc w:val="left"/>
        <w:textAlignment w:val="auto"/>
        <w:rPr>
          <w:rFonts w:hint="eastAsia" w:ascii="宋体" w:hAnsi="宋体" w:cs="宋体"/>
          <w:color w:val="auto"/>
          <w:sz w:val="24"/>
          <w:highlight w:val="none"/>
        </w:rPr>
      </w:pPr>
      <w:r>
        <w:rPr>
          <w:rFonts w:hint="eastAsia" w:ascii="宋体" w:hAnsi="宋体" w:cs="宋体"/>
          <w:color w:val="auto"/>
          <w:szCs w:val="21"/>
          <w:highlight w:val="none"/>
        </w:rPr>
        <w:t>2.法人、其他组织投标时“我方”是指“我单位”，自然人投标时“我方”是指“本人”。</w:t>
      </w:r>
    </w:p>
    <w:p w14:paraId="2A1960A9">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 w:val="24"/>
          <w:highlight w:val="none"/>
        </w:rPr>
      </w:pPr>
    </w:p>
    <w:bookmarkEnd w:id="244"/>
    <w:p w14:paraId="508036EC">
      <w:pPr>
        <w:keepNext w:val="0"/>
        <w:keepLines w:val="0"/>
        <w:pageBreakBefore w:val="0"/>
        <w:widowControl w:val="0"/>
        <w:kinsoku/>
        <w:wordWrap/>
        <w:overflowPunct/>
        <w:topLinePunct w:val="0"/>
        <w:autoSpaceDE/>
        <w:autoSpaceDN/>
        <w:bidi w:val="0"/>
        <w:adjustRightInd/>
        <w:snapToGrid w:val="0"/>
        <w:spacing w:before="50" w:after="120" w:afterLines="50" w:line="400" w:lineRule="exact"/>
        <w:ind w:firstLine="480" w:firstLineChars="200"/>
        <w:jc w:val="left"/>
        <w:textAlignment w:val="auto"/>
        <w:rPr>
          <w:rFonts w:hint="eastAsia" w:ascii="宋体" w:hAnsi="宋体" w:cs="宋体"/>
          <w:color w:val="auto"/>
          <w:sz w:val="24"/>
          <w:highlight w:val="none"/>
        </w:rPr>
        <w:sectPr>
          <w:footerReference r:id="rId8" w:type="first"/>
          <w:footerReference r:id="rId7" w:type="default"/>
          <w:pgSz w:w="11906" w:h="16838"/>
          <w:pgMar w:top="1440" w:right="1803" w:bottom="1440" w:left="1803" w:header="850" w:footer="850" w:gutter="0"/>
          <w:pgNumType w:fmt="decimal"/>
          <w:cols w:space="720" w:num="1"/>
          <w:docGrid w:linePitch="312" w:charSpace="0"/>
        </w:sectPr>
      </w:pPr>
    </w:p>
    <w:p w14:paraId="2041B8A4">
      <w:pPr>
        <w:rPr>
          <w:rFonts w:hint="eastAsia" w:ascii="宋体" w:hAnsi="宋体" w:cs="宋体"/>
          <w:color w:val="auto"/>
          <w:sz w:val="24"/>
          <w:highlight w:val="none"/>
        </w:rPr>
      </w:pPr>
    </w:p>
    <w:p w14:paraId="50CA4A2B">
      <w:pPr>
        <w:rPr>
          <w:rFonts w:hint="eastAsia" w:ascii="宋体" w:hAnsi="宋体" w:cs="宋体"/>
          <w:b/>
          <w:color w:val="auto"/>
          <w:sz w:val="24"/>
          <w:szCs w:val="20"/>
          <w:highlight w:val="none"/>
        </w:rPr>
      </w:pPr>
      <w:r>
        <w:rPr>
          <w:rFonts w:hint="eastAsia" w:ascii="宋体" w:hAnsi="宋体" w:cs="宋体"/>
          <w:b/>
          <w:color w:val="auto"/>
          <w:sz w:val="24"/>
          <w:highlight w:val="none"/>
        </w:rPr>
        <w:t>5.商务要求偏离表格式（注：按项目需求表具体项目修改）</w:t>
      </w:r>
    </w:p>
    <w:p w14:paraId="48D83986">
      <w:pPr>
        <w:snapToGrid w:val="0"/>
        <w:spacing w:before="50"/>
        <w:jc w:val="left"/>
        <w:rPr>
          <w:rFonts w:hint="eastAsia" w:ascii="宋体" w:hAnsi="宋体" w:cs="宋体"/>
          <w:color w:val="auto"/>
          <w:sz w:val="24"/>
          <w:highlight w:val="none"/>
        </w:rPr>
      </w:pPr>
    </w:p>
    <w:p w14:paraId="2ECFA986">
      <w:pPr>
        <w:pStyle w:val="20"/>
        <w:spacing w:line="440" w:lineRule="exact"/>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u w:val="single"/>
          <w:lang w:val="en-US" w:eastAsia="zh-CN"/>
        </w:rPr>
        <w:t>/</w:t>
      </w:r>
      <w:r>
        <w:rPr>
          <w:rFonts w:hint="eastAsia" w:hAnsi="宋体" w:cs="宋体"/>
          <w:color w:val="auto"/>
          <w:highlight w:val="none"/>
          <w:u w:val="single"/>
        </w:rPr>
        <w:t xml:space="preserve">  </w:t>
      </w:r>
      <w:r>
        <w:rPr>
          <w:rFonts w:hint="eastAsia" w:hAnsi="宋体" w:cs="宋体"/>
          <w:color w:val="auto"/>
          <w:highlight w:val="none"/>
        </w:rPr>
        <w:t>分标</w:t>
      </w:r>
    </w:p>
    <w:p w14:paraId="57F53859">
      <w:pPr>
        <w:snapToGrid w:val="0"/>
        <w:spacing w:before="50" w:line="440" w:lineRule="exact"/>
        <w:jc w:val="left"/>
        <w:rPr>
          <w:rFonts w:hint="eastAsia" w:ascii="宋体" w:hAnsi="宋体" w:cs="宋体"/>
          <w:color w:val="auto"/>
          <w:szCs w:val="21"/>
          <w:highlight w:val="none"/>
          <w:u w:val="single"/>
        </w:rPr>
      </w:pPr>
    </w:p>
    <w:tbl>
      <w:tblPr>
        <w:tblStyle w:val="39"/>
        <w:tblW w:w="0" w:type="auto"/>
        <w:tblInd w:w="98"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3"/>
        <w:gridCol w:w="2776"/>
        <w:gridCol w:w="1760"/>
        <w:gridCol w:w="2853"/>
      </w:tblGrid>
      <w:tr w14:paraId="09C1A28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2" w:hRule="atLeast"/>
        </w:trPr>
        <w:tc>
          <w:tcPr>
            <w:tcW w:w="1853" w:type="dxa"/>
            <w:tcBorders>
              <w:top w:val="single" w:color="auto" w:sz="4" w:space="0"/>
              <w:left w:val="single" w:color="auto" w:sz="4" w:space="0"/>
              <w:bottom w:val="single" w:color="auto" w:sz="4" w:space="0"/>
              <w:right w:val="single" w:color="auto" w:sz="4" w:space="0"/>
            </w:tcBorders>
            <w:noWrap w:val="0"/>
            <w:vAlign w:val="top"/>
          </w:tcPr>
          <w:p w14:paraId="0AF474C4">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2776" w:type="dxa"/>
            <w:tcBorders>
              <w:top w:val="single" w:color="auto" w:sz="4" w:space="0"/>
              <w:left w:val="single" w:color="auto" w:sz="4" w:space="0"/>
              <w:bottom w:val="single" w:color="auto" w:sz="4" w:space="0"/>
              <w:right w:val="single" w:color="auto" w:sz="4" w:space="0"/>
            </w:tcBorders>
            <w:noWrap w:val="0"/>
            <w:vAlign w:val="top"/>
          </w:tcPr>
          <w:p w14:paraId="18FB9427">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招标文件商务要求</w:t>
            </w:r>
          </w:p>
        </w:tc>
        <w:tc>
          <w:tcPr>
            <w:tcW w:w="1760" w:type="dxa"/>
            <w:tcBorders>
              <w:top w:val="single" w:color="auto" w:sz="4" w:space="0"/>
              <w:left w:val="single" w:color="auto" w:sz="4" w:space="0"/>
              <w:bottom w:val="single" w:color="auto" w:sz="4" w:space="0"/>
              <w:right w:val="single" w:color="auto" w:sz="4" w:space="0"/>
            </w:tcBorders>
            <w:noWrap w:val="0"/>
            <w:vAlign w:val="top"/>
          </w:tcPr>
          <w:p w14:paraId="50C1C7DB">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投标人的承诺</w:t>
            </w:r>
          </w:p>
        </w:tc>
        <w:tc>
          <w:tcPr>
            <w:tcW w:w="2853" w:type="dxa"/>
            <w:tcBorders>
              <w:top w:val="single" w:color="auto" w:sz="4" w:space="0"/>
              <w:left w:val="single" w:color="auto" w:sz="4" w:space="0"/>
              <w:bottom w:val="single" w:color="auto" w:sz="4" w:space="0"/>
              <w:right w:val="single" w:color="auto" w:sz="4" w:space="0"/>
            </w:tcBorders>
            <w:noWrap w:val="0"/>
            <w:vAlign w:val="top"/>
          </w:tcPr>
          <w:p w14:paraId="10289E7F">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偏离说明</w:t>
            </w:r>
          </w:p>
        </w:tc>
      </w:tr>
      <w:tr w14:paraId="769C647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9" w:hRule="atLeast"/>
        </w:trPr>
        <w:tc>
          <w:tcPr>
            <w:tcW w:w="1853" w:type="dxa"/>
            <w:tcBorders>
              <w:top w:val="single" w:color="auto" w:sz="4" w:space="0"/>
              <w:left w:val="single" w:color="auto" w:sz="4" w:space="0"/>
              <w:bottom w:val="single" w:color="auto" w:sz="4" w:space="0"/>
              <w:right w:val="single" w:color="auto" w:sz="4" w:space="0"/>
            </w:tcBorders>
            <w:noWrap w:val="0"/>
            <w:vAlign w:val="center"/>
          </w:tcPr>
          <w:p w14:paraId="259C3013">
            <w:pPr>
              <w:spacing w:line="440" w:lineRule="exact"/>
              <w:jc w:val="center"/>
              <w:rPr>
                <w:rFonts w:hint="eastAsia" w:ascii="宋体" w:hAnsi="宋体" w:cs="宋体"/>
                <w:color w:val="auto"/>
                <w:szCs w:val="21"/>
                <w:highlight w:val="none"/>
              </w:rPr>
            </w:pPr>
          </w:p>
        </w:tc>
        <w:tc>
          <w:tcPr>
            <w:tcW w:w="2776" w:type="dxa"/>
            <w:tcBorders>
              <w:top w:val="single" w:color="auto" w:sz="4" w:space="0"/>
              <w:left w:val="single" w:color="auto" w:sz="4" w:space="0"/>
              <w:bottom w:val="single" w:color="auto" w:sz="4" w:space="0"/>
              <w:right w:val="single" w:color="auto" w:sz="4" w:space="0"/>
            </w:tcBorders>
            <w:noWrap w:val="0"/>
            <w:vAlign w:val="center"/>
          </w:tcPr>
          <w:p w14:paraId="39154CB4">
            <w:pPr>
              <w:spacing w:line="440" w:lineRule="exact"/>
              <w:jc w:val="left"/>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33BAA357">
            <w:pPr>
              <w:snapToGrid w:val="0"/>
              <w:spacing w:before="120" w:beforeLines="50" w:line="440" w:lineRule="exact"/>
              <w:jc w:val="center"/>
              <w:rPr>
                <w:rFonts w:hint="eastAsia" w:ascii="宋体" w:hAnsi="宋体" w:cs="宋体"/>
                <w:color w:val="auto"/>
                <w:szCs w:val="21"/>
                <w:highlight w:val="none"/>
              </w:rPr>
            </w:pPr>
          </w:p>
        </w:tc>
        <w:tc>
          <w:tcPr>
            <w:tcW w:w="2853" w:type="dxa"/>
            <w:tcBorders>
              <w:top w:val="single" w:color="auto" w:sz="4" w:space="0"/>
              <w:left w:val="single" w:color="auto" w:sz="4" w:space="0"/>
              <w:bottom w:val="single" w:color="auto" w:sz="4" w:space="0"/>
              <w:right w:val="single" w:color="auto" w:sz="4" w:space="0"/>
            </w:tcBorders>
            <w:noWrap w:val="0"/>
            <w:vAlign w:val="top"/>
          </w:tcPr>
          <w:p w14:paraId="5CD55661">
            <w:pPr>
              <w:snapToGrid w:val="0"/>
              <w:spacing w:before="120" w:beforeLines="50" w:line="440" w:lineRule="exact"/>
              <w:jc w:val="center"/>
              <w:rPr>
                <w:rFonts w:hint="eastAsia" w:ascii="宋体" w:hAnsi="宋体" w:cs="宋体"/>
                <w:color w:val="auto"/>
                <w:szCs w:val="21"/>
                <w:highlight w:val="none"/>
              </w:rPr>
            </w:pPr>
          </w:p>
        </w:tc>
      </w:tr>
      <w:tr w14:paraId="6E96AF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8" w:hRule="atLeast"/>
        </w:trPr>
        <w:tc>
          <w:tcPr>
            <w:tcW w:w="1853" w:type="dxa"/>
            <w:tcBorders>
              <w:top w:val="single" w:color="auto" w:sz="4" w:space="0"/>
              <w:left w:val="single" w:color="auto" w:sz="4" w:space="0"/>
              <w:bottom w:val="single" w:color="auto" w:sz="4" w:space="0"/>
              <w:right w:val="single" w:color="auto" w:sz="4" w:space="0"/>
            </w:tcBorders>
            <w:noWrap w:val="0"/>
            <w:vAlign w:val="center"/>
          </w:tcPr>
          <w:p w14:paraId="1FB5A29E">
            <w:pPr>
              <w:spacing w:line="440" w:lineRule="exact"/>
              <w:jc w:val="center"/>
              <w:rPr>
                <w:rFonts w:hint="eastAsia" w:ascii="宋体" w:hAnsi="宋体" w:cs="宋体"/>
                <w:color w:val="auto"/>
                <w:szCs w:val="21"/>
                <w:highlight w:val="none"/>
              </w:rPr>
            </w:pPr>
          </w:p>
        </w:tc>
        <w:tc>
          <w:tcPr>
            <w:tcW w:w="2776" w:type="dxa"/>
            <w:tcBorders>
              <w:top w:val="single" w:color="auto" w:sz="4" w:space="0"/>
              <w:left w:val="single" w:color="auto" w:sz="4" w:space="0"/>
              <w:bottom w:val="single" w:color="auto" w:sz="4" w:space="0"/>
              <w:right w:val="single" w:color="auto" w:sz="4" w:space="0"/>
            </w:tcBorders>
            <w:noWrap w:val="0"/>
            <w:vAlign w:val="center"/>
          </w:tcPr>
          <w:p w14:paraId="1174E876">
            <w:pPr>
              <w:spacing w:line="440" w:lineRule="exact"/>
              <w:jc w:val="left"/>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524672E8">
            <w:pPr>
              <w:snapToGrid w:val="0"/>
              <w:spacing w:before="120" w:beforeLines="50" w:line="440" w:lineRule="exact"/>
              <w:ind w:left="43"/>
              <w:jc w:val="center"/>
              <w:rPr>
                <w:rFonts w:hint="eastAsia" w:ascii="宋体" w:hAnsi="宋体" w:cs="宋体"/>
                <w:color w:val="auto"/>
                <w:szCs w:val="21"/>
                <w:highlight w:val="none"/>
              </w:rPr>
            </w:pPr>
          </w:p>
        </w:tc>
        <w:tc>
          <w:tcPr>
            <w:tcW w:w="2853" w:type="dxa"/>
            <w:tcBorders>
              <w:top w:val="single" w:color="auto" w:sz="4" w:space="0"/>
              <w:left w:val="single" w:color="auto" w:sz="4" w:space="0"/>
              <w:bottom w:val="single" w:color="auto" w:sz="4" w:space="0"/>
              <w:right w:val="single" w:color="auto" w:sz="4" w:space="0"/>
            </w:tcBorders>
            <w:noWrap w:val="0"/>
            <w:vAlign w:val="top"/>
          </w:tcPr>
          <w:p w14:paraId="7309C4F0">
            <w:pPr>
              <w:snapToGrid w:val="0"/>
              <w:spacing w:before="120" w:beforeLines="50" w:line="440" w:lineRule="exact"/>
              <w:ind w:left="43"/>
              <w:jc w:val="center"/>
              <w:rPr>
                <w:rFonts w:hint="eastAsia" w:ascii="宋体" w:hAnsi="宋体" w:cs="宋体"/>
                <w:color w:val="auto"/>
                <w:szCs w:val="21"/>
                <w:highlight w:val="none"/>
              </w:rPr>
            </w:pPr>
          </w:p>
        </w:tc>
      </w:tr>
      <w:tr w14:paraId="7A056471">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853" w:type="dxa"/>
            <w:tcBorders>
              <w:top w:val="single" w:color="auto" w:sz="4" w:space="0"/>
              <w:left w:val="single" w:color="auto" w:sz="4" w:space="0"/>
              <w:bottom w:val="single" w:color="auto" w:sz="4" w:space="0"/>
              <w:right w:val="single" w:color="auto" w:sz="4" w:space="0"/>
            </w:tcBorders>
            <w:noWrap w:val="0"/>
            <w:vAlign w:val="top"/>
          </w:tcPr>
          <w:p w14:paraId="05C41F80">
            <w:pPr>
              <w:snapToGrid w:val="0"/>
              <w:spacing w:before="120" w:beforeLines="50"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2776" w:type="dxa"/>
            <w:tcBorders>
              <w:top w:val="single" w:color="auto" w:sz="4" w:space="0"/>
              <w:left w:val="single" w:color="auto" w:sz="4" w:space="0"/>
              <w:bottom w:val="single" w:color="auto" w:sz="4" w:space="0"/>
              <w:right w:val="single" w:color="auto" w:sz="4" w:space="0"/>
            </w:tcBorders>
            <w:noWrap w:val="0"/>
            <w:vAlign w:val="top"/>
          </w:tcPr>
          <w:p w14:paraId="5FE9226E">
            <w:pPr>
              <w:snapToGrid w:val="0"/>
              <w:spacing w:before="120" w:beforeLines="50" w:line="440" w:lineRule="exact"/>
              <w:jc w:val="center"/>
              <w:rPr>
                <w:rFonts w:hint="eastAsia" w:ascii="宋体" w:hAnsi="宋体" w:cs="宋体"/>
                <w:color w:val="auto"/>
                <w:szCs w:val="21"/>
                <w:highlight w:val="none"/>
              </w:rPr>
            </w:pPr>
          </w:p>
        </w:tc>
        <w:tc>
          <w:tcPr>
            <w:tcW w:w="1760" w:type="dxa"/>
            <w:tcBorders>
              <w:top w:val="single" w:color="auto" w:sz="4" w:space="0"/>
              <w:left w:val="single" w:color="auto" w:sz="4" w:space="0"/>
              <w:bottom w:val="single" w:color="auto" w:sz="4" w:space="0"/>
              <w:right w:val="single" w:color="auto" w:sz="4" w:space="0"/>
            </w:tcBorders>
            <w:noWrap w:val="0"/>
            <w:vAlign w:val="top"/>
          </w:tcPr>
          <w:p w14:paraId="30D7FE9E">
            <w:pPr>
              <w:snapToGrid w:val="0"/>
              <w:spacing w:before="120" w:beforeLines="50" w:line="440" w:lineRule="exact"/>
              <w:jc w:val="center"/>
              <w:rPr>
                <w:rFonts w:hint="eastAsia" w:ascii="宋体" w:hAnsi="宋体" w:cs="宋体"/>
                <w:color w:val="auto"/>
                <w:szCs w:val="21"/>
                <w:highlight w:val="none"/>
              </w:rPr>
            </w:pPr>
          </w:p>
        </w:tc>
        <w:tc>
          <w:tcPr>
            <w:tcW w:w="2853" w:type="dxa"/>
            <w:tcBorders>
              <w:top w:val="single" w:color="auto" w:sz="4" w:space="0"/>
              <w:left w:val="single" w:color="auto" w:sz="4" w:space="0"/>
              <w:bottom w:val="single" w:color="auto" w:sz="4" w:space="0"/>
              <w:right w:val="single" w:color="auto" w:sz="4" w:space="0"/>
            </w:tcBorders>
            <w:noWrap w:val="0"/>
            <w:vAlign w:val="top"/>
          </w:tcPr>
          <w:p w14:paraId="5BFA56C8">
            <w:pPr>
              <w:snapToGrid w:val="0"/>
              <w:spacing w:before="120" w:beforeLines="50" w:line="440" w:lineRule="exact"/>
              <w:jc w:val="center"/>
              <w:rPr>
                <w:rFonts w:hint="eastAsia" w:ascii="宋体" w:hAnsi="宋体" w:cs="宋体"/>
                <w:color w:val="auto"/>
                <w:szCs w:val="21"/>
                <w:highlight w:val="none"/>
              </w:rPr>
            </w:pPr>
          </w:p>
        </w:tc>
      </w:tr>
    </w:tbl>
    <w:p w14:paraId="3A3ACF05">
      <w:pPr>
        <w:pStyle w:val="14"/>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6143FCD9">
      <w:pPr>
        <w:pStyle w:val="16"/>
        <w:keepNext w:val="0"/>
        <w:keepLines w:val="0"/>
        <w:pageBreakBefore w:val="0"/>
        <w:widowControl w:val="0"/>
        <w:kinsoku/>
        <w:wordWrap/>
        <w:overflowPunct/>
        <w:topLinePunct w:val="0"/>
        <w:autoSpaceDE/>
        <w:autoSpaceDN/>
        <w:bidi w:val="0"/>
        <w:adjustRightInd/>
        <w:spacing w:line="400" w:lineRule="exact"/>
        <w:ind w:firstLine="0"/>
        <w:textAlignment w:val="auto"/>
        <w:rPr>
          <w:rFonts w:hint="eastAsia" w:hAnsi="宋体" w:cs="宋体"/>
          <w:color w:val="auto"/>
          <w:sz w:val="21"/>
          <w:szCs w:val="21"/>
          <w:highlight w:val="none"/>
        </w:rPr>
      </w:pPr>
      <w:r>
        <w:rPr>
          <w:rFonts w:hint="eastAsia" w:hAnsi="宋体" w:cs="宋体"/>
          <w:color w:val="auto"/>
          <w:sz w:val="21"/>
          <w:szCs w:val="21"/>
          <w:highlight w:val="none"/>
        </w:rPr>
        <w:t>1. 说明：应对照招标文件“第二章 采购需求”中的商务要求逐条作明确的投标响应，并作出偏离说明。</w:t>
      </w:r>
    </w:p>
    <w:p w14:paraId="3421CED8">
      <w:pPr>
        <w:pStyle w:val="14"/>
        <w:keepNext w:val="0"/>
        <w:keepLines w:val="0"/>
        <w:pageBreakBefore w:val="0"/>
        <w:widowControl w:val="0"/>
        <w:kinsoku/>
        <w:wordWrap/>
        <w:overflowPunct/>
        <w:topLinePunct w:val="0"/>
        <w:autoSpaceDE/>
        <w:autoSpaceDN/>
        <w:bidi w:val="0"/>
        <w:adjustRightInd/>
        <w:spacing w:line="400" w:lineRule="exact"/>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2.投标人应根据自身的承诺，对照招标文件要求在“偏离说明”中注明“正偏离</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负偏离”或者“无偏离”。既不属于“正偏离”也不属于“负偏离”即为“无偏离”。</w:t>
      </w:r>
    </w:p>
    <w:p w14:paraId="1D0EC434">
      <w:pPr>
        <w:keepNext w:val="0"/>
        <w:keepLines w:val="0"/>
        <w:pageBreakBefore w:val="0"/>
        <w:widowControl w:val="0"/>
        <w:kinsoku/>
        <w:wordWrap/>
        <w:overflowPunct/>
        <w:topLinePunct w:val="0"/>
        <w:autoSpaceDE/>
        <w:autoSpaceDN/>
        <w:bidi w:val="0"/>
        <w:adjustRightInd/>
        <w:snapToGrid w:val="0"/>
        <w:spacing w:before="50" w:after="50" w:line="400" w:lineRule="exact"/>
        <w:textAlignment w:val="auto"/>
        <w:rPr>
          <w:rFonts w:hint="eastAsia" w:ascii="宋体" w:hAnsi="宋体" w:cs="宋体"/>
          <w:color w:val="auto"/>
          <w:szCs w:val="21"/>
          <w:highlight w:val="none"/>
        </w:rPr>
      </w:pPr>
    </w:p>
    <w:p w14:paraId="06B8A562">
      <w:pPr>
        <w:keepNext w:val="0"/>
        <w:keepLines w:val="0"/>
        <w:pageBreakBefore w:val="0"/>
        <w:widowControl w:val="0"/>
        <w:kinsoku/>
        <w:wordWrap/>
        <w:overflowPunct/>
        <w:topLinePunct w:val="0"/>
        <w:autoSpaceDE/>
        <w:autoSpaceDN/>
        <w:bidi w:val="0"/>
        <w:adjustRightInd/>
        <w:snapToGrid w:val="0"/>
        <w:spacing w:before="50" w:after="50" w:line="400" w:lineRule="exact"/>
        <w:textAlignment w:val="auto"/>
        <w:rPr>
          <w:rFonts w:hint="eastAsia" w:ascii="宋体" w:hAnsi="宋体" w:cs="宋体"/>
          <w:color w:val="auto"/>
          <w:szCs w:val="21"/>
          <w:highlight w:val="none"/>
        </w:rPr>
      </w:pPr>
    </w:p>
    <w:p w14:paraId="163A439A">
      <w:pPr>
        <w:keepNext w:val="0"/>
        <w:keepLines w:val="0"/>
        <w:pageBreakBefore w:val="0"/>
        <w:widowControl w:val="0"/>
        <w:kinsoku/>
        <w:wordWrap/>
        <w:overflowPunct/>
        <w:topLinePunct w:val="0"/>
        <w:autoSpaceDE/>
        <w:autoSpaceDN/>
        <w:bidi w:val="0"/>
        <w:adjustRightInd/>
        <w:snapToGrid w:val="0"/>
        <w:spacing w:before="50" w:after="50" w:line="400" w:lineRule="exact"/>
        <w:textAlignment w:val="auto"/>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0BD8E69C">
      <w:pPr>
        <w:keepNext w:val="0"/>
        <w:keepLines w:val="0"/>
        <w:pageBreakBefore w:val="0"/>
        <w:widowControl w:val="0"/>
        <w:kinsoku/>
        <w:wordWrap/>
        <w:overflowPunct/>
        <w:topLinePunct w:val="0"/>
        <w:autoSpaceDE/>
        <w:autoSpaceDN/>
        <w:bidi w:val="0"/>
        <w:adjustRightInd/>
        <w:snapToGrid w:val="0"/>
        <w:spacing w:before="120" w:beforeLines="50" w:line="400" w:lineRule="exact"/>
        <w:textAlignment w:val="auto"/>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5DD37E5B">
      <w:pPr>
        <w:keepNext w:val="0"/>
        <w:keepLines w:val="0"/>
        <w:pageBreakBefore w:val="0"/>
        <w:widowControl w:val="0"/>
        <w:kinsoku/>
        <w:wordWrap/>
        <w:overflowPunct/>
        <w:topLinePunct w:val="0"/>
        <w:autoSpaceDE/>
        <w:autoSpaceDN/>
        <w:bidi w:val="0"/>
        <w:adjustRightInd/>
        <w:snapToGrid w:val="0"/>
        <w:spacing w:before="120" w:beforeLines="50" w:after="50" w:line="400" w:lineRule="exact"/>
        <w:ind w:right="920"/>
        <w:textAlignment w:val="auto"/>
        <w:rPr>
          <w:rFonts w:hint="eastAsia"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A556D43">
      <w:pPr>
        <w:keepNext w:val="0"/>
        <w:keepLines w:val="0"/>
        <w:pageBreakBefore w:val="0"/>
        <w:widowControl w:val="0"/>
        <w:kinsoku/>
        <w:wordWrap/>
        <w:overflowPunct/>
        <w:topLinePunct w:val="0"/>
        <w:autoSpaceDE/>
        <w:autoSpaceDN/>
        <w:bidi w:val="0"/>
        <w:adjustRightInd/>
        <w:spacing w:line="400" w:lineRule="exact"/>
        <w:contextualSpacing/>
        <w:textAlignment w:val="auto"/>
        <w:rPr>
          <w:rFonts w:hint="eastAsia" w:ascii="宋体" w:hAnsi="宋体" w:cs="宋体"/>
          <w:color w:val="auto"/>
          <w:szCs w:val="21"/>
          <w:highlight w:val="none"/>
        </w:rPr>
      </w:pPr>
    </w:p>
    <w:p w14:paraId="7DFA94E5">
      <w:pPr>
        <w:snapToGrid w:val="0"/>
        <w:spacing w:before="120" w:beforeLines="50" w:line="440" w:lineRule="exact"/>
        <w:rPr>
          <w:rFonts w:hint="eastAsia" w:ascii="宋体" w:hAnsi="宋体" w:cs="宋体"/>
          <w:color w:val="auto"/>
          <w:szCs w:val="21"/>
          <w:highlight w:val="none"/>
        </w:rPr>
      </w:pPr>
    </w:p>
    <w:p w14:paraId="72C7BABD">
      <w:pPr>
        <w:snapToGrid w:val="0"/>
        <w:spacing w:before="120" w:beforeLines="50"/>
        <w:rPr>
          <w:rFonts w:hint="eastAsia" w:ascii="宋体" w:hAnsi="宋体" w:cs="宋体"/>
          <w:color w:val="auto"/>
          <w:sz w:val="24"/>
          <w:szCs w:val="20"/>
          <w:highlight w:val="none"/>
        </w:rPr>
      </w:pPr>
    </w:p>
    <w:p w14:paraId="7BFEC42C">
      <w:pPr>
        <w:snapToGrid w:val="0"/>
        <w:spacing w:before="120" w:beforeLines="50" w:after="50"/>
        <w:jc w:val="left"/>
        <w:rPr>
          <w:rFonts w:hint="eastAsia" w:ascii="宋体" w:hAnsi="宋体" w:cs="宋体"/>
          <w:color w:val="auto"/>
          <w:sz w:val="24"/>
          <w:szCs w:val="20"/>
          <w:highlight w:val="none"/>
        </w:rPr>
        <w:sectPr>
          <w:footerReference r:id="rId12" w:type="first"/>
          <w:headerReference r:id="rId9" w:type="default"/>
          <w:footerReference r:id="rId10" w:type="default"/>
          <w:footerReference r:id="rId11" w:type="even"/>
          <w:pgSz w:w="11906" w:h="16838"/>
          <w:pgMar w:top="1134" w:right="1247" w:bottom="1134" w:left="1417" w:header="850" w:footer="850" w:gutter="0"/>
          <w:pgNumType w:fmt="decimal"/>
          <w:cols w:space="720" w:num="1"/>
          <w:titlePg/>
          <w:docGrid w:linePitch="312" w:charSpace="0"/>
        </w:sectPr>
      </w:pPr>
    </w:p>
    <w:p w14:paraId="0B24BD84">
      <w:pPr>
        <w:snapToGrid w:val="0"/>
        <w:spacing w:before="165" w:beforeLines="50" w:after="50"/>
        <w:jc w:val="left"/>
        <w:rPr>
          <w:rFonts w:hint="eastAsia" w:ascii="宋体" w:hAnsi="宋体" w:cs="宋体"/>
          <w:b/>
          <w:color w:val="auto"/>
          <w:sz w:val="24"/>
          <w:highlight w:val="none"/>
        </w:rPr>
      </w:pPr>
      <w:r>
        <w:rPr>
          <w:rFonts w:hint="eastAsia" w:ascii="宋体" w:hAnsi="宋体" w:cs="宋体"/>
          <w:b/>
          <w:color w:val="auto"/>
          <w:sz w:val="24"/>
          <w:highlight w:val="none"/>
        </w:rPr>
        <w:t>6.投标人业绩证明材料</w:t>
      </w:r>
    </w:p>
    <w:p w14:paraId="130B9CC8">
      <w:pPr>
        <w:pStyle w:val="29"/>
        <w:snapToGrid w:val="0"/>
        <w:ind w:left="480" w:hanging="480"/>
        <w:rPr>
          <w:rFonts w:hint="eastAsia" w:ascii="宋体" w:hAnsi="宋体" w:cs="宋体"/>
          <w:color w:val="auto"/>
          <w:sz w:val="24"/>
          <w:highlight w:val="none"/>
        </w:rPr>
      </w:pPr>
    </w:p>
    <w:p w14:paraId="1727B8C1">
      <w:pPr>
        <w:pStyle w:val="29"/>
        <w:snapToGrid w:val="0"/>
        <w:spacing w:line="440" w:lineRule="exact"/>
        <w:ind w:left="600" w:hanging="600"/>
        <w:jc w:val="center"/>
        <w:rPr>
          <w:rFonts w:hint="eastAsia" w:ascii="宋体" w:hAnsi="宋体" w:cs="宋体"/>
          <w:color w:val="auto"/>
          <w:sz w:val="30"/>
          <w:szCs w:val="30"/>
          <w:highlight w:val="none"/>
        </w:rPr>
      </w:pPr>
      <w:r>
        <w:rPr>
          <w:rFonts w:hint="eastAsia" w:ascii="宋体" w:hAnsi="宋体" w:cs="宋体"/>
          <w:color w:val="auto"/>
          <w:sz w:val="30"/>
          <w:szCs w:val="30"/>
          <w:highlight w:val="none"/>
        </w:rPr>
        <w:t xml:space="preserve">投标人业绩情况一览表格式 </w:t>
      </w:r>
    </w:p>
    <w:tbl>
      <w:tblPr>
        <w:tblStyle w:val="39"/>
        <w:tblW w:w="5000" w:type="pct"/>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autofit"/>
        <w:tblCellMar>
          <w:top w:w="0" w:type="dxa"/>
          <w:left w:w="108" w:type="dxa"/>
          <w:bottom w:w="0" w:type="dxa"/>
          <w:right w:w="108" w:type="dxa"/>
        </w:tblCellMar>
      </w:tblPr>
      <w:tblGrid>
        <w:gridCol w:w="2365"/>
        <w:gridCol w:w="1963"/>
        <w:gridCol w:w="1963"/>
        <w:gridCol w:w="3167"/>
      </w:tblGrid>
      <w:tr w14:paraId="1A9206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250" w:type="pct"/>
            <w:vMerge w:val="restart"/>
            <w:tcBorders>
              <w:top w:val="single" w:color="auto" w:sz="4" w:space="0"/>
              <w:left w:val="single" w:color="auto" w:sz="4" w:space="0"/>
              <w:bottom w:val="single" w:color="auto" w:sz="4" w:space="0"/>
              <w:right w:val="single" w:color="auto" w:sz="4" w:space="0"/>
            </w:tcBorders>
            <w:noWrap w:val="0"/>
            <w:vAlign w:val="center"/>
          </w:tcPr>
          <w:p w14:paraId="5D245135">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采购人名称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21494067">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038" w:type="pct"/>
            <w:vMerge w:val="restart"/>
            <w:tcBorders>
              <w:top w:val="single" w:color="auto" w:sz="4" w:space="0"/>
              <w:left w:val="single" w:color="auto" w:sz="4" w:space="0"/>
              <w:bottom w:val="single" w:color="auto" w:sz="4" w:space="0"/>
              <w:right w:val="single" w:color="auto" w:sz="4" w:space="0"/>
            </w:tcBorders>
            <w:noWrap w:val="0"/>
            <w:vAlign w:val="center"/>
          </w:tcPr>
          <w:p w14:paraId="792B18E0">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合同金额</w:t>
            </w:r>
          </w:p>
          <w:p w14:paraId="29618B12">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674" w:type="pct"/>
            <w:vMerge w:val="restart"/>
            <w:tcBorders>
              <w:top w:val="single" w:color="auto" w:sz="4" w:space="0"/>
              <w:left w:val="single" w:color="auto" w:sz="4" w:space="0"/>
              <w:bottom w:val="single" w:color="auto" w:sz="4" w:space="0"/>
              <w:right w:val="single" w:color="auto" w:sz="4" w:space="0"/>
            </w:tcBorders>
            <w:noWrap w:val="0"/>
            <w:vAlign w:val="center"/>
          </w:tcPr>
          <w:p w14:paraId="2AA69AE3">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采购人联系人及</w:t>
            </w:r>
          </w:p>
          <w:p w14:paraId="7BCD5B32">
            <w:pPr>
              <w:snapToGrid w:val="0"/>
              <w:spacing w:line="44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联系电话</w:t>
            </w:r>
          </w:p>
        </w:tc>
      </w:tr>
      <w:tr w14:paraId="506DD63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250" w:type="pct"/>
            <w:vMerge w:val="continue"/>
            <w:tcBorders>
              <w:top w:val="single" w:color="auto" w:sz="4" w:space="0"/>
              <w:left w:val="single" w:color="auto" w:sz="4" w:space="0"/>
              <w:bottom w:val="single" w:color="auto" w:sz="4" w:space="0"/>
              <w:right w:val="single" w:color="auto" w:sz="4" w:space="0"/>
            </w:tcBorders>
            <w:noWrap w:val="0"/>
            <w:vAlign w:val="center"/>
          </w:tcPr>
          <w:p w14:paraId="1A721FE4">
            <w:pPr>
              <w:spacing w:line="440" w:lineRule="exact"/>
              <w:jc w:val="left"/>
              <w:rPr>
                <w:rFonts w:hint="eastAsia" w:ascii="宋体" w:hAnsi="宋体" w:cs="宋体"/>
                <w:color w:val="auto"/>
                <w:szCs w:val="21"/>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2FC4B69B">
            <w:pPr>
              <w:spacing w:line="440" w:lineRule="exact"/>
              <w:jc w:val="left"/>
              <w:rPr>
                <w:rFonts w:hint="eastAsia" w:ascii="宋体" w:hAnsi="宋体" w:cs="宋体"/>
                <w:color w:val="auto"/>
                <w:szCs w:val="21"/>
                <w:highlight w:val="none"/>
              </w:rPr>
            </w:pPr>
          </w:p>
        </w:tc>
        <w:tc>
          <w:tcPr>
            <w:tcW w:w="1038" w:type="pct"/>
            <w:vMerge w:val="continue"/>
            <w:tcBorders>
              <w:top w:val="single" w:color="auto" w:sz="4" w:space="0"/>
              <w:left w:val="single" w:color="auto" w:sz="4" w:space="0"/>
              <w:bottom w:val="single" w:color="auto" w:sz="4" w:space="0"/>
              <w:right w:val="single" w:color="auto" w:sz="4" w:space="0"/>
            </w:tcBorders>
            <w:noWrap w:val="0"/>
            <w:vAlign w:val="center"/>
          </w:tcPr>
          <w:p w14:paraId="48F9EA3B">
            <w:pPr>
              <w:spacing w:line="440" w:lineRule="exact"/>
              <w:jc w:val="left"/>
              <w:rPr>
                <w:rFonts w:hint="eastAsia" w:ascii="宋体" w:hAnsi="宋体" w:cs="宋体"/>
                <w:color w:val="auto"/>
                <w:szCs w:val="21"/>
                <w:highlight w:val="none"/>
              </w:rPr>
            </w:pPr>
          </w:p>
        </w:tc>
        <w:tc>
          <w:tcPr>
            <w:tcW w:w="1674" w:type="pct"/>
            <w:vMerge w:val="continue"/>
            <w:tcBorders>
              <w:top w:val="single" w:color="auto" w:sz="4" w:space="0"/>
              <w:left w:val="single" w:color="auto" w:sz="4" w:space="0"/>
              <w:bottom w:val="single" w:color="auto" w:sz="4" w:space="0"/>
              <w:right w:val="single" w:color="auto" w:sz="4" w:space="0"/>
            </w:tcBorders>
            <w:noWrap w:val="0"/>
            <w:vAlign w:val="center"/>
          </w:tcPr>
          <w:p w14:paraId="709A1D00">
            <w:pPr>
              <w:spacing w:line="440" w:lineRule="exact"/>
              <w:jc w:val="left"/>
              <w:rPr>
                <w:rFonts w:hint="eastAsia" w:ascii="宋体" w:hAnsi="宋体" w:cs="宋体"/>
                <w:color w:val="auto"/>
                <w:szCs w:val="21"/>
                <w:highlight w:val="none"/>
              </w:rPr>
            </w:pPr>
          </w:p>
        </w:tc>
      </w:tr>
      <w:tr w14:paraId="2B11468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5C0DB033">
            <w:pPr>
              <w:snapToGrid w:val="0"/>
              <w:spacing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07F7928">
            <w:pPr>
              <w:snapToGrid w:val="0"/>
              <w:spacing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50F4536">
            <w:pPr>
              <w:snapToGrid w:val="0"/>
              <w:spacing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34E27610">
            <w:pPr>
              <w:snapToGrid w:val="0"/>
              <w:spacing w:line="440" w:lineRule="exact"/>
              <w:jc w:val="left"/>
              <w:rPr>
                <w:rFonts w:hint="eastAsia" w:ascii="宋体" w:hAnsi="宋体" w:cs="宋体"/>
                <w:color w:val="auto"/>
                <w:szCs w:val="21"/>
                <w:highlight w:val="none"/>
              </w:rPr>
            </w:pPr>
          </w:p>
        </w:tc>
      </w:tr>
      <w:tr w14:paraId="3218CD5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59775B2F">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25121EA6">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21D7D0F">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5CE01F0C">
            <w:pPr>
              <w:snapToGrid w:val="0"/>
              <w:spacing w:before="50" w:after="165" w:afterLines="50" w:line="440" w:lineRule="exact"/>
              <w:jc w:val="left"/>
              <w:rPr>
                <w:rFonts w:hint="eastAsia" w:ascii="宋体" w:hAnsi="宋体" w:cs="宋体"/>
                <w:color w:val="auto"/>
                <w:szCs w:val="21"/>
                <w:highlight w:val="none"/>
              </w:rPr>
            </w:pPr>
          </w:p>
        </w:tc>
      </w:tr>
      <w:tr w14:paraId="06D587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10" w:hRule="atLeast"/>
        </w:trPr>
        <w:tc>
          <w:tcPr>
            <w:tcW w:w="1250" w:type="pct"/>
            <w:tcBorders>
              <w:top w:val="single" w:color="auto" w:sz="4" w:space="0"/>
              <w:left w:val="single" w:color="auto" w:sz="4" w:space="0"/>
              <w:bottom w:val="single" w:color="auto" w:sz="4" w:space="0"/>
              <w:right w:val="single" w:color="auto" w:sz="4" w:space="0"/>
            </w:tcBorders>
            <w:noWrap w:val="0"/>
            <w:vAlign w:val="top"/>
          </w:tcPr>
          <w:p w14:paraId="376DA00F">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A675BE0">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D36E4BF">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D431FAE">
            <w:pPr>
              <w:snapToGrid w:val="0"/>
              <w:spacing w:before="50" w:after="165" w:afterLines="50" w:line="440" w:lineRule="exact"/>
              <w:jc w:val="left"/>
              <w:rPr>
                <w:rFonts w:hint="eastAsia" w:ascii="宋体" w:hAnsi="宋体" w:cs="宋体"/>
                <w:color w:val="auto"/>
                <w:szCs w:val="21"/>
                <w:highlight w:val="none"/>
              </w:rPr>
            </w:pPr>
          </w:p>
        </w:tc>
      </w:tr>
      <w:tr w14:paraId="12139AA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11235ADD">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1BB4A465">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33B7AF07">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342CFA69">
            <w:pPr>
              <w:snapToGrid w:val="0"/>
              <w:spacing w:before="50" w:after="165" w:afterLines="50" w:line="440" w:lineRule="exact"/>
              <w:jc w:val="left"/>
              <w:rPr>
                <w:rFonts w:hint="eastAsia" w:ascii="宋体" w:hAnsi="宋体" w:cs="宋体"/>
                <w:color w:val="auto"/>
                <w:szCs w:val="21"/>
                <w:highlight w:val="none"/>
              </w:rPr>
            </w:pPr>
          </w:p>
        </w:tc>
      </w:tr>
      <w:tr w14:paraId="1B32984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250" w:type="pct"/>
            <w:tcBorders>
              <w:top w:val="single" w:color="auto" w:sz="4" w:space="0"/>
              <w:left w:val="single" w:color="auto" w:sz="4" w:space="0"/>
              <w:bottom w:val="single" w:color="auto" w:sz="4" w:space="0"/>
              <w:right w:val="single" w:color="auto" w:sz="4" w:space="0"/>
            </w:tcBorders>
            <w:noWrap w:val="0"/>
            <w:vAlign w:val="top"/>
          </w:tcPr>
          <w:p w14:paraId="7FB0EAE4">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4F4F2051">
            <w:pPr>
              <w:snapToGrid w:val="0"/>
              <w:spacing w:before="50" w:after="165" w:afterLines="50" w:line="440" w:lineRule="exact"/>
              <w:jc w:val="left"/>
              <w:rPr>
                <w:rFonts w:hint="eastAsia" w:ascii="宋体" w:hAnsi="宋体" w:cs="宋体"/>
                <w:color w:val="auto"/>
                <w:szCs w:val="21"/>
                <w:highlight w:val="none"/>
              </w:rPr>
            </w:pPr>
          </w:p>
        </w:tc>
        <w:tc>
          <w:tcPr>
            <w:tcW w:w="1038" w:type="pct"/>
            <w:tcBorders>
              <w:top w:val="single" w:color="auto" w:sz="4" w:space="0"/>
              <w:left w:val="single" w:color="auto" w:sz="4" w:space="0"/>
              <w:bottom w:val="single" w:color="auto" w:sz="4" w:space="0"/>
              <w:right w:val="single" w:color="auto" w:sz="4" w:space="0"/>
            </w:tcBorders>
            <w:noWrap w:val="0"/>
            <w:vAlign w:val="top"/>
          </w:tcPr>
          <w:p w14:paraId="784525FC">
            <w:pPr>
              <w:snapToGrid w:val="0"/>
              <w:spacing w:before="50" w:after="165" w:afterLines="50" w:line="440" w:lineRule="exact"/>
              <w:jc w:val="left"/>
              <w:rPr>
                <w:rFonts w:hint="eastAsia" w:ascii="宋体" w:hAnsi="宋体" w:cs="宋体"/>
                <w:color w:val="auto"/>
                <w:szCs w:val="21"/>
                <w:highlight w:val="none"/>
              </w:rPr>
            </w:pPr>
          </w:p>
        </w:tc>
        <w:tc>
          <w:tcPr>
            <w:tcW w:w="1674" w:type="pct"/>
            <w:tcBorders>
              <w:top w:val="single" w:color="auto" w:sz="4" w:space="0"/>
              <w:left w:val="single" w:color="auto" w:sz="4" w:space="0"/>
              <w:bottom w:val="single" w:color="auto" w:sz="4" w:space="0"/>
              <w:right w:val="single" w:color="auto" w:sz="4" w:space="0"/>
            </w:tcBorders>
            <w:noWrap w:val="0"/>
            <w:vAlign w:val="top"/>
          </w:tcPr>
          <w:p w14:paraId="047412FD">
            <w:pPr>
              <w:snapToGrid w:val="0"/>
              <w:spacing w:before="50" w:after="165" w:afterLines="50" w:line="440" w:lineRule="exact"/>
              <w:jc w:val="left"/>
              <w:rPr>
                <w:rFonts w:hint="eastAsia" w:ascii="宋体" w:hAnsi="宋体" w:cs="宋体"/>
                <w:color w:val="auto"/>
                <w:szCs w:val="21"/>
                <w:highlight w:val="none"/>
              </w:rPr>
            </w:pPr>
          </w:p>
        </w:tc>
      </w:tr>
    </w:tbl>
    <w:p w14:paraId="33E38D89">
      <w:pPr>
        <w:pStyle w:val="10"/>
        <w:spacing w:before="0" w:after="0" w:line="440" w:lineRule="exact"/>
        <w:contextualSpacing/>
        <w:rPr>
          <w:rFonts w:hint="eastAsia" w:ascii="宋体" w:hAnsi="宋体" w:eastAsia="宋体" w:cs="宋体"/>
          <w:color w:val="auto"/>
          <w:sz w:val="21"/>
          <w:szCs w:val="21"/>
          <w:highlight w:val="none"/>
        </w:rPr>
      </w:pPr>
    </w:p>
    <w:p w14:paraId="02C807C0">
      <w:pPr>
        <w:pStyle w:val="10"/>
        <w:spacing w:before="0" w:after="0" w:line="440" w:lineRule="exact"/>
        <w:contextualSpacing/>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注：投标人根据评标标准具体要求附业绩证明材料。</w:t>
      </w:r>
    </w:p>
    <w:p w14:paraId="5B5C8988">
      <w:pPr>
        <w:pStyle w:val="10"/>
        <w:spacing w:before="0" w:after="0" w:line="440" w:lineRule="exact"/>
        <w:contextualSpacing/>
        <w:jc w:val="left"/>
        <w:rPr>
          <w:rFonts w:hint="eastAsia" w:ascii="宋体" w:hAnsi="宋体" w:eastAsia="宋体" w:cs="宋体"/>
          <w:color w:val="auto"/>
          <w:sz w:val="21"/>
          <w:szCs w:val="21"/>
          <w:highlight w:val="none"/>
        </w:rPr>
      </w:pPr>
    </w:p>
    <w:p w14:paraId="25153D43">
      <w:pPr>
        <w:pStyle w:val="10"/>
        <w:spacing w:before="0" w:after="0" w:line="440" w:lineRule="exact"/>
        <w:contextualSpacing/>
        <w:jc w:val="left"/>
        <w:rPr>
          <w:rFonts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法定代表人或者委托代理人（签字或者电子签名）：</w:t>
      </w:r>
      <w:r>
        <w:rPr>
          <w:rFonts w:hint="eastAsia" w:ascii="宋体" w:hAnsi="宋体" w:eastAsia="宋体" w:cs="宋体"/>
          <w:color w:val="auto"/>
          <w:sz w:val="21"/>
          <w:szCs w:val="21"/>
          <w:highlight w:val="none"/>
          <w:u w:val="single"/>
        </w:rPr>
        <w:t xml:space="preserve">             </w:t>
      </w:r>
    </w:p>
    <w:p w14:paraId="1EA67FD8">
      <w:pPr>
        <w:spacing w:line="440" w:lineRule="exact"/>
        <w:ind w:right="480"/>
        <w:contextualSpacing/>
        <w:jc w:val="left"/>
        <w:rPr>
          <w:rFonts w:hint="eastAsia" w:ascii="宋体" w:hAnsi="宋体" w:cs="宋体"/>
          <w:color w:val="auto"/>
          <w:szCs w:val="21"/>
          <w:highlight w:val="none"/>
          <w:u w:val="single"/>
        </w:rPr>
      </w:pPr>
      <w:r>
        <w:rPr>
          <w:rFonts w:hint="eastAsia" w:ascii="宋体" w:hAnsi="宋体" w:cs="宋体"/>
          <w:color w:val="auto"/>
          <w:szCs w:val="21"/>
          <w:highlight w:val="none"/>
        </w:rPr>
        <w:t xml:space="preserve">投标人名称（电子签章）： </w:t>
      </w:r>
      <w:r>
        <w:rPr>
          <w:rFonts w:hint="eastAsia" w:ascii="宋体" w:hAnsi="宋体" w:cs="宋体"/>
          <w:color w:val="auto"/>
          <w:szCs w:val="21"/>
          <w:highlight w:val="none"/>
          <w:u w:val="single"/>
        </w:rPr>
        <w:t xml:space="preserve">                </w:t>
      </w:r>
    </w:p>
    <w:p w14:paraId="260BDC4F">
      <w:pPr>
        <w:snapToGrid w:val="0"/>
        <w:spacing w:before="165" w:beforeLines="50" w:after="50"/>
        <w:ind w:right="84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093B42F2">
      <w:pPr>
        <w:snapToGrid w:val="0"/>
        <w:spacing w:before="165" w:beforeLines="50" w:after="50"/>
        <w:jc w:val="left"/>
        <w:rPr>
          <w:rFonts w:hint="eastAsia" w:ascii="宋体" w:hAnsi="宋体" w:cs="宋体"/>
          <w:b/>
          <w:color w:val="auto"/>
          <w:sz w:val="24"/>
          <w:highlight w:val="none"/>
        </w:rPr>
      </w:pPr>
      <w:r>
        <w:rPr>
          <w:rFonts w:hint="eastAsia" w:ascii="宋体" w:hAnsi="宋体" w:cs="宋体"/>
          <w:color w:val="auto"/>
          <w:sz w:val="24"/>
          <w:highlight w:val="none"/>
        </w:rPr>
        <w:br w:type="page"/>
      </w:r>
      <w:r>
        <w:rPr>
          <w:rFonts w:hint="eastAsia" w:ascii="宋体" w:hAnsi="宋体" w:cs="宋体"/>
          <w:b/>
          <w:color w:val="auto"/>
          <w:sz w:val="24"/>
          <w:highlight w:val="none"/>
        </w:rPr>
        <w:t xml:space="preserve">（二）技术文件封面格式： </w:t>
      </w:r>
    </w:p>
    <w:p w14:paraId="62590858">
      <w:pPr>
        <w:snapToGrid w:val="0"/>
        <w:spacing w:before="165" w:beforeLines="50" w:after="50"/>
        <w:jc w:val="center"/>
        <w:rPr>
          <w:rFonts w:hint="eastAsia" w:ascii="宋体" w:hAnsi="宋体" w:cs="宋体"/>
          <w:color w:val="auto"/>
          <w:sz w:val="24"/>
          <w:highlight w:val="none"/>
        </w:rPr>
      </w:pPr>
      <w:r>
        <w:rPr>
          <w:rFonts w:hint="eastAsia" w:ascii="宋体" w:hAnsi="宋体" w:cs="宋体"/>
          <w:bCs/>
          <w:color w:val="auto"/>
          <w:sz w:val="48"/>
          <w:szCs w:val="48"/>
          <w:highlight w:val="none"/>
        </w:rPr>
        <w:t>电子投标文件</w:t>
      </w:r>
    </w:p>
    <w:p w14:paraId="70C5E3D7">
      <w:pPr>
        <w:snapToGrid w:val="0"/>
        <w:spacing w:before="165" w:beforeLines="50" w:after="50"/>
        <w:rPr>
          <w:rFonts w:hint="eastAsia" w:ascii="宋体" w:hAnsi="宋体" w:cs="宋体"/>
          <w:color w:val="auto"/>
          <w:sz w:val="24"/>
          <w:highlight w:val="none"/>
        </w:rPr>
      </w:pPr>
      <w:r>
        <w:rPr>
          <w:rFonts w:hint="eastAsia" w:ascii="宋体" w:hAnsi="宋体" w:cs="宋体"/>
          <w:color w:val="auto"/>
          <w:sz w:val="24"/>
          <w:highlight w:val="none"/>
        </w:rPr>
        <w:t xml:space="preserve">                </w:t>
      </w:r>
    </w:p>
    <w:p w14:paraId="79FF6349">
      <w:pPr>
        <w:rPr>
          <w:rFonts w:hint="eastAsia" w:ascii="宋体" w:hAnsi="宋体" w:cs="宋体"/>
          <w:color w:val="auto"/>
          <w:sz w:val="24"/>
          <w:highlight w:val="none"/>
        </w:rPr>
      </w:pPr>
    </w:p>
    <w:p w14:paraId="1D0BCCD6">
      <w:pPr>
        <w:rPr>
          <w:rFonts w:hint="eastAsia"/>
          <w:color w:val="auto"/>
          <w:highlight w:val="none"/>
        </w:rPr>
      </w:pPr>
    </w:p>
    <w:p w14:paraId="605EF92D">
      <w:pPr>
        <w:snapToGrid w:val="0"/>
        <w:spacing w:before="165" w:beforeLines="50" w:after="50"/>
        <w:jc w:val="center"/>
        <w:rPr>
          <w:rFonts w:hint="eastAsia" w:ascii="宋体" w:hAnsi="宋体" w:cs="宋体"/>
          <w:b/>
          <w:color w:val="auto"/>
          <w:sz w:val="32"/>
          <w:szCs w:val="32"/>
          <w:highlight w:val="none"/>
        </w:rPr>
      </w:pPr>
      <w:r>
        <w:rPr>
          <w:rFonts w:hint="eastAsia" w:ascii="宋体" w:hAnsi="宋体" w:cs="宋体"/>
          <w:b/>
          <w:color w:val="auto"/>
          <w:sz w:val="32"/>
          <w:szCs w:val="32"/>
          <w:highlight w:val="none"/>
        </w:rPr>
        <w:t>技术文件</w:t>
      </w:r>
    </w:p>
    <w:p w14:paraId="1E6297AE">
      <w:pPr>
        <w:rPr>
          <w:rFonts w:hint="eastAsia" w:ascii="宋体" w:hAnsi="宋体" w:cs="宋体"/>
          <w:b/>
          <w:color w:val="auto"/>
          <w:sz w:val="32"/>
          <w:szCs w:val="32"/>
          <w:highlight w:val="none"/>
        </w:rPr>
      </w:pPr>
    </w:p>
    <w:p w14:paraId="1E6DDD14">
      <w:pPr>
        <w:rPr>
          <w:rFonts w:hint="eastAsia"/>
          <w:color w:val="auto"/>
          <w:highlight w:val="none"/>
        </w:rPr>
      </w:pPr>
    </w:p>
    <w:p w14:paraId="0FF0BE02">
      <w:pPr>
        <w:snapToGrid w:val="0"/>
        <w:spacing w:before="165" w:beforeLines="50" w:after="50"/>
        <w:rPr>
          <w:rFonts w:hint="eastAsia" w:ascii="宋体" w:hAnsi="宋体" w:cs="宋体"/>
          <w:bCs/>
          <w:color w:val="auto"/>
          <w:sz w:val="24"/>
          <w:szCs w:val="20"/>
          <w:highlight w:val="none"/>
        </w:rPr>
      </w:pPr>
    </w:p>
    <w:p w14:paraId="3501870B">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项目名称：</w:t>
      </w:r>
    </w:p>
    <w:p w14:paraId="38960BFB">
      <w:pPr>
        <w:snapToGrid w:val="0"/>
        <w:spacing w:before="165" w:beforeLines="50" w:after="50"/>
        <w:ind w:firstLine="540" w:firstLineChars="225"/>
        <w:rPr>
          <w:rFonts w:hint="eastAsia" w:ascii="宋体" w:hAnsi="宋体" w:cs="宋体"/>
          <w:bCs/>
          <w:color w:val="auto"/>
          <w:sz w:val="24"/>
          <w:szCs w:val="20"/>
          <w:highlight w:val="none"/>
        </w:rPr>
      </w:pPr>
    </w:p>
    <w:p w14:paraId="7B360BB5">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项目编号：</w:t>
      </w:r>
    </w:p>
    <w:p w14:paraId="45A082E4">
      <w:pPr>
        <w:snapToGrid w:val="0"/>
        <w:spacing w:before="165" w:beforeLines="50" w:after="50"/>
        <w:ind w:firstLine="540" w:firstLineChars="225"/>
        <w:rPr>
          <w:rFonts w:hint="eastAsia" w:ascii="宋体" w:hAnsi="宋体" w:cs="宋体"/>
          <w:bCs/>
          <w:color w:val="auto"/>
          <w:sz w:val="24"/>
          <w:szCs w:val="20"/>
          <w:highlight w:val="none"/>
        </w:rPr>
      </w:pPr>
      <w:r>
        <w:rPr>
          <w:rFonts w:hint="eastAsia" w:ascii="宋体" w:hAnsi="宋体" w:cs="宋体"/>
          <w:bCs/>
          <w:color w:val="auto"/>
          <w:sz w:val="24"/>
          <w:highlight w:val="none"/>
        </w:rPr>
        <w:t xml:space="preserve"> </w:t>
      </w:r>
    </w:p>
    <w:p w14:paraId="30462BEB">
      <w:pPr>
        <w:snapToGrid w:val="0"/>
        <w:spacing w:before="165" w:beforeLines="50" w:after="50"/>
        <w:ind w:firstLine="540" w:firstLineChars="225"/>
        <w:rPr>
          <w:rFonts w:hint="eastAsia" w:ascii="宋体" w:hAnsi="宋体" w:cs="宋体"/>
          <w:bCs/>
          <w:color w:val="auto"/>
          <w:sz w:val="24"/>
          <w:highlight w:val="none"/>
        </w:rPr>
      </w:pPr>
      <w:r>
        <w:rPr>
          <w:rFonts w:hint="eastAsia" w:ascii="宋体" w:hAnsi="宋体" w:cs="宋体"/>
          <w:bCs/>
          <w:color w:val="auto"/>
          <w:sz w:val="24"/>
          <w:highlight w:val="none"/>
        </w:rPr>
        <w:t>所投分标：</w:t>
      </w:r>
    </w:p>
    <w:p w14:paraId="0DAC8D5A">
      <w:pPr>
        <w:snapToGrid w:val="0"/>
        <w:spacing w:before="165" w:beforeLines="50" w:after="50"/>
        <w:ind w:firstLine="540" w:firstLineChars="225"/>
        <w:rPr>
          <w:rFonts w:hint="eastAsia" w:ascii="宋体" w:hAnsi="宋体" w:cs="宋体"/>
          <w:bCs/>
          <w:color w:val="auto"/>
          <w:sz w:val="24"/>
          <w:szCs w:val="20"/>
          <w:highlight w:val="none"/>
        </w:rPr>
      </w:pPr>
    </w:p>
    <w:p w14:paraId="30ACC411">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投标人名称：</w:t>
      </w:r>
    </w:p>
    <w:p w14:paraId="31C49FFD">
      <w:pPr>
        <w:pStyle w:val="9"/>
        <w:snapToGrid w:val="0"/>
        <w:spacing w:before="50" w:after="50"/>
        <w:ind w:firstLine="540" w:firstLineChars="225"/>
        <w:rPr>
          <w:rFonts w:hint="eastAsia" w:ascii="宋体" w:hAnsi="宋体" w:cs="宋体"/>
          <w:bCs/>
          <w:color w:val="auto"/>
          <w:sz w:val="24"/>
          <w:szCs w:val="24"/>
          <w:highlight w:val="none"/>
        </w:rPr>
      </w:pPr>
    </w:p>
    <w:p w14:paraId="2F578E32">
      <w:pPr>
        <w:pStyle w:val="9"/>
        <w:snapToGrid w:val="0"/>
        <w:spacing w:before="50" w:after="50"/>
        <w:ind w:firstLine="540" w:firstLineChars="225"/>
        <w:rPr>
          <w:rFonts w:hint="eastAsia" w:ascii="宋体" w:hAnsi="宋体" w:cs="宋体"/>
          <w:bCs/>
          <w:color w:val="auto"/>
          <w:sz w:val="24"/>
          <w:szCs w:val="24"/>
          <w:highlight w:val="none"/>
        </w:rPr>
      </w:pPr>
      <w:r>
        <w:rPr>
          <w:rFonts w:hint="eastAsia" w:ascii="宋体" w:hAnsi="宋体" w:cs="宋体"/>
          <w:bCs/>
          <w:color w:val="auto"/>
          <w:sz w:val="24"/>
          <w:szCs w:val="24"/>
          <w:highlight w:val="none"/>
        </w:rPr>
        <w:t>投标人地址：</w:t>
      </w:r>
    </w:p>
    <w:p w14:paraId="1413DD99">
      <w:pPr>
        <w:pStyle w:val="9"/>
        <w:snapToGrid w:val="0"/>
        <w:spacing w:before="50" w:after="50"/>
        <w:ind w:firstLine="960" w:firstLineChars="400"/>
        <w:rPr>
          <w:rFonts w:hint="eastAsia" w:ascii="宋体" w:hAnsi="宋体" w:cs="宋体"/>
          <w:bCs/>
          <w:color w:val="auto"/>
          <w:sz w:val="24"/>
          <w:szCs w:val="24"/>
          <w:highlight w:val="none"/>
        </w:rPr>
      </w:pPr>
    </w:p>
    <w:p w14:paraId="19CAD830">
      <w:pPr>
        <w:snapToGrid w:val="0"/>
        <w:spacing w:before="165" w:beforeLines="50" w:after="50"/>
        <w:ind w:firstLine="645"/>
        <w:rPr>
          <w:rFonts w:hint="eastAsia" w:ascii="宋体" w:hAnsi="宋体" w:cs="宋体"/>
          <w:color w:val="auto"/>
          <w:sz w:val="24"/>
          <w:highlight w:val="none"/>
        </w:rPr>
      </w:pPr>
      <w:r>
        <w:rPr>
          <w:rFonts w:hint="eastAsia" w:ascii="宋体" w:hAnsi="宋体" w:cs="宋体"/>
          <w:color w:val="auto"/>
          <w:sz w:val="24"/>
          <w:highlight w:val="none"/>
        </w:rPr>
        <w:t xml:space="preserve">                        年  月  日</w:t>
      </w:r>
    </w:p>
    <w:p w14:paraId="76BAF68B">
      <w:pPr>
        <w:snapToGrid w:val="0"/>
        <w:spacing w:before="165" w:beforeLines="50" w:after="50"/>
        <w:rPr>
          <w:rFonts w:hint="eastAsia" w:ascii="宋体" w:hAnsi="宋体" w:cs="宋体"/>
          <w:color w:val="auto"/>
          <w:sz w:val="24"/>
          <w:szCs w:val="20"/>
          <w:highlight w:val="none"/>
        </w:rPr>
      </w:pPr>
      <w:r>
        <w:rPr>
          <w:rFonts w:hint="eastAsia" w:ascii="宋体" w:hAnsi="宋体" w:cs="宋体"/>
          <w:color w:val="auto"/>
          <w:sz w:val="24"/>
          <w:szCs w:val="20"/>
          <w:highlight w:val="none"/>
        </w:rPr>
        <w:t xml:space="preserve"> </w:t>
      </w:r>
    </w:p>
    <w:p w14:paraId="429021C8">
      <w:pPr>
        <w:snapToGrid w:val="0"/>
        <w:spacing w:line="360" w:lineRule="auto"/>
        <w:ind w:firstLine="120" w:firstLineChars="50"/>
        <w:jc w:val="center"/>
        <w:rPr>
          <w:rFonts w:hint="eastAsia" w:ascii="宋体" w:hAnsi="宋体" w:cs="宋体"/>
          <w:b/>
          <w:bCs/>
          <w:color w:val="auto"/>
          <w:sz w:val="28"/>
          <w:szCs w:val="28"/>
          <w:highlight w:val="none"/>
        </w:rPr>
      </w:pPr>
      <w:r>
        <w:rPr>
          <w:rFonts w:hint="eastAsia" w:ascii="宋体" w:hAnsi="宋体" w:cs="宋体"/>
          <w:color w:val="auto"/>
          <w:sz w:val="24"/>
          <w:szCs w:val="20"/>
          <w:highlight w:val="none"/>
        </w:rPr>
        <w:br w:type="page"/>
      </w:r>
      <w:r>
        <w:rPr>
          <w:rFonts w:hint="eastAsia" w:ascii="宋体" w:hAnsi="宋体" w:cs="宋体"/>
          <w:b/>
          <w:bCs/>
          <w:color w:val="auto"/>
          <w:sz w:val="28"/>
          <w:szCs w:val="28"/>
          <w:highlight w:val="none"/>
        </w:rPr>
        <w:t>商务及技术文件目录</w:t>
      </w:r>
    </w:p>
    <w:p w14:paraId="2F227391">
      <w:pPr>
        <w:snapToGrid w:val="0"/>
        <w:spacing w:before="50" w:after="165" w:afterLines="50" w:line="360" w:lineRule="auto"/>
        <w:jc w:val="center"/>
        <w:rPr>
          <w:rFonts w:ascii="宋体" w:hAnsi="宋体" w:cs="宋体"/>
          <w:color w:val="auto"/>
          <w:szCs w:val="21"/>
          <w:highlight w:val="none"/>
        </w:rPr>
      </w:pPr>
      <w:r>
        <w:rPr>
          <w:rFonts w:hint="eastAsia" w:ascii="宋体" w:hAnsi="宋体" w:cs="宋体"/>
          <w:color w:val="auto"/>
          <w:szCs w:val="21"/>
          <w:highlight w:val="none"/>
        </w:rPr>
        <w:t>根据招标文件规定及投标人提供的材料自行编写目录。</w:t>
      </w:r>
    </w:p>
    <w:p w14:paraId="7BC31ED6">
      <w:pPr>
        <w:snapToGrid w:val="0"/>
        <w:spacing w:before="165" w:beforeLines="50" w:after="50"/>
        <w:ind w:left="142"/>
        <w:jc w:val="left"/>
        <w:rPr>
          <w:rFonts w:hint="eastAsia"/>
          <w:b/>
          <w:color w:val="auto"/>
          <w:highlight w:val="none"/>
        </w:rPr>
      </w:pPr>
      <w:r>
        <w:rPr>
          <w:color w:val="auto"/>
          <w:highlight w:val="none"/>
        </w:rPr>
        <w:br w:type="page"/>
      </w:r>
      <w:r>
        <w:rPr>
          <w:rFonts w:hint="eastAsia" w:ascii="宋体" w:hAnsi="宋体" w:cs="宋体"/>
          <w:b/>
          <w:color w:val="auto"/>
          <w:sz w:val="24"/>
          <w:highlight w:val="none"/>
        </w:rPr>
        <w:t>1.技术要求偏离表格式</w:t>
      </w:r>
    </w:p>
    <w:p w14:paraId="1EFD860A">
      <w:pPr>
        <w:snapToGrid w:val="0"/>
        <w:spacing w:before="165" w:beforeLines="50" w:after="50"/>
        <w:ind w:left="142"/>
        <w:jc w:val="left"/>
        <w:rPr>
          <w:rFonts w:hint="eastAsia" w:ascii="宋体" w:hAnsi="宋体" w:cs="宋体"/>
          <w:b/>
          <w:color w:val="auto"/>
          <w:sz w:val="24"/>
          <w:highlight w:val="none"/>
        </w:rPr>
      </w:pPr>
    </w:p>
    <w:p w14:paraId="2BE67624">
      <w:pPr>
        <w:snapToGrid w:val="0"/>
        <w:spacing w:before="165" w:beforeLines="50" w:after="50"/>
        <w:ind w:left="14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技术要求偏离表</w:t>
      </w:r>
    </w:p>
    <w:p w14:paraId="233DD303">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tbl>
      <w:tblPr>
        <w:tblStyle w:val="39"/>
        <w:tblW w:w="91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25"/>
        <w:gridCol w:w="2143"/>
        <w:gridCol w:w="1834"/>
        <w:gridCol w:w="2181"/>
        <w:gridCol w:w="2084"/>
      </w:tblGrid>
      <w:tr w14:paraId="0AD4D5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3" w:hRule="atLeast"/>
          <w:jc w:val="center"/>
        </w:trPr>
        <w:tc>
          <w:tcPr>
            <w:tcW w:w="925" w:type="dxa"/>
            <w:noWrap w:val="0"/>
            <w:vAlign w:val="center"/>
          </w:tcPr>
          <w:p w14:paraId="402AEF0C">
            <w:pPr>
              <w:pStyle w:val="2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项号</w:t>
            </w:r>
          </w:p>
        </w:tc>
        <w:tc>
          <w:tcPr>
            <w:tcW w:w="2143" w:type="dxa"/>
            <w:noWrap w:val="0"/>
            <w:vAlign w:val="center"/>
          </w:tcPr>
          <w:p w14:paraId="172A3FC2">
            <w:pPr>
              <w:pStyle w:val="2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标的名称</w:t>
            </w:r>
          </w:p>
        </w:tc>
        <w:tc>
          <w:tcPr>
            <w:tcW w:w="1834" w:type="dxa"/>
            <w:noWrap w:val="0"/>
            <w:vAlign w:val="center"/>
          </w:tcPr>
          <w:p w14:paraId="6D32915E">
            <w:pPr>
              <w:pStyle w:val="2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项目要求及技术需求</w:t>
            </w:r>
          </w:p>
        </w:tc>
        <w:tc>
          <w:tcPr>
            <w:tcW w:w="2181" w:type="dxa"/>
            <w:noWrap w:val="0"/>
            <w:vAlign w:val="center"/>
          </w:tcPr>
          <w:p w14:paraId="7365E831">
            <w:pPr>
              <w:pStyle w:val="2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投标响应</w:t>
            </w:r>
          </w:p>
        </w:tc>
        <w:tc>
          <w:tcPr>
            <w:tcW w:w="2084" w:type="dxa"/>
            <w:noWrap w:val="0"/>
            <w:vAlign w:val="center"/>
          </w:tcPr>
          <w:p w14:paraId="24B19E1F">
            <w:pPr>
              <w:pStyle w:val="2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r>
              <w:rPr>
                <w:rFonts w:hint="eastAsia" w:hAnsi="宋体" w:cs="宋体"/>
                <w:color w:val="auto"/>
                <w:highlight w:val="none"/>
              </w:rPr>
              <w:t>偏离说明</w:t>
            </w:r>
          </w:p>
        </w:tc>
      </w:tr>
      <w:tr w14:paraId="420AB7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49BBAF7C">
            <w:pPr>
              <w:pStyle w:val="2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c>
          <w:tcPr>
            <w:tcW w:w="2143" w:type="dxa"/>
            <w:noWrap w:val="0"/>
            <w:vAlign w:val="center"/>
          </w:tcPr>
          <w:p w14:paraId="08EA5E83">
            <w:pPr>
              <w:pStyle w:val="2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c>
          <w:tcPr>
            <w:tcW w:w="1834" w:type="dxa"/>
            <w:noWrap w:val="0"/>
            <w:vAlign w:val="center"/>
          </w:tcPr>
          <w:p w14:paraId="30AA9568">
            <w:pPr>
              <w:pStyle w:val="2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c>
          <w:tcPr>
            <w:tcW w:w="2181" w:type="dxa"/>
            <w:noWrap w:val="0"/>
            <w:vAlign w:val="center"/>
          </w:tcPr>
          <w:p w14:paraId="608DD6E9">
            <w:pPr>
              <w:pStyle w:val="2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c>
          <w:tcPr>
            <w:tcW w:w="2084" w:type="dxa"/>
            <w:noWrap w:val="0"/>
            <w:vAlign w:val="center"/>
          </w:tcPr>
          <w:p w14:paraId="61CBF745">
            <w:pPr>
              <w:pStyle w:val="20"/>
              <w:keepNext w:val="0"/>
              <w:keepLines w:val="0"/>
              <w:pageBreakBefore w:val="0"/>
              <w:widowControl w:val="0"/>
              <w:kinsoku/>
              <w:wordWrap/>
              <w:overflowPunct/>
              <w:topLinePunct w:val="0"/>
              <w:autoSpaceDE/>
              <w:autoSpaceDN/>
              <w:bidi w:val="0"/>
              <w:adjustRightInd/>
              <w:snapToGrid/>
              <w:spacing w:line="400" w:lineRule="exact"/>
              <w:jc w:val="center"/>
              <w:textAlignment w:val="auto"/>
              <w:rPr>
                <w:rFonts w:hint="eastAsia" w:hAnsi="宋体" w:cs="宋体"/>
                <w:color w:val="auto"/>
                <w:highlight w:val="none"/>
              </w:rPr>
            </w:pPr>
          </w:p>
        </w:tc>
      </w:tr>
      <w:tr w14:paraId="2176A0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08715E76">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5971CAC1">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2275F854">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7C29E736">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7316C200">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317507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45B67A4E">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0E925088">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62323195">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3099B9AC">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0BFF7DB7">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48A46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1B476F7A">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343E7C32">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25ACF541">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15D104D2">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20906F67">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3C615D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232F6B4B">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0D3CCD45">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2FA14BBC">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2F0B471B">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6B32DDCA">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2728C1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41C33F95">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796D194F">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1494659E">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1586308A">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464BE6E1">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r w14:paraId="18BB3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25" w:type="dxa"/>
            <w:noWrap w:val="0"/>
            <w:vAlign w:val="top"/>
          </w:tcPr>
          <w:p w14:paraId="2EB75047">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43" w:type="dxa"/>
            <w:noWrap w:val="0"/>
            <w:vAlign w:val="top"/>
          </w:tcPr>
          <w:p w14:paraId="606FB8BD">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1834" w:type="dxa"/>
            <w:noWrap w:val="0"/>
            <w:vAlign w:val="top"/>
          </w:tcPr>
          <w:p w14:paraId="4BD71F42">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181" w:type="dxa"/>
            <w:noWrap w:val="0"/>
            <w:vAlign w:val="top"/>
          </w:tcPr>
          <w:p w14:paraId="7D9C68E5">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c>
          <w:tcPr>
            <w:tcW w:w="2084" w:type="dxa"/>
            <w:noWrap w:val="0"/>
            <w:vAlign w:val="top"/>
          </w:tcPr>
          <w:p w14:paraId="46D54106">
            <w:pPr>
              <w:pStyle w:val="20"/>
              <w:keepNext w:val="0"/>
              <w:keepLines w:val="0"/>
              <w:pageBreakBefore w:val="0"/>
              <w:widowControl w:val="0"/>
              <w:kinsoku/>
              <w:wordWrap/>
              <w:overflowPunct/>
              <w:topLinePunct w:val="0"/>
              <w:autoSpaceDE/>
              <w:autoSpaceDN/>
              <w:bidi w:val="0"/>
              <w:adjustRightInd/>
              <w:snapToGrid/>
              <w:spacing w:line="400" w:lineRule="exact"/>
              <w:textAlignment w:val="auto"/>
              <w:rPr>
                <w:rFonts w:hint="eastAsia" w:hAnsi="宋体" w:cs="宋体"/>
                <w:color w:val="auto"/>
                <w:highlight w:val="none"/>
              </w:rPr>
            </w:pPr>
          </w:p>
        </w:tc>
      </w:tr>
    </w:tbl>
    <w:p w14:paraId="6F10EF25">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注：</w:t>
      </w:r>
    </w:p>
    <w:p w14:paraId="46761333">
      <w:pPr>
        <w:pStyle w:val="16"/>
        <w:keepNext w:val="0"/>
        <w:keepLines w:val="0"/>
        <w:pageBreakBefore w:val="0"/>
        <w:widowControl w:val="0"/>
        <w:kinsoku/>
        <w:wordWrap/>
        <w:overflowPunct/>
        <w:topLinePunct w:val="0"/>
        <w:autoSpaceDE/>
        <w:autoSpaceDN/>
        <w:bidi w:val="0"/>
        <w:adjustRightInd/>
        <w:snapToGrid/>
        <w:spacing w:line="400" w:lineRule="exact"/>
        <w:ind w:firstLine="0"/>
        <w:contextualSpacing/>
        <w:textAlignment w:val="auto"/>
        <w:rPr>
          <w:rFonts w:hint="eastAsia" w:hAnsi="宋体" w:cs="宋体"/>
          <w:color w:val="auto"/>
          <w:sz w:val="21"/>
          <w:szCs w:val="21"/>
          <w:highlight w:val="none"/>
        </w:rPr>
      </w:pPr>
      <w:r>
        <w:rPr>
          <w:rFonts w:hint="eastAsia" w:hAnsi="宋体" w:cs="宋体"/>
          <w:color w:val="auto"/>
          <w:sz w:val="21"/>
          <w:szCs w:val="21"/>
          <w:highlight w:val="none"/>
        </w:rPr>
        <w:t>1. 说明：应对照招标文件“第二章 采购需求”中的项目要求及技术需求逐条作明确的投标响应，并作出偏离说明。</w:t>
      </w:r>
    </w:p>
    <w:p w14:paraId="6FBB9454">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z w:val="21"/>
          <w:szCs w:val="21"/>
          <w:highlight w:val="none"/>
        </w:rPr>
      </w:pPr>
      <w:r>
        <w:rPr>
          <w:rFonts w:hint="eastAsia" w:ascii="宋体" w:hAnsi="宋体" w:cs="宋体"/>
          <w:color w:val="auto"/>
          <w:sz w:val="21"/>
          <w:szCs w:val="21"/>
          <w:highlight w:val="none"/>
        </w:rPr>
        <w:t>2.投标人应根据自身的承诺，对照招标文件要求，在“偏离说明”中注明“正偏离</w:t>
      </w: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负偏离”或者“无偏离”。既不属于“正偏离”也不属于“负偏离”即为“无偏离”。</w:t>
      </w:r>
    </w:p>
    <w:p w14:paraId="0E460BAB">
      <w:pPr>
        <w:pStyle w:val="14"/>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 w:val="21"/>
          <w:szCs w:val="21"/>
          <w:highlight w:val="none"/>
        </w:rPr>
      </w:pPr>
    </w:p>
    <w:p w14:paraId="48F3B5B2">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3841392D">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4A5C7F96">
      <w:pPr>
        <w:keepNext w:val="0"/>
        <w:keepLines w:val="0"/>
        <w:pageBreakBefore w:val="0"/>
        <w:widowControl w:val="0"/>
        <w:kinsoku/>
        <w:wordWrap/>
        <w:overflowPunct/>
        <w:topLinePunct w:val="0"/>
        <w:autoSpaceDE/>
        <w:autoSpaceDN/>
        <w:bidi w:val="0"/>
        <w:adjustRightInd/>
        <w:snapToGrid/>
        <w:spacing w:line="400" w:lineRule="exact"/>
        <w:contextualSpacing/>
        <w:textAlignment w:val="auto"/>
        <w:rPr>
          <w:rFonts w:hint="eastAsia" w:ascii="宋体" w:hAnsi="宋体" w:cs="宋体"/>
          <w:color w:val="auto"/>
          <w:spacing w:val="20"/>
          <w:szCs w:val="21"/>
          <w:highlight w:val="none"/>
          <w:u w:val="singl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DFCF381">
      <w:pPr>
        <w:spacing w:line="360" w:lineRule="auto"/>
        <w:contextualSpacing/>
        <w:rPr>
          <w:rFonts w:hint="eastAsia" w:ascii="宋体" w:hAnsi="宋体" w:cs="宋体"/>
          <w:color w:val="auto"/>
          <w:sz w:val="24"/>
          <w:szCs w:val="20"/>
          <w:highlight w:val="none"/>
        </w:rPr>
      </w:pPr>
    </w:p>
    <w:p w14:paraId="7172274E">
      <w:pPr>
        <w:snapToGrid w:val="0"/>
        <w:spacing w:before="165" w:beforeLines="50" w:after="50"/>
        <w:ind w:left="142"/>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2.项目实施人员一览表格式</w:t>
      </w:r>
    </w:p>
    <w:p w14:paraId="688505FB">
      <w:pPr>
        <w:snapToGrid w:val="0"/>
        <w:spacing w:before="165" w:beforeLines="50" w:after="50"/>
        <w:ind w:left="142"/>
        <w:jc w:val="left"/>
        <w:rPr>
          <w:rFonts w:hint="eastAsia" w:ascii="宋体" w:hAnsi="宋体" w:cs="宋体"/>
          <w:b/>
          <w:color w:val="auto"/>
          <w:sz w:val="24"/>
          <w:highlight w:val="none"/>
        </w:rPr>
      </w:pPr>
    </w:p>
    <w:p w14:paraId="5CC569D6">
      <w:pPr>
        <w:snapToGrid w:val="0"/>
        <w:spacing w:before="165" w:beforeLines="50" w:after="50"/>
        <w:ind w:left="142"/>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项目实施人员一览表</w:t>
      </w:r>
    </w:p>
    <w:p w14:paraId="712827EF">
      <w:pPr>
        <w:pStyle w:val="20"/>
        <w:keepNext w:val="0"/>
        <w:keepLines w:val="0"/>
        <w:pageBreakBefore w:val="0"/>
        <w:widowControl w:val="0"/>
        <w:kinsoku/>
        <w:overflowPunct/>
        <w:topLinePunct w:val="0"/>
        <w:autoSpaceDE/>
        <w:autoSpaceDN/>
        <w:bidi w:val="0"/>
        <w:adjustRightInd/>
        <w:spacing w:line="400" w:lineRule="exact"/>
        <w:textAlignment w:val="auto"/>
        <w:rPr>
          <w:rFonts w:hint="eastAsia" w:hAnsi="宋体" w:cs="宋体"/>
          <w:color w:val="auto"/>
          <w:highlight w:val="none"/>
        </w:rPr>
      </w:pPr>
      <w:r>
        <w:rPr>
          <w:rFonts w:hint="eastAsia" w:hAnsi="宋体" w:cs="宋体"/>
          <w:color w:val="auto"/>
          <w:highlight w:val="none"/>
        </w:rPr>
        <w:t>所投分标：</w:t>
      </w:r>
      <w:r>
        <w:rPr>
          <w:rFonts w:hint="eastAsia" w:hAnsi="宋体" w:cs="宋体"/>
          <w:color w:val="auto"/>
          <w:highlight w:val="none"/>
          <w:u w:val="single"/>
        </w:rPr>
        <w:t xml:space="preserve">     </w:t>
      </w:r>
      <w:r>
        <w:rPr>
          <w:rFonts w:hint="eastAsia" w:hAnsi="宋体" w:cs="宋体"/>
          <w:color w:val="auto"/>
          <w:highlight w:val="none"/>
        </w:rPr>
        <w:t>分标</w:t>
      </w:r>
    </w:p>
    <w:tbl>
      <w:tblPr>
        <w:tblStyle w:val="39"/>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6"/>
        <w:gridCol w:w="777"/>
        <w:gridCol w:w="1865"/>
        <w:gridCol w:w="1557"/>
        <w:gridCol w:w="1862"/>
        <w:gridCol w:w="2406"/>
      </w:tblGrid>
      <w:tr w14:paraId="400360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30" w:hRule="atLeast"/>
        </w:trPr>
        <w:tc>
          <w:tcPr>
            <w:tcW w:w="896" w:type="dxa"/>
            <w:noWrap w:val="0"/>
            <w:vAlign w:val="center"/>
          </w:tcPr>
          <w:p w14:paraId="0C834C7E">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姓名</w:t>
            </w:r>
          </w:p>
        </w:tc>
        <w:tc>
          <w:tcPr>
            <w:tcW w:w="777" w:type="dxa"/>
            <w:noWrap w:val="0"/>
            <w:vAlign w:val="center"/>
          </w:tcPr>
          <w:p w14:paraId="48D1A4A4">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职务</w:t>
            </w:r>
          </w:p>
        </w:tc>
        <w:tc>
          <w:tcPr>
            <w:tcW w:w="1865" w:type="dxa"/>
            <w:noWrap w:val="0"/>
            <w:vAlign w:val="center"/>
          </w:tcPr>
          <w:p w14:paraId="007C2746">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专业技术资格（职称）或者职业资格或者执业资格证或者其他证书</w:t>
            </w:r>
          </w:p>
        </w:tc>
        <w:tc>
          <w:tcPr>
            <w:tcW w:w="1557" w:type="dxa"/>
            <w:noWrap w:val="0"/>
            <w:vAlign w:val="center"/>
          </w:tcPr>
          <w:p w14:paraId="0220C0FF">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证书编号</w:t>
            </w:r>
          </w:p>
        </w:tc>
        <w:tc>
          <w:tcPr>
            <w:tcW w:w="1862" w:type="dxa"/>
            <w:noWrap w:val="0"/>
            <w:vAlign w:val="center"/>
          </w:tcPr>
          <w:p w14:paraId="6B935C84">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参加本单位</w:t>
            </w:r>
          </w:p>
          <w:p w14:paraId="5EC538E2">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工作时间</w:t>
            </w:r>
          </w:p>
        </w:tc>
        <w:tc>
          <w:tcPr>
            <w:tcW w:w="2406" w:type="dxa"/>
            <w:noWrap w:val="0"/>
            <w:vAlign w:val="center"/>
          </w:tcPr>
          <w:p w14:paraId="386A1C8B">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r>
              <w:rPr>
                <w:rFonts w:hint="eastAsia" w:ascii="宋体" w:hAnsi="宋体" w:cs="宋体"/>
                <w:color w:val="auto"/>
                <w:szCs w:val="21"/>
                <w:highlight w:val="none"/>
              </w:rPr>
              <w:t>劳动合同编号</w:t>
            </w:r>
          </w:p>
        </w:tc>
      </w:tr>
      <w:tr w14:paraId="2BA530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96" w:type="dxa"/>
            <w:noWrap w:val="0"/>
            <w:vAlign w:val="center"/>
          </w:tcPr>
          <w:p w14:paraId="2861B995">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777" w:type="dxa"/>
            <w:noWrap w:val="0"/>
            <w:vAlign w:val="center"/>
          </w:tcPr>
          <w:p w14:paraId="474CB51E">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5" w:type="dxa"/>
            <w:noWrap w:val="0"/>
            <w:vAlign w:val="center"/>
          </w:tcPr>
          <w:p w14:paraId="77166673">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557" w:type="dxa"/>
            <w:noWrap w:val="0"/>
            <w:vAlign w:val="center"/>
          </w:tcPr>
          <w:p w14:paraId="31D84512">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2" w:type="dxa"/>
            <w:noWrap w:val="0"/>
            <w:vAlign w:val="center"/>
          </w:tcPr>
          <w:p w14:paraId="65054D9E">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2406" w:type="dxa"/>
            <w:noWrap w:val="0"/>
            <w:vAlign w:val="center"/>
          </w:tcPr>
          <w:p w14:paraId="5BEA0ACC">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r>
      <w:tr w14:paraId="2A8B62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7" w:hRule="atLeast"/>
        </w:trPr>
        <w:tc>
          <w:tcPr>
            <w:tcW w:w="896" w:type="dxa"/>
            <w:noWrap w:val="0"/>
            <w:vAlign w:val="center"/>
          </w:tcPr>
          <w:p w14:paraId="77022929">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777" w:type="dxa"/>
            <w:noWrap w:val="0"/>
            <w:vAlign w:val="center"/>
          </w:tcPr>
          <w:p w14:paraId="59BB3DE2">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5" w:type="dxa"/>
            <w:noWrap w:val="0"/>
            <w:vAlign w:val="center"/>
          </w:tcPr>
          <w:p w14:paraId="6F090DB1">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557" w:type="dxa"/>
            <w:noWrap w:val="0"/>
            <w:vAlign w:val="center"/>
          </w:tcPr>
          <w:p w14:paraId="48BF9784">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2" w:type="dxa"/>
            <w:noWrap w:val="0"/>
            <w:vAlign w:val="center"/>
          </w:tcPr>
          <w:p w14:paraId="0AB10EEE">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2406" w:type="dxa"/>
            <w:noWrap w:val="0"/>
            <w:vAlign w:val="center"/>
          </w:tcPr>
          <w:p w14:paraId="5FEC2A23">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r>
      <w:tr w14:paraId="3AD8E1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trPr>
        <w:tc>
          <w:tcPr>
            <w:tcW w:w="896" w:type="dxa"/>
            <w:noWrap w:val="0"/>
            <w:vAlign w:val="center"/>
          </w:tcPr>
          <w:p w14:paraId="73C60122">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777" w:type="dxa"/>
            <w:noWrap w:val="0"/>
            <w:vAlign w:val="center"/>
          </w:tcPr>
          <w:p w14:paraId="1741F259">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5" w:type="dxa"/>
            <w:noWrap w:val="0"/>
            <w:vAlign w:val="center"/>
          </w:tcPr>
          <w:p w14:paraId="08E1E449">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557" w:type="dxa"/>
            <w:noWrap w:val="0"/>
            <w:vAlign w:val="center"/>
          </w:tcPr>
          <w:p w14:paraId="0748BA6C">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1862" w:type="dxa"/>
            <w:noWrap w:val="0"/>
            <w:vAlign w:val="center"/>
          </w:tcPr>
          <w:p w14:paraId="4B903960">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c>
          <w:tcPr>
            <w:tcW w:w="2406" w:type="dxa"/>
            <w:noWrap w:val="0"/>
            <w:vAlign w:val="center"/>
          </w:tcPr>
          <w:p w14:paraId="7BCABE54">
            <w:pPr>
              <w:keepNext w:val="0"/>
              <w:keepLines w:val="0"/>
              <w:pageBreakBefore w:val="0"/>
              <w:widowControl w:val="0"/>
              <w:kinsoku/>
              <w:overflowPunct/>
              <w:topLinePunct w:val="0"/>
              <w:autoSpaceDE/>
              <w:autoSpaceDN/>
              <w:bidi w:val="0"/>
              <w:adjustRightInd/>
              <w:snapToGrid w:val="0"/>
              <w:spacing w:before="50" w:after="165" w:afterLines="50" w:line="400" w:lineRule="exact"/>
              <w:jc w:val="center"/>
              <w:textAlignment w:val="auto"/>
              <w:rPr>
                <w:rFonts w:hint="eastAsia" w:ascii="宋体" w:hAnsi="宋体" w:cs="宋体"/>
                <w:color w:val="auto"/>
                <w:szCs w:val="21"/>
                <w:highlight w:val="none"/>
              </w:rPr>
            </w:pPr>
          </w:p>
        </w:tc>
      </w:tr>
    </w:tbl>
    <w:p w14:paraId="0409F8C8">
      <w:pPr>
        <w:keepNext w:val="0"/>
        <w:keepLines w:val="0"/>
        <w:pageBreakBefore w:val="0"/>
        <w:widowControl w:val="0"/>
        <w:kinsoku/>
        <w:overflowPunct/>
        <w:topLinePunct w:val="0"/>
        <w:autoSpaceDE/>
        <w:autoSpaceDN/>
        <w:bidi w:val="0"/>
        <w:adjustRightInd/>
        <w:snapToGrid w:val="0"/>
        <w:spacing w:before="50" w:after="165" w:afterLines="50" w:line="400" w:lineRule="exact"/>
        <w:jc w:val="left"/>
        <w:textAlignment w:val="auto"/>
        <w:rPr>
          <w:rFonts w:hint="eastAsia" w:ascii="宋体" w:hAnsi="宋体" w:cs="宋体"/>
          <w:color w:val="auto"/>
          <w:szCs w:val="21"/>
          <w:highlight w:val="none"/>
        </w:rPr>
      </w:pPr>
    </w:p>
    <w:p w14:paraId="5626ADFF">
      <w:pPr>
        <w:keepNext w:val="0"/>
        <w:keepLines w:val="0"/>
        <w:pageBreakBefore w:val="0"/>
        <w:widowControl w:val="0"/>
        <w:kinsoku/>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注：</w:t>
      </w:r>
    </w:p>
    <w:p w14:paraId="65527C8A">
      <w:pPr>
        <w:keepNext w:val="0"/>
        <w:keepLines w:val="0"/>
        <w:pageBreakBefore w:val="0"/>
        <w:widowControl w:val="0"/>
        <w:kinsoku/>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1.在填写时，如本表格不适合投标单位的实际情况，可根据本表格式自行制表填写。</w:t>
      </w:r>
    </w:p>
    <w:p w14:paraId="3731BDE2">
      <w:pPr>
        <w:keepNext w:val="0"/>
        <w:keepLines w:val="0"/>
        <w:pageBreakBefore w:val="0"/>
        <w:widowControl w:val="0"/>
        <w:kinsoku/>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zCs w:val="21"/>
          <w:highlight w:val="none"/>
        </w:rPr>
        <w:t>2.投标人应当附本表所列证书的复印件并加盖投标人电子签章。</w:t>
      </w:r>
    </w:p>
    <w:p w14:paraId="4721002F">
      <w:pPr>
        <w:keepNext w:val="0"/>
        <w:keepLines w:val="0"/>
        <w:pageBreakBefore w:val="0"/>
        <w:widowControl w:val="0"/>
        <w:kinsoku/>
        <w:wordWrap w:val="0"/>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p>
    <w:p w14:paraId="54C88D95">
      <w:pPr>
        <w:keepNext w:val="0"/>
        <w:keepLines w:val="0"/>
        <w:pageBreakBefore w:val="0"/>
        <w:widowControl w:val="0"/>
        <w:kinsoku/>
        <w:wordWrap w:val="0"/>
        <w:overflowPunct/>
        <w:topLinePunct w:val="0"/>
        <w:autoSpaceDE/>
        <w:autoSpaceDN/>
        <w:bidi w:val="0"/>
        <w:adjustRightInd/>
        <w:spacing w:line="400" w:lineRule="exact"/>
        <w:contextualSpacing/>
        <w:textAlignment w:val="auto"/>
        <w:rPr>
          <w:rFonts w:hint="eastAsia" w:ascii="宋体" w:hAnsi="宋体" w:cs="宋体"/>
          <w:color w:val="auto"/>
          <w:spacing w:val="20"/>
          <w:szCs w:val="21"/>
          <w:highlight w:val="none"/>
          <w:u w:val="single"/>
        </w:rPr>
      </w:pPr>
      <w:r>
        <w:rPr>
          <w:rFonts w:hint="eastAsia" w:ascii="宋体" w:hAnsi="宋体" w:cs="宋体"/>
          <w:color w:val="auto"/>
          <w:szCs w:val="21"/>
          <w:highlight w:val="none"/>
        </w:rPr>
        <w:t>法定代表人或者委托代理人</w:t>
      </w:r>
      <w:r>
        <w:rPr>
          <w:rFonts w:hint="eastAsia" w:ascii="宋体" w:hAnsi="宋体" w:cs="宋体"/>
          <w:color w:val="auto"/>
          <w:spacing w:val="20"/>
          <w:szCs w:val="21"/>
          <w:highlight w:val="none"/>
        </w:rPr>
        <w:t>（签字或者电子签名）：</w:t>
      </w:r>
      <w:r>
        <w:rPr>
          <w:rFonts w:hint="eastAsia" w:ascii="宋体" w:hAnsi="宋体" w:cs="宋体"/>
          <w:color w:val="auto"/>
          <w:spacing w:val="20"/>
          <w:szCs w:val="21"/>
          <w:highlight w:val="none"/>
          <w:u w:val="single"/>
        </w:rPr>
        <w:t xml:space="preserve">        </w:t>
      </w:r>
    </w:p>
    <w:p w14:paraId="69FF88BC">
      <w:pPr>
        <w:keepNext w:val="0"/>
        <w:keepLines w:val="0"/>
        <w:pageBreakBefore w:val="0"/>
        <w:widowControl w:val="0"/>
        <w:kinsoku/>
        <w:wordWrap w:val="0"/>
        <w:overflowPunct/>
        <w:topLinePunct w:val="0"/>
        <w:autoSpaceDE/>
        <w:autoSpaceDN/>
        <w:bidi w:val="0"/>
        <w:adjustRightInd/>
        <w:spacing w:line="400" w:lineRule="exact"/>
        <w:contextualSpacing/>
        <w:jc w:val="left"/>
        <w:textAlignment w:val="auto"/>
        <w:rPr>
          <w:rFonts w:hint="eastAsia" w:ascii="宋体" w:hAnsi="宋体" w:cs="宋体"/>
          <w:color w:val="auto"/>
          <w:spacing w:val="20"/>
          <w:szCs w:val="21"/>
          <w:highlight w:val="none"/>
        </w:rPr>
      </w:pPr>
      <w:r>
        <w:rPr>
          <w:rFonts w:hint="eastAsia" w:ascii="宋体" w:hAnsi="宋体" w:cs="宋体"/>
          <w:color w:val="auto"/>
          <w:spacing w:val="20"/>
          <w:szCs w:val="21"/>
          <w:highlight w:val="none"/>
        </w:rPr>
        <w:t>投标人名称（电子签章）：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w:t>
      </w:r>
    </w:p>
    <w:p w14:paraId="387B0455">
      <w:pPr>
        <w:keepNext w:val="0"/>
        <w:keepLines w:val="0"/>
        <w:pageBreakBefore w:val="0"/>
        <w:widowControl w:val="0"/>
        <w:kinsoku/>
        <w:wordWrap w:val="0"/>
        <w:overflowPunct/>
        <w:topLinePunct w:val="0"/>
        <w:autoSpaceDE/>
        <w:autoSpaceDN/>
        <w:bidi w:val="0"/>
        <w:adjustRightInd/>
        <w:spacing w:line="400" w:lineRule="exact"/>
        <w:contextualSpacing/>
        <w:jc w:val="left"/>
        <w:textAlignment w:val="auto"/>
        <w:rPr>
          <w:rFonts w:hint="eastAsia" w:ascii="宋体" w:hAnsi="宋体" w:cs="宋体"/>
          <w:color w:val="auto"/>
          <w:szCs w:val="21"/>
          <w:highlight w:val="none"/>
        </w:rPr>
      </w:pPr>
      <w:r>
        <w:rPr>
          <w:rFonts w:hint="eastAsia" w:ascii="宋体" w:hAnsi="宋体" w:cs="宋体"/>
          <w:color w:val="auto"/>
          <w:spacing w:val="20"/>
          <w:szCs w:val="21"/>
          <w:highlight w:val="none"/>
        </w:rPr>
        <w:t>日 期：</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年</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月</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日</w:t>
      </w:r>
    </w:p>
    <w:p w14:paraId="527447D8">
      <w:pPr>
        <w:spacing w:line="360" w:lineRule="auto"/>
        <w:contextualSpacing/>
        <w:jc w:val="left"/>
        <w:rPr>
          <w:rFonts w:hint="eastAsia" w:ascii="宋体" w:hAnsi="宋体" w:cs="宋体"/>
          <w:color w:val="auto"/>
          <w:sz w:val="24"/>
          <w:szCs w:val="20"/>
          <w:highlight w:val="none"/>
        </w:rPr>
      </w:pPr>
    </w:p>
    <w:p w14:paraId="48F6A546">
      <w:pPr>
        <w:snapToGrid w:val="0"/>
        <w:spacing w:before="50" w:after="165" w:afterLines="50"/>
        <w:jc w:val="left"/>
        <w:rPr>
          <w:rFonts w:hint="eastAsia" w:ascii="宋体" w:hAnsi="宋体" w:cs="宋体"/>
          <w:color w:val="auto"/>
          <w:sz w:val="24"/>
          <w:szCs w:val="20"/>
          <w:highlight w:val="none"/>
        </w:rPr>
      </w:pPr>
    </w:p>
    <w:p w14:paraId="0D669B19">
      <w:pPr>
        <w:snapToGrid w:val="0"/>
        <w:spacing w:before="165" w:beforeLines="50" w:after="50"/>
        <w:jc w:val="left"/>
        <w:rPr>
          <w:rFonts w:hint="eastAsia" w:ascii="宋体" w:hAnsi="宋体" w:cs="宋体"/>
          <w:color w:val="auto"/>
          <w:sz w:val="24"/>
          <w:szCs w:val="20"/>
          <w:highlight w:val="none"/>
        </w:rPr>
      </w:pPr>
    </w:p>
    <w:p w14:paraId="4072B977">
      <w:pPr>
        <w:snapToGrid w:val="0"/>
        <w:spacing w:before="50" w:after="165" w:afterLines="50"/>
        <w:jc w:val="left"/>
        <w:rPr>
          <w:rFonts w:hint="eastAsia" w:ascii="宋体" w:hAnsi="宋体" w:cs="宋体"/>
          <w:color w:val="auto"/>
          <w:sz w:val="24"/>
          <w:szCs w:val="20"/>
          <w:highlight w:val="none"/>
        </w:rPr>
      </w:pPr>
    </w:p>
    <w:p w14:paraId="648DED5F">
      <w:pPr>
        <w:rPr>
          <w:rFonts w:hint="eastAsia" w:ascii="宋体" w:hAnsi="宋体" w:cs="宋体"/>
          <w:b/>
          <w:color w:val="auto"/>
          <w:sz w:val="28"/>
          <w:szCs w:val="28"/>
          <w:highlight w:val="none"/>
        </w:rPr>
      </w:pPr>
      <w:r>
        <w:rPr>
          <w:rFonts w:hint="eastAsia" w:ascii="宋体" w:hAnsi="宋体" w:cs="宋体"/>
          <w:b/>
          <w:bCs/>
          <w:color w:val="auto"/>
          <w:sz w:val="24"/>
          <w:highlight w:val="none"/>
        </w:rPr>
        <w:br w:type="page"/>
      </w:r>
      <w:bookmarkStart w:id="245" w:name="_Toc19686840"/>
      <w:r>
        <w:rPr>
          <w:rFonts w:hint="eastAsia" w:ascii="宋体" w:hAnsi="宋体" w:cs="宋体"/>
          <w:b/>
          <w:color w:val="auto"/>
          <w:sz w:val="28"/>
          <w:szCs w:val="28"/>
          <w:highlight w:val="none"/>
        </w:rPr>
        <w:t>四、其他文书、文件格式</w:t>
      </w:r>
      <w:bookmarkEnd w:id="245"/>
    </w:p>
    <w:p w14:paraId="4A079499">
      <w:pPr>
        <w:spacing w:line="360" w:lineRule="auto"/>
        <w:jc w:val="left"/>
        <w:rPr>
          <w:rFonts w:hint="eastAsia" w:ascii="宋体" w:hAnsi="宋体" w:cs="宋体"/>
          <w:b/>
          <w:bCs/>
          <w:color w:val="auto"/>
          <w:sz w:val="32"/>
          <w:szCs w:val="32"/>
          <w:highlight w:val="none"/>
        </w:rPr>
      </w:pPr>
      <w:r>
        <w:rPr>
          <w:rFonts w:hint="eastAsia" w:ascii="宋体" w:hAnsi="宋体" w:cs="宋体"/>
          <w:b/>
          <w:color w:val="auto"/>
          <w:sz w:val="24"/>
          <w:highlight w:val="none"/>
        </w:rPr>
        <w:t>1.质疑函（格式）</w:t>
      </w:r>
    </w:p>
    <w:p w14:paraId="09C94056">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质疑函（格式）</w:t>
      </w:r>
    </w:p>
    <w:p w14:paraId="4549AE21">
      <w:pPr>
        <w:pStyle w:val="20"/>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一、质疑供应商基本信息：</w:t>
      </w:r>
    </w:p>
    <w:p w14:paraId="42CA398D">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质疑供应商：</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45ABA674">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0F3D72D6">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248D0A58">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授权代表：</w:t>
      </w:r>
      <w:r>
        <w:rPr>
          <w:rFonts w:hint="eastAsia" w:hAnsi="宋体" w:cs="宋体"/>
          <w:bCs/>
          <w:color w:val="auto"/>
          <w:highlight w:val="none"/>
          <w:u w:val="single"/>
        </w:rPr>
        <w:t xml:space="preserve">                      </w:t>
      </w:r>
    </w:p>
    <w:p w14:paraId="7AFF3742">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690A3AA1">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textAlignment w:val="auto"/>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5CC19078">
      <w:pPr>
        <w:pStyle w:val="20"/>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二、质疑项目基本情况：</w:t>
      </w:r>
    </w:p>
    <w:p w14:paraId="1AD5E11E">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项目的名称：</w:t>
      </w:r>
      <w:r>
        <w:rPr>
          <w:rFonts w:hint="eastAsia" w:hAnsi="宋体" w:cs="宋体"/>
          <w:bCs/>
          <w:color w:val="auto"/>
          <w:highlight w:val="none"/>
          <w:u w:val="single"/>
        </w:rPr>
        <w:t xml:space="preserve">                                     </w:t>
      </w:r>
    </w:p>
    <w:p w14:paraId="01C8E34D">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bCs/>
          <w:color w:val="auto"/>
          <w:highlight w:val="none"/>
        </w:rPr>
        <w:t>质疑</w:t>
      </w:r>
      <w:r>
        <w:rPr>
          <w:rFonts w:hint="eastAsia" w:hAnsi="宋体" w:cs="宋体"/>
          <w:color w:val="auto"/>
          <w:highlight w:val="none"/>
        </w:rPr>
        <w:t>项目的编号：</w:t>
      </w:r>
      <w:r>
        <w:rPr>
          <w:rFonts w:hint="eastAsia" w:hAnsi="宋体" w:cs="宋体"/>
          <w:bCs/>
          <w:color w:val="auto"/>
          <w:highlight w:val="none"/>
          <w:u w:val="single"/>
        </w:rPr>
        <w:t xml:space="preserve">                                     </w:t>
      </w:r>
    </w:p>
    <w:p w14:paraId="1EEBD2C8">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32D9E49B">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质疑事项：</w:t>
      </w:r>
    </w:p>
    <w:p w14:paraId="043A04EC">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r>
        <w:rPr>
          <w:rFonts w:hint="eastAsia" w:hAnsi="宋体" w:cs="宋体"/>
          <w:color w:val="auto"/>
          <w:highlight w:val="none"/>
        </w:rPr>
        <w:t>□招标文件   招标文件获取日期：</w:t>
      </w:r>
      <w:r>
        <w:rPr>
          <w:rFonts w:hint="eastAsia" w:hAnsi="宋体" w:cs="宋体"/>
          <w:bCs/>
          <w:color w:val="auto"/>
          <w:highlight w:val="none"/>
          <w:u w:val="single"/>
        </w:rPr>
        <w:t xml:space="preserve">                                   </w:t>
      </w:r>
    </w:p>
    <w:p w14:paraId="58A39D26">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r>
        <w:rPr>
          <w:rFonts w:hint="eastAsia" w:hAnsi="宋体" w:cs="宋体"/>
          <w:color w:val="auto"/>
          <w:highlight w:val="none"/>
        </w:rPr>
        <w:t xml:space="preserve">□招标过程   </w:t>
      </w:r>
    </w:p>
    <w:p w14:paraId="27D7CD91">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bCs/>
          <w:color w:val="auto"/>
          <w:highlight w:val="none"/>
          <w:u w:val="single"/>
        </w:rPr>
      </w:pPr>
      <w:r>
        <w:rPr>
          <w:rFonts w:hint="eastAsia" w:hAnsi="宋体" w:cs="宋体"/>
          <w:color w:val="auto"/>
          <w:highlight w:val="none"/>
        </w:rPr>
        <w:t xml:space="preserve">□招标结果   </w:t>
      </w:r>
    </w:p>
    <w:p w14:paraId="64108333">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三、质疑事项具体内容</w:t>
      </w:r>
    </w:p>
    <w:p w14:paraId="4C1B0ACA">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质疑事项1：</w:t>
      </w:r>
      <w:r>
        <w:rPr>
          <w:rFonts w:hint="eastAsia" w:hAnsi="宋体" w:cs="宋体"/>
          <w:bCs/>
          <w:color w:val="auto"/>
          <w:highlight w:val="none"/>
          <w:u w:val="single"/>
        </w:rPr>
        <w:t xml:space="preserve">                                                                    </w:t>
      </w:r>
    </w:p>
    <w:p w14:paraId="307F9217">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事实依据：</w:t>
      </w:r>
      <w:r>
        <w:rPr>
          <w:rFonts w:hint="eastAsia" w:hAnsi="宋体" w:cs="宋体"/>
          <w:bCs/>
          <w:color w:val="auto"/>
          <w:highlight w:val="none"/>
          <w:u w:val="single"/>
        </w:rPr>
        <w:t xml:space="preserve">                                                                      </w:t>
      </w:r>
    </w:p>
    <w:p w14:paraId="6A94580F">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法律依据：</w:t>
      </w:r>
      <w:r>
        <w:rPr>
          <w:rFonts w:hint="eastAsia" w:hAnsi="宋体" w:cs="宋体"/>
          <w:color w:val="auto"/>
          <w:highlight w:val="none"/>
          <w:u w:val="single"/>
        </w:rPr>
        <w:t xml:space="preserve">                                                        </w:t>
      </w:r>
      <w:r>
        <w:rPr>
          <w:rFonts w:hint="eastAsia" w:hAnsi="宋体" w:cs="宋体"/>
          <w:bCs/>
          <w:color w:val="auto"/>
          <w:highlight w:val="none"/>
          <w:u w:val="single"/>
        </w:rPr>
        <w:t xml:space="preserve">               </w:t>
      </w:r>
    </w:p>
    <w:p w14:paraId="52402A86">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质疑事项2</w:t>
      </w:r>
    </w:p>
    <w:p w14:paraId="112A238B">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w:t>
      </w:r>
    </w:p>
    <w:p w14:paraId="200E72C8">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四、与质疑事项相关的质疑请求：</w:t>
      </w:r>
    </w:p>
    <w:p w14:paraId="10BB48C7">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3365F8E4">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p>
    <w:p w14:paraId="4DD08435">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签字（签章）：                                       公章：</w:t>
      </w:r>
    </w:p>
    <w:p w14:paraId="10A48200">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日期：</w:t>
      </w:r>
    </w:p>
    <w:p w14:paraId="38BEF96C">
      <w:pPr>
        <w:pStyle w:val="20"/>
        <w:keepNext w:val="0"/>
        <w:keepLines w:val="0"/>
        <w:pageBreakBefore w:val="0"/>
        <w:widowControl w:val="0"/>
        <w:kinsoku/>
        <w:wordWrap/>
        <w:overflowPunct/>
        <w:topLinePunct w:val="0"/>
        <w:autoSpaceDE/>
        <w:autoSpaceDN/>
        <w:bidi w:val="0"/>
        <w:adjustRightInd/>
        <w:snapToGrid w:val="0"/>
        <w:spacing w:line="400" w:lineRule="exact"/>
        <w:textAlignment w:val="auto"/>
        <w:rPr>
          <w:rFonts w:hint="eastAsia" w:hAnsi="宋体" w:cs="宋体"/>
          <w:b/>
          <w:color w:val="auto"/>
          <w:highlight w:val="none"/>
        </w:rPr>
      </w:pPr>
      <w:r>
        <w:rPr>
          <w:rFonts w:hint="eastAsia" w:hAnsi="宋体" w:cs="宋体"/>
          <w:b/>
          <w:color w:val="auto"/>
          <w:highlight w:val="none"/>
        </w:rPr>
        <w:t>说明：</w:t>
      </w:r>
    </w:p>
    <w:p w14:paraId="0E89E1C1">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bCs/>
          <w:color w:val="auto"/>
          <w:highlight w:val="none"/>
        </w:rPr>
      </w:pPr>
      <w:r>
        <w:rPr>
          <w:rFonts w:hint="eastAsia" w:hAnsi="宋体" w:cs="宋体"/>
          <w:b/>
          <w:color w:val="auto"/>
          <w:highlight w:val="none"/>
        </w:rPr>
        <w:t>1.供应商提出质疑时，应提交质疑函和必要的证明材料</w:t>
      </w:r>
      <w:r>
        <w:rPr>
          <w:rFonts w:hint="eastAsia" w:hAnsi="宋体" w:cs="宋体"/>
          <w:b/>
          <w:bCs/>
          <w:color w:val="auto"/>
          <w:highlight w:val="none"/>
        </w:rPr>
        <w:t>。</w:t>
      </w:r>
    </w:p>
    <w:p w14:paraId="43EFC238">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39C62DCC">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3.质疑函的质疑事项应具体、明确，并有必要的事实依据和法律依据。</w:t>
      </w:r>
    </w:p>
    <w:p w14:paraId="2D289A94">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4.质疑函的质疑请求应与质疑事项相关。</w:t>
      </w:r>
    </w:p>
    <w:p w14:paraId="0DDB395D">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5.质疑供应商为法人或者其他组织的，质疑函应由法定代表人、主要负责人，或者其授权代表签字或者盖章，并加盖公章。</w:t>
      </w:r>
    </w:p>
    <w:p w14:paraId="470EF484">
      <w:pPr>
        <w:spacing w:line="460" w:lineRule="exact"/>
        <w:rPr>
          <w:rFonts w:hint="eastAsia" w:ascii="宋体" w:hAnsi="宋体" w:cs="宋体"/>
          <w:color w:val="auto"/>
          <w:sz w:val="44"/>
          <w:highlight w:val="none"/>
        </w:rPr>
      </w:pPr>
    </w:p>
    <w:p w14:paraId="22858AB2">
      <w:pPr>
        <w:spacing w:line="360" w:lineRule="auto"/>
        <w:jc w:val="left"/>
        <w:rPr>
          <w:rFonts w:hint="eastAsia" w:ascii="宋体" w:hAnsi="宋体" w:cs="宋体"/>
          <w:b/>
          <w:color w:val="auto"/>
          <w:sz w:val="24"/>
          <w:highlight w:val="none"/>
        </w:rPr>
      </w:pPr>
      <w:r>
        <w:rPr>
          <w:rFonts w:hint="eastAsia" w:ascii="宋体" w:hAnsi="宋体" w:cs="宋体"/>
          <w:b/>
          <w:color w:val="auto"/>
          <w:sz w:val="24"/>
          <w:highlight w:val="none"/>
        </w:rPr>
        <w:br w:type="page"/>
      </w:r>
      <w:r>
        <w:rPr>
          <w:rFonts w:hint="eastAsia" w:ascii="宋体" w:hAnsi="宋体" w:cs="宋体"/>
          <w:b/>
          <w:color w:val="auto"/>
          <w:sz w:val="24"/>
          <w:highlight w:val="none"/>
        </w:rPr>
        <w:t>2.投诉书（格式）</w:t>
      </w:r>
    </w:p>
    <w:p w14:paraId="3BE9674E">
      <w:pPr>
        <w:spacing w:line="360" w:lineRule="auto"/>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投诉书（格式）</w:t>
      </w:r>
    </w:p>
    <w:p w14:paraId="61BCE133">
      <w:pPr>
        <w:pStyle w:val="20"/>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一、投诉相关主体基本情况：</w:t>
      </w:r>
    </w:p>
    <w:p w14:paraId="6DDDCFBC">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投标人：</w:t>
      </w:r>
      <w:r>
        <w:rPr>
          <w:rFonts w:hint="eastAsia" w:hAnsi="宋体" w:cs="宋体"/>
          <w:bCs/>
          <w:color w:val="auto"/>
          <w:highlight w:val="none"/>
          <w:u w:val="single"/>
        </w:rPr>
        <w:t xml:space="preserve">                                                                        </w:t>
      </w:r>
    </w:p>
    <w:p w14:paraId="7A2430FD">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464DBE03">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法定代表人/主要负责人：</w:t>
      </w:r>
      <w:r>
        <w:rPr>
          <w:rFonts w:hint="eastAsia" w:hAnsi="宋体" w:cs="宋体"/>
          <w:bCs/>
          <w:color w:val="auto"/>
          <w:highlight w:val="none"/>
          <w:u w:val="single"/>
        </w:rPr>
        <w:t xml:space="preserve">                                                         </w:t>
      </w:r>
    </w:p>
    <w:p w14:paraId="6DB99C6C">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联系电话：</w:t>
      </w:r>
      <w:r>
        <w:rPr>
          <w:rFonts w:hint="eastAsia" w:hAnsi="宋体" w:cs="宋体"/>
          <w:bCs/>
          <w:color w:val="auto"/>
          <w:highlight w:val="none"/>
          <w:u w:val="single"/>
        </w:rPr>
        <w:t xml:space="preserve">                                         </w:t>
      </w:r>
    </w:p>
    <w:p w14:paraId="61199FA1">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授权代表：</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3B484436">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p>
    <w:p w14:paraId="00CC7AF8">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5F989198">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被投诉人1：</w:t>
      </w:r>
    </w:p>
    <w:p w14:paraId="1E427EF5">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p>
    <w:p w14:paraId="4109A0C9">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邮编：</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35A132F8">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p>
    <w:p w14:paraId="02E410A0">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被投诉人2：</w:t>
      </w:r>
    </w:p>
    <w:p w14:paraId="0B0CBEBD">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w:t>
      </w:r>
    </w:p>
    <w:p w14:paraId="26C66536">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相关供应商：</w:t>
      </w:r>
      <w:r>
        <w:rPr>
          <w:rFonts w:hint="eastAsia" w:hAnsi="宋体" w:cs="宋体"/>
          <w:bCs/>
          <w:color w:val="auto"/>
          <w:highlight w:val="none"/>
          <w:u w:val="single"/>
        </w:rPr>
        <w:t xml:space="preserve">                                                                       </w:t>
      </w:r>
    </w:p>
    <w:p w14:paraId="2A0F8D52">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u w:val="single"/>
        </w:rPr>
      </w:pPr>
      <w:r>
        <w:rPr>
          <w:rFonts w:hint="eastAsia" w:hAnsi="宋体" w:cs="宋体"/>
          <w:bCs/>
          <w:color w:val="auto"/>
          <w:highlight w:val="none"/>
        </w:rPr>
        <w:t>地址：</w:t>
      </w:r>
      <w:r>
        <w:rPr>
          <w:rFonts w:hint="eastAsia" w:hAnsi="宋体" w:cs="宋体"/>
          <w:bCs/>
          <w:color w:val="auto"/>
          <w:highlight w:val="none"/>
          <w:u w:val="single"/>
        </w:rPr>
        <w:t xml:space="preserve">                                              </w:t>
      </w:r>
      <w:r>
        <w:rPr>
          <w:rFonts w:hint="eastAsia" w:hAnsi="宋体" w:cs="宋体"/>
          <w:bCs/>
          <w:color w:val="auto"/>
          <w:highlight w:val="none"/>
        </w:rPr>
        <w:t>邮编：</w:t>
      </w:r>
      <w:r>
        <w:rPr>
          <w:rFonts w:hint="eastAsia" w:hAnsi="宋体" w:cs="宋体"/>
          <w:bCs/>
          <w:color w:val="auto"/>
          <w:highlight w:val="none"/>
          <w:u w:val="single"/>
        </w:rPr>
        <w:t xml:space="preserve">                         </w:t>
      </w:r>
    </w:p>
    <w:p w14:paraId="0FBBE4E7">
      <w:pPr>
        <w:pStyle w:val="20"/>
        <w:keepNext w:val="0"/>
        <w:keepLines w:val="0"/>
        <w:pageBreakBefore w:val="0"/>
        <w:widowControl w:val="0"/>
        <w:kinsoku/>
        <w:wordWrap/>
        <w:overflowPunct/>
        <w:topLinePunct w:val="0"/>
        <w:autoSpaceDE/>
        <w:autoSpaceDN/>
        <w:bidi w:val="0"/>
        <w:adjustRightInd/>
        <w:snapToGrid w:val="0"/>
        <w:spacing w:line="400" w:lineRule="exact"/>
        <w:ind w:firstLine="420" w:firstLineChars="200"/>
        <w:jc w:val="left"/>
        <w:textAlignment w:val="auto"/>
        <w:rPr>
          <w:rFonts w:hint="eastAsia" w:hAnsi="宋体" w:cs="宋体"/>
          <w:bCs/>
          <w:color w:val="auto"/>
          <w:highlight w:val="none"/>
        </w:rPr>
      </w:pPr>
      <w:r>
        <w:rPr>
          <w:rFonts w:hint="eastAsia" w:hAnsi="宋体" w:cs="宋体"/>
          <w:bCs/>
          <w:color w:val="auto"/>
          <w:highlight w:val="none"/>
        </w:rPr>
        <w:t>联系人：</w:t>
      </w:r>
      <w:r>
        <w:rPr>
          <w:rFonts w:hint="eastAsia" w:hAnsi="宋体" w:cs="宋体"/>
          <w:bCs/>
          <w:color w:val="auto"/>
          <w:highlight w:val="none"/>
          <w:u w:val="single"/>
        </w:rPr>
        <w:t xml:space="preserve">                                            </w:t>
      </w:r>
      <w:r>
        <w:rPr>
          <w:rFonts w:hint="eastAsia" w:hAnsi="宋体" w:cs="宋体"/>
          <w:bCs/>
          <w:color w:val="auto"/>
          <w:highlight w:val="none"/>
        </w:rPr>
        <w:t>联系电话：</w:t>
      </w:r>
      <w:r>
        <w:rPr>
          <w:rFonts w:hint="eastAsia" w:hAnsi="宋体" w:cs="宋体"/>
          <w:bCs/>
          <w:color w:val="auto"/>
          <w:highlight w:val="none"/>
          <w:u w:val="single"/>
        </w:rPr>
        <w:t xml:space="preserve">                     </w:t>
      </w:r>
      <w:r>
        <w:rPr>
          <w:rFonts w:hint="eastAsia" w:hAnsi="宋体" w:cs="宋体"/>
          <w:bCs/>
          <w:color w:val="auto"/>
          <w:highlight w:val="none"/>
        </w:rPr>
        <w:t xml:space="preserve">                </w:t>
      </w:r>
    </w:p>
    <w:p w14:paraId="15088F28">
      <w:pPr>
        <w:pStyle w:val="20"/>
        <w:keepNext w:val="0"/>
        <w:keepLines w:val="0"/>
        <w:pageBreakBefore w:val="0"/>
        <w:widowControl w:val="0"/>
        <w:kinsoku/>
        <w:wordWrap/>
        <w:overflowPunct/>
        <w:topLinePunct w:val="0"/>
        <w:autoSpaceDE/>
        <w:autoSpaceDN/>
        <w:bidi w:val="0"/>
        <w:adjustRightInd/>
        <w:snapToGrid w:val="0"/>
        <w:spacing w:line="400" w:lineRule="exact"/>
        <w:ind w:firstLine="422" w:firstLineChars="200"/>
        <w:textAlignment w:val="auto"/>
        <w:rPr>
          <w:rFonts w:hint="eastAsia" w:hAnsi="宋体" w:cs="宋体"/>
          <w:b/>
          <w:bCs/>
          <w:color w:val="auto"/>
          <w:highlight w:val="none"/>
        </w:rPr>
      </w:pPr>
      <w:r>
        <w:rPr>
          <w:rFonts w:hint="eastAsia" w:hAnsi="宋体" w:cs="宋体"/>
          <w:b/>
          <w:bCs/>
          <w:color w:val="auto"/>
          <w:highlight w:val="none"/>
        </w:rPr>
        <w:t>二、投诉项目基本情况：</w:t>
      </w:r>
    </w:p>
    <w:p w14:paraId="6B328C4D">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招标项目的名称：</w:t>
      </w:r>
      <w:r>
        <w:rPr>
          <w:rFonts w:hint="eastAsia" w:hAnsi="宋体" w:cs="宋体"/>
          <w:bCs/>
          <w:color w:val="auto"/>
          <w:highlight w:val="none"/>
          <w:u w:val="single"/>
        </w:rPr>
        <w:t xml:space="preserve">                                                                   </w:t>
      </w:r>
    </w:p>
    <w:p w14:paraId="14F42BEB">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招标项目的编号：</w:t>
      </w:r>
      <w:r>
        <w:rPr>
          <w:rFonts w:hint="eastAsia" w:hAnsi="宋体" w:cs="宋体"/>
          <w:bCs/>
          <w:color w:val="auto"/>
          <w:highlight w:val="none"/>
          <w:u w:val="single"/>
        </w:rPr>
        <w:t xml:space="preserve">                                          </w:t>
      </w:r>
    </w:p>
    <w:p w14:paraId="545CF249">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采购人名称：</w:t>
      </w:r>
      <w:r>
        <w:rPr>
          <w:rFonts w:hint="eastAsia" w:hAnsi="宋体" w:cs="宋体"/>
          <w:bCs/>
          <w:color w:val="auto"/>
          <w:highlight w:val="none"/>
          <w:u w:val="single"/>
        </w:rPr>
        <w:t xml:space="preserve">                                                                        </w:t>
      </w:r>
    </w:p>
    <w:p w14:paraId="4FA9E5B5">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代理机构名称：</w:t>
      </w:r>
      <w:r>
        <w:rPr>
          <w:rFonts w:hint="eastAsia" w:hAnsi="宋体" w:cs="宋体"/>
          <w:bCs/>
          <w:color w:val="auto"/>
          <w:highlight w:val="none"/>
          <w:u w:val="single"/>
        </w:rPr>
        <w:t xml:space="preserve">                                                                      </w:t>
      </w:r>
    </w:p>
    <w:p w14:paraId="516B5226">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招标</w:t>
      </w:r>
      <w:r>
        <w:rPr>
          <w:rFonts w:hint="eastAsia" w:hAnsi="宋体" w:cs="宋体"/>
          <w:bCs/>
          <w:color w:val="auto"/>
          <w:highlight w:val="none"/>
        </w:rPr>
        <w:t>文件公告：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6672C46A">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
          <w:color w:val="auto"/>
          <w:highlight w:val="none"/>
        </w:rPr>
      </w:pPr>
      <w:r>
        <w:rPr>
          <w:rFonts w:hint="eastAsia" w:hAnsi="宋体" w:cs="宋体"/>
          <w:color w:val="auto"/>
          <w:highlight w:val="none"/>
        </w:rPr>
        <w:t>招标</w:t>
      </w:r>
      <w:r>
        <w:rPr>
          <w:rFonts w:hint="eastAsia" w:hAnsi="宋体" w:cs="宋体"/>
          <w:bCs/>
          <w:color w:val="auto"/>
          <w:highlight w:val="none"/>
        </w:rPr>
        <w:t>结果公告：</w:t>
      </w:r>
      <w:r>
        <w:rPr>
          <w:rFonts w:hint="eastAsia" w:hAnsi="宋体" w:cs="宋体"/>
          <w:bCs/>
          <w:color w:val="auto"/>
          <w:highlight w:val="none"/>
          <w:u w:val="single"/>
        </w:rPr>
        <w:t>是/否</w:t>
      </w:r>
      <w:r>
        <w:rPr>
          <w:rFonts w:hint="eastAsia" w:hAnsi="宋体" w:cs="宋体"/>
          <w:bCs/>
          <w:color w:val="auto"/>
          <w:highlight w:val="none"/>
        </w:rPr>
        <w:t>公告期限：</w:t>
      </w:r>
      <w:r>
        <w:rPr>
          <w:rFonts w:hint="eastAsia" w:hAnsi="宋体" w:cs="宋体"/>
          <w:bCs/>
          <w:color w:val="auto"/>
          <w:highlight w:val="none"/>
          <w:u w:val="single"/>
        </w:rPr>
        <w:t xml:space="preserve">                                                    </w:t>
      </w:r>
    </w:p>
    <w:p w14:paraId="602E15DC">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三、质疑基本情况</w:t>
      </w:r>
    </w:p>
    <w:p w14:paraId="549FA420">
      <w:pPr>
        <w:pStyle w:val="20"/>
        <w:keepNext w:val="0"/>
        <w:keepLines w:val="0"/>
        <w:pageBreakBefore w:val="0"/>
        <w:widowControl w:val="0"/>
        <w:kinsoku/>
        <w:wordWrap/>
        <w:overflowPunct/>
        <w:topLinePunct w:val="0"/>
        <w:autoSpaceDE/>
        <w:autoSpaceDN/>
        <w:bidi w:val="0"/>
        <w:adjustRightInd/>
        <w:spacing w:line="400" w:lineRule="exact"/>
        <w:ind w:left="25" w:leftChars="12" w:firstLine="420" w:firstLineChars="200"/>
        <w:textAlignment w:val="auto"/>
        <w:rPr>
          <w:rFonts w:hint="eastAsia" w:hAnsi="宋体" w:cs="宋体"/>
          <w:color w:val="auto"/>
          <w:highlight w:val="none"/>
        </w:rPr>
      </w:pPr>
      <w:r>
        <w:rPr>
          <w:rFonts w:hint="eastAsia" w:hAnsi="宋体" w:cs="宋体"/>
          <w:color w:val="auto"/>
          <w:highlight w:val="none"/>
        </w:rPr>
        <w:t>投诉人于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日，向</w:t>
      </w:r>
      <w:r>
        <w:rPr>
          <w:rFonts w:hint="eastAsia" w:hAnsi="宋体" w:cs="宋体"/>
          <w:color w:val="auto"/>
          <w:highlight w:val="none"/>
          <w:u w:val="single"/>
        </w:rPr>
        <w:t xml:space="preserve">                                </w:t>
      </w:r>
      <w:r>
        <w:rPr>
          <w:rFonts w:hint="eastAsia" w:hAnsi="宋体" w:cs="宋体"/>
          <w:color w:val="auto"/>
          <w:highlight w:val="none"/>
        </w:rPr>
        <w:t>提出质疑，质疑事项为：</w:t>
      </w:r>
    </w:p>
    <w:p w14:paraId="670C38DD">
      <w:pPr>
        <w:pStyle w:val="20"/>
        <w:keepNext w:val="0"/>
        <w:keepLines w:val="0"/>
        <w:pageBreakBefore w:val="0"/>
        <w:widowControl w:val="0"/>
        <w:kinsoku/>
        <w:wordWrap/>
        <w:overflowPunct/>
        <w:topLinePunct w:val="0"/>
        <w:autoSpaceDE/>
        <w:autoSpaceDN/>
        <w:bidi w:val="0"/>
        <w:adjustRightInd/>
        <w:spacing w:line="400" w:lineRule="exact"/>
        <w:ind w:firstLine="241"/>
        <w:textAlignment w:val="auto"/>
        <w:rPr>
          <w:rFonts w:hint="eastAsia" w:hAnsi="宋体" w:cs="宋体"/>
          <w:bCs/>
          <w:color w:val="auto"/>
          <w:highlight w:val="none"/>
          <w:u w:val="single"/>
        </w:rPr>
      </w:pPr>
      <w:r>
        <w:rPr>
          <w:rFonts w:hint="eastAsia" w:hAnsi="宋体" w:cs="宋体"/>
          <w:color w:val="auto"/>
          <w:highlight w:val="none"/>
        </w:rPr>
        <w:t xml:space="preserve">    </w:t>
      </w:r>
      <w:r>
        <w:rPr>
          <w:rFonts w:hint="eastAsia" w:hAnsi="宋体" w:cs="宋体"/>
          <w:bCs/>
          <w:color w:val="auto"/>
          <w:highlight w:val="none"/>
          <w:u w:val="single"/>
        </w:rPr>
        <w:t xml:space="preserve">                                                                                      </w:t>
      </w:r>
    </w:p>
    <w:p w14:paraId="3869A9DC">
      <w:pPr>
        <w:pStyle w:val="20"/>
        <w:keepNext w:val="0"/>
        <w:keepLines w:val="0"/>
        <w:pageBreakBefore w:val="0"/>
        <w:widowControl w:val="0"/>
        <w:kinsoku/>
        <w:wordWrap/>
        <w:overflowPunct/>
        <w:topLinePunct w:val="0"/>
        <w:autoSpaceDE/>
        <w:autoSpaceDN/>
        <w:bidi w:val="0"/>
        <w:adjustRightInd/>
        <w:spacing w:line="400" w:lineRule="exact"/>
        <w:ind w:firstLine="241"/>
        <w:textAlignment w:val="auto"/>
        <w:rPr>
          <w:rFonts w:hint="eastAsia"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0DF0C385">
      <w:pPr>
        <w:pStyle w:val="20"/>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hAnsi="宋体" w:cs="宋体"/>
          <w:color w:val="auto"/>
          <w:highlight w:val="none"/>
        </w:rPr>
      </w:pPr>
      <w:r>
        <w:rPr>
          <w:rFonts w:hint="eastAsia" w:hAnsi="宋体" w:cs="宋体"/>
          <w:bCs/>
          <w:color w:val="auto"/>
          <w:highlight w:val="none"/>
          <w:u w:val="single"/>
        </w:rPr>
        <w:t>采购人/代理机构</w:t>
      </w:r>
      <w:r>
        <w:rPr>
          <w:rFonts w:hint="eastAsia" w:hAnsi="宋体" w:cs="宋体"/>
          <w:bCs/>
          <w:color w:val="auto"/>
          <w:highlight w:val="none"/>
        </w:rPr>
        <w:t>于</w:t>
      </w:r>
      <w:r>
        <w:rPr>
          <w:rFonts w:hint="eastAsia" w:hAnsi="宋体" w:cs="宋体"/>
          <w:color w:val="auto"/>
          <w:highlight w:val="none"/>
          <w:u w:val="single"/>
        </w:rPr>
        <w:t xml:space="preserve">      </w:t>
      </w:r>
      <w:r>
        <w:rPr>
          <w:rFonts w:hint="eastAsia" w:hAnsi="宋体" w:cs="宋体"/>
          <w:color w:val="auto"/>
          <w:highlight w:val="none"/>
        </w:rPr>
        <w:t>年</w:t>
      </w:r>
      <w:r>
        <w:rPr>
          <w:rFonts w:hint="eastAsia" w:hAnsi="宋体" w:cs="宋体"/>
          <w:color w:val="auto"/>
          <w:highlight w:val="none"/>
          <w:u w:val="single"/>
        </w:rPr>
        <w:t xml:space="preserve">   </w:t>
      </w:r>
      <w:r>
        <w:rPr>
          <w:rFonts w:hint="eastAsia" w:hAnsi="宋体" w:cs="宋体"/>
          <w:color w:val="auto"/>
          <w:highlight w:val="none"/>
        </w:rPr>
        <w:t>月</w:t>
      </w:r>
      <w:r>
        <w:rPr>
          <w:rFonts w:hint="eastAsia" w:hAnsi="宋体" w:cs="宋体"/>
          <w:color w:val="auto"/>
          <w:highlight w:val="none"/>
          <w:u w:val="single"/>
        </w:rPr>
        <w:t xml:space="preserve">   </w:t>
      </w:r>
      <w:r>
        <w:rPr>
          <w:rFonts w:hint="eastAsia" w:hAnsi="宋体" w:cs="宋体"/>
          <w:color w:val="auto"/>
          <w:highlight w:val="none"/>
        </w:rPr>
        <w:t>日，</w:t>
      </w:r>
      <w:r>
        <w:rPr>
          <w:rFonts w:hint="eastAsia" w:hAnsi="宋体" w:cs="宋体"/>
          <w:bCs/>
          <w:color w:val="auto"/>
          <w:highlight w:val="none"/>
        </w:rPr>
        <w:t xml:space="preserve">就质疑事项作出了答复/没有在法定期限内作出答复。                                                                                             </w:t>
      </w:r>
    </w:p>
    <w:p w14:paraId="77884FF2">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四、投诉事项具体内容</w:t>
      </w:r>
    </w:p>
    <w:p w14:paraId="0350F0F1">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u w:val="single"/>
        </w:rPr>
      </w:pPr>
      <w:r>
        <w:rPr>
          <w:rFonts w:hint="eastAsia" w:hAnsi="宋体" w:cs="宋体"/>
          <w:color w:val="auto"/>
          <w:highlight w:val="none"/>
        </w:rPr>
        <w:t>投诉事项1：</w:t>
      </w:r>
      <w:r>
        <w:rPr>
          <w:rFonts w:hint="eastAsia" w:hAnsi="宋体" w:cs="宋体"/>
          <w:bCs/>
          <w:color w:val="auto"/>
          <w:highlight w:val="none"/>
          <w:u w:val="single"/>
        </w:rPr>
        <w:t xml:space="preserve">                                                                           </w:t>
      </w:r>
    </w:p>
    <w:p w14:paraId="7C46A62D">
      <w:pPr>
        <w:pStyle w:val="20"/>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事实依据：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6F1737AC">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bCs/>
          <w:color w:val="auto"/>
          <w:highlight w:val="none"/>
          <w:u w:val="single"/>
        </w:rPr>
        <w:t xml:space="preserve">                                                                                        </w:t>
      </w:r>
    </w:p>
    <w:p w14:paraId="36EDAEAF">
      <w:pPr>
        <w:pStyle w:val="20"/>
        <w:keepNext w:val="0"/>
        <w:keepLines w:val="0"/>
        <w:pageBreakBefore w:val="0"/>
        <w:widowControl w:val="0"/>
        <w:kinsoku/>
        <w:wordWrap/>
        <w:overflowPunct/>
        <w:topLinePunct w:val="0"/>
        <w:autoSpaceDE/>
        <w:autoSpaceDN/>
        <w:bidi w:val="0"/>
        <w:adjustRightInd/>
        <w:spacing w:line="400" w:lineRule="exact"/>
        <w:ind w:firstLine="420" w:firstLineChars="200"/>
        <w:textAlignment w:val="auto"/>
        <w:rPr>
          <w:rFonts w:hint="eastAsia" w:hAnsi="宋体" w:cs="宋体"/>
          <w:bCs/>
          <w:color w:val="auto"/>
          <w:highlight w:val="none"/>
          <w:u w:val="single"/>
        </w:rPr>
      </w:pPr>
      <w:r>
        <w:rPr>
          <w:rFonts w:hint="eastAsia" w:hAnsi="宋体" w:cs="宋体"/>
          <w:bCs/>
          <w:color w:val="auto"/>
          <w:highlight w:val="none"/>
        </w:rPr>
        <w:t>法律依据：</w:t>
      </w:r>
      <w:r>
        <w:rPr>
          <w:rFonts w:hint="eastAsia" w:hAnsi="宋体" w:cs="宋体"/>
          <w:color w:val="auto"/>
          <w:highlight w:val="none"/>
        </w:rPr>
        <w:t xml:space="preserve"> </w:t>
      </w:r>
      <w:r>
        <w:rPr>
          <w:rFonts w:hint="eastAsia" w:hAnsi="宋体" w:cs="宋体"/>
          <w:bCs/>
          <w:color w:val="auto"/>
          <w:highlight w:val="none"/>
          <w:u w:val="single"/>
        </w:rPr>
        <w:t xml:space="preserve">                                                                                      </w:t>
      </w:r>
    </w:p>
    <w:p w14:paraId="47741E3B">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bCs/>
          <w:color w:val="auto"/>
          <w:highlight w:val="none"/>
          <w:u w:val="single"/>
        </w:rPr>
      </w:pPr>
      <w:r>
        <w:rPr>
          <w:rFonts w:hint="eastAsia" w:hAnsi="宋体" w:cs="宋体"/>
          <w:bCs/>
          <w:color w:val="auto"/>
          <w:highlight w:val="none"/>
        </w:rPr>
        <w:t xml:space="preserve"> </w:t>
      </w:r>
      <w:r>
        <w:rPr>
          <w:rFonts w:hint="eastAsia" w:hAnsi="宋体" w:cs="宋体"/>
          <w:bCs/>
          <w:color w:val="auto"/>
          <w:highlight w:val="none"/>
          <w:u w:val="single"/>
        </w:rPr>
        <w:t xml:space="preserve">                                                                                        </w:t>
      </w:r>
    </w:p>
    <w:p w14:paraId="7F465499">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rPr>
      </w:pPr>
      <w:r>
        <w:rPr>
          <w:rFonts w:hint="eastAsia" w:hAnsi="宋体" w:cs="宋体"/>
          <w:color w:val="auto"/>
          <w:highlight w:val="none"/>
        </w:rPr>
        <w:t xml:space="preserve">投诉事项2  </w:t>
      </w:r>
      <w:r>
        <w:rPr>
          <w:rFonts w:hint="eastAsia" w:hAnsi="宋体" w:cs="宋体"/>
          <w:bCs/>
          <w:color w:val="auto"/>
          <w:highlight w:val="none"/>
        </w:rPr>
        <w:t xml:space="preserve">   </w:t>
      </w:r>
    </w:p>
    <w:p w14:paraId="7E22AA87">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bCs/>
          <w:color w:val="auto"/>
          <w:highlight w:val="none"/>
        </w:rPr>
      </w:pPr>
      <w:r>
        <w:rPr>
          <w:rFonts w:hint="eastAsia" w:hAnsi="宋体" w:cs="宋体"/>
          <w:bCs/>
          <w:color w:val="auto"/>
          <w:highlight w:val="none"/>
        </w:rPr>
        <w:t>……</w:t>
      </w:r>
    </w:p>
    <w:p w14:paraId="5F439721">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6"/>
        <w:textAlignment w:val="auto"/>
        <w:rPr>
          <w:rFonts w:hint="eastAsia" w:hAnsi="宋体" w:cs="宋体"/>
          <w:b/>
          <w:color w:val="auto"/>
          <w:highlight w:val="none"/>
        </w:rPr>
      </w:pPr>
      <w:r>
        <w:rPr>
          <w:rFonts w:hint="eastAsia" w:hAnsi="宋体" w:cs="宋体"/>
          <w:b/>
          <w:color w:val="auto"/>
          <w:highlight w:val="none"/>
        </w:rPr>
        <w:t>五、与投诉事项相关的投诉请求：</w:t>
      </w:r>
    </w:p>
    <w:p w14:paraId="15747342">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请求：</w:t>
      </w:r>
      <w:r>
        <w:rPr>
          <w:rFonts w:hint="eastAsia" w:hAnsi="宋体" w:cs="宋体"/>
          <w:bCs/>
          <w:color w:val="auto"/>
          <w:highlight w:val="none"/>
          <w:u w:val="single"/>
        </w:rPr>
        <w:t xml:space="preserve">                                                                                 </w:t>
      </w:r>
    </w:p>
    <w:p w14:paraId="4CF6E687">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p>
    <w:p w14:paraId="4373DB33">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签字（签章）：                                       公章：</w:t>
      </w:r>
    </w:p>
    <w:p w14:paraId="597B52B2">
      <w:pPr>
        <w:pStyle w:val="20"/>
        <w:keepNext w:val="0"/>
        <w:keepLines w:val="0"/>
        <w:pageBreakBefore w:val="0"/>
        <w:widowControl w:val="0"/>
        <w:kinsoku/>
        <w:wordWrap/>
        <w:overflowPunct/>
        <w:topLinePunct w:val="0"/>
        <w:autoSpaceDE/>
        <w:autoSpaceDN/>
        <w:bidi w:val="0"/>
        <w:adjustRightInd/>
        <w:spacing w:line="400" w:lineRule="exact"/>
        <w:ind w:left="25" w:leftChars="12" w:firstLine="308" w:firstLineChars="147"/>
        <w:textAlignment w:val="auto"/>
        <w:rPr>
          <w:rFonts w:hint="eastAsia" w:hAnsi="宋体" w:cs="宋体"/>
          <w:color w:val="auto"/>
          <w:highlight w:val="none"/>
        </w:rPr>
      </w:pPr>
    </w:p>
    <w:p w14:paraId="3E031E8A">
      <w:pPr>
        <w:pStyle w:val="20"/>
        <w:keepNext w:val="0"/>
        <w:keepLines w:val="0"/>
        <w:pageBreakBefore w:val="0"/>
        <w:widowControl w:val="0"/>
        <w:kinsoku/>
        <w:wordWrap/>
        <w:overflowPunct/>
        <w:topLinePunct w:val="0"/>
        <w:autoSpaceDE/>
        <w:autoSpaceDN/>
        <w:bidi w:val="0"/>
        <w:adjustRightInd/>
        <w:spacing w:line="400" w:lineRule="exact"/>
        <w:ind w:left="25" w:leftChars="12" w:firstLine="413" w:firstLineChars="197"/>
        <w:textAlignment w:val="auto"/>
        <w:rPr>
          <w:rFonts w:hint="eastAsia" w:hAnsi="宋体" w:cs="宋体"/>
          <w:color w:val="auto"/>
          <w:highlight w:val="none"/>
        </w:rPr>
      </w:pPr>
      <w:r>
        <w:rPr>
          <w:rFonts w:hint="eastAsia" w:hAnsi="宋体" w:cs="宋体"/>
          <w:color w:val="auto"/>
          <w:highlight w:val="none"/>
        </w:rPr>
        <w:t>日期：</w:t>
      </w:r>
    </w:p>
    <w:p w14:paraId="555D7BDF">
      <w:pPr>
        <w:pStyle w:val="20"/>
        <w:keepNext w:val="0"/>
        <w:keepLines w:val="0"/>
        <w:pageBreakBefore w:val="0"/>
        <w:widowControl w:val="0"/>
        <w:kinsoku/>
        <w:wordWrap/>
        <w:overflowPunct/>
        <w:topLinePunct w:val="0"/>
        <w:autoSpaceDE/>
        <w:autoSpaceDN/>
        <w:bidi w:val="0"/>
        <w:adjustRightInd/>
        <w:spacing w:line="400" w:lineRule="exact"/>
        <w:ind w:left="25" w:leftChars="12" w:firstLine="415" w:firstLineChars="197"/>
        <w:textAlignment w:val="auto"/>
        <w:rPr>
          <w:rFonts w:hint="eastAsia" w:hAnsi="宋体" w:cs="宋体"/>
          <w:b/>
          <w:color w:val="auto"/>
          <w:highlight w:val="none"/>
        </w:rPr>
      </w:pPr>
      <w:r>
        <w:rPr>
          <w:rFonts w:hint="eastAsia" w:hAnsi="宋体" w:cs="宋体"/>
          <w:b/>
          <w:color w:val="auto"/>
          <w:highlight w:val="none"/>
        </w:rPr>
        <w:t>说明：</w:t>
      </w:r>
    </w:p>
    <w:p w14:paraId="6D118FCF">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bCs/>
          <w:color w:val="auto"/>
          <w:highlight w:val="none"/>
        </w:rPr>
      </w:pPr>
      <w:r>
        <w:rPr>
          <w:rFonts w:hint="eastAsia" w:hAnsi="宋体" w:cs="宋体"/>
          <w:b/>
          <w:color w:val="auto"/>
          <w:highlight w:val="none"/>
        </w:rPr>
        <w:t>1.投诉人提起投诉时，应当提交投诉书和必要的证明材料，并按照被投诉人和与投诉事项有关的供应商数量提供投诉书副本</w:t>
      </w:r>
      <w:r>
        <w:rPr>
          <w:rFonts w:hint="eastAsia" w:hAnsi="宋体" w:cs="宋体"/>
          <w:b/>
          <w:bCs/>
          <w:color w:val="auto"/>
          <w:highlight w:val="none"/>
        </w:rPr>
        <w:t>。</w:t>
      </w:r>
    </w:p>
    <w:p w14:paraId="617F85E0">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7C7D4BBE">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3.投诉书应简要列明质疑事项，质疑函、质疑答复等作为附件材料提供。</w:t>
      </w:r>
    </w:p>
    <w:p w14:paraId="1CF17984">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4.投诉书的投诉事项应具体、明确，并有必要的事实依据和法律依据。</w:t>
      </w:r>
    </w:p>
    <w:p w14:paraId="0271E050">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5.投诉书的投诉请求应与投诉事项相关。</w:t>
      </w:r>
    </w:p>
    <w:p w14:paraId="75392616">
      <w:pPr>
        <w:pStyle w:val="20"/>
        <w:keepNext w:val="0"/>
        <w:keepLines w:val="0"/>
        <w:pageBreakBefore w:val="0"/>
        <w:widowControl w:val="0"/>
        <w:kinsoku/>
        <w:wordWrap/>
        <w:overflowPunct/>
        <w:topLinePunct w:val="0"/>
        <w:autoSpaceDE/>
        <w:autoSpaceDN/>
        <w:bidi w:val="0"/>
        <w:adjustRightInd/>
        <w:spacing w:line="400" w:lineRule="exact"/>
        <w:ind w:left="25" w:leftChars="12" w:firstLine="310" w:firstLineChars="147"/>
        <w:textAlignment w:val="auto"/>
        <w:rPr>
          <w:rFonts w:hint="eastAsia" w:hAnsi="宋体" w:cs="宋体"/>
          <w:b/>
          <w:color w:val="auto"/>
          <w:highlight w:val="none"/>
        </w:rPr>
      </w:pPr>
      <w:r>
        <w:rPr>
          <w:rFonts w:hint="eastAsia" w:hAnsi="宋体" w:cs="宋体"/>
          <w:b/>
          <w:color w:val="auto"/>
          <w:highlight w:val="none"/>
        </w:rPr>
        <w:t>6.投诉人为法人或者其他组织的，投诉书应由法定代表人、主要负责人，或者其授权代表签字或者盖章，并加盖公章。</w:t>
      </w:r>
      <w:bookmarkEnd w:id="1"/>
      <w:bookmarkEnd w:id="2"/>
      <w:bookmarkEnd w:id="3"/>
      <w:bookmarkEnd w:id="4"/>
    </w:p>
    <w:p w14:paraId="1370DF85">
      <w:pPr>
        <w:rPr>
          <w:rFonts w:hint="eastAsia"/>
          <w:color w:val="auto"/>
          <w:highlight w:val="none"/>
        </w:rPr>
      </w:pPr>
    </w:p>
    <w:sectPr>
      <w:footerReference r:id="rId15" w:type="first"/>
      <w:footerReference r:id="rId13" w:type="default"/>
      <w:footerReference r:id="rId14" w:type="even"/>
      <w:pgSz w:w="11906" w:h="16838"/>
      <w:pgMar w:top="1134" w:right="1247" w:bottom="1134" w:left="1417" w:header="720" w:footer="720" w:gutter="0"/>
      <w:pgNumType w:fmt="decimal"/>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0"/>
    <w:family w:val="moder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DB601FC4-203C-4FBE-BDAA-98B34B367896}"/>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embedRegular r:id="rId2" w:fontKey="{E459FAD4-15A7-4849-B0B2-5C22CC300A9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3" w:fontKey="{279BC140-BFC0-4A2A-A406-96FB4D7F472F}"/>
  </w:font>
  <w:font w:name="仿宋_GB2312">
    <w:panose1 w:val="02010609030101010101"/>
    <w:charset w:val="86"/>
    <w:family w:val="modern"/>
    <w:pitch w:val="default"/>
    <w:sig w:usb0="00000001" w:usb1="080E0000" w:usb2="00000000" w:usb3="00000000" w:csb0="00040000" w:csb1="00000000"/>
    <w:embedRegular r:id="rId4" w:fontKey="{CC3406CB-7CFB-49E8-B4C4-D0572F49BC31}"/>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5" w:fontKey="{6D96869D-70FC-45DA-9824-1CFADFC6C781}"/>
  </w:font>
  <w:font w:name="Tahoma">
    <w:panose1 w:val="020B0604030504040204"/>
    <w:charset w:val="00"/>
    <w:family w:val="swiss"/>
    <w:pitch w:val="default"/>
    <w:sig w:usb0="E1002EFF" w:usb1="C000605B" w:usb2="00000029" w:usb3="00000000" w:csb0="200101FF" w:csb1="20280000"/>
  </w:font>
  <w:font w:name="方正仿宋_GBK">
    <w:altName w:val="微软雅黑"/>
    <w:panose1 w:val="02000000000000000000"/>
    <w:charset w:val="86"/>
    <w:family w:val="script"/>
    <w:pitch w:val="default"/>
    <w:sig w:usb0="00000000" w:usb1="00000000" w:usb2="00082016" w:usb3="00000000" w:csb0="00040001" w:csb1="00000000"/>
  </w:font>
  <w:font w:name="微软雅黑">
    <w:panose1 w:val="020B0503020204020204"/>
    <w:charset w:val="86"/>
    <w:family w:val="auto"/>
    <w:pitch w:val="default"/>
    <w:sig w:usb0="80000287" w:usb1="2ACF3C50" w:usb2="00000016" w:usb3="00000000" w:csb0="0004001F" w:csb1="00000000"/>
    <w:embedRegular r:id="rId6" w:fontKey="{2A46E5F0-60E1-4413-981F-057F07354B2E}"/>
  </w:font>
  <w:font w:name="方正小标宋简体">
    <w:panose1 w:val="02000000000000000000"/>
    <w:charset w:val="86"/>
    <w:family w:val="script"/>
    <w:pitch w:val="default"/>
    <w:sig w:usb0="00000001" w:usb1="08000000" w:usb2="00000000" w:usb3="00000000" w:csb0="00040000" w:csb1="00000000"/>
    <w:embedRegular r:id="rId7" w:fontKey="{ACC783A2-DB55-4B6F-B22B-D5402BCB5A29}"/>
  </w:font>
  <w:font w:name="华文新魏">
    <w:panose1 w:val="02010800040101010101"/>
    <w:charset w:val="86"/>
    <w:family w:val="auto"/>
    <w:pitch w:val="default"/>
    <w:sig w:usb0="00000001" w:usb1="080F0000" w:usb2="00000000" w:usb3="00000000" w:csb0="00040000" w:csb1="00000000"/>
    <w:embedRegular r:id="rId8" w:fontKey="{88980C59-91F7-411D-9202-ECFF02BA35D3}"/>
  </w:font>
  <w:font w:name="汉仪细等线繁">
    <w:altName w:val="宋体"/>
    <w:panose1 w:val="02010600000101010101"/>
    <w:charset w:val="86"/>
    <w:family w:val="auto"/>
    <w:pitch w:val="default"/>
    <w:sig w:usb0="00000000" w:usb1="00000000" w:usb2="00000002" w:usb3="00000000" w:csb0="00040000" w:csb1="00000000"/>
    <w:embedRegular r:id="rId9" w:fontKey="{81F5E7ED-9D25-4D71-88B4-B13C4D85F341}"/>
  </w:font>
  <w:font w:name="等线">
    <w:panose1 w:val="02010600030101010101"/>
    <w:charset w:val="86"/>
    <w:family w:val="auto"/>
    <w:pitch w:val="default"/>
    <w:sig w:usb0="A00002BF" w:usb1="38CF7CFA" w:usb2="00000016" w:usb3="00000000" w:csb0="0004000F" w:csb1="00000000"/>
    <w:embedRegular r:id="rId10" w:fontKey="{07D33916-F2A1-4E74-A5F1-82C7521FB105}"/>
  </w:font>
  <w:font w:name="Microsoft YaHei UI">
    <w:panose1 w:val="020B0503020204020204"/>
    <w:charset w:val="86"/>
    <w:family w:val="swiss"/>
    <w:pitch w:val="default"/>
    <w:sig w:usb0="80000287" w:usb1="2ACF3C50" w:usb2="00000016" w:usb3="00000000" w:csb0="0004001F" w:csb1="00000000"/>
    <w:embedRegular r:id="rId11" w:fontKey="{7791B45D-C31A-4AB5-9B8E-07352450A31F}"/>
  </w:font>
  <w:font w:name="WPSEMBED5">
    <w:panose1 w:val="02000000000000000000"/>
    <w:charset w:val="86"/>
    <w:family w:val="auto"/>
    <w:pitch w:val="default"/>
    <w:sig w:usb0="00000001" w:usb1="08000000" w:usb2="00000000" w:usb3="00000000" w:csb0="00040000" w:csb1="00000000"/>
  </w:font>
  <w:font w:name="WPSEMBED4">
    <w:panose1 w:val="02010609030101010101"/>
    <w:charset w:val="86"/>
    <w:family w:val="auto"/>
    <w:pitch w:val="default"/>
    <w:sig w:usb0="00000001" w:usb1="080E0000" w:usb2="00000000" w:usb3="00000000" w:csb0="00040000" w:csb1="00000000"/>
  </w:font>
  <w:font w:name="WPSEMBED6">
    <w:panose1 w:val="02010800040101010101"/>
    <w:charset w:val="86"/>
    <w:family w:val="auto"/>
    <w:pitch w:val="default"/>
    <w:sig w:usb0="00000001" w:usb1="080F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58482DB">
    <w:pPr>
      <w:pStyle w:val="25"/>
      <w:jc w:val="center"/>
    </w:pPr>
  </w:p>
  <w:p w14:paraId="55305D88">
    <w:pPr>
      <w:pStyle w:val="25"/>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6969D1">
    <w:pPr>
      <w:pStyle w:val="25"/>
      <w:framePr w:wrap="around" w:vAnchor="text" w:hAnchor="margin" w:xAlign="center" w:y="1"/>
      <w:rPr>
        <w:rStyle w:val="43"/>
      </w:rPr>
    </w:pPr>
    <w:r>
      <w:fldChar w:fldCharType="begin"/>
    </w:r>
    <w:r>
      <w:rPr>
        <w:rStyle w:val="43"/>
      </w:rPr>
      <w:instrText xml:space="preserve">PAGE  </w:instrText>
    </w:r>
    <w:r>
      <w:fldChar w:fldCharType="end"/>
    </w:r>
  </w:p>
  <w:p w14:paraId="5568955E">
    <w:pPr>
      <w:pStyle w:val="25"/>
    </w:pP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3D22E7">
    <w:pPr>
      <w:pStyle w:val="25"/>
      <w:framePr w:wrap="around" w:vAnchor="text" w:hAnchor="margin" w:xAlign="right" w:y="1"/>
      <w:rPr>
        <w:rStyle w:val="43"/>
      </w:rPr>
    </w:pPr>
    <w:r>
      <w:fldChar w:fldCharType="begin"/>
    </w:r>
    <w:r>
      <w:rPr>
        <w:rStyle w:val="43"/>
      </w:rPr>
      <w:instrText xml:space="preserve">PAGE  </w:instrText>
    </w:r>
    <w:r>
      <w:fldChar w:fldCharType="separate"/>
    </w:r>
    <w:r>
      <w:rPr>
        <w:rStyle w:val="43"/>
      </w:rPr>
      <w:t>122</w:t>
    </w:r>
    <w:r>
      <w:fldChar w:fldCharType="end"/>
    </w:r>
  </w:p>
  <w:p w14:paraId="5E90FC1A">
    <w:pPr>
      <w:pStyle w:val="25"/>
      <w:ind w:right="360"/>
      <w:jc w:val="both"/>
      <w:rPr>
        <w:rFonts w:hint="eastAsia"/>
      </w:rPr>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C5C97F6">
    <w:pPr>
      <w:pStyle w:val="25"/>
      <w:framePr w:wrap="around" w:vAnchor="text" w:hAnchor="margin" w:xAlign="center" w:y="1"/>
      <w:rPr>
        <w:rStyle w:val="43"/>
      </w:rPr>
    </w:pPr>
    <w:r>
      <w:fldChar w:fldCharType="begin"/>
    </w:r>
    <w:r>
      <w:rPr>
        <w:rStyle w:val="43"/>
      </w:rPr>
      <w:instrText xml:space="preserve">PAGE  </w:instrText>
    </w:r>
    <w:r>
      <w:fldChar w:fldCharType="end"/>
    </w:r>
  </w:p>
  <w:p w14:paraId="2DBD748E">
    <w:pPr>
      <w:pStyle w:val="25"/>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65C889">
    <w:pPr>
      <w:pStyle w:val="25"/>
      <w:ind w:right="360"/>
      <w:jc w:val="both"/>
      <w:rPr>
        <w:rFonts w:hint="eastAsi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C1F2F6">
    <w:pPr>
      <w:pStyle w:val="25"/>
      <w:jc w:val="center"/>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9B4B959">
                          <w:pPr>
                            <w:pStyle w:val="25"/>
                          </w:pPr>
                          <w:r>
                            <w:fldChar w:fldCharType="begin"/>
                          </w:r>
                          <w:r>
                            <w:instrText xml:space="preserve"> PAGE  \* MERGEFORMAT </w:instrText>
                          </w:r>
                          <w:r>
                            <w:fldChar w:fldCharType="separate"/>
                          </w:r>
                          <w:r>
                            <w:t>46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f46tETICAABhBAAADgAAAAAAAAABACAAAAAfAQAAZHJzL2Uyb0RvYy54bWxQSwUG&#10;AAAAAAYABgBZAQAAwwUAAAAA&#10;">
              <v:fill on="f" focussize="0,0"/>
              <v:stroke on="f" weight="0.5pt"/>
              <v:imagedata o:title=""/>
              <o:lock v:ext="edit" aspectratio="f"/>
              <v:textbox inset="0mm,0mm,0mm,0mm" style="mso-fit-shape-to-text:t;">
                <w:txbxContent>
                  <w:p w14:paraId="29B4B959">
                    <w:pPr>
                      <w:pStyle w:val="25"/>
                    </w:pPr>
                    <w:r>
                      <w:fldChar w:fldCharType="begin"/>
                    </w:r>
                    <w:r>
                      <w:instrText xml:space="preserve"> PAGE  \* MERGEFORMAT </w:instrText>
                    </w:r>
                    <w:r>
                      <w:fldChar w:fldCharType="separate"/>
                    </w:r>
                    <w:r>
                      <w:t>46</w:t>
                    </w:r>
                    <w:r>
                      <w:fldChar w:fldCharType="end"/>
                    </w:r>
                  </w:p>
                </w:txbxContent>
              </v:textbox>
            </v:shape>
          </w:pict>
        </mc:Fallback>
      </mc:AlternateContent>
    </w:r>
  </w:p>
  <w:p w14:paraId="5DA2B31F">
    <w:pPr>
      <w:pStyle w:val="25"/>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36232D">
    <w:pPr>
      <w:pStyle w:val="25"/>
      <w:ind w:right="360"/>
      <w:jc w:val="both"/>
      <w:rPr>
        <w:rFonts w:hint="eastAsia"/>
      </w:rP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0A74BD43">
                          <w:pPr>
                            <w:pStyle w:val="25"/>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文本框 1"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DNJQgnIAQAAmQMAAA4AAAAAAAAAAQAgAAAAHgEAAGRycy9lMm9Eb2Mu&#10;eG1sUEsFBgAAAAAGAAYAWQEAAFgFAAAAAA==&#10;">
              <v:fill on="f" focussize="0,0"/>
              <v:stroke on="f"/>
              <v:imagedata o:title=""/>
              <o:lock v:ext="edit" aspectratio="f"/>
              <v:textbox inset="0mm,0mm,0mm,0mm" style="mso-fit-shape-to-text:t;">
                <w:txbxContent>
                  <w:p w14:paraId="0A74BD43">
                    <w:pPr>
                      <w:pStyle w:val="25"/>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81A4057">
    <w:pPr>
      <w:pStyle w:val="25"/>
      <w:jc w:val="center"/>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A9D32F5">
                          <w:pPr>
                            <w:pStyle w:val="25"/>
                          </w:pPr>
                          <w:r>
                            <w:fldChar w:fldCharType="begin"/>
                          </w:r>
                          <w:r>
                            <w:instrText xml:space="preserve"> PAGE  \* MERGEFORMAT </w:instrText>
                          </w:r>
                          <w:r>
                            <w:fldChar w:fldCharType="separate"/>
                          </w:r>
                          <w:r>
                            <w:t>0</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WLh2QyAgAAYQQAAA4AAABkcnMvZTJvRG9jLnhtbK1UzY7TMBC+I/EO&#10;lu80aRG7Vd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9YuHZDICAABhBAAADgAAAAAAAAABACAAAAAfAQAAZHJzL2Uyb0RvYy54bWxQSwUG&#10;AAAAAAYABgBZAQAAwwUAAAAA&#10;">
              <v:fill on="f" focussize="0,0"/>
              <v:stroke on="f" weight="0.5pt"/>
              <v:imagedata o:title=""/>
              <o:lock v:ext="edit" aspectratio="f"/>
              <v:textbox inset="0mm,0mm,0mm,0mm" style="mso-fit-shape-to-text:t;">
                <w:txbxContent>
                  <w:p w14:paraId="6A9D32F5">
                    <w:pPr>
                      <w:pStyle w:val="25"/>
                    </w:pPr>
                    <w:r>
                      <w:fldChar w:fldCharType="begin"/>
                    </w:r>
                    <w:r>
                      <w:instrText xml:space="preserve"> PAGE  \* MERGEFORMAT </w:instrText>
                    </w:r>
                    <w:r>
                      <w:fldChar w:fldCharType="separate"/>
                    </w:r>
                    <w:r>
                      <w:t>0</w:t>
                    </w:r>
                    <w:r>
                      <w:fldChar w:fldCharType="end"/>
                    </w:r>
                  </w:p>
                </w:txbxContent>
              </v:textbox>
            </v:shape>
          </w:pict>
        </mc:Fallback>
      </mc:AlternateContent>
    </w:r>
  </w:p>
  <w:p w14:paraId="5E072F4A">
    <w:pPr>
      <w:pStyle w:val="25"/>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92AE24">
    <w:pPr>
      <w:pStyle w:val="25"/>
      <w:framePr w:wrap="around" w:vAnchor="text" w:hAnchor="margin" w:xAlign="center" w:y="1"/>
      <w:rPr>
        <w:rStyle w:val="43"/>
      </w:rPr>
    </w:pPr>
    <w:r>
      <w:fldChar w:fldCharType="begin"/>
    </w:r>
    <w:r>
      <w:rPr>
        <w:rStyle w:val="43"/>
      </w:rPr>
      <w:instrText xml:space="preserve">PAGE  </w:instrText>
    </w:r>
    <w:r>
      <w:fldChar w:fldCharType="end"/>
    </w:r>
  </w:p>
  <w:p w14:paraId="6E5EABC9">
    <w:pPr>
      <w:pStyle w:val="25"/>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2091D1">
    <w:pPr>
      <w:pStyle w:val="25"/>
      <w:ind w:right="360"/>
      <w:jc w:val="both"/>
      <w:rPr>
        <w:rFonts w:hint="eastAsia"/>
      </w:rP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A41C0F">
                          <w:pPr>
                            <w:pStyle w:val="25"/>
                          </w:pPr>
                          <w:r>
                            <w:fldChar w:fldCharType="begin"/>
                          </w:r>
                          <w:r>
                            <w:instrText xml:space="preserve"> PAGE  \* MERGEFORMAT </w:instrText>
                          </w:r>
                          <w:r>
                            <w:fldChar w:fldCharType="separate"/>
                          </w:r>
                          <w:r>
                            <w:t>76</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eXtc4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Hl7XOMQIAAGEEAAAOAAAAAAAAAAEAIAAAAB8BAABkcnMvZTJvRG9jLnhtbFBLBQYA&#10;AAAABgAGAFkBAADCBQAAAAA=&#10;">
              <v:fill on="f" focussize="0,0"/>
              <v:stroke on="f" weight="0.5pt"/>
              <v:imagedata o:title=""/>
              <o:lock v:ext="edit" aspectratio="f"/>
              <v:textbox inset="0mm,0mm,0mm,0mm" style="mso-fit-shape-to-text:t;">
                <w:txbxContent>
                  <w:p w14:paraId="30A41C0F">
                    <w:pPr>
                      <w:pStyle w:val="25"/>
                    </w:pPr>
                    <w:r>
                      <w:fldChar w:fldCharType="begin"/>
                    </w:r>
                    <w:r>
                      <w:instrText xml:space="preserve"> PAGE  \* MERGEFORMAT </w:instrText>
                    </w:r>
                    <w:r>
                      <w:fldChar w:fldCharType="separate"/>
                    </w:r>
                    <w:r>
                      <w:t>76</w:t>
                    </w:r>
                    <w:r>
                      <w:fldChar w:fldCharType="end"/>
                    </w:r>
                  </w:p>
                </w:txbxContent>
              </v:textbox>
            </v:shape>
          </w:pict>
        </mc:Fallback>
      </mc:AlternateContent>
    </w:r>
    <w:r>
      <w:rPr>
        <w:rFonts w:hint="eastAsia"/>
      </w:rPr>
      <w:t>121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0FBE700">
    <w:pPr>
      <w:pStyle w:val="2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2E8B22A">
                          <w:pPr>
                            <w:pStyle w:val="25"/>
                          </w:pPr>
                          <w:r>
                            <w:fldChar w:fldCharType="begin"/>
                          </w:r>
                          <w:r>
                            <w:instrText xml:space="preserve"> PAGE  \* MERGEFORMAT </w:instrText>
                          </w:r>
                          <w:r>
                            <w:fldChar w:fldCharType="separate"/>
                          </w:r>
                          <w:r>
                            <w:t>77</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ApUg9DICAABhBAAADgAAAAAAAAABACAAAAAfAQAAZHJzL2Uyb0RvYy54bWxQSwUG&#10;AAAAAAYABgBZAQAAwwUAAAAA&#10;">
              <v:fill on="f" focussize="0,0"/>
              <v:stroke on="f" weight="0.5pt"/>
              <v:imagedata o:title=""/>
              <o:lock v:ext="edit" aspectratio="f"/>
              <v:textbox inset="0mm,0mm,0mm,0mm" style="mso-fit-shape-to-text:t;">
                <w:txbxContent>
                  <w:p w14:paraId="52E8B22A">
                    <w:pPr>
                      <w:pStyle w:val="25"/>
                    </w:pPr>
                    <w:r>
                      <w:fldChar w:fldCharType="begin"/>
                    </w:r>
                    <w:r>
                      <w:instrText xml:space="preserve"> PAGE  \* MERGEFORMAT </w:instrText>
                    </w:r>
                    <w:r>
                      <w:fldChar w:fldCharType="separate"/>
                    </w:r>
                    <w:r>
                      <w:t>77</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90881B">
    <w:pPr>
      <w:pStyle w:val="26"/>
      <w:pBdr>
        <w:bottom w:val="none" w:color="auto" w:sz="0" w:space="0"/>
      </w:pBdr>
      <w:tabs>
        <w:tab w:val="center" w:pos="0"/>
        <w:tab w:val="left" w:pos="8306"/>
        <w:tab w:val="clear" w:pos="4153"/>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4178E42">
    <w:pPr>
      <w:pStyle w:val="26"/>
      <w:pBdr>
        <w:bottom w:val="none" w:color="auto" w:sz="0" w:space="0"/>
      </w:pBdr>
      <w:tabs>
        <w:tab w:val="center" w:pos="0"/>
        <w:tab w:val="left" w:pos="8306"/>
        <w:tab w:val="clear" w:pos="4153"/>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C601917"/>
    <w:multiLevelType w:val="singleLevel"/>
    <w:tmpl w:val="4C601917"/>
    <w:lvl w:ilvl="0" w:tentative="0">
      <w:start w:val="1"/>
      <w:numFmt w:val="decimal"/>
      <w:suff w:val="nothing"/>
      <w:lvlText w:val="（%1）"/>
      <w:lvlJc w:val="left"/>
    </w:lvl>
  </w:abstractNum>
  <w:abstractNum w:abstractNumId="1">
    <w:nsid w:val="5FABD14B"/>
    <w:multiLevelType w:val="singleLevel"/>
    <w:tmpl w:val="5FABD14B"/>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0"/>
  <w:hyphenationZone w:val="360"/>
  <w:drawingGridHorizontalSpacing w:val="105"/>
  <w:drawingGridVerticalSpacing w:val="33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AwMGM5NzNkMGFmZjdmNjdmOTliN2YyNmZmOTBjMmUifQ=="/>
    <w:docVar w:name="KSO_WPS_MARK_KEY" w:val="34a85f2c-7737-46bb-95af-ad2512184d9f"/>
  </w:docVars>
  <w:rsids>
    <w:rsidRoot w:val="08171363"/>
    <w:rsid w:val="0000096C"/>
    <w:rsid w:val="00000CDB"/>
    <w:rsid w:val="00001CDA"/>
    <w:rsid w:val="00004344"/>
    <w:rsid w:val="00005909"/>
    <w:rsid w:val="000207D5"/>
    <w:rsid w:val="00022127"/>
    <w:rsid w:val="00024E82"/>
    <w:rsid w:val="00027659"/>
    <w:rsid w:val="00030800"/>
    <w:rsid w:val="00031652"/>
    <w:rsid w:val="00034A7D"/>
    <w:rsid w:val="00035197"/>
    <w:rsid w:val="00035F9C"/>
    <w:rsid w:val="000401CD"/>
    <w:rsid w:val="000404B0"/>
    <w:rsid w:val="0004235B"/>
    <w:rsid w:val="00044EDB"/>
    <w:rsid w:val="00051641"/>
    <w:rsid w:val="00054304"/>
    <w:rsid w:val="000553BC"/>
    <w:rsid w:val="00056551"/>
    <w:rsid w:val="0006218D"/>
    <w:rsid w:val="00063F24"/>
    <w:rsid w:val="00065AF0"/>
    <w:rsid w:val="00066EA9"/>
    <w:rsid w:val="00066FE1"/>
    <w:rsid w:val="00074D5F"/>
    <w:rsid w:val="00076A60"/>
    <w:rsid w:val="00077BF5"/>
    <w:rsid w:val="00081789"/>
    <w:rsid w:val="00085A0D"/>
    <w:rsid w:val="00092A54"/>
    <w:rsid w:val="00092F65"/>
    <w:rsid w:val="0009317E"/>
    <w:rsid w:val="00093B18"/>
    <w:rsid w:val="000946EB"/>
    <w:rsid w:val="00094E84"/>
    <w:rsid w:val="000A6432"/>
    <w:rsid w:val="000A7A4B"/>
    <w:rsid w:val="000B5A03"/>
    <w:rsid w:val="000B7B3B"/>
    <w:rsid w:val="000C1DCC"/>
    <w:rsid w:val="000C302E"/>
    <w:rsid w:val="000C5D44"/>
    <w:rsid w:val="000D5F48"/>
    <w:rsid w:val="000D7284"/>
    <w:rsid w:val="000E6783"/>
    <w:rsid w:val="000F1BBE"/>
    <w:rsid w:val="001031E7"/>
    <w:rsid w:val="00104245"/>
    <w:rsid w:val="001108AC"/>
    <w:rsid w:val="00110A97"/>
    <w:rsid w:val="00110DD2"/>
    <w:rsid w:val="00111240"/>
    <w:rsid w:val="0011187C"/>
    <w:rsid w:val="00116FC9"/>
    <w:rsid w:val="00120C46"/>
    <w:rsid w:val="001251B9"/>
    <w:rsid w:val="00125837"/>
    <w:rsid w:val="001306A8"/>
    <w:rsid w:val="00140B14"/>
    <w:rsid w:val="00140CE8"/>
    <w:rsid w:val="00141619"/>
    <w:rsid w:val="00143DA6"/>
    <w:rsid w:val="00151CEE"/>
    <w:rsid w:val="0015209C"/>
    <w:rsid w:val="001551E7"/>
    <w:rsid w:val="001552B2"/>
    <w:rsid w:val="00155890"/>
    <w:rsid w:val="00170AA7"/>
    <w:rsid w:val="00173852"/>
    <w:rsid w:val="00174F9B"/>
    <w:rsid w:val="00177D95"/>
    <w:rsid w:val="00181460"/>
    <w:rsid w:val="00182C28"/>
    <w:rsid w:val="00190F4C"/>
    <w:rsid w:val="00193D49"/>
    <w:rsid w:val="0019577E"/>
    <w:rsid w:val="001B1366"/>
    <w:rsid w:val="001B2BDE"/>
    <w:rsid w:val="001B2FAE"/>
    <w:rsid w:val="001C097E"/>
    <w:rsid w:val="001C2516"/>
    <w:rsid w:val="001C2E44"/>
    <w:rsid w:val="001D047F"/>
    <w:rsid w:val="001D758B"/>
    <w:rsid w:val="001E0216"/>
    <w:rsid w:val="001E0590"/>
    <w:rsid w:val="001E3E3A"/>
    <w:rsid w:val="001E484E"/>
    <w:rsid w:val="001E4E53"/>
    <w:rsid w:val="001E6153"/>
    <w:rsid w:val="001E6C5D"/>
    <w:rsid w:val="001E7AB6"/>
    <w:rsid w:val="001F330A"/>
    <w:rsid w:val="001F4D3C"/>
    <w:rsid w:val="001F6F77"/>
    <w:rsid w:val="00201770"/>
    <w:rsid w:val="00202F39"/>
    <w:rsid w:val="00204164"/>
    <w:rsid w:val="00204F25"/>
    <w:rsid w:val="00205999"/>
    <w:rsid w:val="00207350"/>
    <w:rsid w:val="00207DB7"/>
    <w:rsid w:val="00213B47"/>
    <w:rsid w:val="00221909"/>
    <w:rsid w:val="002230A4"/>
    <w:rsid w:val="0022698C"/>
    <w:rsid w:val="00227913"/>
    <w:rsid w:val="00231EAB"/>
    <w:rsid w:val="00232E04"/>
    <w:rsid w:val="00236055"/>
    <w:rsid w:val="00236B7D"/>
    <w:rsid w:val="00241686"/>
    <w:rsid w:val="00242C6C"/>
    <w:rsid w:val="00244627"/>
    <w:rsid w:val="002563B4"/>
    <w:rsid w:val="0025753A"/>
    <w:rsid w:val="00262C01"/>
    <w:rsid w:val="002738BD"/>
    <w:rsid w:val="0027629D"/>
    <w:rsid w:val="00281099"/>
    <w:rsid w:val="002867CF"/>
    <w:rsid w:val="00293976"/>
    <w:rsid w:val="00297271"/>
    <w:rsid w:val="002B3400"/>
    <w:rsid w:val="002B4610"/>
    <w:rsid w:val="002C0483"/>
    <w:rsid w:val="002C1328"/>
    <w:rsid w:val="002C2756"/>
    <w:rsid w:val="002C27F2"/>
    <w:rsid w:val="002C38A0"/>
    <w:rsid w:val="002C7DD7"/>
    <w:rsid w:val="002D0079"/>
    <w:rsid w:val="002D05BB"/>
    <w:rsid w:val="002D2EF2"/>
    <w:rsid w:val="002D5E57"/>
    <w:rsid w:val="002E0A18"/>
    <w:rsid w:val="002E6BA4"/>
    <w:rsid w:val="002E7EA0"/>
    <w:rsid w:val="002F320A"/>
    <w:rsid w:val="002F55FD"/>
    <w:rsid w:val="002F667D"/>
    <w:rsid w:val="003014B1"/>
    <w:rsid w:val="003051FD"/>
    <w:rsid w:val="00305816"/>
    <w:rsid w:val="00315EB2"/>
    <w:rsid w:val="003162D6"/>
    <w:rsid w:val="00316994"/>
    <w:rsid w:val="0031699F"/>
    <w:rsid w:val="00320B19"/>
    <w:rsid w:val="00322C10"/>
    <w:rsid w:val="00327461"/>
    <w:rsid w:val="00330EE9"/>
    <w:rsid w:val="003331F5"/>
    <w:rsid w:val="00337A9F"/>
    <w:rsid w:val="00344631"/>
    <w:rsid w:val="00346976"/>
    <w:rsid w:val="00347950"/>
    <w:rsid w:val="00350024"/>
    <w:rsid w:val="00353905"/>
    <w:rsid w:val="00355191"/>
    <w:rsid w:val="00366E54"/>
    <w:rsid w:val="0037075A"/>
    <w:rsid w:val="00371C87"/>
    <w:rsid w:val="00380673"/>
    <w:rsid w:val="003809BA"/>
    <w:rsid w:val="00384EB6"/>
    <w:rsid w:val="003868E3"/>
    <w:rsid w:val="0039417D"/>
    <w:rsid w:val="003A3917"/>
    <w:rsid w:val="003A622A"/>
    <w:rsid w:val="003B031E"/>
    <w:rsid w:val="003B31F1"/>
    <w:rsid w:val="003B38DA"/>
    <w:rsid w:val="003B7C9A"/>
    <w:rsid w:val="003C027A"/>
    <w:rsid w:val="003C393F"/>
    <w:rsid w:val="003D3465"/>
    <w:rsid w:val="003D478D"/>
    <w:rsid w:val="003D7400"/>
    <w:rsid w:val="003E0AD4"/>
    <w:rsid w:val="003E1425"/>
    <w:rsid w:val="003E64C1"/>
    <w:rsid w:val="003F1067"/>
    <w:rsid w:val="003F1F9C"/>
    <w:rsid w:val="003F7B0D"/>
    <w:rsid w:val="004029ED"/>
    <w:rsid w:val="00403AA3"/>
    <w:rsid w:val="0040651A"/>
    <w:rsid w:val="00431C3B"/>
    <w:rsid w:val="00435268"/>
    <w:rsid w:val="0044023A"/>
    <w:rsid w:val="004437ED"/>
    <w:rsid w:val="00443922"/>
    <w:rsid w:val="0044600A"/>
    <w:rsid w:val="00447BDE"/>
    <w:rsid w:val="00450ADB"/>
    <w:rsid w:val="00452102"/>
    <w:rsid w:val="004531C4"/>
    <w:rsid w:val="00455C16"/>
    <w:rsid w:val="0046694A"/>
    <w:rsid w:val="0046760D"/>
    <w:rsid w:val="00467833"/>
    <w:rsid w:val="00474447"/>
    <w:rsid w:val="004771BA"/>
    <w:rsid w:val="004820E2"/>
    <w:rsid w:val="004853B6"/>
    <w:rsid w:val="004861BA"/>
    <w:rsid w:val="00486E44"/>
    <w:rsid w:val="0049027F"/>
    <w:rsid w:val="004925A4"/>
    <w:rsid w:val="004929AD"/>
    <w:rsid w:val="004A0443"/>
    <w:rsid w:val="004A0E38"/>
    <w:rsid w:val="004A5F2A"/>
    <w:rsid w:val="004A6736"/>
    <w:rsid w:val="004B49D2"/>
    <w:rsid w:val="004C5B3E"/>
    <w:rsid w:val="004C75A0"/>
    <w:rsid w:val="004D5AF4"/>
    <w:rsid w:val="004D6E99"/>
    <w:rsid w:val="004E126C"/>
    <w:rsid w:val="004F5BCD"/>
    <w:rsid w:val="004F68CF"/>
    <w:rsid w:val="005033B8"/>
    <w:rsid w:val="00503A40"/>
    <w:rsid w:val="00506840"/>
    <w:rsid w:val="00511A25"/>
    <w:rsid w:val="00516FAA"/>
    <w:rsid w:val="00517D40"/>
    <w:rsid w:val="00520861"/>
    <w:rsid w:val="00521880"/>
    <w:rsid w:val="00525C35"/>
    <w:rsid w:val="005279FB"/>
    <w:rsid w:val="00532BF5"/>
    <w:rsid w:val="0053541C"/>
    <w:rsid w:val="005458AD"/>
    <w:rsid w:val="0054778A"/>
    <w:rsid w:val="0055409E"/>
    <w:rsid w:val="00554A36"/>
    <w:rsid w:val="00562514"/>
    <w:rsid w:val="00564C6D"/>
    <w:rsid w:val="005707EB"/>
    <w:rsid w:val="00570DF9"/>
    <w:rsid w:val="005739CF"/>
    <w:rsid w:val="00576E04"/>
    <w:rsid w:val="0057733C"/>
    <w:rsid w:val="00581AC2"/>
    <w:rsid w:val="00583AC0"/>
    <w:rsid w:val="00584BFC"/>
    <w:rsid w:val="005873D0"/>
    <w:rsid w:val="005917A6"/>
    <w:rsid w:val="005932B6"/>
    <w:rsid w:val="00596F89"/>
    <w:rsid w:val="005B53A3"/>
    <w:rsid w:val="005C06FA"/>
    <w:rsid w:val="005C5049"/>
    <w:rsid w:val="005D54D6"/>
    <w:rsid w:val="005D6CCE"/>
    <w:rsid w:val="005E671C"/>
    <w:rsid w:val="005F6F86"/>
    <w:rsid w:val="00600743"/>
    <w:rsid w:val="006048A4"/>
    <w:rsid w:val="00605362"/>
    <w:rsid w:val="006064F7"/>
    <w:rsid w:val="006068F0"/>
    <w:rsid w:val="00606C3B"/>
    <w:rsid w:val="00622C28"/>
    <w:rsid w:val="00626CA8"/>
    <w:rsid w:val="006271A0"/>
    <w:rsid w:val="006301C4"/>
    <w:rsid w:val="00630567"/>
    <w:rsid w:val="00631BAB"/>
    <w:rsid w:val="006324D3"/>
    <w:rsid w:val="00636B69"/>
    <w:rsid w:val="006406A8"/>
    <w:rsid w:val="00640B4E"/>
    <w:rsid w:val="00641D5B"/>
    <w:rsid w:val="00644AAD"/>
    <w:rsid w:val="00647270"/>
    <w:rsid w:val="0065223B"/>
    <w:rsid w:val="00653CDE"/>
    <w:rsid w:val="00656442"/>
    <w:rsid w:val="00661DA0"/>
    <w:rsid w:val="006632E6"/>
    <w:rsid w:val="0066542F"/>
    <w:rsid w:val="00670E85"/>
    <w:rsid w:val="0067703D"/>
    <w:rsid w:val="00677CAF"/>
    <w:rsid w:val="006831E3"/>
    <w:rsid w:val="006867BB"/>
    <w:rsid w:val="00691B1A"/>
    <w:rsid w:val="00695425"/>
    <w:rsid w:val="006A101B"/>
    <w:rsid w:val="006A6DC8"/>
    <w:rsid w:val="006C015A"/>
    <w:rsid w:val="006C2360"/>
    <w:rsid w:val="006C55A9"/>
    <w:rsid w:val="006C5999"/>
    <w:rsid w:val="006D0A1B"/>
    <w:rsid w:val="006D6A62"/>
    <w:rsid w:val="006E4D05"/>
    <w:rsid w:val="006F0015"/>
    <w:rsid w:val="00707FF2"/>
    <w:rsid w:val="00712AF4"/>
    <w:rsid w:val="00715456"/>
    <w:rsid w:val="00717D53"/>
    <w:rsid w:val="0072351B"/>
    <w:rsid w:val="00730FBB"/>
    <w:rsid w:val="0073261C"/>
    <w:rsid w:val="00736625"/>
    <w:rsid w:val="00744B4B"/>
    <w:rsid w:val="00745BFF"/>
    <w:rsid w:val="0074683F"/>
    <w:rsid w:val="007549ED"/>
    <w:rsid w:val="0075643C"/>
    <w:rsid w:val="00756DD1"/>
    <w:rsid w:val="00757B36"/>
    <w:rsid w:val="00761289"/>
    <w:rsid w:val="00761EA6"/>
    <w:rsid w:val="00767154"/>
    <w:rsid w:val="007728DC"/>
    <w:rsid w:val="00773B6C"/>
    <w:rsid w:val="00773FEE"/>
    <w:rsid w:val="00781DF2"/>
    <w:rsid w:val="00790B95"/>
    <w:rsid w:val="007937A3"/>
    <w:rsid w:val="007B4684"/>
    <w:rsid w:val="007C09EA"/>
    <w:rsid w:val="007C2309"/>
    <w:rsid w:val="007C3B9F"/>
    <w:rsid w:val="007C4D61"/>
    <w:rsid w:val="007D5273"/>
    <w:rsid w:val="007D6581"/>
    <w:rsid w:val="007D6EBC"/>
    <w:rsid w:val="007F0A33"/>
    <w:rsid w:val="007F1D2B"/>
    <w:rsid w:val="007F4D7D"/>
    <w:rsid w:val="007F717F"/>
    <w:rsid w:val="00817450"/>
    <w:rsid w:val="008176CE"/>
    <w:rsid w:val="008204EB"/>
    <w:rsid w:val="008232D5"/>
    <w:rsid w:val="00823F88"/>
    <w:rsid w:val="0082700E"/>
    <w:rsid w:val="008300D6"/>
    <w:rsid w:val="00843D45"/>
    <w:rsid w:val="00852105"/>
    <w:rsid w:val="0085544C"/>
    <w:rsid w:val="008604A4"/>
    <w:rsid w:val="008606F1"/>
    <w:rsid w:val="00860D9E"/>
    <w:rsid w:val="00862516"/>
    <w:rsid w:val="0086784A"/>
    <w:rsid w:val="008811BB"/>
    <w:rsid w:val="00884C48"/>
    <w:rsid w:val="008953F8"/>
    <w:rsid w:val="0089747C"/>
    <w:rsid w:val="008974F2"/>
    <w:rsid w:val="008A2903"/>
    <w:rsid w:val="008A6ED3"/>
    <w:rsid w:val="008A7438"/>
    <w:rsid w:val="008B5614"/>
    <w:rsid w:val="008C3744"/>
    <w:rsid w:val="008C4798"/>
    <w:rsid w:val="008D3FFB"/>
    <w:rsid w:val="008D43F8"/>
    <w:rsid w:val="008D5DE5"/>
    <w:rsid w:val="008D7AB4"/>
    <w:rsid w:val="008E268A"/>
    <w:rsid w:val="008E3451"/>
    <w:rsid w:val="008E53FF"/>
    <w:rsid w:val="00904A9B"/>
    <w:rsid w:val="00905884"/>
    <w:rsid w:val="00920D6C"/>
    <w:rsid w:val="009276D5"/>
    <w:rsid w:val="0093775E"/>
    <w:rsid w:val="00942D58"/>
    <w:rsid w:val="00942FDE"/>
    <w:rsid w:val="00952863"/>
    <w:rsid w:val="009528FA"/>
    <w:rsid w:val="0096166D"/>
    <w:rsid w:val="00986C7E"/>
    <w:rsid w:val="009911B9"/>
    <w:rsid w:val="009924D4"/>
    <w:rsid w:val="009961B0"/>
    <w:rsid w:val="009963BC"/>
    <w:rsid w:val="009A6C00"/>
    <w:rsid w:val="009B644A"/>
    <w:rsid w:val="009B67C7"/>
    <w:rsid w:val="009C3D9F"/>
    <w:rsid w:val="009C60E6"/>
    <w:rsid w:val="009D594D"/>
    <w:rsid w:val="009D5E30"/>
    <w:rsid w:val="009D64B0"/>
    <w:rsid w:val="009D78FE"/>
    <w:rsid w:val="009E0DF2"/>
    <w:rsid w:val="009E2765"/>
    <w:rsid w:val="009E2C4C"/>
    <w:rsid w:val="009E509B"/>
    <w:rsid w:val="009E5F55"/>
    <w:rsid w:val="009F48CE"/>
    <w:rsid w:val="009F5431"/>
    <w:rsid w:val="009F5C57"/>
    <w:rsid w:val="00A079C6"/>
    <w:rsid w:val="00A11791"/>
    <w:rsid w:val="00A15437"/>
    <w:rsid w:val="00A207B9"/>
    <w:rsid w:val="00A317A2"/>
    <w:rsid w:val="00A31C07"/>
    <w:rsid w:val="00A31E32"/>
    <w:rsid w:val="00A35D90"/>
    <w:rsid w:val="00A36574"/>
    <w:rsid w:val="00A37DDB"/>
    <w:rsid w:val="00A37ECC"/>
    <w:rsid w:val="00A41DC7"/>
    <w:rsid w:val="00A4364F"/>
    <w:rsid w:val="00A5424F"/>
    <w:rsid w:val="00A54EBE"/>
    <w:rsid w:val="00A56CB5"/>
    <w:rsid w:val="00A64717"/>
    <w:rsid w:val="00A748C9"/>
    <w:rsid w:val="00A77398"/>
    <w:rsid w:val="00A80C51"/>
    <w:rsid w:val="00A81EDF"/>
    <w:rsid w:val="00A83A62"/>
    <w:rsid w:val="00A929CC"/>
    <w:rsid w:val="00A9536F"/>
    <w:rsid w:val="00A95495"/>
    <w:rsid w:val="00A955F2"/>
    <w:rsid w:val="00A975B7"/>
    <w:rsid w:val="00AA0FBE"/>
    <w:rsid w:val="00AA4479"/>
    <w:rsid w:val="00AA48D1"/>
    <w:rsid w:val="00AB7E31"/>
    <w:rsid w:val="00AC1E51"/>
    <w:rsid w:val="00AD2F5B"/>
    <w:rsid w:val="00AD464B"/>
    <w:rsid w:val="00AD6A4F"/>
    <w:rsid w:val="00AD7E81"/>
    <w:rsid w:val="00AE0FF5"/>
    <w:rsid w:val="00AE127D"/>
    <w:rsid w:val="00AF12E5"/>
    <w:rsid w:val="00AF1624"/>
    <w:rsid w:val="00AF7D70"/>
    <w:rsid w:val="00B017FE"/>
    <w:rsid w:val="00B05D04"/>
    <w:rsid w:val="00B17E63"/>
    <w:rsid w:val="00B17F7F"/>
    <w:rsid w:val="00B20869"/>
    <w:rsid w:val="00B211ED"/>
    <w:rsid w:val="00B319D0"/>
    <w:rsid w:val="00B31F82"/>
    <w:rsid w:val="00B33AE6"/>
    <w:rsid w:val="00B33B3B"/>
    <w:rsid w:val="00B52B37"/>
    <w:rsid w:val="00B548FD"/>
    <w:rsid w:val="00B556FB"/>
    <w:rsid w:val="00B56361"/>
    <w:rsid w:val="00B61746"/>
    <w:rsid w:val="00B62005"/>
    <w:rsid w:val="00B67234"/>
    <w:rsid w:val="00B67934"/>
    <w:rsid w:val="00B76FFB"/>
    <w:rsid w:val="00B7795B"/>
    <w:rsid w:val="00B77961"/>
    <w:rsid w:val="00B803FE"/>
    <w:rsid w:val="00B84C74"/>
    <w:rsid w:val="00B94CF1"/>
    <w:rsid w:val="00BA2379"/>
    <w:rsid w:val="00BA6F13"/>
    <w:rsid w:val="00BB3A8E"/>
    <w:rsid w:val="00BB5CD0"/>
    <w:rsid w:val="00BB7111"/>
    <w:rsid w:val="00BC0690"/>
    <w:rsid w:val="00BC2A7B"/>
    <w:rsid w:val="00BC4D83"/>
    <w:rsid w:val="00BC6D1F"/>
    <w:rsid w:val="00BD1CD3"/>
    <w:rsid w:val="00BE0F5B"/>
    <w:rsid w:val="00BE242C"/>
    <w:rsid w:val="00BF061C"/>
    <w:rsid w:val="00BF2DE4"/>
    <w:rsid w:val="00BF4E4B"/>
    <w:rsid w:val="00BF7045"/>
    <w:rsid w:val="00C03881"/>
    <w:rsid w:val="00C03EC3"/>
    <w:rsid w:val="00C051BA"/>
    <w:rsid w:val="00C052AB"/>
    <w:rsid w:val="00C114D9"/>
    <w:rsid w:val="00C115C2"/>
    <w:rsid w:val="00C12A33"/>
    <w:rsid w:val="00C20A8B"/>
    <w:rsid w:val="00C234FA"/>
    <w:rsid w:val="00C31DD3"/>
    <w:rsid w:val="00C32BEA"/>
    <w:rsid w:val="00C3405B"/>
    <w:rsid w:val="00C510B7"/>
    <w:rsid w:val="00C5115E"/>
    <w:rsid w:val="00C54574"/>
    <w:rsid w:val="00C67F26"/>
    <w:rsid w:val="00C72985"/>
    <w:rsid w:val="00C73607"/>
    <w:rsid w:val="00C7554B"/>
    <w:rsid w:val="00C7749B"/>
    <w:rsid w:val="00C806B6"/>
    <w:rsid w:val="00C82DE7"/>
    <w:rsid w:val="00C90F87"/>
    <w:rsid w:val="00C91EA9"/>
    <w:rsid w:val="00CB10A1"/>
    <w:rsid w:val="00CB1671"/>
    <w:rsid w:val="00CB3128"/>
    <w:rsid w:val="00CB582D"/>
    <w:rsid w:val="00CB63FC"/>
    <w:rsid w:val="00CB78F3"/>
    <w:rsid w:val="00CC1E96"/>
    <w:rsid w:val="00CC7527"/>
    <w:rsid w:val="00CD60E2"/>
    <w:rsid w:val="00CD79F0"/>
    <w:rsid w:val="00CE0705"/>
    <w:rsid w:val="00CF37DE"/>
    <w:rsid w:val="00CF45D0"/>
    <w:rsid w:val="00CF4883"/>
    <w:rsid w:val="00CF6FCC"/>
    <w:rsid w:val="00D06972"/>
    <w:rsid w:val="00D21461"/>
    <w:rsid w:val="00D22BE5"/>
    <w:rsid w:val="00D30B85"/>
    <w:rsid w:val="00D37A63"/>
    <w:rsid w:val="00D44310"/>
    <w:rsid w:val="00D44681"/>
    <w:rsid w:val="00D44B33"/>
    <w:rsid w:val="00D536B1"/>
    <w:rsid w:val="00D556A1"/>
    <w:rsid w:val="00D563C2"/>
    <w:rsid w:val="00D57164"/>
    <w:rsid w:val="00D57281"/>
    <w:rsid w:val="00D65967"/>
    <w:rsid w:val="00D732AF"/>
    <w:rsid w:val="00D777F1"/>
    <w:rsid w:val="00D8185B"/>
    <w:rsid w:val="00D8194A"/>
    <w:rsid w:val="00D82F3E"/>
    <w:rsid w:val="00D969A3"/>
    <w:rsid w:val="00DA584A"/>
    <w:rsid w:val="00DB6895"/>
    <w:rsid w:val="00DC4C07"/>
    <w:rsid w:val="00DC7AB8"/>
    <w:rsid w:val="00DD525D"/>
    <w:rsid w:val="00DD5508"/>
    <w:rsid w:val="00DE0E0D"/>
    <w:rsid w:val="00DE1C4D"/>
    <w:rsid w:val="00DE5E63"/>
    <w:rsid w:val="00DE675A"/>
    <w:rsid w:val="00E135DB"/>
    <w:rsid w:val="00E1452E"/>
    <w:rsid w:val="00E235C9"/>
    <w:rsid w:val="00E375E1"/>
    <w:rsid w:val="00E40A3B"/>
    <w:rsid w:val="00E42CD9"/>
    <w:rsid w:val="00E431DF"/>
    <w:rsid w:val="00E54657"/>
    <w:rsid w:val="00E6697F"/>
    <w:rsid w:val="00E74681"/>
    <w:rsid w:val="00E77CF4"/>
    <w:rsid w:val="00E8042B"/>
    <w:rsid w:val="00E820A0"/>
    <w:rsid w:val="00E9217F"/>
    <w:rsid w:val="00E9496E"/>
    <w:rsid w:val="00E95E2C"/>
    <w:rsid w:val="00E96765"/>
    <w:rsid w:val="00E97D09"/>
    <w:rsid w:val="00EA009B"/>
    <w:rsid w:val="00EA04B7"/>
    <w:rsid w:val="00EA0937"/>
    <w:rsid w:val="00EA7723"/>
    <w:rsid w:val="00EB17F3"/>
    <w:rsid w:val="00EB28CA"/>
    <w:rsid w:val="00EB57D6"/>
    <w:rsid w:val="00EC5445"/>
    <w:rsid w:val="00EE1688"/>
    <w:rsid w:val="00EE23CC"/>
    <w:rsid w:val="00EF36D5"/>
    <w:rsid w:val="00EF3F63"/>
    <w:rsid w:val="00EF4C13"/>
    <w:rsid w:val="00EF6EEB"/>
    <w:rsid w:val="00F02CB5"/>
    <w:rsid w:val="00F072C2"/>
    <w:rsid w:val="00F07DE8"/>
    <w:rsid w:val="00F07F4C"/>
    <w:rsid w:val="00F1066F"/>
    <w:rsid w:val="00F21207"/>
    <w:rsid w:val="00F5110A"/>
    <w:rsid w:val="00F52FF2"/>
    <w:rsid w:val="00F53FD4"/>
    <w:rsid w:val="00F56BEA"/>
    <w:rsid w:val="00F72D89"/>
    <w:rsid w:val="00F74F31"/>
    <w:rsid w:val="00F95FE2"/>
    <w:rsid w:val="00FA0D4F"/>
    <w:rsid w:val="00FA3C12"/>
    <w:rsid w:val="00FB02D1"/>
    <w:rsid w:val="00FB3A1E"/>
    <w:rsid w:val="00FB3C91"/>
    <w:rsid w:val="00FB4DCC"/>
    <w:rsid w:val="00FB62F5"/>
    <w:rsid w:val="00FB6647"/>
    <w:rsid w:val="00FD3F1A"/>
    <w:rsid w:val="00FD442A"/>
    <w:rsid w:val="00FD6406"/>
    <w:rsid w:val="00FD72DA"/>
    <w:rsid w:val="00FE5FE9"/>
    <w:rsid w:val="00FE7D94"/>
    <w:rsid w:val="00FF0F02"/>
    <w:rsid w:val="00FF7F1F"/>
    <w:rsid w:val="01773477"/>
    <w:rsid w:val="01FB0577"/>
    <w:rsid w:val="0273010D"/>
    <w:rsid w:val="027C3D6B"/>
    <w:rsid w:val="030571A0"/>
    <w:rsid w:val="033A0C2B"/>
    <w:rsid w:val="039D18E6"/>
    <w:rsid w:val="03D1158F"/>
    <w:rsid w:val="03DB0660"/>
    <w:rsid w:val="04163446"/>
    <w:rsid w:val="0454399B"/>
    <w:rsid w:val="049360A4"/>
    <w:rsid w:val="04FC07BA"/>
    <w:rsid w:val="053242B0"/>
    <w:rsid w:val="05C21244"/>
    <w:rsid w:val="064029FC"/>
    <w:rsid w:val="066708AF"/>
    <w:rsid w:val="067C0C47"/>
    <w:rsid w:val="06823015"/>
    <w:rsid w:val="069946CA"/>
    <w:rsid w:val="06D870D9"/>
    <w:rsid w:val="06DE46EF"/>
    <w:rsid w:val="06F07F7E"/>
    <w:rsid w:val="0712221A"/>
    <w:rsid w:val="075F5104"/>
    <w:rsid w:val="078B0F5C"/>
    <w:rsid w:val="078B7CA7"/>
    <w:rsid w:val="07B83C8D"/>
    <w:rsid w:val="07C025C7"/>
    <w:rsid w:val="07F25F78"/>
    <w:rsid w:val="07F46FDB"/>
    <w:rsid w:val="08171363"/>
    <w:rsid w:val="085B58CB"/>
    <w:rsid w:val="08AB2AB1"/>
    <w:rsid w:val="08E51639"/>
    <w:rsid w:val="095827AC"/>
    <w:rsid w:val="096E162E"/>
    <w:rsid w:val="09772BD9"/>
    <w:rsid w:val="09C37BCC"/>
    <w:rsid w:val="09CB082F"/>
    <w:rsid w:val="09CD219B"/>
    <w:rsid w:val="09E42488"/>
    <w:rsid w:val="09ED576F"/>
    <w:rsid w:val="0A2A0535"/>
    <w:rsid w:val="0A4A3E4A"/>
    <w:rsid w:val="0AA7129C"/>
    <w:rsid w:val="0AAF0151"/>
    <w:rsid w:val="0B4E34C6"/>
    <w:rsid w:val="0B811AED"/>
    <w:rsid w:val="0B8145E5"/>
    <w:rsid w:val="0B8E7D66"/>
    <w:rsid w:val="0BE77385"/>
    <w:rsid w:val="0BEF2EFA"/>
    <w:rsid w:val="0C1464BD"/>
    <w:rsid w:val="0C2A7A8F"/>
    <w:rsid w:val="0CAF051D"/>
    <w:rsid w:val="0D116C13"/>
    <w:rsid w:val="0EAC0C2F"/>
    <w:rsid w:val="0EFB1BB6"/>
    <w:rsid w:val="0F07055B"/>
    <w:rsid w:val="0F135152"/>
    <w:rsid w:val="0F2033CB"/>
    <w:rsid w:val="0F6239E3"/>
    <w:rsid w:val="0F9B0CA3"/>
    <w:rsid w:val="0FFF254C"/>
    <w:rsid w:val="105020BB"/>
    <w:rsid w:val="10525806"/>
    <w:rsid w:val="10670755"/>
    <w:rsid w:val="107F26DA"/>
    <w:rsid w:val="10D751BE"/>
    <w:rsid w:val="10FC571B"/>
    <w:rsid w:val="112A47B8"/>
    <w:rsid w:val="126E4710"/>
    <w:rsid w:val="12993BC0"/>
    <w:rsid w:val="1299771C"/>
    <w:rsid w:val="12DB5F87"/>
    <w:rsid w:val="13781A27"/>
    <w:rsid w:val="13BF1404"/>
    <w:rsid w:val="13D84274"/>
    <w:rsid w:val="143C2A55"/>
    <w:rsid w:val="143E4A1F"/>
    <w:rsid w:val="14583CD7"/>
    <w:rsid w:val="148126CD"/>
    <w:rsid w:val="14DE2927"/>
    <w:rsid w:val="150177FB"/>
    <w:rsid w:val="150B4677"/>
    <w:rsid w:val="156D73A9"/>
    <w:rsid w:val="15755A68"/>
    <w:rsid w:val="15AA7E92"/>
    <w:rsid w:val="16465E0D"/>
    <w:rsid w:val="16500A3A"/>
    <w:rsid w:val="168503A9"/>
    <w:rsid w:val="16C90EF1"/>
    <w:rsid w:val="17281EC0"/>
    <w:rsid w:val="1812308C"/>
    <w:rsid w:val="18131D1F"/>
    <w:rsid w:val="181E6DC2"/>
    <w:rsid w:val="183D4FEE"/>
    <w:rsid w:val="186E33F9"/>
    <w:rsid w:val="18A22CD9"/>
    <w:rsid w:val="18E65685"/>
    <w:rsid w:val="18FF648E"/>
    <w:rsid w:val="193C34F7"/>
    <w:rsid w:val="1953639C"/>
    <w:rsid w:val="19874772"/>
    <w:rsid w:val="1A167B3A"/>
    <w:rsid w:val="1A342318"/>
    <w:rsid w:val="1A4A03EB"/>
    <w:rsid w:val="1A8C5DB8"/>
    <w:rsid w:val="1B3E5305"/>
    <w:rsid w:val="1B3F60E7"/>
    <w:rsid w:val="1C202209"/>
    <w:rsid w:val="1CDF48C5"/>
    <w:rsid w:val="1D083E1C"/>
    <w:rsid w:val="1D552DD9"/>
    <w:rsid w:val="1DAD49C3"/>
    <w:rsid w:val="1DB25B36"/>
    <w:rsid w:val="1DC97B07"/>
    <w:rsid w:val="1DCF57F5"/>
    <w:rsid w:val="1E391DB3"/>
    <w:rsid w:val="1E74103D"/>
    <w:rsid w:val="1E905236"/>
    <w:rsid w:val="1F464788"/>
    <w:rsid w:val="1FD746B4"/>
    <w:rsid w:val="1FE16BA6"/>
    <w:rsid w:val="20855784"/>
    <w:rsid w:val="20AA239D"/>
    <w:rsid w:val="20B91875"/>
    <w:rsid w:val="20DD736E"/>
    <w:rsid w:val="216750D4"/>
    <w:rsid w:val="21FA4AE9"/>
    <w:rsid w:val="2250591D"/>
    <w:rsid w:val="22557C1D"/>
    <w:rsid w:val="226B7889"/>
    <w:rsid w:val="22745AB0"/>
    <w:rsid w:val="22E33BF0"/>
    <w:rsid w:val="23897365"/>
    <w:rsid w:val="2392443F"/>
    <w:rsid w:val="23AC477C"/>
    <w:rsid w:val="23B858BF"/>
    <w:rsid w:val="23C120FD"/>
    <w:rsid w:val="23F01166"/>
    <w:rsid w:val="241A2687"/>
    <w:rsid w:val="243D3F18"/>
    <w:rsid w:val="245B3C6C"/>
    <w:rsid w:val="24640114"/>
    <w:rsid w:val="24B91EA0"/>
    <w:rsid w:val="24E46F1D"/>
    <w:rsid w:val="25100723"/>
    <w:rsid w:val="2556149D"/>
    <w:rsid w:val="25AD0C5F"/>
    <w:rsid w:val="25E92311"/>
    <w:rsid w:val="26357304"/>
    <w:rsid w:val="26931E56"/>
    <w:rsid w:val="273A72C8"/>
    <w:rsid w:val="276A7481"/>
    <w:rsid w:val="28213FE4"/>
    <w:rsid w:val="2858552C"/>
    <w:rsid w:val="28A736BD"/>
    <w:rsid w:val="290336EA"/>
    <w:rsid w:val="29890093"/>
    <w:rsid w:val="29982084"/>
    <w:rsid w:val="29BB2216"/>
    <w:rsid w:val="29D07A70"/>
    <w:rsid w:val="2A5176CA"/>
    <w:rsid w:val="2AC82E3D"/>
    <w:rsid w:val="2AD92D72"/>
    <w:rsid w:val="2B200583"/>
    <w:rsid w:val="2C02412C"/>
    <w:rsid w:val="2C892158"/>
    <w:rsid w:val="2CB5119F"/>
    <w:rsid w:val="2CDF621C"/>
    <w:rsid w:val="2D102879"/>
    <w:rsid w:val="2D2500D2"/>
    <w:rsid w:val="2D5269EE"/>
    <w:rsid w:val="2DA82AB1"/>
    <w:rsid w:val="2DC07DFB"/>
    <w:rsid w:val="2DF6381D"/>
    <w:rsid w:val="2E1A39AF"/>
    <w:rsid w:val="2E530C6F"/>
    <w:rsid w:val="2E5E24D1"/>
    <w:rsid w:val="2EB77450"/>
    <w:rsid w:val="2F162065"/>
    <w:rsid w:val="2F39477D"/>
    <w:rsid w:val="2F7B20F9"/>
    <w:rsid w:val="2F7B222C"/>
    <w:rsid w:val="2F835584"/>
    <w:rsid w:val="30021FA5"/>
    <w:rsid w:val="301D32E3"/>
    <w:rsid w:val="30360848"/>
    <w:rsid w:val="308B29B1"/>
    <w:rsid w:val="309D2676"/>
    <w:rsid w:val="30EB3EF2"/>
    <w:rsid w:val="30F37F2F"/>
    <w:rsid w:val="30FA30E7"/>
    <w:rsid w:val="31184ED8"/>
    <w:rsid w:val="314865E7"/>
    <w:rsid w:val="31D25E0E"/>
    <w:rsid w:val="32197667"/>
    <w:rsid w:val="32422B29"/>
    <w:rsid w:val="326B053C"/>
    <w:rsid w:val="333948D8"/>
    <w:rsid w:val="33AF6948"/>
    <w:rsid w:val="35260E8C"/>
    <w:rsid w:val="35A428FB"/>
    <w:rsid w:val="35A74912"/>
    <w:rsid w:val="35C661CB"/>
    <w:rsid w:val="35CB5EC9"/>
    <w:rsid w:val="36C0415D"/>
    <w:rsid w:val="36F45D80"/>
    <w:rsid w:val="378105FB"/>
    <w:rsid w:val="37D12A37"/>
    <w:rsid w:val="38214EAF"/>
    <w:rsid w:val="385B709E"/>
    <w:rsid w:val="38795776"/>
    <w:rsid w:val="387C703E"/>
    <w:rsid w:val="38E65C15"/>
    <w:rsid w:val="390A2872"/>
    <w:rsid w:val="39203E44"/>
    <w:rsid w:val="39677CC5"/>
    <w:rsid w:val="39A35D51"/>
    <w:rsid w:val="39FA4695"/>
    <w:rsid w:val="3B111C96"/>
    <w:rsid w:val="3B1359D3"/>
    <w:rsid w:val="3BB80F8B"/>
    <w:rsid w:val="3BCE327C"/>
    <w:rsid w:val="3C3420E0"/>
    <w:rsid w:val="3C345451"/>
    <w:rsid w:val="3C704BC7"/>
    <w:rsid w:val="3CA77D37"/>
    <w:rsid w:val="3CD37EDB"/>
    <w:rsid w:val="3CD4741F"/>
    <w:rsid w:val="3D433DBD"/>
    <w:rsid w:val="3DCC6348"/>
    <w:rsid w:val="3DD60147"/>
    <w:rsid w:val="3E9D7E49"/>
    <w:rsid w:val="3ED26B65"/>
    <w:rsid w:val="3EE92E34"/>
    <w:rsid w:val="3F2525D9"/>
    <w:rsid w:val="3F4940F4"/>
    <w:rsid w:val="402107A3"/>
    <w:rsid w:val="40DB5F4C"/>
    <w:rsid w:val="40EB4D37"/>
    <w:rsid w:val="40FC5196"/>
    <w:rsid w:val="411807DC"/>
    <w:rsid w:val="41C57015"/>
    <w:rsid w:val="41E77BF5"/>
    <w:rsid w:val="41FA7928"/>
    <w:rsid w:val="42156510"/>
    <w:rsid w:val="42186000"/>
    <w:rsid w:val="42187DAE"/>
    <w:rsid w:val="428471F1"/>
    <w:rsid w:val="42BA70B7"/>
    <w:rsid w:val="430317C0"/>
    <w:rsid w:val="43DD12AF"/>
    <w:rsid w:val="43E6398E"/>
    <w:rsid w:val="44B26298"/>
    <w:rsid w:val="44CA4BFA"/>
    <w:rsid w:val="45266426"/>
    <w:rsid w:val="45561319"/>
    <w:rsid w:val="4588349D"/>
    <w:rsid w:val="45CF4C28"/>
    <w:rsid w:val="45D1274E"/>
    <w:rsid w:val="45E16C19"/>
    <w:rsid w:val="466241D1"/>
    <w:rsid w:val="46A00372"/>
    <w:rsid w:val="46CE77DF"/>
    <w:rsid w:val="46F522DA"/>
    <w:rsid w:val="475A67D9"/>
    <w:rsid w:val="478B3A34"/>
    <w:rsid w:val="479B74B7"/>
    <w:rsid w:val="47DE73A4"/>
    <w:rsid w:val="48220A60"/>
    <w:rsid w:val="48645AFB"/>
    <w:rsid w:val="48671147"/>
    <w:rsid w:val="48BF0830"/>
    <w:rsid w:val="48E704DA"/>
    <w:rsid w:val="48EE3617"/>
    <w:rsid w:val="49290AF3"/>
    <w:rsid w:val="494B2817"/>
    <w:rsid w:val="494B6CBB"/>
    <w:rsid w:val="49AA1C33"/>
    <w:rsid w:val="49F42EAF"/>
    <w:rsid w:val="4A3500EA"/>
    <w:rsid w:val="4A590F64"/>
    <w:rsid w:val="4AB9549B"/>
    <w:rsid w:val="4AD14F9E"/>
    <w:rsid w:val="4ADD1B95"/>
    <w:rsid w:val="4B8D6ED7"/>
    <w:rsid w:val="4B986D6B"/>
    <w:rsid w:val="4BE56F53"/>
    <w:rsid w:val="4C545E87"/>
    <w:rsid w:val="4CE03BBE"/>
    <w:rsid w:val="4CF5766A"/>
    <w:rsid w:val="4D083EE4"/>
    <w:rsid w:val="4D792F09"/>
    <w:rsid w:val="4DEB186C"/>
    <w:rsid w:val="4E9B7A20"/>
    <w:rsid w:val="4EA330F5"/>
    <w:rsid w:val="4EC02909"/>
    <w:rsid w:val="4F343D4D"/>
    <w:rsid w:val="4F3A75B6"/>
    <w:rsid w:val="4F545330"/>
    <w:rsid w:val="4F8E7901"/>
    <w:rsid w:val="4FA15887"/>
    <w:rsid w:val="503A624F"/>
    <w:rsid w:val="504970E8"/>
    <w:rsid w:val="505E0F83"/>
    <w:rsid w:val="50642410"/>
    <w:rsid w:val="506568B4"/>
    <w:rsid w:val="506D7517"/>
    <w:rsid w:val="50A70C7B"/>
    <w:rsid w:val="50AB003F"/>
    <w:rsid w:val="50C26F51"/>
    <w:rsid w:val="50D650BC"/>
    <w:rsid w:val="50DC4E4F"/>
    <w:rsid w:val="50DD28EE"/>
    <w:rsid w:val="5124051D"/>
    <w:rsid w:val="51D05F5C"/>
    <w:rsid w:val="52185B8C"/>
    <w:rsid w:val="524349D3"/>
    <w:rsid w:val="5358625C"/>
    <w:rsid w:val="536A3507"/>
    <w:rsid w:val="53E75832"/>
    <w:rsid w:val="53ED0AB4"/>
    <w:rsid w:val="54120B01"/>
    <w:rsid w:val="547959BF"/>
    <w:rsid w:val="54BB5F4C"/>
    <w:rsid w:val="54ED50CA"/>
    <w:rsid w:val="54F7F469"/>
    <w:rsid w:val="551B1C37"/>
    <w:rsid w:val="55833339"/>
    <w:rsid w:val="558C6691"/>
    <w:rsid w:val="562F308A"/>
    <w:rsid w:val="5632548A"/>
    <w:rsid w:val="56585DA5"/>
    <w:rsid w:val="56901E7C"/>
    <w:rsid w:val="56E12A0D"/>
    <w:rsid w:val="56F02C50"/>
    <w:rsid w:val="57122BC6"/>
    <w:rsid w:val="577E64AD"/>
    <w:rsid w:val="57EF27B0"/>
    <w:rsid w:val="5844771D"/>
    <w:rsid w:val="58822C18"/>
    <w:rsid w:val="589E5842"/>
    <w:rsid w:val="58FA6008"/>
    <w:rsid w:val="59476CE1"/>
    <w:rsid w:val="5981360E"/>
    <w:rsid w:val="599A26EE"/>
    <w:rsid w:val="599E387E"/>
    <w:rsid w:val="59C12681"/>
    <w:rsid w:val="59DE2095"/>
    <w:rsid w:val="5A292701"/>
    <w:rsid w:val="5A332B09"/>
    <w:rsid w:val="5A37500F"/>
    <w:rsid w:val="5A582FE6"/>
    <w:rsid w:val="5A696FA1"/>
    <w:rsid w:val="5AA82B94"/>
    <w:rsid w:val="5AE26D53"/>
    <w:rsid w:val="5AED7BD2"/>
    <w:rsid w:val="5AF727FF"/>
    <w:rsid w:val="5B0942E0"/>
    <w:rsid w:val="5B1F1D55"/>
    <w:rsid w:val="5C0A6562"/>
    <w:rsid w:val="5C311D40"/>
    <w:rsid w:val="5C734374"/>
    <w:rsid w:val="5D347D3A"/>
    <w:rsid w:val="5D373670"/>
    <w:rsid w:val="5D625A9F"/>
    <w:rsid w:val="5DDB6CD3"/>
    <w:rsid w:val="5E911FD2"/>
    <w:rsid w:val="5EA7453C"/>
    <w:rsid w:val="5ED94431"/>
    <w:rsid w:val="5EE66E12"/>
    <w:rsid w:val="5F2738DC"/>
    <w:rsid w:val="5F891239"/>
    <w:rsid w:val="5FB707AE"/>
    <w:rsid w:val="5FBB5A03"/>
    <w:rsid w:val="5FE76ABA"/>
    <w:rsid w:val="5FF5B184"/>
    <w:rsid w:val="608A1A1F"/>
    <w:rsid w:val="611449CF"/>
    <w:rsid w:val="61487C00"/>
    <w:rsid w:val="61B01959"/>
    <w:rsid w:val="62771C70"/>
    <w:rsid w:val="628337D1"/>
    <w:rsid w:val="62A02B74"/>
    <w:rsid w:val="63155F18"/>
    <w:rsid w:val="63293771"/>
    <w:rsid w:val="634A36E8"/>
    <w:rsid w:val="638D4CA5"/>
    <w:rsid w:val="63DF45AD"/>
    <w:rsid w:val="641221AE"/>
    <w:rsid w:val="64195594"/>
    <w:rsid w:val="642B3519"/>
    <w:rsid w:val="644B7717"/>
    <w:rsid w:val="65164566"/>
    <w:rsid w:val="654C1999"/>
    <w:rsid w:val="654C7BEB"/>
    <w:rsid w:val="656E7B61"/>
    <w:rsid w:val="66044022"/>
    <w:rsid w:val="6626043C"/>
    <w:rsid w:val="662E6731"/>
    <w:rsid w:val="66886CF4"/>
    <w:rsid w:val="66FB3677"/>
    <w:rsid w:val="675B5AF4"/>
    <w:rsid w:val="677961F6"/>
    <w:rsid w:val="68136366"/>
    <w:rsid w:val="68774F7F"/>
    <w:rsid w:val="68C33D20"/>
    <w:rsid w:val="69006D22"/>
    <w:rsid w:val="69164798"/>
    <w:rsid w:val="69814D1C"/>
    <w:rsid w:val="699456BD"/>
    <w:rsid w:val="69BB0E9B"/>
    <w:rsid w:val="6A4964A7"/>
    <w:rsid w:val="6BA77929"/>
    <w:rsid w:val="6C046B2A"/>
    <w:rsid w:val="6C1E11ED"/>
    <w:rsid w:val="6C6E7C95"/>
    <w:rsid w:val="6C847C6A"/>
    <w:rsid w:val="6C9C3206"/>
    <w:rsid w:val="6CAB3449"/>
    <w:rsid w:val="6D2B24BB"/>
    <w:rsid w:val="6E3556C0"/>
    <w:rsid w:val="6E361438"/>
    <w:rsid w:val="6E6B7334"/>
    <w:rsid w:val="6E7042BE"/>
    <w:rsid w:val="6E9879FD"/>
    <w:rsid w:val="6E9A3775"/>
    <w:rsid w:val="6ECF7BC3"/>
    <w:rsid w:val="6EE97AC5"/>
    <w:rsid w:val="6FA86B63"/>
    <w:rsid w:val="6FBB7E47"/>
    <w:rsid w:val="7007308C"/>
    <w:rsid w:val="70115CB9"/>
    <w:rsid w:val="703F291D"/>
    <w:rsid w:val="708564FF"/>
    <w:rsid w:val="709F1517"/>
    <w:rsid w:val="70EC5DDE"/>
    <w:rsid w:val="71241A1C"/>
    <w:rsid w:val="713D663A"/>
    <w:rsid w:val="714C31D2"/>
    <w:rsid w:val="717F3BC0"/>
    <w:rsid w:val="71BC7EA6"/>
    <w:rsid w:val="72457E9C"/>
    <w:rsid w:val="731A30D6"/>
    <w:rsid w:val="73A04113"/>
    <w:rsid w:val="73A11102"/>
    <w:rsid w:val="73F43927"/>
    <w:rsid w:val="743A77AB"/>
    <w:rsid w:val="752D2541"/>
    <w:rsid w:val="75457F23"/>
    <w:rsid w:val="75F93477"/>
    <w:rsid w:val="760477CC"/>
    <w:rsid w:val="761D6AB0"/>
    <w:rsid w:val="7686635C"/>
    <w:rsid w:val="76BB697E"/>
    <w:rsid w:val="76C9299A"/>
    <w:rsid w:val="777A2396"/>
    <w:rsid w:val="77A92C7B"/>
    <w:rsid w:val="78034139"/>
    <w:rsid w:val="793842B6"/>
    <w:rsid w:val="796F6888"/>
    <w:rsid w:val="79766B8D"/>
    <w:rsid w:val="79D815F5"/>
    <w:rsid w:val="7A664E53"/>
    <w:rsid w:val="7AC027B5"/>
    <w:rsid w:val="7ACF47A6"/>
    <w:rsid w:val="7B073F40"/>
    <w:rsid w:val="7B882623"/>
    <w:rsid w:val="7B8A691F"/>
    <w:rsid w:val="7B9D6653"/>
    <w:rsid w:val="7BBF0CBF"/>
    <w:rsid w:val="7C2E3ECA"/>
    <w:rsid w:val="7CA64A0C"/>
    <w:rsid w:val="7CB93960"/>
    <w:rsid w:val="7D0C1CE2"/>
    <w:rsid w:val="7D174734"/>
    <w:rsid w:val="7D3B6123"/>
    <w:rsid w:val="7DB52379"/>
    <w:rsid w:val="7DBB02AB"/>
    <w:rsid w:val="7DF12C86"/>
    <w:rsid w:val="7DF7A1B5"/>
    <w:rsid w:val="7E7E09BD"/>
    <w:rsid w:val="7E8A580B"/>
    <w:rsid w:val="7E997F15"/>
    <w:rsid w:val="7EB160C6"/>
    <w:rsid w:val="7EBD33CD"/>
    <w:rsid w:val="7ED06D3F"/>
    <w:rsid w:val="7F19500C"/>
    <w:rsid w:val="7F797C95"/>
    <w:rsid w:val="7FF35CED"/>
    <w:rsid w:val="99F31EBA"/>
    <w:rsid w:val="B5FF3FD2"/>
    <w:rsid w:val="D556ED8A"/>
    <w:rsid w:val="E6DEEDEF"/>
    <w:rsid w:val="F65D4E9A"/>
    <w:rsid w:val="F8FEE162"/>
    <w:rsid w:val="FEBF8EC9"/>
    <w:rsid w:val="FFDC38A8"/>
    <w:rsid w:val="FFF335C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qFormat="1" w:unhideWhenUsed="0" w:uiPriority="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qFormat="1" w:unhideWhenUsed="0" w:uiPriority="0" w:semiHidden="0" w:name="index 6"/>
    <w:lsdException w:unhideWhenUsed="0" w:uiPriority="0" w:semiHidden="0" w:name="index 7"/>
    <w:lsdException w:qFormat="1" w:unhideWhenUsed="0" w:uiPriority="99"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iPriority="99"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unhideWhenUsed="0" w:uiPriority="0" w:semiHidden="0" w:name="Body Text Indent 3"/>
    <w:lsdException w:qFormat="1" w:uiPriority="99"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49"/>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66"/>
    <w:qFormat/>
    <w:uiPriority w:val="0"/>
    <w:pPr>
      <w:keepNext/>
      <w:keepLines/>
      <w:spacing w:before="260" w:beforeLines="0" w:after="260" w:afterLines="0" w:line="413" w:lineRule="auto"/>
      <w:outlineLvl w:val="1"/>
    </w:pPr>
    <w:rPr>
      <w:rFonts w:ascii="Arial" w:hAnsi="Arial" w:eastAsia="黑体"/>
      <w:b/>
      <w:bCs/>
      <w:sz w:val="32"/>
      <w:szCs w:val="32"/>
    </w:rPr>
  </w:style>
  <w:style w:type="paragraph" w:styleId="4">
    <w:name w:val="heading 3"/>
    <w:basedOn w:val="1"/>
    <w:next w:val="1"/>
    <w:link w:val="51"/>
    <w:qFormat/>
    <w:uiPriority w:val="0"/>
    <w:pPr>
      <w:keepNext/>
      <w:keepLines/>
      <w:spacing w:line="600" w:lineRule="exact"/>
      <w:ind w:firstLine="643" w:firstLineChars="200"/>
      <w:outlineLvl w:val="2"/>
    </w:pPr>
    <w:rPr>
      <w:b/>
      <w:bCs/>
      <w:sz w:val="32"/>
      <w:szCs w:val="32"/>
    </w:rPr>
  </w:style>
  <w:style w:type="paragraph" w:styleId="5">
    <w:name w:val="heading 4"/>
    <w:basedOn w:val="1"/>
    <w:next w:val="1"/>
    <w:link w:val="52"/>
    <w:qFormat/>
    <w:uiPriority w:val="0"/>
    <w:pPr>
      <w:tabs>
        <w:tab w:val="left" w:pos="2155"/>
      </w:tabs>
      <w:adjustRightInd w:val="0"/>
      <w:spacing w:before="120" w:beforeLines="0" w:line="360" w:lineRule="auto"/>
      <w:ind w:left="2155" w:hanging="1078"/>
      <w:textAlignment w:val="baseline"/>
      <w:outlineLvl w:val="3"/>
    </w:pPr>
    <w:rPr>
      <w:rFonts w:ascii="Arial" w:eastAsia="黑体"/>
      <w:kern w:val="0"/>
      <w:sz w:val="28"/>
      <w:szCs w:val="20"/>
    </w:rPr>
  </w:style>
  <w:style w:type="paragraph" w:styleId="6">
    <w:name w:val="heading 5"/>
    <w:basedOn w:val="1"/>
    <w:next w:val="1"/>
    <w:link w:val="53"/>
    <w:qFormat/>
    <w:uiPriority w:val="0"/>
    <w:pPr>
      <w:keepNext/>
      <w:keepLines/>
      <w:spacing w:before="280" w:after="290" w:line="376" w:lineRule="auto"/>
      <w:outlineLvl w:val="4"/>
    </w:pPr>
    <w:rPr>
      <w:b/>
      <w:bCs/>
      <w:sz w:val="28"/>
      <w:szCs w:val="28"/>
    </w:rPr>
  </w:style>
  <w:style w:type="character" w:default="1" w:styleId="41">
    <w:name w:val="Default Paragraph Font"/>
    <w:semiHidden/>
    <w:qFormat/>
    <w:uiPriority w:val="0"/>
  </w:style>
  <w:style w:type="table" w:default="1" w:styleId="39">
    <w:name w:val="Normal Table"/>
    <w:semiHidden/>
    <w:qFormat/>
    <w:uiPriority w:val="0"/>
    <w:tblPr>
      <w:tblCellMar>
        <w:top w:w="0" w:type="dxa"/>
        <w:left w:w="108" w:type="dxa"/>
        <w:bottom w:w="0" w:type="dxa"/>
        <w:right w:w="108" w:type="dxa"/>
      </w:tblCellMar>
    </w:tblPr>
  </w:style>
  <w:style w:type="paragraph" w:styleId="7">
    <w:name w:val="toc 7"/>
    <w:basedOn w:val="1"/>
    <w:next w:val="1"/>
    <w:qFormat/>
    <w:uiPriority w:val="0"/>
    <w:pPr>
      <w:jc w:val="left"/>
    </w:pPr>
    <w:rPr>
      <w:rFonts w:ascii="Calibri" w:hAnsi="Calibri"/>
      <w:sz w:val="22"/>
      <w:szCs w:val="22"/>
    </w:rPr>
  </w:style>
  <w:style w:type="paragraph" w:styleId="8">
    <w:name w:val="index 8"/>
    <w:basedOn w:val="1"/>
    <w:next w:val="1"/>
    <w:semiHidden/>
    <w:qFormat/>
    <w:uiPriority w:val="99"/>
    <w:pPr>
      <w:adjustRightInd w:val="0"/>
      <w:spacing w:line="360" w:lineRule="atLeast"/>
      <w:ind w:left="2940"/>
      <w:textAlignment w:val="baseline"/>
    </w:pPr>
  </w:style>
  <w:style w:type="paragraph" w:styleId="9">
    <w:name w:val="Normal Indent"/>
    <w:basedOn w:val="1"/>
    <w:qFormat/>
    <w:uiPriority w:val="0"/>
    <w:pPr>
      <w:ind w:firstLine="420"/>
    </w:pPr>
    <w:rPr>
      <w:szCs w:val="20"/>
    </w:rPr>
  </w:style>
  <w:style w:type="paragraph" w:styleId="10">
    <w:name w:val="caption"/>
    <w:basedOn w:val="1"/>
    <w:next w:val="1"/>
    <w:qFormat/>
    <w:uiPriority w:val="0"/>
    <w:pPr>
      <w:spacing w:before="152" w:after="160"/>
    </w:pPr>
    <w:rPr>
      <w:rFonts w:ascii="Arial" w:hAnsi="Arial" w:eastAsia="黑体" w:cs="Arial"/>
      <w:sz w:val="20"/>
      <w:szCs w:val="20"/>
    </w:rPr>
  </w:style>
  <w:style w:type="paragraph" w:styleId="11">
    <w:name w:val="Document Map"/>
    <w:basedOn w:val="1"/>
    <w:link w:val="54"/>
    <w:qFormat/>
    <w:uiPriority w:val="0"/>
    <w:rPr>
      <w:rFonts w:ascii="宋体"/>
      <w:sz w:val="18"/>
      <w:szCs w:val="18"/>
    </w:rPr>
  </w:style>
  <w:style w:type="paragraph" w:styleId="12">
    <w:name w:val="annotation text"/>
    <w:basedOn w:val="1"/>
    <w:link w:val="55"/>
    <w:qFormat/>
    <w:uiPriority w:val="0"/>
    <w:pPr>
      <w:jc w:val="left"/>
    </w:pPr>
  </w:style>
  <w:style w:type="paragraph" w:styleId="13">
    <w:name w:val="index 6"/>
    <w:basedOn w:val="1"/>
    <w:next w:val="1"/>
    <w:qFormat/>
    <w:uiPriority w:val="0"/>
    <w:pPr>
      <w:ind w:left="2100"/>
    </w:pPr>
    <w:rPr>
      <w:rFonts w:ascii="Times New Roman" w:hAnsi="Times New Roman"/>
    </w:rPr>
  </w:style>
  <w:style w:type="paragraph" w:styleId="14">
    <w:name w:val="Body Text 3"/>
    <w:basedOn w:val="1"/>
    <w:link w:val="56"/>
    <w:qFormat/>
    <w:uiPriority w:val="0"/>
    <w:pPr>
      <w:spacing w:after="120"/>
    </w:pPr>
    <w:rPr>
      <w:sz w:val="16"/>
      <w:szCs w:val="16"/>
    </w:rPr>
  </w:style>
  <w:style w:type="paragraph" w:styleId="15">
    <w:name w:val="Body Text"/>
    <w:basedOn w:val="1"/>
    <w:link w:val="57"/>
    <w:qFormat/>
    <w:uiPriority w:val="0"/>
    <w:pPr>
      <w:spacing w:after="120"/>
    </w:pPr>
  </w:style>
  <w:style w:type="paragraph" w:styleId="16">
    <w:name w:val="Body Text Indent"/>
    <w:basedOn w:val="1"/>
    <w:link w:val="58"/>
    <w:qFormat/>
    <w:uiPriority w:val="0"/>
    <w:pPr>
      <w:spacing w:line="200" w:lineRule="exact"/>
      <w:ind w:firstLine="301"/>
    </w:pPr>
    <w:rPr>
      <w:rFonts w:ascii="宋体" w:hAnsi="Courier New"/>
      <w:spacing w:val="-4"/>
      <w:sz w:val="18"/>
      <w:szCs w:val="20"/>
    </w:rPr>
  </w:style>
  <w:style w:type="paragraph" w:styleId="17">
    <w:name w:val="Block Text"/>
    <w:basedOn w:val="1"/>
    <w:unhideWhenUsed/>
    <w:qFormat/>
    <w:uiPriority w:val="99"/>
    <w:pPr>
      <w:spacing w:after="120"/>
      <w:ind w:left="1440" w:leftChars="700" w:right="1440" w:rightChars="700"/>
    </w:pPr>
    <w:rPr>
      <w:rFonts w:ascii="Times New Roman" w:hAnsi="Times New Roman" w:eastAsia="宋体" w:cs="Times New Roman"/>
    </w:rPr>
  </w:style>
  <w:style w:type="paragraph" w:styleId="18">
    <w:name w:val="toc 5"/>
    <w:basedOn w:val="1"/>
    <w:next w:val="1"/>
    <w:qFormat/>
    <w:uiPriority w:val="0"/>
    <w:pPr>
      <w:jc w:val="left"/>
    </w:pPr>
    <w:rPr>
      <w:rFonts w:ascii="Calibri" w:hAnsi="Calibri"/>
      <w:sz w:val="22"/>
      <w:szCs w:val="22"/>
    </w:rPr>
  </w:style>
  <w:style w:type="paragraph" w:styleId="19">
    <w:name w:val="toc 3"/>
    <w:basedOn w:val="1"/>
    <w:next w:val="1"/>
    <w:qFormat/>
    <w:uiPriority w:val="0"/>
    <w:pPr>
      <w:jc w:val="left"/>
    </w:pPr>
    <w:rPr>
      <w:rFonts w:ascii="Calibri" w:hAnsi="Calibri"/>
      <w:smallCaps/>
      <w:sz w:val="22"/>
      <w:szCs w:val="22"/>
    </w:rPr>
  </w:style>
  <w:style w:type="paragraph" w:styleId="20">
    <w:name w:val="Plain Text"/>
    <w:basedOn w:val="1"/>
    <w:link w:val="59"/>
    <w:qFormat/>
    <w:uiPriority w:val="0"/>
    <w:rPr>
      <w:rFonts w:ascii="宋体" w:hAnsi="Courier New"/>
      <w:szCs w:val="20"/>
    </w:rPr>
  </w:style>
  <w:style w:type="paragraph" w:styleId="21">
    <w:name w:val="toc 8"/>
    <w:basedOn w:val="1"/>
    <w:next w:val="1"/>
    <w:qFormat/>
    <w:uiPriority w:val="0"/>
    <w:pPr>
      <w:jc w:val="left"/>
    </w:pPr>
    <w:rPr>
      <w:rFonts w:ascii="Calibri" w:hAnsi="Calibri"/>
      <w:sz w:val="22"/>
      <w:szCs w:val="22"/>
    </w:rPr>
  </w:style>
  <w:style w:type="paragraph" w:styleId="22">
    <w:name w:val="Date"/>
    <w:basedOn w:val="1"/>
    <w:next w:val="1"/>
    <w:link w:val="60"/>
    <w:qFormat/>
    <w:uiPriority w:val="0"/>
    <w:pPr>
      <w:ind w:left="100" w:leftChars="2500"/>
    </w:pPr>
  </w:style>
  <w:style w:type="paragraph" w:styleId="23">
    <w:name w:val="Body Text Indent 2"/>
    <w:basedOn w:val="1"/>
    <w:link w:val="61"/>
    <w:qFormat/>
    <w:uiPriority w:val="0"/>
    <w:pPr>
      <w:spacing w:after="120" w:afterLines="0" w:line="480" w:lineRule="auto"/>
      <w:ind w:left="420" w:leftChars="200"/>
    </w:pPr>
  </w:style>
  <w:style w:type="paragraph" w:styleId="24">
    <w:name w:val="Balloon Text"/>
    <w:basedOn w:val="1"/>
    <w:link w:val="62"/>
    <w:qFormat/>
    <w:uiPriority w:val="0"/>
    <w:rPr>
      <w:sz w:val="18"/>
      <w:szCs w:val="18"/>
    </w:rPr>
  </w:style>
  <w:style w:type="paragraph" w:styleId="25">
    <w:name w:val="footer"/>
    <w:basedOn w:val="1"/>
    <w:next w:val="1"/>
    <w:link w:val="63"/>
    <w:unhideWhenUsed/>
    <w:qFormat/>
    <w:uiPriority w:val="99"/>
    <w:pPr>
      <w:tabs>
        <w:tab w:val="center" w:pos="4153"/>
        <w:tab w:val="right" w:pos="8306"/>
      </w:tabs>
      <w:snapToGrid w:val="0"/>
      <w:jc w:val="left"/>
    </w:pPr>
    <w:rPr>
      <w:sz w:val="18"/>
      <w:szCs w:val="18"/>
    </w:rPr>
  </w:style>
  <w:style w:type="paragraph" w:styleId="26">
    <w:name w:val="header"/>
    <w:basedOn w:val="1"/>
    <w:link w:val="64"/>
    <w:qFormat/>
    <w:uiPriority w:val="0"/>
    <w:pPr>
      <w:pBdr>
        <w:bottom w:val="single" w:color="auto" w:sz="6" w:space="1"/>
      </w:pBdr>
      <w:tabs>
        <w:tab w:val="center" w:pos="4153"/>
        <w:tab w:val="right" w:pos="8306"/>
      </w:tabs>
      <w:snapToGrid w:val="0"/>
      <w:jc w:val="center"/>
    </w:pPr>
    <w:rPr>
      <w:sz w:val="18"/>
      <w:szCs w:val="18"/>
    </w:rPr>
  </w:style>
  <w:style w:type="paragraph" w:styleId="27">
    <w:name w:val="toc 1"/>
    <w:basedOn w:val="1"/>
    <w:next w:val="1"/>
    <w:qFormat/>
    <w:uiPriority w:val="0"/>
    <w:pPr>
      <w:spacing w:before="360" w:after="360"/>
      <w:jc w:val="left"/>
    </w:pPr>
    <w:rPr>
      <w:rFonts w:ascii="Calibri" w:hAnsi="Calibri"/>
      <w:b/>
      <w:bCs/>
      <w:caps/>
      <w:sz w:val="22"/>
      <w:szCs w:val="22"/>
      <w:u w:val="single"/>
    </w:rPr>
  </w:style>
  <w:style w:type="paragraph" w:styleId="28">
    <w:name w:val="toc 4"/>
    <w:basedOn w:val="1"/>
    <w:next w:val="1"/>
    <w:qFormat/>
    <w:uiPriority w:val="0"/>
    <w:pPr>
      <w:jc w:val="left"/>
    </w:pPr>
    <w:rPr>
      <w:rFonts w:ascii="Calibri" w:hAnsi="Calibri"/>
      <w:sz w:val="22"/>
      <w:szCs w:val="22"/>
    </w:rPr>
  </w:style>
  <w:style w:type="paragraph" w:styleId="29">
    <w:name w:val="List"/>
    <w:basedOn w:val="1"/>
    <w:qFormat/>
    <w:uiPriority w:val="0"/>
    <w:pPr>
      <w:ind w:left="200" w:hanging="200" w:hangingChars="200"/>
    </w:pPr>
    <w:rPr>
      <w:sz w:val="28"/>
    </w:rPr>
  </w:style>
  <w:style w:type="paragraph" w:styleId="30">
    <w:name w:val="toc 6"/>
    <w:basedOn w:val="1"/>
    <w:next w:val="1"/>
    <w:qFormat/>
    <w:uiPriority w:val="0"/>
    <w:pPr>
      <w:jc w:val="left"/>
    </w:pPr>
    <w:rPr>
      <w:rFonts w:ascii="Calibri" w:hAnsi="Calibri"/>
      <w:sz w:val="22"/>
      <w:szCs w:val="22"/>
    </w:rPr>
  </w:style>
  <w:style w:type="paragraph" w:styleId="31">
    <w:name w:val="toc 2"/>
    <w:basedOn w:val="1"/>
    <w:next w:val="1"/>
    <w:qFormat/>
    <w:uiPriority w:val="0"/>
    <w:pPr>
      <w:jc w:val="left"/>
    </w:pPr>
    <w:rPr>
      <w:rFonts w:ascii="Calibri" w:hAnsi="Calibri"/>
      <w:b/>
      <w:bCs/>
      <w:smallCaps/>
      <w:sz w:val="22"/>
      <w:szCs w:val="22"/>
    </w:rPr>
  </w:style>
  <w:style w:type="paragraph" w:styleId="32">
    <w:name w:val="toc 9"/>
    <w:basedOn w:val="1"/>
    <w:next w:val="1"/>
    <w:qFormat/>
    <w:uiPriority w:val="0"/>
    <w:pPr>
      <w:jc w:val="left"/>
    </w:pPr>
    <w:rPr>
      <w:rFonts w:ascii="Calibri" w:hAnsi="Calibri"/>
      <w:sz w:val="22"/>
      <w:szCs w:val="22"/>
    </w:rPr>
  </w:style>
  <w:style w:type="paragraph" w:styleId="33">
    <w:name w:val="Normal (Web)"/>
    <w:basedOn w:val="1"/>
    <w:semiHidden/>
    <w:unhideWhenUsed/>
    <w:qFormat/>
    <w:uiPriority w:val="99"/>
    <w:pPr>
      <w:widowControl/>
      <w:spacing w:before="100" w:beforeAutospacing="1" w:after="100" w:afterAutospacing="1"/>
      <w:jc w:val="left"/>
    </w:pPr>
    <w:rPr>
      <w:rFonts w:ascii="宋体" w:hAnsi="宋体" w:eastAsia="宋体" w:cs="宋体"/>
      <w:kern w:val="0"/>
      <w:sz w:val="24"/>
      <w:szCs w:val="24"/>
    </w:rPr>
  </w:style>
  <w:style w:type="paragraph" w:styleId="34">
    <w:name w:val="index 1"/>
    <w:basedOn w:val="1"/>
    <w:next w:val="1"/>
    <w:semiHidden/>
    <w:qFormat/>
    <w:uiPriority w:val="0"/>
    <w:pPr>
      <w:spacing w:line="400" w:lineRule="exact"/>
      <w:ind w:firstLine="420" w:firstLineChars="200"/>
    </w:pPr>
    <w:rPr>
      <w:rFonts w:ascii="宋体" w:hAnsi="Courier New"/>
      <w:b/>
      <w:szCs w:val="20"/>
    </w:rPr>
  </w:style>
  <w:style w:type="paragraph" w:styleId="35">
    <w:name w:val="Title"/>
    <w:basedOn w:val="1"/>
    <w:next w:val="1"/>
    <w:qFormat/>
    <w:uiPriority w:val="0"/>
    <w:pPr>
      <w:widowControl w:val="0"/>
      <w:spacing w:before="240" w:after="60"/>
      <w:jc w:val="center"/>
      <w:outlineLvl w:val="0"/>
    </w:pPr>
    <w:rPr>
      <w:rFonts w:ascii="Arial" w:hAnsi="Arial" w:eastAsia="宋体" w:cs="Arial"/>
      <w:b/>
      <w:bCs/>
      <w:kern w:val="2"/>
      <w:sz w:val="32"/>
      <w:szCs w:val="32"/>
      <w:lang w:val="en-US" w:eastAsia="zh-CN" w:bidi="ar-SA"/>
    </w:rPr>
  </w:style>
  <w:style w:type="paragraph" w:styleId="36">
    <w:name w:val="annotation subject"/>
    <w:basedOn w:val="12"/>
    <w:next w:val="12"/>
    <w:link w:val="65"/>
    <w:qFormat/>
    <w:uiPriority w:val="0"/>
    <w:rPr>
      <w:b/>
      <w:bCs/>
    </w:rPr>
  </w:style>
  <w:style w:type="paragraph" w:styleId="37">
    <w:name w:val="Body Text First Indent"/>
    <w:basedOn w:val="15"/>
    <w:qFormat/>
    <w:uiPriority w:val="0"/>
    <w:pPr>
      <w:wordWrap w:val="0"/>
      <w:topLinePunct/>
      <w:spacing w:after="0" w:line="600" w:lineRule="exact"/>
      <w:ind w:firstLine="880" w:firstLineChars="200"/>
    </w:pPr>
  </w:style>
  <w:style w:type="paragraph" w:styleId="38">
    <w:name w:val="Body Text First Indent 2"/>
    <w:basedOn w:val="16"/>
    <w:qFormat/>
    <w:uiPriority w:val="0"/>
    <w:pPr>
      <w:spacing w:line="600" w:lineRule="exact"/>
      <w:ind w:firstLine="200" w:firstLineChars="200"/>
      <w:jc w:val="both"/>
    </w:pPr>
    <w:rPr>
      <w:rFonts w:ascii="Times New Roman" w:hAnsi="Times New Roman" w:eastAsia="仿宋_GB2312" w:cs="Times New Roman"/>
      <w:kern w:val="2"/>
      <w:sz w:val="32"/>
      <w:szCs w:val="21"/>
      <w:lang w:val="en-US" w:eastAsia="zh-CN" w:bidi="ar-SA"/>
    </w:rPr>
  </w:style>
  <w:style w:type="table" w:styleId="40">
    <w:name w:val="Table Grid"/>
    <w:basedOn w:val="39"/>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42">
    <w:name w:val="Strong"/>
    <w:basedOn w:val="41"/>
    <w:qFormat/>
    <w:uiPriority w:val="0"/>
    <w:rPr>
      <w:b/>
    </w:rPr>
  </w:style>
  <w:style w:type="character" w:styleId="43">
    <w:name w:val="page number"/>
    <w:qFormat/>
    <w:uiPriority w:val="0"/>
  </w:style>
  <w:style w:type="character" w:styleId="44">
    <w:name w:val="FollowedHyperlink"/>
    <w:qFormat/>
    <w:uiPriority w:val="0"/>
    <w:rPr>
      <w:color w:val="800080"/>
      <w:u w:val="single"/>
    </w:rPr>
  </w:style>
  <w:style w:type="character" w:styleId="45">
    <w:name w:val="Hyperlink"/>
    <w:qFormat/>
    <w:uiPriority w:val="0"/>
    <w:rPr>
      <w:color w:val="0000FF"/>
      <w:u w:val="single"/>
    </w:rPr>
  </w:style>
  <w:style w:type="character" w:styleId="46">
    <w:name w:val="annotation reference"/>
    <w:qFormat/>
    <w:uiPriority w:val="0"/>
    <w:rPr>
      <w:sz w:val="21"/>
      <w:szCs w:val="21"/>
    </w:rPr>
  </w:style>
  <w:style w:type="paragraph" w:customStyle="1" w:styleId="47">
    <w:name w:val="BodyText1I2"/>
    <w:basedOn w:val="48"/>
    <w:qFormat/>
    <w:uiPriority w:val="0"/>
    <w:pPr>
      <w:ind w:firstLine="420"/>
    </w:pPr>
  </w:style>
  <w:style w:type="paragraph" w:customStyle="1" w:styleId="48">
    <w:name w:val="BodyTextIndent"/>
    <w:basedOn w:val="1"/>
    <w:qFormat/>
    <w:uiPriority w:val="0"/>
    <w:pPr>
      <w:spacing w:after="120"/>
      <w:ind w:left="420" w:leftChars="200"/>
      <w:textAlignment w:val="baseline"/>
    </w:pPr>
  </w:style>
  <w:style w:type="character" w:customStyle="1" w:styleId="49">
    <w:name w:val="标题 1 字符1"/>
    <w:link w:val="2"/>
    <w:qFormat/>
    <w:uiPriority w:val="0"/>
    <w:rPr>
      <w:b/>
      <w:bCs/>
      <w:kern w:val="44"/>
      <w:sz w:val="44"/>
      <w:szCs w:val="44"/>
    </w:rPr>
  </w:style>
  <w:style w:type="character" w:customStyle="1" w:styleId="50">
    <w:name w:val="标题 2 字符1"/>
    <w:link w:val="3"/>
    <w:qFormat/>
    <w:uiPriority w:val="0"/>
    <w:rPr>
      <w:rFonts w:ascii="Arial" w:hAnsi="Arial" w:eastAsia="黑体"/>
      <w:b/>
      <w:bCs/>
      <w:kern w:val="2"/>
      <w:sz w:val="32"/>
      <w:szCs w:val="32"/>
    </w:rPr>
  </w:style>
  <w:style w:type="character" w:customStyle="1" w:styleId="51">
    <w:name w:val="标题 3 字符1"/>
    <w:link w:val="4"/>
    <w:qFormat/>
    <w:uiPriority w:val="0"/>
    <w:rPr>
      <w:b/>
      <w:bCs/>
      <w:kern w:val="2"/>
      <w:sz w:val="32"/>
      <w:szCs w:val="32"/>
    </w:rPr>
  </w:style>
  <w:style w:type="character" w:customStyle="1" w:styleId="52">
    <w:name w:val="标题 4 字符1"/>
    <w:link w:val="5"/>
    <w:qFormat/>
    <w:uiPriority w:val="0"/>
    <w:rPr>
      <w:rFonts w:ascii="Arial" w:eastAsia="黑体"/>
      <w:sz w:val="28"/>
    </w:rPr>
  </w:style>
  <w:style w:type="character" w:customStyle="1" w:styleId="53">
    <w:name w:val="标题 5 字符1"/>
    <w:link w:val="6"/>
    <w:qFormat/>
    <w:uiPriority w:val="9"/>
    <w:rPr>
      <w:b/>
      <w:bCs/>
      <w:kern w:val="2"/>
      <w:sz w:val="28"/>
      <w:szCs w:val="28"/>
    </w:rPr>
  </w:style>
  <w:style w:type="character" w:customStyle="1" w:styleId="54">
    <w:name w:val="文档结构图 字符1"/>
    <w:link w:val="11"/>
    <w:qFormat/>
    <w:uiPriority w:val="0"/>
    <w:rPr>
      <w:rFonts w:ascii="宋体"/>
      <w:kern w:val="2"/>
      <w:sz w:val="18"/>
      <w:szCs w:val="18"/>
    </w:rPr>
  </w:style>
  <w:style w:type="character" w:customStyle="1" w:styleId="55">
    <w:name w:val="批注文字 字符2"/>
    <w:link w:val="12"/>
    <w:qFormat/>
    <w:uiPriority w:val="0"/>
    <w:rPr>
      <w:kern w:val="2"/>
      <w:sz w:val="21"/>
      <w:szCs w:val="24"/>
    </w:rPr>
  </w:style>
  <w:style w:type="character" w:customStyle="1" w:styleId="56">
    <w:name w:val="正文文本 3 字符1"/>
    <w:link w:val="14"/>
    <w:qFormat/>
    <w:uiPriority w:val="99"/>
    <w:rPr>
      <w:kern w:val="2"/>
      <w:sz w:val="16"/>
      <w:szCs w:val="16"/>
    </w:rPr>
  </w:style>
  <w:style w:type="character" w:customStyle="1" w:styleId="57">
    <w:name w:val="正文文本 字符1"/>
    <w:link w:val="15"/>
    <w:qFormat/>
    <w:uiPriority w:val="99"/>
    <w:rPr>
      <w:kern w:val="2"/>
      <w:sz w:val="21"/>
      <w:szCs w:val="24"/>
    </w:rPr>
  </w:style>
  <w:style w:type="character" w:customStyle="1" w:styleId="58">
    <w:name w:val="正文文本缩进 字符1"/>
    <w:link w:val="16"/>
    <w:qFormat/>
    <w:uiPriority w:val="0"/>
    <w:rPr>
      <w:rFonts w:ascii="宋体" w:hAnsi="Courier New" w:eastAsia="宋体"/>
      <w:spacing w:val="-4"/>
      <w:kern w:val="2"/>
      <w:sz w:val="18"/>
      <w:lang w:val="en-US" w:eastAsia="zh-CN" w:bidi="ar-SA"/>
    </w:rPr>
  </w:style>
  <w:style w:type="character" w:customStyle="1" w:styleId="59">
    <w:name w:val="纯文本 字符3"/>
    <w:link w:val="20"/>
    <w:qFormat/>
    <w:uiPriority w:val="0"/>
    <w:rPr>
      <w:rFonts w:ascii="宋体" w:hAnsi="Courier New" w:eastAsia="宋体"/>
      <w:kern w:val="2"/>
      <w:sz w:val="21"/>
      <w:lang w:val="en-US" w:eastAsia="zh-CN" w:bidi="ar-SA"/>
    </w:rPr>
  </w:style>
  <w:style w:type="character" w:customStyle="1" w:styleId="60">
    <w:name w:val="日期 字符1"/>
    <w:link w:val="22"/>
    <w:qFormat/>
    <w:uiPriority w:val="0"/>
    <w:rPr>
      <w:kern w:val="2"/>
      <w:sz w:val="21"/>
      <w:szCs w:val="24"/>
    </w:rPr>
  </w:style>
  <w:style w:type="character" w:customStyle="1" w:styleId="61">
    <w:name w:val="正文文本缩进 2 字符1"/>
    <w:link w:val="23"/>
    <w:qFormat/>
    <w:uiPriority w:val="0"/>
    <w:rPr>
      <w:kern w:val="2"/>
      <w:sz w:val="21"/>
      <w:szCs w:val="24"/>
    </w:rPr>
  </w:style>
  <w:style w:type="character" w:customStyle="1" w:styleId="62">
    <w:name w:val="批注框文本 字符1"/>
    <w:link w:val="24"/>
    <w:qFormat/>
    <w:uiPriority w:val="0"/>
    <w:rPr>
      <w:kern w:val="2"/>
      <w:sz w:val="18"/>
      <w:szCs w:val="18"/>
    </w:rPr>
  </w:style>
  <w:style w:type="character" w:customStyle="1" w:styleId="63">
    <w:name w:val="页脚 字符2"/>
    <w:link w:val="25"/>
    <w:qFormat/>
    <w:uiPriority w:val="99"/>
    <w:rPr>
      <w:kern w:val="2"/>
      <w:sz w:val="18"/>
      <w:szCs w:val="18"/>
    </w:rPr>
  </w:style>
  <w:style w:type="character" w:customStyle="1" w:styleId="64">
    <w:name w:val="页眉 字符2"/>
    <w:link w:val="26"/>
    <w:qFormat/>
    <w:uiPriority w:val="99"/>
    <w:rPr>
      <w:kern w:val="2"/>
      <w:sz w:val="18"/>
      <w:szCs w:val="18"/>
    </w:rPr>
  </w:style>
  <w:style w:type="character" w:customStyle="1" w:styleId="65">
    <w:name w:val="批注主题 字符1"/>
    <w:link w:val="36"/>
    <w:qFormat/>
    <w:uiPriority w:val="99"/>
    <w:rPr>
      <w:b/>
      <w:bCs/>
      <w:kern w:val="2"/>
      <w:sz w:val="21"/>
      <w:szCs w:val="24"/>
    </w:rPr>
  </w:style>
  <w:style w:type="character" w:customStyle="1" w:styleId="66">
    <w:name w:val="标题 2 字符2"/>
    <w:link w:val="3"/>
    <w:qFormat/>
    <w:uiPriority w:val="0"/>
    <w:rPr>
      <w:rFonts w:ascii="Arial" w:hAnsi="Arial" w:eastAsia="黑体" w:cs="Times New Roman"/>
      <w:b/>
      <w:bCs/>
      <w:sz w:val="32"/>
      <w:szCs w:val="32"/>
    </w:rPr>
  </w:style>
  <w:style w:type="character" w:customStyle="1" w:styleId="67">
    <w:name w:val="页眉 字符"/>
    <w:qFormat/>
    <w:uiPriority w:val="99"/>
    <w:rPr>
      <w:rFonts w:ascii="Times New Roman" w:hAnsi="Times New Roman"/>
      <w:kern w:val="2"/>
      <w:sz w:val="18"/>
      <w:szCs w:val="18"/>
    </w:rPr>
  </w:style>
  <w:style w:type="character" w:customStyle="1" w:styleId="68">
    <w:name w:val="Char Char1"/>
    <w:qFormat/>
    <w:uiPriority w:val="0"/>
    <w:rPr>
      <w:rFonts w:ascii="宋体" w:hAnsi="Courier New" w:eastAsia="宋体"/>
      <w:kern w:val="2"/>
      <w:sz w:val="21"/>
      <w:lang w:val="en-US" w:eastAsia="zh-CN" w:bidi="ar-SA"/>
    </w:rPr>
  </w:style>
  <w:style w:type="character" w:customStyle="1" w:styleId="69">
    <w:name w:val="纯文本 字符2"/>
    <w:qFormat/>
    <w:uiPriority w:val="0"/>
    <w:rPr>
      <w:rFonts w:ascii="宋体" w:hAnsi="Courier New" w:eastAsia="宋体" w:cs="Courier New"/>
      <w:szCs w:val="21"/>
    </w:rPr>
  </w:style>
  <w:style w:type="character" w:customStyle="1" w:styleId="70">
    <w:name w:val="正文文本_"/>
    <w:link w:val="71"/>
    <w:qFormat/>
    <w:uiPriority w:val="0"/>
    <w:rPr>
      <w:rFonts w:ascii="MingLiU" w:hAnsi="MingLiU" w:eastAsia="MingLiU" w:cs="MingLiU"/>
      <w:spacing w:val="9"/>
      <w:sz w:val="19"/>
      <w:szCs w:val="19"/>
      <w:shd w:val="clear" w:color="auto" w:fill="FFFFFF"/>
    </w:rPr>
  </w:style>
  <w:style w:type="paragraph" w:customStyle="1" w:styleId="71">
    <w:name w:val="正文文本1"/>
    <w:basedOn w:val="1"/>
    <w:link w:val="70"/>
    <w:qFormat/>
    <w:uiPriority w:val="0"/>
    <w:pPr>
      <w:shd w:val="clear" w:color="auto" w:fill="FFFFFF"/>
      <w:spacing w:line="302" w:lineRule="exact"/>
      <w:ind w:firstLine="460"/>
      <w:jc w:val="left"/>
    </w:pPr>
    <w:rPr>
      <w:rFonts w:ascii="MingLiU" w:hAnsi="MingLiU" w:eastAsia="MingLiU"/>
      <w:spacing w:val="9"/>
      <w:kern w:val="0"/>
      <w:sz w:val="19"/>
      <w:szCs w:val="19"/>
    </w:rPr>
  </w:style>
  <w:style w:type="character" w:customStyle="1" w:styleId="72">
    <w:name w:val="纯文本 Char1"/>
    <w:link w:val="73"/>
    <w:qFormat/>
    <w:uiPriority w:val="0"/>
    <w:rPr>
      <w:rFonts w:ascii="宋体" w:hAnsi="Courier New" w:eastAsia="宋体"/>
      <w:kern w:val="2"/>
      <w:sz w:val="21"/>
      <w:lang w:val="en-US" w:eastAsia="zh-CN" w:bidi="ar-SA"/>
    </w:rPr>
  </w:style>
  <w:style w:type="paragraph" w:customStyle="1" w:styleId="73">
    <w:name w:val="纯文本1"/>
    <w:basedOn w:val="1"/>
    <w:link w:val="72"/>
    <w:qFormat/>
    <w:uiPriority w:val="0"/>
    <w:rPr>
      <w:rFonts w:ascii="宋体" w:hAnsi="Courier New"/>
      <w:szCs w:val="20"/>
    </w:rPr>
  </w:style>
  <w:style w:type="character" w:customStyle="1" w:styleId="74">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7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76">
    <w:name w:val="页脚 字符"/>
    <w:qFormat/>
    <w:uiPriority w:val="99"/>
    <w:rPr>
      <w:sz w:val="18"/>
      <w:szCs w:val="18"/>
    </w:rPr>
  </w:style>
  <w:style w:type="character" w:customStyle="1" w:styleId="77">
    <w:name w:val="批注文字 字符1"/>
    <w:qFormat/>
    <w:uiPriority w:val="0"/>
    <w:rPr>
      <w:rFonts w:ascii="Times New Roman" w:hAnsi="Times New Roman"/>
      <w:kern w:val="2"/>
      <w:sz w:val="21"/>
      <w:szCs w:val="24"/>
    </w:rPr>
  </w:style>
  <w:style w:type="character" w:customStyle="1" w:styleId="78">
    <w:name w:val="正文2 Char Char"/>
    <w:link w:val="79"/>
    <w:qFormat/>
    <w:uiPriority w:val="0"/>
    <w:rPr>
      <w:kern w:val="2"/>
      <w:sz w:val="24"/>
    </w:rPr>
  </w:style>
  <w:style w:type="paragraph" w:customStyle="1" w:styleId="79">
    <w:name w:val="正文2"/>
    <w:basedOn w:val="1"/>
    <w:link w:val="78"/>
    <w:qFormat/>
    <w:uiPriority w:val="0"/>
    <w:pPr>
      <w:adjustRightInd w:val="0"/>
      <w:spacing w:before="156" w:line="360" w:lineRule="auto"/>
      <w:ind w:firstLine="510" w:firstLineChars="200"/>
    </w:pPr>
    <w:rPr>
      <w:sz w:val="24"/>
      <w:szCs w:val="20"/>
    </w:rPr>
  </w:style>
  <w:style w:type="character" w:customStyle="1" w:styleId="80">
    <w:name w:val="纯文本 Char_0"/>
    <w:link w:val="81"/>
    <w:qFormat/>
    <w:uiPriority w:val="0"/>
    <w:rPr>
      <w:rFonts w:ascii="宋体" w:hAnsi="Courier New"/>
      <w:kern w:val="2"/>
      <w:sz w:val="21"/>
      <w:szCs w:val="21"/>
    </w:rPr>
  </w:style>
  <w:style w:type="paragraph" w:customStyle="1" w:styleId="81">
    <w:name w:val="纯文本_0_0"/>
    <w:basedOn w:val="1"/>
    <w:link w:val="80"/>
    <w:qFormat/>
    <w:uiPriority w:val="0"/>
    <w:rPr>
      <w:rFonts w:ascii="宋体" w:hAnsi="Courier New"/>
      <w:szCs w:val="21"/>
    </w:rPr>
  </w:style>
  <w:style w:type="character" w:customStyle="1" w:styleId="82">
    <w:name w:val="批注文字 Char1"/>
    <w:qFormat/>
    <w:uiPriority w:val="0"/>
    <w:rPr>
      <w:rFonts w:ascii="Times New Roman" w:hAnsi="Times New Roman"/>
      <w:kern w:val="2"/>
      <w:sz w:val="21"/>
      <w:szCs w:val="24"/>
    </w:rPr>
  </w:style>
  <w:style w:type="paragraph" w:styleId="83">
    <w:name w:val="List Paragraph"/>
    <w:basedOn w:val="1"/>
    <w:qFormat/>
    <w:uiPriority w:val="34"/>
    <w:pPr>
      <w:ind w:firstLine="420" w:firstLineChars="200"/>
    </w:pPr>
  </w:style>
  <w:style w:type="paragraph" w:customStyle="1" w:styleId="84">
    <w:name w:val="Char Char Char1 Char Char Char Char Char Char Char"/>
    <w:basedOn w:val="1"/>
    <w:qFormat/>
    <w:uiPriority w:val="0"/>
  </w:style>
  <w:style w:type="paragraph" w:customStyle="1" w:styleId="85">
    <w:name w:val="Char Char Char"/>
    <w:basedOn w:val="1"/>
    <w:qFormat/>
    <w:uiPriority w:val="0"/>
    <w:rPr>
      <w:szCs w:val="20"/>
    </w:rPr>
  </w:style>
  <w:style w:type="paragraph" w:customStyle="1" w:styleId="86">
    <w:name w:val=" Char Char Char Char Char Char Char Char Char Char Char Char"/>
    <w:basedOn w:val="1"/>
    <w:qFormat/>
    <w:uiPriority w:val="0"/>
    <w:pPr>
      <w:widowControl/>
      <w:spacing w:after="160" w:afterLines="0" w:line="240" w:lineRule="exact"/>
      <w:jc w:val="left"/>
    </w:pPr>
  </w:style>
  <w:style w:type="paragraph" w:customStyle="1" w:styleId="87">
    <w:name w:val="列出段落1"/>
    <w:basedOn w:val="1"/>
    <w:qFormat/>
    <w:uiPriority w:val="34"/>
    <w:pPr>
      <w:spacing w:before="100" w:beforeAutospacing="1" w:after="100" w:afterAutospacing="1" w:line="360" w:lineRule="auto"/>
      <w:ind w:firstLine="420" w:firstLineChars="200"/>
    </w:pPr>
  </w:style>
  <w:style w:type="paragraph" w:customStyle="1" w:styleId="88">
    <w:name w:val="_Style 85"/>
    <w:basedOn w:val="2"/>
    <w:next w:val="1"/>
    <w:qFormat/>
    <w:uiPriority w:val="39"/>
    <w:pPr>
      <w:widowControl/>
      <w:spacing w:before="480" w:after="0" w:line="276" w:lineRule="auto"/>
      <w:jc w:val="left"/>
      <w:outlineLvl w:val="9"/>
    </w:pPr>
    <w:rPr>
      <w:rFonts w:ascii="Cambria" w:hAnsi="Cambria" w:eastAsia="宋体" w:cs="Times New Roman"/>
      <w:color w:val="365F91"/>
      <w:kern w:val="0"/>
      <w:sz w:val="28"/>
      <w:szCs w:val="28"/>
      <w:lang w:val="en-US" w:eastAsia="zh-CN"/>
    </w:rPr>
  </w:style>
  <w:style w:type="paragraph" w:customStyle="1" w:styleId="89">
    <w:name w:val="样式 标题 2 + 非加粗 首行缩进:  2 字符"/>
    <w:basedOn w:val="3"/>
    <w:qFormat/>
    <w:uiPriority w:val="0"/>
    <w:pPr>
      <w:spacing w:before="0" w:beforeLines="0" w:after="0" w:afterLines="0" w:line="600" w:lineRule="exact"/>
      <w:ind w:firstLine="640" w:firstLineChars="200"/>
      <w:jc w:val="left"/>
    </w:pPr>
    <w:rPr>
      <w:rFonts w:cs="宋体"/>
      <w:b w:val="0"/>
      <w:bCs w:val="0"/>
      <w:szCs w:val="20"/>
    </w:rPr>
  </w:style>
  <w:style w:type="paragraph" w:customStyle="1" w:styleId="90">
    <w:name w:val="Table Paragraph"/>
    <w:basedOn w:val="1"/>
    <w:qFormat/>
    <w:uiPriority w:val="1"/>
    <w:pPr>
      <w:jc w:val="left"/>
    </w:pPr>
    <w:rPr>
      <w:rFonts w:ascii="Calibri" w:hAnsi="Calibri"/>
      <w:kern w:val="0"/>
      <w:sz w:val="22"/>
      <w:szCs w:val="22"/>
      <w:lang w:eastAsia="en-US"/>
    </w:rPr>
  </w:style>
  <w:style w:type="paragraph" w:customStyle="1" w:styleId="91">
    <w:name w:val=" Char"/>
    <w:basedOn w:val="1"/>
    <w:qFormat/>
    <w:uiPriority w:val="0"/>
    <w:rPr>
      <w:szCs w:val="21"/>
    </w:rPr>
  </w:style>
  <w:style w:type="paragraph" w:customStyle="1" w:styleId="92">
    <w:name w:val="Char Char Char Char Char Char Char"/>
    <w:basedOn w:val="1"/>
    <w:qFormat/>
    <w:uiPriority w:val="0"/>
  </w:style>
  <w:style w:type="paragraph" w:customStyle="1" w:styleId="93">
    <w:name w:val=" Char Char Char Char Char Char Char"/>
    <w:basedOn w:val="1"/>
    <w:qFormat/>
    <w:uiPriority w:val="0"/>
  </w:style>
  <w:style w:type="paragraph" w:customStyle="1" w:styleId="94">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95">
    <w:name w:val="Char Char Char Char Char Char Char Char Char Char Char Char"/>
    <w:basedOn w:val="1"/>
    <w:qFormat/>
    <w:uiPriority w:val="0"/>
    <w:pPr>
      <w:widowControl/>
      <w:spacing w:after="160" w:afterLines="0" w:line="240" w:lineRule="exact"/>
      <w:jc w:val="left"/>
    </w:pPr>
  </w:style>
  <w:style w:type="paragraph" w:customStyle="1" w:styleId="96">
    <w:name w:val="表格文字"/>
    <w:basedOn w:val="16"/>
    <w:next w:val="15"/>
    <w:qFormat/>
    <w:uiPriority w:val="0"/>
    <w:pPr>
      <w:adjustRightInd w:val="0"/>
      <w:spacing w:line="420" w:lineRule="atLeast"/>
      <w:jc w:val="left"/>
      <w:textAlignment w:val="baseline"/>
    </w:pPr>
    <w:rPr>
      <w:kern w:val="0"/>
    </w:rPr>
  </w:style>
  <w:style w:type="paragraph" w:customStyle="1" w:styleId="97">
    <w:name w:val="_Style 94"/>
    <w:qFormat/>
    <w:uiPriority w:val="0"/>
    <w:rPr>
      <w:rFonts w:ascii="Times New Roman" w:hAnsi="Times New Roman" w:eastAsia="宋体" w:cs="Times New Roman"/>
      <w:kern w:val="2"/>
      <w:sz w:val="21"/>
      <w:szCs w:val="24"/>
      <w:lang w:val="en-US" w:eastAsia="zh-CN" w:bidi="ar-SA"/>
    </w:rPr>
  </w:style>
  <w:style w:type="paragraph" w:customStyle="1" w:styleId="98">
    <w:name w:val="正文段"/>
    <w:basedOn w:val="1"/>
    <w:qFormat/>
    <w:uiPriority w:val="0"/>
    <w:pPr>
      <w:widowControl/>
      <w:snapToGrid w:val="0"/>
      <w:spacing w:after="156" w:afterLines="50"/>
      <w:ind w:firstLine="200" w:firstLineChars="200"/>
    </w:pPr>
    <w:rPr>
      <w:kern w:val="0"/>
      <w:sz w:val="24"/>
      <w:szCs w:val="20"/>
    </w:rPr>
  </w:style>
  <w:style w:type="paragraph" w:customStyle="1" w:styleId="99">
    <w:name w:val="Char Char Char Char"/>
    <w:basedOn w:val="1"/>
    <w:qFormat/>
    <w:uiPriority w:val="0"/>
    <w:pPr>
      <w:widowControl/>
      <w:spacing w:after="160" w:afterLines="0" w:line="240" w:lineRule="exact"/>
      <w:jc w:val="left"/>
    </w:pPr>
  </w:style>
  <w:style w:type="paragraph" w:customStyle="1" w:styleId="100">
    <w:name w:val="Char"/>
    <w:basedOn w:val="1"/>
    <w:qFormat/>
    <w:uiPriority w:val="0"/>
  </w:style>
  <w:style w:type="paragraph" w:customStyle="1" w:styleId="101">
    <w:name w:val=" Char Char Char Char"/>
    <w:basedOn w:val="1"/>
    <w:qFormat/>
    <w:uiPriority w:val="0"/>
    <w:pPr>
      <w:widowControl/>
      <w:spacing w:after="160" w:afterLines="0" w:line="240" w:lineRule="exact"/>
      <w:jc w:val="left"/>
    </w:pPr>
  </w:style>
  <w:style w:type="paragraph" w:customStyle="1" w:styleId="102">
    <w:name w:val="样式 标题 1 + 居中 段前: 0 磅 段后: 0 磅 行距: 固定值 30 磅"/>
    <w:basedOn w:val="2"/>
    <w:qFormat/>
    <w:uiPriority w:val="0"/>
    <w:pPr>
      <w:spacing w:before="0" w:beforeLines="0" w:after="0" w:afterLines="0" w:line="600" w:lineRule="exact"/>
      <w:jc w:val="center"/>
    </w:pPr>
    <w:rPr>
      <w:rFonts w:cs="宋体"/>
      <w:szCs w:val="20"/>
    </w:rPr>
  </w:style>
  <w:style w:type="paragraph" w:customStyle="1" w:styleId="103">
    <w:name w:val="正文缩进1"/>
    <w:basedOn w:val="1"/>
    <w:next w:val="16"/>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4">
    <w:name w:val="p0"/>
    <w:basedOn w:val="1"/>
    <w:qFormat/>
    <w:uiPriority w:val="0"/>
    <w:pPr>
      <w:widowControl/>
    </w:pPr>
    <w:rPr>
      <w:kern w:val="0"/>
      <w:szCs w:val="21"/>
    </w:rPr>
  </w:style>
  <w:style w:type="paragraph" w:customStyle="1" w:styleId="105">
    <w:name w:val="默认段落字体 Para Char Char Char Char Char Char Char Char Char1 Char Char Char Char"/>
    <w:basedOn w:val="1"/>
    <w:qFormat/>
    <w:uiPriority w:val="0"/>
    <w:rPr>
      <w:rFonts w:ascii="Tahoma" w:hAnsi="Tahoma"/>
      <w:sz w:val="24"/>
      <w:szCs w:val="20"/>
    </w:rPr>
  </w:style>
  <w:style w:type="character" w:customStyle="1" w:styleId="106">
    <w:name w:val="正文文本 字符"/>
    <w:qFormat/>
    <w:uiPriority w:val="99"/>
    <w:rPr>
      <w:kern w:val="2"/>
      <w:sz w:val="21"/>
      <w:szCs w:val="24"/>
    </w:rPr>
  </w:style>
  <w:style w:type="character" w:customStyle="1" w:styleId="107">
    <w:name w:val="纯文本 字符"/>
    <w:qFormat/>
    <w:uiPriority w:val="0"/>
    <w:rPr>
      <w:rFonts w:ascii="宋体" w:hAnsi="Courier New"/>
      <w:kern w:val="2"/>
      <w:sz w:val="21"/>
    </w:rPr>
  </w:style>
  <w:style w:type="character" w:customStyle="1" w:styleId="108">
    <w:name w:val="标题 1 字符"/>
    <w:qFormat/>
    <w:uiPriority w:val="0"/>
    <w:rPr>
      <w:b/>
      <w:bCs/>
      <w:kern w:val="44"/>
      <w:sz w:val="44"/>
      <w:szCs w:val="44"/>
    </w:rPr>
  </w:style>
  <w:style w:type="character" w:customStyle="1" w:styleId="109">
    <w:name w:val="标题 2 字符"/>
    <w:qFormat/>
    <w:uiPriority w:val="0"/>
    <w:rPr>
      <w:rFonts w:ascii="Arial" w:hAnsi="Arial" w:eastAsia="黑体"/>
      <w:b/>
      <w:bCs/>
      <w:kern w:val="2"/>
      <w:sz w:val="32"/>
      <w:szCs w:val="32"/>
    </w:rPr>
  </w:style>
  <w:style w:type="character" w:customStyle="1" w:styleId="110">
    <w:name w:val="标题 3 字符"/>
    <w:qFormat/>
    <w:uiPriority w:val="0"/>
    <w:rPr>
      <w:b/>
      <w:bCs/>
      <w:kern w:val="2"/>
      <w:sz w:val="32"/>
      <w:szCs w:val="32"/>
    </w:rPr>
  </w:style>
  <w:style w:type="character" w:customStyle="1" w:styleId="111">
    <w:name w:val="标题 4 字符"/>
    <w:qFormat/>
    <w:uiPriority w:val="0"/>
    <w:rPr>
      <w:rFonts w:ascii="Arial" w:eastAsia="黑体"/>
      <w:sz w:val="28"/>
    </w:rPr>
  </w:style>
  <w:style w:type="character" w:customStyle="1" w:styleId="112">
    <w:name w:val="标题 5 字符"/>
    <w:qFormat/>
    <w:uiPriority w:val="9"/>
    <w:rPr>
      <w:b/>
      <w:bCs/>
      <w:kern w:val="2"/>
      <w:sz w:val="28"/>
      <w:szCs w:val="28"/>
    </w:rPr>
  </w:style>
  <w:style w:type="character" w:customStyle="1" w:styleId="113">
    <w:name w:val="文档结构图 字符"/>
    <w:qFormat/>
    <w:uiPriority w:val="0"/>
    <w:rPr>
      <w:rFonts w:ascii="宋体"/>
      <w:kern w:val="2"/>
      <w:sz w:val="18"/>
      <w:szCs w:val="18"/>
    </w:rPr>
  </w:style>
  <w:style w:type="character" w:customStyle="1" w:styleId="114">
    <w:name w:val="批注文字 字符"/>
    <w:qFormat/>
    <w:uiPriority w:val="0"/>
    <w:rPr>
      <w:kern w:val="2"/>
      <w:sz w:val="21"/>
      <w:szCs w:val="24"/>
    </w:rPr>
  </w:style>
  <w:style w:type="character" w:customStyle="1" w:styleId="115">
    <w:name w:val="正文文本 3 字符"/>
    <w:qFormat/>
    <w:uiPriority w:val="99"/>
    <w:rPr>
      <w:kern w:val="2"/>
      <w:sz w:val="16"/>
      <w:szCs w:val="16"/>
    </w:rPr>
  </w:style>
  <w:style w:type="character" w:customStyle="1" w:styleId="116">
    <w:name w:val="正文文本缩进 字符"/>
    <w:qFormat/>
    <w:uiPriority w:val="0"/>
    <w:rPr>
      <w:rFonts w:ascii="宋体" w:hAnsi="Courier New"/>
      <w:spacing w:val="-4"/>
      <w:kern w:val="2"/>
      <w:sz w:val="18"/>
    </w:rPr>
  </w:style>
  <w:style w:type="character" w:customStyle="1" w:styleId="117">
    <w:name w:val="日期 字符"/>
    <w:qFormat/>
    <w:uiPriority w:val="0"/>
    <w:rPr>
      <w:kern w:val="2"/>
      <w:sz w:val="21"/>
      <w:szCs w:val="24"/>
    </w:rPr>
  </w:style>
  <w:style w:type="character" w:customStyle="1" w:styleId="118">
    <w:name w:val="正文文本缩进 2 字符"/>
    <w:qFormat/>
    <w:uiPriority w:val="0"/>
    <w:rPr>
      <w:kern w:val="2"/>
      <w:sz w:val="21"/>
      <w:szCs w:val="24"/>
    </w:rPr>
  </w:style>
  <w:style w:type="character" w:customStyle="1" w:styleId="119">
    <w:name w:val="批注框文本 字符"/>
    <w:qFormat/>
    <w:uiPriority w:val="0"/>
    <w:rPr>
      <w:kern w:val="2"/>
      <w:sz w:val="18"/>
      <w:szCs w:val="18"/>
    </w:rPr>
  </w:style>
  <w:style w:type="character" w:customStyle="1" w:styleId="120">
    <w:name w:val="页脚 字符1"/>
    <w:qFormat/>
    <w:uiPriority w:val="99"/>
    <w:rPr>
      <w:kern w:val="2"/>
      <w:sz w:val="18"/>
      <w:szCs w:val="18"/>
    </w:rPr>
  </w:style>
  <w:style w:type="character" w:customStyle="1" w:styleId="121">
    <w:name w:val="页眉 字符1"/>
    <w:qFormat/>
    <w:uiPriority w:val="99"/>
    <w:rPr>
      <w:kern w:val="2"/>
      <w:sz w:val="18"/>
      <w:szCs w:val="18"/>
    </w:rPr>
  </w:style>
  <w:style w:type="character" w:customStyle="1" w:styleId="122">
    <w:name w:val="批注主题 字符"/>
    <w:qFormat/>
    <w:uiPriority w:val="99"/>
    <w:rPr>
      <w:b/>
      <w:bCs/>
      <w:kern w:val="2"/>
      <w:sz w:val="21"/>
      <w:szCs w:val="24"/>
    </w:rPr>
  </w:style>
  <w:style w:type="paragraph" w:customStyle="1" w:styleId="123">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24">
    <w:name w:val="纯文本 字符1"/>
    <w:semiHidden/>
    <w:qFormat/>
    <w:locked/>
    <w:uiPriority w:val="0"/>
    <w:rPr>
      <w:rFonts w:ascii="宋体" w:hAnsi="Courier New"/>
      <w:kern w:val="2"/>
      <w:sz w:val="21"/>
    </w:rPr>
  </w:style>
  <w:style w:type="paragraph" w:customStyle="1" w:styleId="125">
    <w:name w:val="msonormal"/>
    <w:basedOn w:val="1"/>
    <w:qFormat/>
    <w:uiPriority w:val="0"/>
    <w:pPr>
      <w:widowControl/>
      <w:spacing w:before="100" w:beforeAutospacing="1" w:after="100" w:afterAutospacing="1"/>
      <w:jc w:val="left"/>
    </w:pPr>
    <w:rPr>
      <w:rFonts w:ascii="宋体" w:hAnsi="宋体" w:cs="宋体"/>
      <w:kern w:val="0"/>
      <w:sz w:val="24"/>
    </w:rPr>
  </w:style>
  <w:style w:type="paragraph" w:customStyle="1" w:styleId="126">
    <w:name w:val="Table Text"/>
    <w:basedOn w:val="1"/>
    <w:semiHidden/>
    <w:qFormat/>
    <w:uiPriority w:val="0"/>
    <w:pPr>
      <w:widowControl/>
      <w:kinsoku w:val="0"/>
      <w:autoSpaceDE w:val="0"/>
      <w:autoSpaceDN w:val="0"/>
      <w:adjustRightInd w:val="0"/>
      <w:snapToGrid w:val="0"/>
      <w:jc w:val="left"/>
      <w:textAlignment w:val="baseline"/>
    </w:pPr>
    <w:rPr>
      <w:rFonts w:ascii="宋体" w:hAnsi="宋体" w:cs="宋体"/>
      <w:color w:val="000000"/>
      <w:kern w:val="0"/>
      <w:szCs w:val="21"/>
    </w:rPr>
  </w:style>
  <w:style w:type="paragraph" w:customStyle="1" w:styleId="127">
    <w:name w:val="Default"/>
    <w:basedOn w:val="73"/>
    <w:next w:val="13"/>
    <w:qFormat/>
    <w:uiPriority w:val="0"/>
    <w:pPr>
      <w:widowControl w:val="0"/>
      <w:autoSpaceDE w:val="0"/>
      <w:autoSpaceDN w:val="0"/>
      <w:adjustRightInd w:val="0"/>
    </w:pPr>
    <w:rPr>
      <w:rFonts w:hint="eastAsia" w:ascii="方正仿宋_GBK" w:hAnsi="方正仿宋_GBK" w:eastAsia="方正仿宋_GBK"/>
      <w:color w:val="000000"/>
      <w:sz w:val="24"/>
      <w:lang w:val="en-US" w:eastAsia="zh-CN" w:bidi="ar-SA"/>
    </w:rPr>
  </w:style>
  <w:style w:type="paragraph" w:customStyle="1" w:styleId="128">
    <w:name w:val="Legal_L2"/>
    <w:basedOn w:val="1"/>
    <w:qFormat/>
    <w:uiPriority w:val="0"/>
    <w:pPr>
      <w:widowControl/>
      <w:spacing w:after="240" w:line="259" w:lineRule="auto"/>
      <w:jc w:val="left"/>
      <w:outlineLvl w:val="1"/>
    </w:pPr>
    <w:rPr>
      <w:kern w:val="0"/>
      <w:sz w:val="24"/>
      <w:lang w:eastAsia="en-US"/>
    </w:rPr>
  </w:style>
  <w:style w:type="paragraph" w:customStyle="1" w:styleId="129">
    <w:name w:val="正文-2字符首行缩进"/>
    <w:basedOn w:val="1"/>
    <w:qFormat/>
    <w:uiPriority w:val="0"/>
    <w:pPr>
      <w:widowControl/>
      <w:spacing w:line="360" w:lineRule="auto"/>
      <w:ind w:firstLine="200" w:firstLineChars="200"/>
    </w:pPr>
    <w:rPr>
      <w:rFonts w:ascii="仿宋_GB2312" w:hAnsi="Calibri" w:eastAsia="仿宋_GB2312"/>
      <w:kern w:val="0"/>
      <w:sz w:val="28"/>
      <w:szCs w:val="22"/>
    </w:rPr>
  </w:style>
</w:styles>
</file>

<file path=word/_rels/document.xml.rels><?xml version="1.0" encoding="UTF-8" standalone="yes"?>
<Relationships xmlns="http://schemas.openxmlformats.org/package/2006/relationships"><Relationship Id="rId9" Type="http://schemas.openxmlformats.org/officeDocument/2006/relationships/header" Target="header2.xml"/><Relationship Id="rId8" Type="http://schemas.openxmlformats.org/officeDocument/2006/relationships/footer" Target="footer5.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1" Type="http://schemas.openxmlformats.org/officeDocument/2006/relationships/fontTable" Target="fontTable.xml"/><Relationship Id="rId20" Type="http://schemas.openxmlformats.org/officeDocument/2006/relationships/customXml" Target="../customXml/item2.xml"/><Relationship Id="rId2" Type="http://schemas.openxmlformats.org/officeDocument/2006/relationships/settings" Target="settings.xml"/><Relationship Id="rId19" Type="http://schemas.openxmlformats.org/officeDocument/2006/relationships/numbering" Target="numbering.xml"/><Relationship Id="rId18" Type="http://schemas.openxmlformats.org/officeDocument/2006/relationships/customXml" Target="../customXml/item1.xml"/><Relationship Id="rId17" Type="http://schemas.openxmlformats.org/officeDocument/2006/relationships/image" Target="media/image1.png"/><Relationship Id="rId16" Type="http://schemas.openxmlformats.org/officeDocument/2006/relationships/theme" Target="theme/theme1.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langzhengyi\Library\Containers\com.kingsoft.wpsoffice.mac\Data\C:\Users\langzhengyi\Library\Containers\com.kingsoft.wpsoffice.mac\Data\C:\home\inspur\C:\home\inspur\192.168.200.66\4&#37096;&#20849;&#20139;1\2025&#24180;&#25307;&#26631;&#39033;&#30446;\11&#26376;\&#20840;&#21306;&#38750;&#27861;&#22534;&#23384;&#12289;&#36716;&#31227;&#28041;&#37325;&#22266;&#20307;&#24223;&#29289;&#21361;&#38505;&#29305;&#24615;&#37492;&#21035;&#21450;&#27745;&#26579;&#37322;&#25918;&#33021;&#21147;&#35780;&#20272;&#39033;&#30446;\&#65288;1117&#25307;&#26631;&#25991;&#20214;&#65289;12.&#20840;&#21306;&#38750;&#27861;&#22534;&#23384;&#12289;&#36716;&#31227;&#28041;&#37325;&#22266;&#20307;&#24223;&#29289;&#21361;&#38505;&#29305;&#24615;&#37492;&#21035;&#21450;&#27745;&#26579;&#37322;&#25918;&#33021;&#21147;&#35780;&#20272;&#39033;&#30446;.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2.xml><?xml version="1.0" encoding="utf-8"?>
<contractReview xmlns="http://schemas.wps.cn/vas-ai-hub/contract-review">
  <reviewItems>
    <reviewItem>
      <errorID>2ae93186-15bb-4aac-833a-1f828607a370</errorID>
      <errorWord>(</errorWord>
      <group>L1_Format</group>
      <groupName>格式问题</groupName>
      <ability>L2_HalfPunc</ability>
      <abilityName>全半角检查</abilityName>
      <candidateList>
        <item>（</item>
      </candidateList>
      <explain>文本全半角错误。</explain>
      <paraID>2883A06D</paraID>
      <start>33</start>
      <end>34</end>
      <status>modified</status>
      <modifiedWord>（</modifiedWord>
      <trackRevisions>false</trackRevisions>
    </reviewItem>
    <reviewItem>
      <errorID>20053e96-e390-455a-bd9b-3fcc5018dce5</errorID>
      <errorWord>)</errorWord>
      <group>L1_Format</group>
      <groupName>格式问题</groupName>
      <ability>L2_HalfPunc</ability>
      <abilityName>全半角检查</abilityName>
      <candidateList>
        <item>）</item>
      </candidateList>
      <explain>文本全半角错误。</explain>
      <paraID>2883A06D</paraID>
      <start>62</start>
      <end>63</end>
      <status>modified</status>
      <modifiedWord>）</modifiedWord>
      <trackRevisions>false</trackRevisions>
    </reviewItem>
    <reviewItem>
      <errorID>ab5a5663-f26b-49a8-9218-7650efe5b6f9</errorID>
      <errorWord>上午00:00</errorWord>
      <group>L1_Knowledge</group>
      <groupName>知识性问题</groupName>
      <ability>L2_Time</ability>
      <abilityName>日期时间</abilityName>
      <candidateList/>
      <explain>时间与前缀不匹配，可能的时间前缀有“下午、晚上、凌晨、午夜”。</explain>
      <paraID> 38C896D</paraID>
      <start>27</start>
      <end>34</end>
      <status>ignored</status>
      <modifiedWord/>
      <trackRevisions>false</trackRevisions>
    </reviewItem>
    <reviewItem>
      <errorID>c4f83ec3-51fb-4d05-99c0-e9710fbe3f0a</errorID>
      <errorWord>-</errorWord>
      <group>L1_Format</group>
      <groupName>格式问题</groupName>
      <ability>L2_HalfPunc</ability>
      <abilityName>全半角检查</abilityName>
      <candidateList>
        <item>－</item>
      </candidateList>
      <explain>文本全半角错误。</explain>
      <paraID>768AE6C0</paraID>
      <start>222</start>
      <end>223</end>
      <status>modified</status>
      <modifiedWord>－</modifiedWord>
      <trackRevisions>false</trackRevisions>
    </reviewItem>
    <reviewItem>
      <errorID>04b683a0-f198-452b-8417-73f6026208ed</errorID>
      <errorWord>-</errorWord>
      <group>L1_Format</group>
      <groupName>格式问题</groupName>
      <ability>L2_HalfPunc</ability>
      <abilityName>全半角检查</abilityName>
      <candidateList>
        <item>－</item>
      </candidateList>
      <explain>文本全半角错误。</explain>
      <paraID>768AE6C0</paraID>
      <start>227</start>
      <end>228</end>
      <status>modified</status>
      <modifiedWord>－</modifiedWord>
      <trackRevisions>false</trackRevisions>
    </reviewItem>
    <reviewItem>
      <errorID>1c106b8c-279f-4330-ae12-22d4a0a1ef3a</errorID>
      <errorWord>-</errorWord>
      <group>L1_Format</group>
      <groupName>格式问题</groupName>
      <ability>L2_HalfPunc</ability>
      <abilityName>全半角检查</abilityName>
      <candidateList>
        <item>－</item>
      </candidateList>
      <explain>文本全半角错误。</explain>
      <paraID>768AE6C0</paraID>
      <start>232</start>
      <end>233</end>
      <status>modified</status>
      <modifiedWord>－</modifiedWord>
      <trackRevisions>false</trackRevisions>
    </reviewItem>
    <reviewItem>
      <errorID>2901cbbe-061d-4cfa-a24e-19b3782c9ac0</errorID>
      <errorWord>-</errorWord>
      <group>L1_Format</group>
      <groupName>格式问题</groupName>
      <ability>L2_HalfPunc</ability>
      <abilityName>全半角检查</abilityName>
      <candidateList>
        <item>－</item>
      </candidateList>
      <explain>文本全半角错误。</explain>
      <paraID>768AE6C0</paraID>
      <start>238</start>
      <end>239</end>
      <status>modified</status>
      <modifiedWord>－</modifiedWord>
      <trackRevisions>false</trackRevisions>
    </reviewItem>
    <reviewItem>
      <errorID>9b82e965-a9fb-42ef-b915-54dc2bd6efaa</errorID>
      <errorWord>-</errorWord>
      <group>L1_Format</group>
      <groupName>格式问题</groupName>
      <ability>L2_HalfPunc</ability>
      <abilityName>全半角检查</abilityName>
      <candidateList>
        <item>－</item>
      </candidateList>
      <explain>文本全半角错误。</explain>
      <paraID>768AE6C0</paraID>
      <start>255</start>
      <end>256</end>
      <status>modified</status>
      <modifiedWord>－</modifiedWord>
      <trackRevisions>false</trackRevisions>
    </reviewItem>
    <reviewItem>
      <errorID>786136e7-8b75-4b38-80c8-f17258ec5afd</errorID>
      <errorWord>-</errorWord>
      <group>L1_Format</group>
      <groupName>格式问题</groupName>
      <ability>L2_HalfPunc</ability>
      <abilityName>全半角检查</abilityName>
      <candidateList>
        <item>－</item>
      </candidateList>
      <explain>文本全半角错误。</explain>
      <paraID>35E6C1C3</paraID>
      <start>108</start>
      <end>109</end>
      <status>modified</status>
      <modifiedWord>－</modifiedWord>
      <trackRevisions>false</trackRevisions>
    </reviewItem>
    <reviewItem>
      <errorID>3d682a7c-724c-4837-b830-c6e86b29cac0</errorID>
      <errorWord>-</errorWord>
      <group>L1_Format</group>
      <groupName>格式问题</groupName>
      <ability>L2_HalfPunc</ability>
      <abilityName>全半角检查</abilityName>
      <candidateList>
        <item>－</item>
      </candidateList>
      <explain>文本全半角错误。</explain>
      <paraID>35E6C1C3</paraID>
      <start>137</start>
      <end>138</end>
      <status>modified</status>
      <modifiedWord>－</modifiedWord>
      <trackRevisions>false</trackRevisions>
    </reviewItem>
    <reviewItem>
      <errorID>ab14b01a-8126-446e-ab89-3d2636771a54</errorID>
      <errorWord>操作合</errorWord>
      <group>L1_Word</group>
      <groupName>字词问题</groupName>
      <ability>L2_Typo</ability>
      <abilityName>字词错误</abilityName>
      <candidateList>
        <item>操作台</item>
      </candidateList>
      <explain/>
      <paraID>492F0BAB</paraID>
      <start>9</start>
      <end>12</end>
      <status>ignored</status>
      <modifiedWord/>
      <trackRevisions>false</trackRevisions>
    </reviewItem>
    <reviewItem>
      <errorID>fc9e50de-10ee-4bfa-92bc-0385405d9b10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7DADA207</paraID>
      <start>0</start>
      <end>2</end>
      <status>modified</status>
      <modifiedWord>1.</modifiedWord>
      <trackRevisions>false</trackRevisions>
    </reviewItem>
    <reviewItem>
      <errorID>8339d2dd-8cf6-40f8-82af-8c5778a0578b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23EA8B66</paraID>
      <start>0</start>
      <end>2</end>
      <status>modified</status>
      <modifiedWord>2.</modifiedWord>
      <trackRevisions>false</trackRevisions>
    </reviewItem>
    <reviewItem>
      <errorID>b0663fa4-18c1-4ca2-8a19-269e4c6a8ef8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23EA8B66</paraID>
      <start>43</start>
      <end>44</end>
      <status>ignored</status>
      <modifiedWord/>
      <trackRevisions>false</trackRevisions>
    </reviewItem>
    <reviewItem>
      <errorID>471dfef6-3cd5-48de-8dbf-8756b6cab5bd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78674C75</paraID>
      <start>0</start>
      <end>2</end>
      <status>modified</status>
      <modifiedWord>3.</modifiedWord>
      <trackRevisions>false</trackRevisions>
    </reviewItem>
    <reviewItem>
      <errorID>cd424f1d-4837-4219-8639-e38ec046caa8</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548B97F5</paraID>
      <start>0</start>
      <end>2</end>
      <status>modified</status>
      <modifiedWord>4.</modifiedWord>
      <trackRevisions>false</trackRevisions>
    </reviewItem>
    <reviewItem>
      <errorID>e960b16b-c3ea-42e4-9f88-8a00b206640c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6D7E2C6B</paraID>
      <start>0</start>
      <end>2</end>
      <status>modified</status>
      <modifiedWord>5.</modifiedWord>
      <trackRevisions>false</trackRevisions>
    </reviewItem>
    <reviewItem>
      <errorID>9b3e04b6-8e90-4743-8ef7-bff643ca2dbf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3A0AE696</paraID>
      <start>0</start>
      <end>2</end>
      <status>modified</status>
      <modifiedWord>6.</modifiedWord>
      <trackRevisions>false</trackRevisions>
    </reviewItem>
    <reviewItem>
      <errorID>39440faa-501f-4d27-ada5-4c049b00b399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41CC1364</paraID>
      <start>0</start>
      <end>2</end>
      <status>modified</status>
      <modifiedWord>1.</modifiedWord>
      <trackRevisions>false</trackRevisions>
    </reviewItem>
    <reviewItem>
      <errorID>b8c8a335-d79b-4f00-8567-19162408027a</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41CC1364</paraID>
      <start>17</start>
      <end>18</end>
      <status>ignored</status>
      <modifiedWord/>
      <trackRevisions>false</trackRevisions>
    </reviewItem>
    <reviewItem>
      <errorID>58b2d6bb-bec3-439c-b867-37393f2e05f6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2FBCC6BF</paraID>
      <start>0</start>
      <end>2</end>
      <status>modified</status>
      <modifiedWord>2.</modifiedWord>
      <trackRevisions>false</trackRevisions>
    </reviewItem>
    <reviewItem>
      <errorID>59386176-e294-444b-b8a5-0cad049c4a9e</errorID>
      <errorWord>)</errorWord>
      <group>L1_Format</group>
      <groupName>格式问题</groupName>
      <ability>L2_HalfPunc</ability>
      <abilityName>全半角检查</abilityName>
      <candidateList>
        <item>）</item>
      </candidateList>
      <explain>文本全半角错误。</explain>
      <paraID>2FBCC6BF</paraID>
      <start>23</start>
      <end>24</end>
      <status>modified</status>
      <modifiedWord>）</modifiedWord>
      <trackRevisions>false</trackRevisions>
    </reviewItem>
    <reviewItem>
      <errorID>2fbe086f-ce5b-44dc-990f-79902ae37520</errorID>
      <errorWord>)</errorWord>
      <group>L1_Format</group>
      <groupName>格式问题</groupName>
      <ability>L2_HalfPunc</ability>
      <abilityName>全半角检查</abilityName>
      <candidateList>
        <item>）</item>
      </candidateList>
      <explain>文本全半角错误。</explain>
      <paraID>116A546C</paraID>
      <start>26</start>
      <end>27</end>
      <status>modified</status>
      <modifiedWord>）</modifiedWord>
      <trackRevisions>false</trackRevisions>
    </reviewItem>
    <reviewItem>
      <errorID>c699bf1e-7aa5-450c-9345-95869fbaba31</errorID>
      <errorWord>其它</errorWord>
      <group>L1_Word</group>
      <groupName>字词问题</groupName>
      <ability>L2_Alias</ability>
      <abilityName>也作/曾用词</abilityName>
      <candidateList>
        <item>其他</item>
      </candidateList>
      <explain>词汇[其它]为不规范表述或旧称，其规范书面表述为[其他]。</explain>
      <paraID>22854554</paraID>
      <start>3</start>
      <end>5</end>
      <status>ignored</status>
      <modifiedWord/>
      <trackRevisions>false</trackRevisions>
    </reviewItem>
    <reviewItem>
      <errorID>ad86658c-4270-424f-98e9-e24afe4e8359</errorID>
      <errorWord>:</errorWord>
      <group>L1_Format</group>
      <groupName>格式问题</groupName>
      <ability>L2_HalfPunc</ability>
      <abilityName>全半角检查</abilityName>
      <candidateList>
        <item>：</item>
      </candidateList>
      <explain>文本全半角错误。</explain>
      <paraID>386BDCB3</paraID>
      <start>2</start>
      <end>3</end>
      <status>modified</status>
      <modifiedWord>：</modifiedWord>
      <trackRevisions>false</trackRevisions>
    </reviewItem>
    <reviewItem>
      <errorID>592935d2-df73-4914-b90f-dc66784f57b7</errorID>
      <errorWord>:</errorWord>
      <group>L1_Format</group>
      <groupName>格式问题</groupName>
      <ability>L2_HalfPunc</ability>
      <abilityName>全半角检查</abilityName>
      <candidateList>
        <item>：</item>
      </candidateList>
      <explain>文本全半角错误。</explain>
      <paraID>2047C153</paraID>
      <start>6</start>
      <end>7</end>
      <status>modified</status>
      <modifiedWord>：</modifiedWord>
      <trackRevisions>false</trackRevisions>
    </reviewItem>
    <reviewItem>
      <errorID>7f10cc1f-f280-41f9-ae8d-0b58b8d5c520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D3A20BE</paraID>
      <start>0</start>
      <end>2</end>
      <status>modified</status>
      <modifiedWord>1.</modifiedWord>
      <trackRevisions>false</trackRevisions>
    </reviewItem>
    <reviewItem>
      <errorID>c88b3364-0513-46b9-bafb-7b66277c5142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386B1020</paraID>
      <start>0</start>
      <end>2</end>
      <status>modified</status>
      <modifiedWord>2.</modifiedWord>
      <trackRevisions>false</trackRevisions>
    </reviewItem>
    <reviewItem>
      <errorID>c28fe038-e728-4dcc-a3b0-324ac86ee4a6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2728E565</paraID>
      <start>0</start>
      <end>2</end>
      <status>modified</status>
      <modifiedWord>3.</modifiedWord>
      <trackRevisions>false</trackRevisions>
    </reviewItem>
    <reviewItem>
      <errorID>6a9ab063-ea04-4d4f-b996-c029bcddc520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7EA672D2</paraID>
      <start>0</start>
      <end>2</end>
      <status>modified</status>
      <modifiedWord>1.</modifiedWord>
      <trackRevisions>false</trackRevisions>
    </reviewItem>
    <reviewItem>
      <errorID>7bd81a89-2390-4278-a011-aaec8a5b11c7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20DB6D4D</paraID>
      <start>0</start>
      <end>2</end>
      <status>modified</status>
      <modifiedWord>2.</modifiedWord>
      <trackRevisions>false</trackRevisions>
    </reviewItem>
    <reviewItem>
      <errorID>65dabe82-3ae2-403b-93f7-642047bb3740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49A574B9</paraID>
      <start>0</start>
      <end>2</end>
      <status>modified</status>
      <modifiedWord>3.</modifiedWord>
      <trackRevisions>false</trackRevisions>
    </reviewItem>
    <reviewItem>
      <errorID>87de1281-babc-4e7f-960f-6b70c8184982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3122AD1C</paraID>
      <start>0</start>
      <end>2</end>
      <status>modified</status>
      <modifiedWord>1.</modifiedWord>
      <trackRevisions>false</trackRevisions>
    </reviewItem>
    <reviewItem>
      <errorID>d854a191-51c5-402c-b968-688955afc871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6340D2A0</paraID>
      <start>0</start>
      <end>2</end>
      <status>modified</status>
      <modifiedWord>2.</modifiedWord>
      <trackRevisions>false</trackRevisions>
    </reviewItem>
    <reviewItem>
      <errorID>f4dbe3ad-3375-497a-ab5d-8fc0d5b049a1</errorID>
      <errorWord>其它</errorWord>
      <group>L1_Word</group>
      <groupName>字词问题</groupName>
      <ability>L2_Alias</ability>
      <abilityName>也作/曾用词</abilityName>
      <candidateList>
        <item>其他</item>
      </candidateList>
      <explain>词汇[其它]为不规范表述或旧称，其规范书面表述为[其他]。</explain>
      <paraID>6340D2A0</paraID>
      <start>53</start>
      <end>55</end>
      <status>ignored</status>
      <modifiedWord/>
      <trackRevisions>false</trackRevisions>
    </reviewItem>
    <reviewItem>
      <errorID>6f5a03ae-a5fa-4f65-8cf4-cd944a0c420f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5DA72E26</paraID>
      <start>0</start>
      <end>2</end>
      <status>modified</status>
      <modifiedWord>3.</modifiedWord>
      <trackRevisions>false</trackRevisions>
    </reviewItem>
    <reviewItem>
      <errorID>b9e84332-87f2-4cd9-90ab-14b6c0e8da17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794B9ED6</paraID>
      <start>0</start>
      <end>2</end>
      <status>modified</status>
      <modifiedWord>4.</modifiedWord>
      <trackRevisions>false</trackRevisions>
    </reviewItem>
    <reviewItem>
      <errorID>353ae1e9-c185-48ea-9745-6e93dcb8a501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4E5970</paraID>
      <start>0</start>
      <end>2</end>
      <status>modified</status>
      <modifiedWord>5.</modifiedWord>
      <trackRevisions>false</trackRevisions>
    </reviewItem>
    <reviewItem>
      <errorID>23fbf23b-e6d8-4f0a-99a8-25d28fb861d0</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3A76AE69</paraID>
      <start>0</start>
      <end>2</end>
      <status>modified</status>
      <modifiedWord>6.</modifiedWord>
      <trackRevisions>false</trackRevisions>
    </reviewItem>
    <reviewItem>
      <errorID>c370333f-2f72-4c1b-9527-fd536e239b8a</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764E0588</paraID>
      <start>0</start>
      <end>2</end>
      <status>modified</status>
      <modifiedWord>7.</modifiedWord>
      <trackRevisions>false</trackRevisions>
    </reviewItem>
    <reviewItem>
      <errorID>07052d7a-9314-4cf4-8744-57581c367f4a</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2B70398A</paraID>
      <start>0</start>
      <end>2</end>
      <status>modified</status>
      <modifiedWord>8.</modifiedWord>
      <trackRevisions>false</trackRevisions>
    </reviewItem>
    <reviewItem>
      <errorID>113c7c78-34ea-4f76-a079-2954bbc3b822</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6543EE6A</paraID>
      <start>0</start>
      <end>2</end>
      <status>modified</status>
      <modifiedWord>9.</modifiedWord>
      <trackRevisions>false</trackRevisions>
    </reviewItem>
    <reviewItem>
      <errorID>366f1ed9-1a2c-481c-8602-6cadecef6328</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51DB5BDA</paraID>
      <start>0</start>
      <end>3</end>
      <status>modified</status>
      <modifiedWord>10.</modifiedWord>
      <trackRevisions>false</trackRevisions>
    </reviewItem>
    <reviewItem>
      <errorID>326adc84-5157-4a4a-b18d-6078ff18a644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3EE863F4</paraID>
      <start>0</start>
      <end>3</end>
      <status>modified</status>
      <modifiedWord>11.</modifiedWord>
      <trackRevisions>false</trackRevisions>
    </reviewItem>
    <reviewItem>
      <errorID>14e765ec-df6f-441b-baf1-054f4189c50e</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5DAFDD4F</paraID>
      <start>0</start>
      <end>3</end>
      <status>modified</status>
      <modifiedWord>12.</modifiedWord>
      <trackRevisions>false</trackRevisions>
    </reviewItem>
    <reviewItem>
      <errorID>8999c017-7d76-4896-86f2-b847f264b5a1</errorID>
      <errorWord>13、</errorWord>
      <group>L1_Format</group>
      <groupName>格式问题</groupName>
      <ability>L2_Ordinal</ability>
      <abilityName>序号格式</abilityName>
      <candidateList>
        <item>13.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7194475F</paraID>
      <start>0</start>
      <end>3</end>
      <status>modified</status>
      <modifiedWord>13.</modifiedWord>
      <trackRevisions>false</trackRevisions>
    </reviewItem>
    <reviewItem>
      <errorID>35da3d4e-8d10-47d3-be32-a7f77b46ed8e</errorID>
      <errorWord>日</errorWord>
      <group>L1_Word</group>
      <groupName>字词问题</groupName>
      <ability>L2_Typo</ability>
      <abilityName>字词错误</abilityName>
      <candidateList>
        <item>日内</item>
      </candidateList>
      <explain/>
      <paraID> A0DAF32</paraID>
      <start>87</start>
      <end>89</end>
      <status>modified</status>
      <modifiedWord>日内</modifiedWord>
      <trackRevisions>false</trackRevisions>
    </reviewItem>
    <reviewItem>
      <errorID>832c0ad8-0472-427d-9d12-9a59b9c985df</errorID>
      <errorWord>)</errorWord>
      <group>L1_Format</group>
      <groupName>格式问题</groupName>
      <ability>L2_HalfPunc</ability>
      <abilityName>全半角检查</abilityName>
      <candidateList>
        <item>）</item>
      </candidateList>
      <explain>文本全半角错误。</explain>
      <paraID>26CBB703</paraID>
      <start>99</start>
      <end>100</end>
      <status>modified</status>
      <modifiedWord>）</modifiedWord>
      <trackRevisions>false</trackRevisions>
    </reviewItem>
    <reviewItem>
      <errorID>b0552798-5053-475d-ab24-d720f69b2763</errorID>
      <errorWord>[2011]300号</errorWord>
      <group>L1_Knowledge</group>
      <groupName>知识性问题</groupName>
      <ability>L2_Knowledge</ability>
      <abilityName>其他知识</abilityName>
      <candidateList>
        <item>〔2011〕300号</item>
      </candidateList>
      <explain>发文字号格式错误。</explain>
      <paraID>7EAF5329</paraID>
      <start>35</start>
      <end>45</end>
      <status>modified</status>
      <modifiedWord>〔2011〕300号</modifiedWord>
      <trackRevisions>false</trackRevisions>
    </reviewItem>
    <reviewItem>
      <errorID>b0b957c2-fcda-489b-9614-ef2b64cd977d</errorID>
      <errorWord>须</errorWord>
      <group>L1_Word</group>
      <groupName>字词问题</groupName>
      <ability>L2_Typo</ability>
      <abilityName>字词错误</abilityName>
      <candidateList>
        <item>需</item>
      </candidateList>
      <explain>存在发音相同字词的误用。</explain>
      <paraID>7EAF5329</paraID>
      <start>82</start>
      <end>83</end>
      <status>ignored</status>
      <modifiedWord/>
      <trackRevisions>false</trackRevisions>
    </reviewItem>
    <reviewItem>
      <errorID>434517ba-5f9e-4bdb-af36-f7efb96fe2ae</errorID>
      <errorWord>，</errorWord>
      <group>L1_Word</group>
      <groupName>字词问题</groupName>
      <ability>L2_Typo</ability>
      <abilityName>字词错误</abilityName>
      <candidateList>
        <item>，在</item>
      </candidateList>
      <explain/>
      <paraID> B190DD2</paraID>
      <start>25</start>
      <end>27</end>
      <status>modified</status>
      <modifiedWord>，在</modifiedWord>
      <trackRevisions>false</trackRevisions>
    </reviewItem>
    <reviewItem>
      <errorID>e6e3feaa-ef2f-40f0-88f9-955bbf36f5a7</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6CAAF9B2</paraID>
      <start>0</start>
      <end>2</end>
      <status>modified</status>
      <modifiedWord>8.</modifiedWord>
      <trackRevisions>false</trackRevisions>
    </reviewItem>
    <reviewItem>
      <errorID>8fd71b39-f150-4f38-9e22-c5b2aa1ce58f</errorID>
      <errorWord>，</errorWord>
      <group>L1_Word</group>
      <groupName>字词问题</groupName>
      <ability>L2_Typo</ability>
      <abilityName>字词错误</abilityName>
      <candidateList>
        <item>，在</item>
      </candidateList>
      <explain/>
      <paraID> 423C607</paraID>
      <start>47</start>
      <end>49</end>
      <status>modified</status>
      <modifiedWord>，在</modifiedWord>
      <trackRevisions>false</trackRevisions>
    </reviewItem>
    <reviewItem>
      <errorID>3c2f4442-c752-4463-9d79-d6c412363496</errorID>
      <errorWord>，</errorWord>
      <group>L1_Word</group>
      <groupName>字词问题</groupName>
      <ability>L2_Typo</ability>
      <abilityName>字词错误</abilityName>
      <candidateList>
        <item>，在</item>
      </candidateList>
      <explain/>
      <paraID>38F77C28</paraID>
      <start>25</start>
      <end>27</end>
      <status>modified</status>
      <modifiedWord>，在</modifiedWord>
      <trackRevisions>false</trackRevisions>
    </reviewItem>
    <reviewItem>
      <errorID>074abcc3-dee3-4311-8e8e-8d251795aad7</errorID>
      <errorWord>（</errorWord>
      <group>L1_Punc</group>
      <groupName>标点问题</groupName>
      <ability>L2_Punc</ability>
      <abilityName>标点符号检查</abilityName>
      <candidateList/>
      <explain>同一形式括号套用。</explain>
      <paraID>52A06910</paraID>
      <start>160</start>
      <end>161</end>
      <status>ignored</status>
      <modifiedWord/>
      <trackRevisions>false</trackRevisions>
    </reviewItem>
    <reviewItem>
      <errorID>be99e867-914c-4c41-831a-6ccc73b74099</errorID>
      <errorWord>）</errorWord>
      <group>L1_Punc</group>
      <groupName>标点问题</groupName>
      <ability>L2_Punc</ability>
      <abilityName>标点符号检查</abilityName>
      <candidateList/>
      <explain>同一形式括号套用。</explain>
      <paraID>52A06910</paraID>
      <start>178</start>
      <end>179</end>
      <status>ignored</status>
      <modifiedWord/>
      <trackRevisions>false</trackRevisions>
    </reviewItem>
    <reviewItem>
      <errorID>2efb4d8e-26a1-4df3-bed7-9ff05f78dbb9</errorID>
      <errorWord>（</errorWord>
      <group>L1_Punc</group>
      <groupName>标点问题</groupName>
      <ability>L2_Punc</ability>
      <abilityName>标点符号检查</abilityName>
      <candidateList/>
      <explain>同一形式括号套用。</explain>
      <paraID>52A06910</paraID>
      <start>179</start>
      <end>180</end>
      <status>ignored</status>
      <modifiedWord/>
      <trackRevisions>false</trackRevisions>
    </reviewItem>
    <reviewItem>
      <errorID>2b5366cf-65dd-4f6d-afbf-65ef51417089</errorID>
      <errorWord>）</errorWord>
      <group>L1_Punc</group>
      <groupName>标点问题</groupName>
      <ability>L2_Punc</ability>
      <abilityName>标点符号检查</abilityName>
      <candidateList/>
      <explain>同一形式括号套用。</explain>
      <paraID>52A06910</paraID>
      <start>197</start>
      <end>198</end>
      <status>ignored</status>
      <modifiedWord/>
      <trackRevisions>false</trackRevisions>
    </reviewItem>
    <reviewItem>
      <errorID>0cc0fb27-c5ea-4ccb-8984-7c5a74008ed2</errorID>
      <errorWord>（</errorWord>
      <group>L1_Punc</group>
      <groupName>标点问题</groupName>
      <ability>L2_Punc</ability>
      <abilityName>标点符号检查</abilityName>
      <candidateList/>
      <explain>同一形式括号套用。</explain>
      <paraID>52A06910</paraID>
      <start>222</start>
      <end>223</end>
      <status>ignored</status>
      <modifiedWord/>
      <trackRevisions>false</trackRevisions>
    </reviewItem>
    <reviewItem>
      <errorID>ac607ade-465f-4627-902a-defc698b0222</errorID>
      <errorWord>）</errorWord>
      <group>L1_Punc</group>
      <groupName>标点问题</groupName>
      <ability>L2_Punc</ability>
      <abilityName>标点符号检查</abilityName>
      <candidateList/>
      <explain>同一形式括号套用。</explain>
      <paraID>52A06910</paraID>
      <start>229</start>
      <end>230</end>
      <status>ignored</status>
      <modifiedWord/>
      <trackRevisions>false</trackRevisions>
    </reviewItem>
    <reviewItem>
      <errorID>ed23f872-74ff-49c8-a284-347d35689bf1</errorID>
      <errorWord>（</errorWord>
      <group>L1_Format</group>
      <groupName>格式问题</groupName>
      <ability>L2_HalfPunc</ability>
      <abilityName>全半角检查</abilityName>
      <candidateList>
        <item>(</item>
      </candidateList>
      <explain>文本全半角错误。</explain>
      <paraID>158AD45A</paraID>
      <start>4</start>
      <end>5</end>
      <status>modified</status>
      <modifiedWord>(</modifiedWord>
      <trackRevisions>false</trackRevisions>
    </reviewItem>
    <reviewItem>
      <errorID>e0414bed-5ea4-4af0-ab4a-0a1330b83bb4</errorID>
      <errorWord>）</errorWord>
      <group>L1_Format</group>
      <groupName>格式问题</groupName>
      <ability>L2_HalfPunc</ability>
      <abilityName>全半角检查</abilityName>
      <candidateList>
        <item>)</item>
      </candidateList>
      <explain>文本全半角错误。</explain>
      <paraID>158AD45A</paraID>
      <start>6</start>
      <end>7</end>
      <status>modified</status>
      <modifiedWord>)</modifiedWord>
      <trackRevisions>false</trackRevisions>
    </reviewItem>
    <reviewItem>
      <errorID>9eddc511-ea91-4561-8f5e-212bef6fa174</errorID>
      <errorWord>（</errorWord>
      <group>L1_Format</group>
      <groupName>格式问题</groupName>
      <ability>L2_HalfPunc</ability>
      <abilityName>全半角检查</abilityName>
      <candidateList>
        <item>(</item>
      </candidateList>
      <explain>文本全半角错误。</explain>
      <paraID>3F249F3C</paraID>
      <start>4</start>
      <end>5</end>
      <status>modified</status>
      <modifiedWord>(</modifiedWord>
      <trackRevisions>false</trackRevisions>
    </reviewItem>
    <reviewItem>
      <errorID>c6c717e0-c7fb-4d62-a995-9d4c0e94f155</errorID>
      <errorWord>）</errorWord>
      <group>L1_Format</group>
      <groupName>格式问题</groupName>
      <ability>L2_HalfPunc</ability>
      <abilityName>全半角检查</abilityName>
      <candidateList>
        <item>)</item>
      </candidateList>
      <explain>文本全半角错误。</explain>
      <paraID>3F249F3C</paraID>
      <start>6</start>
      <end>7</end>
      <status>modified</status>
      <modifiedWord>)</modifiedWord>
      <trackRevisions>false</trackRevisions>
    </reviewItem>
    <reviewItem>
      <errorID>1868b1df-3f8c-480d-b12a-721dba1caff8</errorID>
      <errorWord>作为在</errorWord>
      <group>L1_Word</group>
      <groupName>字词问题</groupName>
      <ability>L2_Typo</ability>
      <abilityName>字词错误</abilityName>
      <candidateList>
        <item>作为</item>
      </candidateList>
      <explain>❶〈动〉当做：～罢论｜～无效｜我把游泳～锻炼身体的方法。❷〈介〉就人的某种身份或事物的某种性质来说：～一个学生，首先得把学习搞好｜～一部词典，必须有明确的编写宗旨。</explain>
      <paraID>61633E9E</paraID>
      <start>29</start>
      <end>31</end>
      <status>modified</status>
      <modifiedWord>作为</modifiedWord>
      <trackRevisions>false</trackRevisions>
    </reviewItem>
    <reviewItem>
      <errorID>923f12a7-4529-4f89-bdac-efb10e8020f1</errorID>
      <errorWord>以下的</errorWord>
      <group>L1_Word</group>
      <groupName>字词问题</groupName>
      <ability>L2_Typo</ability>
      <abilityName>字词错误</abilityName>
      <candidateList>
        <item>以下</item>
      </candidateList>
      <explain/>
      <paraID>30FFF2A9</paraID>
      <start>40</start>
      <end>42</end>
      <status>modified</status>
      <modifiedWord>以下</modifiedWord>
      <trackRevisions>false</trackRevisions>
    </reviewItem>
    <reviewItem>
      <errorID>4545f022-db9e-437e-b465-aa2caef6425b</errorID>
      <errorWord>（</errorWord>
      <group>L1_Punc</group>
      <groupName>标点问题</groupName>
      <ability>L2_Punc</ability>
      <abilityName>标点符号检查</abilityName>
      <candidateList/>
      <explain>同一形式括号套用。</explain>
      <paraID>2716EF87</paraID>
      <start>93</start>
      <end>94</end>
      <status>ignored</status>
      <modifiedWord/>
      <trackRevisions>false</trackRevisions>
    </reviewItem>
    <reviewItem>
      <errorID>cab0e6c6-6ae4-4583-a55d-496a60c38193</errorID>
      <errorWord>）</errorWord>
      <group>L1_Punc</group>
      <groupName>标点问题</groupName>
      <ability>L2_Punc</ability>
      <abilityName>标点符号检查</abilityName>
      <candidateList/>
      <explain>同一形式括号套用。</explain>
      <paraID>2716EF87</paraID>
      <start>100</start>
      <end>101</end>
      <status>ignored</status>
      <modifiedWord/>
      <trackRevisions>false</trackRevisions>
    </reviewItem>
    <reviewItem>
      <errorID>9d57ce83-cb89-4f43-8de5-c718dc4d0da3</errorID>
      <errorWord>，</errorWord>
      <group>L1_Word</group>
      <groupName>字词问题</groupName>
      <ability>L2_Typo</ability>
      <abilityName>字词错误</abilityName>
      <candidateList>
        <item>，使</item>
      </candidateList>
      <explain/>
      <paraID>412D1421</paraID>
      <start>32</start>
      <end>34</end>
      <status>modified</status>
      <modifiedWord>，使</modifiedWord>
      <trackRevisions>false</trackRevisions>
    </reviewItem>
    <reviewItem>
      <errorID>c7fdd205-716c-4b90-8dce-2113e7ce7f23</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346B75C6</paraID>
      <start>15</start>
      <end>17</end>
      <status>modified</status>
      <modifiedWord>”“</modifiedWord>
      <trackRevisions>false</trackRevisions>
    </reviewItem>
    <reviewItem>
      <errorID>5dcf0c13-bdec-4d0b-b46a-5b8bd0cf4602</errorID>
      <errorWord>法律、法规</errorWord>
      <group>L1_Word</group>
      <groupName>字词问题</groupName>
      <ability>L2_Typo</ability>
      <abilityName>字词错误</abilityName>
      <candidateList>
        <item>法律法规</item>
      </candidateList>
      <explain/>
      <paraID>3670CF45</paraID>
      <start>25</start>
      <end>29</end>
      <status>modified</status>
      <modifiedWord>法律法规</modifiedWord>
      <trackRevisions>false</trackRevisions>
    </reviewItem>
    <reviewItem>
      <errorID>b1d0afb1-9591-44c3-90df-8be893673316</errorID>
      <errorWord>操作合</errorWord>
      <group>L1_Word</group>
      <groupName>字词问题</groupName>
      <ability>L2_Typo</ability>
      <abilityName>字词错误</abilityName>
      <candidateList>
        <item>操作台</item>
      </candidateList>
      <explain/>
      <paraID>647B9595</paraID>
      <start>9</start>
      <end>12</end>
      <status>ignored</status>
      <modifiedWord/>
      <trackRevisions>false</trackRevisions>
    </reviewItem>
    <reviewItem>
      <errorID>418b7b2d-62fa-4d20-b135-1a146d30410e</errorID>
      <errorWord>间</errorWord>
      <group>L1_Word</group>
      <groupName>字词问题</groupName>
      <ability>L2_Typo</ability>
      <abilityName>字词错误</abilityName>
      <candidateList>
        <item>间之</item>
      </candidateList>
      <explain/>
      <paraID>4BDC8C5F</paraID>
      <start>39</start>
      <end>40</end>
      <status>ignored</status>
      <modifiedWord/>
      <trackRevisions>false</trackRevisions>
    </reviewItem>
    <reviewItem>
      <errorID>ebd797ee-acf5-48be-96d0-d5c182eea41d</errorID>
      <errorWord>会</errorWord>
      <group>L1_Word</group>
      <groupName>字词问题</groupName>
      <ability>L2_Typo</ability>
      <abilityName>字词错误</abilityName>
      <candidateList>
        <item>会在</item>
      </candidateList>
      <explain/>
      <paraID>679272A3</paraID>
      <start>13</start>
      <end>15</end>
      <status>modified</status>
      <modifiedWord>会在</modifiedWord>
      <trackRevisions>false</trackRevisions>
    </reviewItem>
    <reviewItem>
      <errorID>436dca3e-7bed-42ca-a510-02ed480e0b88</errorID>
      <errorWord>（</errorWord>
      <group>L1_Punc</group>
      <groupName>标点问题</groupName>
      <ability>L2_Punc</ability>
      <abilityName>标点符号检查</abilityName>
      <candidateList/>
      <explain>此处标点可能未正确匹配，请检查句子中是否存在标点冗余、缺失或使用错误的情况。</explain>
      <paraID>1CFCF30E</paraID>
      <start>39</start>
      <end>40</end>
      <status>ignored</status>
      <modifiedWord/>
      <trackRevisions>false</trackRevisions>
    </reviewItem>
    <reviewItem>
      <errorID>d452547c-c981-4cb3-b403-abf8f2c53ae9</errorID>
      <errorWord>（2002）1980号</errorWord>
      <group>L1_Knowledge</group>
      <groupName>知识性问题</groupName>
      <ability>L2_Knowledge</ability>
      <abilityName>其他知识</abilityName>
      <candidateList>
        <item>〔2002〕1980号</item>
      </candidateList>
      <explain>发文字号格式错误。</explain>
      <paraID>1CFCF30E</paraID>
      <start>43</start>
      <end>54</end>
      <status>modified</status>
      <modifiedWord>〔2002〕1980号</modifiedWord>
      <trackRevisions>false</trackRevisions>
    </reviewItem>
    <reviewItem>
      <errorID>bfdfdb23-b03f-47aa-bd66-8715b0379ac9</errorID>
      <errorWord>[2011]534号</errorWord>
      <group>L1_Knowledge</group>
      <groupName>知识性问题</groupName>
      <ability>L2_Knowledge</ability>
      <abilityName>其他知识</abilityName>
      <candidateList>
        <item>〔2011〕534号</item>
      </candidateList>
      <explain>发文字号格式错误。</explain>
      <paraID>1CFCF30E</paraID>
      <start>97</start>
      <end>107</end>
      <status>modified</status>
      <modifiedWord>〔2011〕534号</modifiedWord>
      <trackRevisions>false</trackRevisions>
    </reviewItem>
    <reviewItem>
      <errorID>d9b9fe1c-751d-426e-8c43-85c2f99203a0</errorID>
      <errorWord>亿</errorWord>
      <group>L1_Word</group>
      <groupName>字词问题</groupName>
      <ability>L2_Typo</ability>
      <abilityName>字词错误</abilityName>
      <candidateList>
        <item>亿元</item>
      </candidateList>
      <explain/>
      <paraID>5F869DB7</paraID>
      <start>3</start>
      <end>5</end>
      <status>modified</status>
      <modifiedWord>亿元</modifiedWord>
      <trackRevisions>false</trackRevisions>
    </reviewItem>
    <reviewItem>
      <errorID>0242ad12-45a6-4790-85f2-baa535477b65</errorID>
      <errorWord>可附件</errorWord>
      <group>L1_Word</group>
      <groupName>字词问题</groupName>
      <ability>L2_Typo</ability>
      <abilityName>字词错误</abilityName>
      <candidateList>
        <item>见附件</item>
      </candidateList>
      <explain/>
      <paraID>6076C8AD</paraID>
      <start>98</start>
      <end>101</end>
      <status>modified</status>
      <modifiedWord>见附件</modifiedWord>
      <trackRevisions>false</trackRevisions>
    </reviewItem>
    <reviewItem>
      <errorID>82fbc463-efa1-4a1d-81e4-15264218a02b</errorID>
      <errorWord>法律、法规</errorWord>
      <group>L1_Word</group>
      <groupName>字词问题</groupName>
      <ability>L2_Typo</ability>
      <abilityName>字词错误</abilityName>
      <candidateList>
        <item>法律法规</item>
      </candidateList>
      <explain/>
      <paraID>573C2DF9</paraID>
      <start>0</start>
      <end>4</end>
      <status>modified</status>
      <modifiedWord>法律法规</modifiedWord>
      <trackRevisions>false</trackRevisions>
    </reviewItem>
    <reviewItem>
      <errorID>e33ec614-850f-4a13-912d-fbe2f9f844d2</errorID>
      <errorWord>法律、法规</errorWord>
      <group>L1_Word</group>
      <groupName>字词问题</groupName>
      <ability>L2_Typo</ability>
      <abilityName>字词错误</abilityName>
      <candidateList>
        <item>法律法规</item>
      </candidateList>
      <explain/>
      <paraID>5C44BBE3</paraID>
      <start>3</start>
      <end>7</end>
      <status>modified</status>
      <modifiedWord>法律法规</modifiedWord>
      <trackRevisions>false</trackRevisions>
    </reviewItem>
    <reviewItem>
      <errorID>5ff77236-bb65-45b6-b19e-6dc472badb94</errorID>
      <errorWord>-</errorWord>
      <group>L1_Format</group>
      <groupName>格式问题</groupName>
      <ability>L2_HalfPunc</ability>
      <abilityName>全半角检查</abilityName>
      <candidateList>
        <item>－</item>
      </candidateList>
      <explain>文本全半角错误。</explain>
      <paraID>1B69EDBB</paraID>
      <start>20</start>
      <end>21</end>
      <status>modified</status>
      <modifiedWord>－</modifiedWord>
      <trackRevisions>false</trackRevisions>
    </reviewItem>
    <reviewItem>
      <errorID>6cb6e8a6-acb1-4dd7-9cd9-3dcdfe7cf8aa</errorID>
      <errorWord>做出</errorWord>
      <group>L1_Word</group>
      <groupName>字词问题</groupName>
      <ability>L2_Typo</ability>
      <abilityName>字词错误</abilityName>
      <candidateList>
        <item>作出</item>
      </candidateList>
      <explain/>
      <paraID>10CF23DE</paraID>
      <start>116</start>
      <end>118</end>
      <status>modified</status>
      <modifiedWord>作出</modifiedWord>
      <trackRevisions>false</trackRevisions>
    </reviewItem>
    <reviewItem>
      <errorID>e315982e-7500-4482-82d2-ff534aad0d2f</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79DB9270</paraID>
      <start>23</start>
      <end>24</end>
      <status>ignored</status>
      <modifiedWord/>
      <trackRevisions>false</trackRevisions>
    </reviewItem>
    <reviewItem>
      <errorID>b128942b-9dea-437b-9817-7fb5f348744b</errorID>
      <errorWord>）</errorWord>
      <group>L1_Punc</group>
      <groupName>标点问题</groupName>
      <ability>L2_Punc</ability>
      <abilityName>标点符号检查</abilityName>
      <candidateList/>
      <explain>此处标点可能未正确匹配，请检查句子中是否存在标点冗余、缺失或使用错误的情况。</explain>
      <paraID>4E49A261</paraID>
      <start>137</start>
      <end>138</end>
      <status>ignored</status>
      <modifiedWord/>
      <trackRevisions>false</trackRevisions>
    </reviewItem>
    <reviewItem>
      <errorID>5ac2f2b6-ca7c-419b-959f-b02367d5ad06</errorID>
      <errorWord>:</errorWord>
      <group>L1_Format</group>
      <groupName>格式问题</groupName>
      <ability>L2_HalfPunc</ability>
      <abilityName>全半角检查</abilityName>
      <candidateList>
        <item>：</item>
      </candidateList>
      <explain>文本全半角错误。</explain>
      <paraID>164020CF</paraID>
      <start>4</start>
      <end>5</end>
      <status>modified</status>
      <modifiedWord>：</modifiedWord>
      <trackRevisions>false</trackRevisions>
    </reviewItem>
    <reviewItem>
      <errorID>f004a132-c585-43af-9950-9e5d2f1164a3</errorID>
      <errorWord>(</errorWord>
      <group>L1_Format</group>
      <groupName>格式问题</groupName>
      <ability>L2_HalfPunc</ability>
      <abilityName>全半角检查</abilityName>
      <candidateList>
        <item>（</item>
      </candidateList>
      <explain>文本全半角错误。</explain>
      <paraID>164020CF</paraID>
      <start>38</start>
      <end>39</end>
      <status>modified</status>
      <modifiedWord>（</modifiedWord>
      <trackRevisions>false</trackRevisions>
    </reviewItem>
    <reviewItem>
      <errorID>52c6d2f1-c038-4e84-8428-a9459f707303</errorID>
      <errorWord>)</errorWord>
      <group>L1_Format</group>
      <groupName>格式问题</groupName>
      <ability>L2_HalfPunc</ability>
      <abilityName>全半角检查</abilityName>
      <candidateList>
        <item>）</item>
      </candidateList>
      <explain>文本全半角错误。</explain>
      <paraID>164020CF</paraID>
      <start>41</start>
      <end>42</end>
      <status>modified</status>
      <modifiedWord>）</modifiedWord>
      <trackRevisions>false</trackRevisions>
    </reviewItem>
    <reviewItem>
      <errorID>b49531eb-5a05-47fc-bf10-fc29649c629c</errorID>
      <errorWord>:</errorWord>
      <group>L1_Format</group>
      <groupName>格式问题</groupName>
      <ability>L2_HalfPunc</ability>
      <abilityName>全半角检查</abilityName>
      <candidateList>
        <item>：</item>
      </candidateList>
      <explain>文本全半角错误。</explain>
      <paraID>682A193E</paraID>
      <start>5</start>
      <end>6</end>
      <status>modified</status>
      <modifiedWord>：</modifiedWord>
      <trackRevisions>false</trackRevisions>
    </reviewItem>
    <reviewItem>
      <errorID>47a2ddc6-bd75-47ea-9675-fc1d08bf4237</errorID>
      <errorWord>只是</errorWord>
      <group>L1_Word</group>
      <groupName>字词问题</groupName>
      <ability>L2_Typo</ability>
      <abilityName>字词错误</abilityName>
      <candidateList>
        <item>只</item>
      </candidateList>
      <explain>（衹、祇）zhǐ〈副〉❶表示仅限于某个范围：～知其一，不知其二｜在几种棋类中，他～会下象棋。❷只有；仅有：家里～我一个人。</explain>
      <paraID>62CCE826</paraID>
      <start>32</start>
      <end>33</end>
      <status>modified</status>
      <modifiedWord>只</modifiedWord>
      <trackRevisions>false</trackRevisions>
    </reviewItem>
    <reviewItem>
      <errorID>776894f0-0db8-40ce-9af3-8d9c398cdd38</errorID>
      <errorWord>10-20%</errorWord>
      <group>L1_Knowledge</group>
      <groupName>知识性问题</groupName>
      <ability>L2_Knowledge</ability>
      <abilityName>其他知识</abilityName>
      <candidateList>
        <item>10%—20%</item>
      </candidateList>
      <explain>1. “10-20%”中的单位“%”仅出现在后一个数字上，容易引起歧义；根据《现代汉语标点符号数字用法规范手册》，数字表示范围两边需要使用统一的格式。2. 根据标点国标 4.13 中的规则，数字、时间或地域连接符应使用（视觉上更长的）“—”或“～”。</explain>
      <paraID>7C3D2D7D</paraID>
      <start>186</start>
      <end>193</end>
      <status>modified</status>
      <modifiedWord>10%—20%</modifiedWord>
      <trackRevisions>false</trackRevisions>
    </reviewItem>
    <reviewItem>
      <errorID>88070a2c-2ea9-4689-aac1-23e36dcea44d</errorID>
      <errorWord>(</errorWord>
      <group>L1_Format</group>
      <groupName>格式问题</groupName>
      <ability>L2_HalfPunc</ability>
      <abilityName>全半角检查</abilityName>
      <candidateList>
        <item>（</item>
      </candidateList>
      <explain>文本全半角错误。</explain>
      <paraID>48F5798A</paraID>
      <start>131</start>
      <end>132</end>
      <status>modified</status>
      <modifiedWord>（</modifiedWord>
      <trackRevisions>false</trackRevisions>
    </reviewItem>
    <reviewItem>
      <errorID>4b131192-5a71-4e8d-94db-311e3fb8c2a5</errorID>
      <errorWord>)</errorWord>
      <group>L1_Format</group>
      <groupName>格式问题</groupName>
      <ability>L2_HalfPunc</ability>
      <abilityName>全半角检查</abilityName>
      <candidateList>
        <item>）</item>
      </candidateList>
      <explain>文本全半角错误。</explain>
      <paraID>48F5798A</paraID>
      <start>141</start>
      <end>142</end>
      <status>modified</status>
      <modifiedWord>）</modifiedWord>
      <trackRevisions>false</trackRevisions>
    </reviewItem>
    <reviewItem>
      <errorID>fe330c02-02a7-4760-9451-f8b51d2538e3</errorID>
      <errorWord>(</errorWord>
      <group>L1_Format</group>
      <groupName>格式问题</groupName>
      <ability>L2_HalfPunc</ability>
      <abilityName>全半角检查</abilityName>
      <candidateList>
        <item>（</item>
      </candidateList>
      <explain>文本全半角错误。</explain>
      <paraID>346308D8</paraID>
      <start>4</start>
      <end>5</end>
      <status>modified</status>
      <modifiedWord>（</modifiedWord>
      <trackRevisions>false</trackRevisions>
    </reviewItem>
    <reviewItem>
      <errorID>af65ccd5-c3d6-4742-9e18-db8cc90fe9a8</errorID>
      <errorWord>)</errorWord>
      <group>L1_Format</group>
      <groupName>格式问题</groupName>
      <ability>L2_HalfPunc</ability>
      <abilityName>全半角检查</abilityName>
      <candidateList>
        <item>）</item>
      </candidateList>
      <explain>文本全半角错误。</explain>
      <paraID>346308D8</paraID>
      <start>15</start>
      <end>16</end>
      <status>modified</status>
      <modifiedWord>）</modifiedWord>
      <trackRevisions>false</trackRevisions>
    </reviewItem>
    <reviewItem>
      <errorID>266ce2f1-64d8-41e5-90bf-9021f43817e9</errorID>
      <errorWord>操作合</errorWord>
      <group>L1_Word</group>
      <groupName>字词问题</groupName>
      <ability>L2_Typo</ability>
      <abilityName>字词错误</abilityName>
      <candidateList>
        <item>操作台</item>
      </candidateList>
      <explain/>
      <paraID>63FF5883</paraID>
      <start>101</start>
      <end>104</end>
      <status>ignored</status>
      <modifiedWord/>
      <trackRevisions>false</trackRevisions>
    </reviewItem>
    <reviewItem>
      <errorID>0688bd05-e917-4c25-854a-25d7eada594a</errorID>
      <errorWord>操作合</errorWord>
      <group>L1_Word</group>
      <groupName>字词问题</groupName>
      <ability>L2_Typo</ability>
      <abilityName>字词错误</abilityName>
      <candidateList>
        <item>操作台</item>
      </candidateList>
      <explain/>
      <paraID>55F38051</paraID>
      <start>186</start>
      <end>189</end>
      <status>ignored</status>
      <modifiedWord/>
      <trackRevisions>false</trackRevisions>
    </reviewItem>
    <reviewItem>
      <errorID>008b33c1-2d33-4e62-856f-0d2bc7b8c69f</errorID>
      <errorWord>其它对</errorWord>
      <group>L1_Word</group>
      <groupName>字词问题</groupName>
      <ability>L2_Alias</ability>
      <abilityName>也作/曾用词</abilityName>
      <candidateList>
        <item>其他对</item>
      </candidateList>
      <explain>词汇[其它对]为不规范表述或旧称，其规范书面表述为[其他对]。</explain>
      <paraID>1C54AF78</paraID>
      <start>96</start>
      <end>99</end>
      <status>ignored</status>
      <modifiedWord/>
      <trackRevisions>false</trackRevisions>
    </reviewItem>
    <reviewItem>
      <errorID>f2746a40-93a4-48e8-b05b-0279890f9b30</errorID>
      <errorWord>有利的措施</errorWord>
      <group>L1_Word</group>
      <groupName>字词问题</groupName>
      <ability>L2_Typo</ability>
      <abilityName>字词错误</abilityName>
      <candidateList>
        <item>有力的措施</item>
      </candidateList>
      <explain/>
      <paraID>1C54AF78</paraID>
      <start>103</start>
      <end>108</end>
      <status>ignored</status>
      <modifiedWord/>
      <trackRevisions>false</trackRevisions>
    </reviewItem>
    <reviewItem>
      <errorID>e5ed6459-4f6d-4e6f-b205-7483aff59230</errorID>
      <errorWord>详实</errorWord>
      <group>L1_Word</group>
      <groupName>字词问题</groupName>
      <ability>L2_Typo</ability>
      <abilityName>字词错误</abilityName>
      <candidateList>
        <item>翔实</item>
      </candidateList>
      <explain/>
      <paraID>4F166F6B</paraID>
      <start>42</start>
      <end>44</end>
      <status>ignored</status>
      <modifiedWord/>
      <trackRevisions>false</trackRevisions>
    </reviewItem>
    <reviewItem>
      <errorID>87f1d70c-9137-4d6c-ada6-0be3ed062639</errorID>
      <errorWord>与物资储备</errorWord>
      <group>L1_Word</group>
      <groupName>字词问题</groupName>
      <ability>L2_Typo</ability>
      <abilityName>字词错误</abilityName>
      <candidateList>
        <item>和物资储备</item>
      </candidateList>
      <explain/>
      <paraID>4E587444</paraID>
      <start>67</start>
      <end>72</end>
      <status>ignored</status>
      <modifiedWord/>
      <trackRevisions>false</trackRevisions>
    </reviewItem>
    <reviewItem>
      <errorID>3b8fa992-1b0d-423b-a7cd-ebe3e377f254</errorID>
      <errorWord>:</errorWord>
      <group>L1_Format</group>
      <groupName>格式问题</groupName>
      <ability>L2_HalfPunc</ability>
      <abilityName>全半角检查</abilityName>
      <candidateList>
        <item>：</item>
      </candidateList>
      <explain>文本全半角错误。</explain>
      <paraID>20C2CA78</paraID>
      <start>7</start>
      <end>8</end>
      <status>modified</status>
      <modifiedWord>：</modifiedWord>
      <trackRevisions>false</trackRevisions>
    </reviewItem>
    <reviewItem>
      <errorID>5b553a5f-5443-47ac-a472-fe8ba6b3bab3</errorID>
      <errorWord>(</errorWord>
      <group>L1_Format</group>
      <groupName>格式问题</groupName>
      <ability>L2_HalfPunc</ability>
      <abilityName>全半角检查</abilityName>
      <candidateList>
        <item>（</item>
      </candidateList>
      <explain>文本全半角错误。</explain>
      <paraID>62476ABF</paraID>
      <start>24</start>
      <end>25</end>
      <status>modified</status>
      <modifiedWord>（</modifiedWord>
      <trackRevisions>false</trackRevisions>
    </reviewItem>
    <reviewItem>
      <errorID>b3af43b2-e137-48e7-9d94-70e59ea9d921</errorID>
      <errorWord>)</errorWord>
      <group>L1_Format</group>
      <groupName>格式问题</groupName>
      <ability>L2_HalfPunc</ability>
      <abilityName>全半角检查</abilityName>
      <candidateList>
        <item>）</item>
      </candidateList>
      <explain>文本全半角错误。</explain>
      <paraID>62476ABF</paraID>
      <start>27</start>
      <end>28</end>
      <status>modified</status>
      <modifiedWord>）</modifiedWord>
      <trackRevisions>false</trackRevisions>
    </reviewItem>
    <reviewItem>
      <errorID>9d857196-5b99-4dc6-aac2-c806fedfcaa9</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320EDA0B</paraID>
      <start>15</start>
      <end>17</end>
      <status>modified</status>
      <modifiedWord>》《</modifiedWord>
      <trackRevisions>false</trackRevisions>
    </reviewItem>
    <reviewItem>
      <errorID>f505fb74-3e91-4011-8f5c-49db6beba9ac</errorID>
      <errorWord>法律、法规</errorWord>
      <group>L1_Word</group>
      <groupName>字词问题</groupName>
      <ability>L2_Typo</ability>
      <abilityName>字词错误</abilityName>
      <candidateList>
        <item>法律法规</item>
      </candidateList>
      <explain/>
      <paraID>320EDA0B</paraID>
      <start>29</start>
      <end>33</end>
      <status>modified</status>
      <modifiedWord>法律法规</modifiedWord>
      <trackRevisions>false</trackRevisions>
    </reviewItem>
    <reviewItem>
      <errorID>ac012b98-7677-43f0-af58-4148b5eb76ec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36D6D905</paraID>
      <start>0</start>
      <end>2</end>
      <status>modified</status>
      <modifiedWord>1.</modifiedWord>
      <trackRevisions>false</trackRevisions>
    </reviewItem>
    <reviewItem>
      <errorID>87985fd8-a6bb-4ebb-a2e6-5e980ac0cb7b</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45D58AAE</paraID>
      <start>0</start>
      <end>2</end>
      <status>modified</status>
      <modifiedWord>2.</modifiedWord>
      <trackRevisions>false</trackRevisions>
    </reviewItem>
    <reviewItem>
      <errorID>01dd6f06-f7e8-4b91-bc8f-958c552b4e18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5B74A4ED</paraID>
      <start>0</start>
      <end>2</end>
      <status>modified</status>
      <modifiedWord>1.</modifiedWord>
      <trackRevisions>false</trackRevisions>
    </reviewItem>
    <reviewItem>
      <errorID>ae324821-063a-4672-981b-ab04ef19e608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53F1BB51</paraID>
      <start>0</start>
      <end>2</end>
      <status>modified</status>
      <modifiedWord>2.</modifiedWord>
      <trackRevisions>false</trackRevisions>
    </reviewItem>
    <reviewItem>
      <errorID>03511e24-1f4d-4c23-b299-c166b372c475</errorID>
      <errorWord>因为</errorWord>
      <group>L1_Word</group>
      <groupName>字词问题</groupName>
      <ability>L2_Typo</ability>
      <abilityName>字词错误</abilityName>
      <candidateList>
        <item>因</item>
      </candidateList>
      <explain/>
      <paraID>53F1BB51</paraID>
      <start>118</start>
      <end>119</end>
      <status>modified</status>
      <modifiedWord>因</modifiedWord>
      <trackRevisions>false</trackRevisions>
    </reviewItem>
    <reviewItem>
      <errorID>ee974029-5ca4-43cb-8bdc-fe78c6d1e919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53D8D2DF</paraID>
      <start>0</start>
      <end>2</end>
      <status>modified</status>
      <modifiedWord>2.</modifiedWord>
      <trackRevisions>false</trackRevisions>
    </reviewItem>
    <reviewItem>
      <errorID>7bb2c201-0d34-4a30-8849-df5a47d5df9f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15178F14</paraID>
      <start>0</start>
      <end>2</end>
      <status>modified</status>
      <modifiedWord>3.</modifiedWord>
      <trackRevisions>false</trackRevisions>
    </reviewItem>
    <reviewItem>
      <errorID>ec375666-16e5-430d-9875-44ef62d8a176</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37A2E175</paraID>
      <start>0</start>
      <end>2</end>
      <status>modified</status>
      <modifiedWord>4.</modifiedWord>
      <trackRevisions>false</trackRevisions>
    </reviewItem>
    <reviewItem>
      <errorID>defc0674-0102-4b4e-9ff7-2df830ceca2b</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17065AF2</paraID>
      <start>0</start>
      <end>2</end>
      <status>modified</status>
      <modifiedWord>5.</modifiedWord>
      <trackRevisions>false</trackRevisions>
    </reviewItem>
    <reviewItem>
      <errorID>632f0eb3-3fba-415d-bebf-4fda6202aa7a</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458821EB</paraID>
      <start>0</start>
      <end>2</end>
      <status>modified</status>
      <modifiedWord>6.</modifiedWord>
      <trackRevisions>false</trackRevisions>
    </reviewItem>
    <reviewItem>
      <errorID>cb458ed3-23f5-4893-803a-6182cb87c941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2FE25403</paraID>
      <start>0</start>
      <end>2</end>
      <status>modified</status>
      <modifiedWord>7.</modifiedWord>
      <trackRevisions>false</trackRevisions>
    </reviewItem>
    <reviewItem>
      <errorID>476497c3-5d3f-4d17-9502-4994efc13b10</errorID>
      <errorWord>方</errorWord>
      <group>L1_Word</group>
      <groupName>字词问题</groupName>
      <ability>L2_Typo</ability>
      <abilityName>字词错误</abilityName>
      <candidateList>
        <item>方在</item>
      </candidateList>
      <explain/>
      <paraID>2FE25403</paraID>
      <start>3</start>
      <end>5</end>
      <status>modified</status>
      <modifiedWord>方在</modifiedWord>
      <trackRevisions>false</trackRevisions>
    </reviewItem>
    <reviewItem>
      <errorID>28bfd808-aafa-4b5c-89ec-45171554a003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1543B015</paraID>
      <start>0</start>
      <end>2</end>
      <status>modified</status>
      <modifiedWord>1.</modifiedWord>
      <trackRevisions>false</trackRevisions>
    </reviewItem>
    <reviewItem>
      <errorID>72b4ea14-9fdc-4aec-bfe1-806540a3f051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CE5991B</paraID>
      <start>0</start>
      <end>2</end>
      <status>modified</status>
      <modifiedWord>2.</modifiedWord>
      <trackRevisions>false</trackRevisions>
    </reviewItem>
    <reviewItem>
      <errorID>72b2120e-75c1-4c7d-82db-65147bd84ee7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7A354DCD</paraID>
      <start>0</start>
      <end>2</end>
      <status>modified</status>
      <modifiedWord>3.</modifiedWord>
      <trackRevisions>false</trackRevisions>
    </reviewItem>
    <reviewItem>
      <errorID>e31c2aae-bea5-4fbd-a667-cccebc458ba9</errorID>
      <errorWord>。</errorWord>
      <group>L1_Format</group>
      <groupName>格式问题</groupName>
      <ability>L2_HalfPunc</ability>
      <abilityName>全半角检查</abilityName>
      <candidateList>
        <item>.</item>
      </candidateList>
      <explain>文本全半角错误。</explain>
      <paraID>6A9BA88F</paraID>
      <start>16</start>
      <end>17</end>
      <status>modified</status>
      <modifiedWord>.</modifiedWord>
      <trackRevisions>false</trackRevisions>
    </reviewItem>
    <reviewItem>
      <errorID>590d9675-21ce-4951-a9da-055ed02fefa8</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4B5F696D</paraID>
      <start>0</start>
      <end>2</end>
      <status>modified</status>
      <modifiedWord>2.</modifiedWord>
      <trackRevisions>false</trackRevisions>
    </reviewItem>
    <reviewItem>
      <errorID>bb3b6464-3d7b-45c5-834e-d344c9d32a33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53C0AAC7</paraID>
      <start>0</start>
      <end>2</end>
      <status>modified</status>
      <modifiedWord>1.</modifiedWord>
      <trackRevisions>false</trackRevisions>
    </reviewItem>
    <reviewItem>
      <errorID>3a704480-d7cf-423a-8e0e-b65945925a74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694987BD</paraID>
      <start>0</start>
      <end>2</end>
      <status>modified</status>
      <modifiedWord>2.</modifiedWord>
      <trackRevisions>false</trackRevisions>
    </reviewItem>
    <reviewItem>
      <errorID>96a12027-227c-43e5-a123-97b041a02381</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61E85241</paraID>
      <start>0</start>
      <end>2</end>
      <status>modified</status>
      <modifiedWord>3.</modifiedWord>
      <trackRevisions>false</trackRevisions>
    </reviewItem>
    <reviewItem>
      <errorID>0f9dfc2e-fb56-42a1-8ffd-cf5dbfe3f4c9</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4798C719</paraID>
      <start>0</start>
      <end>2</end>
      <status>modified</status>
      <modifiedWord>1.</modifiedWord>
      <trackRevisions>false</trackRevisions>
    </reviewItem>
    <reviewItem>
      <errorID>1dfcfcab-3b47-4ec2-8878-4fb3a31add59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363CA013</paraID>
      <start>0</start>
      <end>2</end>
      <status>modified</status>
      <modifiedWord>2.</modifiedWord>
      <trackRevisions>false</trackRevisions>
    </reviewItem>
    <reviewItem>
      <errorID>e3f9e44f-9886-45b9-a0ff-f097664a1bb6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ED380FF</paraID>
      <start>0</start>
      <end>2</end>
      <status>modified</status>
      <modifiedWord>3.</modifiedWord>
      <trackRevisions>false</trackRevisions>
    </reviewItem>
    <reviewItem>
      <errorID>b836360a-82a1-489f-8358-352db9778efb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35BFC106</paraID>
      <start>0</start>
      <end>2</end>
      <status>modified</status>
      <modifiedWord>1.</modifiedWord>
      <trackRevisions>false</trackRevisions>
    </reviewItem>
    <reviewItem>
      <errorID>3143b5ef-b75e-454f-8ad0-81001adafe12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39B84A1A</paraID>
      <start>0</start>
      <end>2</end>
      <status>modified</status>
      <modifiedWord>2.</modifiedWord>
      <trackRevisions>false</trackRevisions>
    </reviewItem>
    <reviewItem>
      <errorID>76d20572-f604-4bdc-8b16-e0daa0bff8b6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110B4900</paraID>
      <start>0</start>
      <end>2</end>
      <status>modified</status>
      <modifiedWord>3.</modifiedWord>
      <trackRevisions>false</trackRevisions>
    </reviewItem>
    <reviewItem>
      <errorID>3714faa5-6538-42e7-9e6d-cbb380ebb107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389F5B97</paraID>
      <start>0</start>
      <end>2</end>
      <status>modified</status>
      <modifiedWord>1.</modifiedWord>
      <trackRevisions>false</trackRevisions>
    </reviewItem>
    <reviewItem>
      <errorID>9381c924-84b9-4822-80e8-96fa0788f7b0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1D3BB8B8</paraID>
      <start>0</start>
      <end>2</end>
      <status>modified</status>
      <modifiedWord>2.</modifiedWord>
      <trackRevisions>false</trackRevisions>
    </reviewItem>
    <reviewItem>
      <errorID>d65de4a9-f5af-4c8b-851a-41ea9ab290f4</errorID>
      <errorWord>签</errorWord>
      <group>L1_Word</group>
      <groupName>字词问题</groupName>
      <ability>L2_Typo</ability>
      <abilityName>字词错误</abilityName>
      <candidateList>
        <item>签订</item>
      </candidateList>
      <explain>〈动〉订立条约或合同并签字：两国～了贸易议定书和支付协定。</explain>
      <paraID>1D3BB8B8</paraID>
      <start>36</start>
      <end>38</end>
      <status>modified</status>
      <modifiedWord>签订</modifiedWord>
      <trackRevisions>false</trackRevisions>
    </reviewItem>
    <reviewItem>
      <errorID>b8fa1f0a-8f7d-4046-9d06-f993b02280d0</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A0F20F0</paraID>
      <start>0</start>
      <end>2</end>
      <status>modified</status>
      <modifiedWord>3.</modifiedWord>
      <trackRevisions>false</trackRevisions>
    </reviewItem>
    <reviewItem>
      <errorID>fac67a02-3d85-4124-8998-f37b98499a33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2E798E37</paraID>
      <start>0</start>
      <end>2</end>
      <status>modified</status>
      <modifiedWord>1.</modifiedWord>
      <trackRevisions>false</trackRevisions>
    </reviewItem>
    <reviewItem>
      <errorID>3eddeec1-685a-41f6-892c-530e808b74e0</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55A9D67F</paraID>
      <start>0</start>
      <end>2</end>
      <status>modified</status>
      <modifiedWord>2.</modifiedWord>
      <trackRevisions>false</trackRevisions>
    </reviewItem>
    <reviewItem>
      <errorID>970c901c-16d1-4df2-9fc2-99c262e1b4b3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C38C560</paraID>
      <start>0</start>
      <end>2</end>
      <status>modified</status>
      <modifiedWord>1.</modifiedWord>
      <trackRevisions>false</trackRevisions>
    </reviewItem>
    <reviewItem>
      <errorID>356f7880-3a34-4a05-a422-cf7c381f9f9d</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3B5B5260</paraID>
      <start>0</start>
      <end>2</end>
      <status>modified</status>
      <modifiedWord>2.</modifiedWord>
      <trackRevisions>false</trackRevisions>
    </reviewItem>
    <reviewItem>
      <errorID>b4631f4b-8181-4453-8c98-287e79ff74fe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63F980F4</paraID>
      <start>0</start>
      <end>2</end>
      <status>modified</status>
      <modifiedWord>3.</modifiedWord>
      <trackRevisions>false</trackRevisions>
    </reviewItem>
    <reviewItem>
      <errorID>640c1b22-79eb-47a1-8b90-0d2fb2fccefa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3435B41F</paraID>
      <start>0</start>
      <end>2</end>
      <status>modified</status>
      <modifiedWord>4.</modifiedWord>
      <trackRevisions>false</trackRevisions>
    </reviewItem>
    <reviewItem>
      <errorID>b464c1f9-849b-48de-a0bd-426370218c89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68158774</paraID>
      <start>0</start>
      <end>2</end>
      <status>modified</status>
      <modifiedWord>5.</modifiedWord>
      <trackRevisions>false</trackRevisions>
    </reviewItem>
    <reviewItem>
      <errorID>5a4febb0-527e-44bc-b4d9-ee0a18005594</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69279FE6</paraID>
      <start>0</start>
      <end>2</end>
      <status>modified</status>
      <modifiedWord>6.</modifiedWord>
      <trackRevisions>false</trackRevisions>
    </reviewItem>
    <reviewItem>
      <errorID>c72fb00d-6f89-4da9-b50b-b09cc936624f</errorID>
      <errorWord>法律、法规</errorWord>
      <group>L1_Word</group>
      <groupName>字词问题</groupName>
      <ability>L2_Typo</ability>
      <abilityName>字词错误</abilityName>
      <candidateList>
        <item>法律法规</item>
      </candidateList>
      <explain/>
      <paraID>7DF7B1ED</paraID>
      <start>43</start>
      <end>47</end>
      <status>modified</status>
      <modifiedWord>法律法规</modifiedWord>
      <trackRevisions>false</trackRevisions>
    </reviewItem>
    <reviewItem>
      <errorID>f6724ad2-f432-44ec-b573-9447acdae3f2</errorID>
      <errorWord>〔2017〕 141号</errorWord>
      <group>L1_Knowledge</group>
      <groupName>知识性问题</groupName>
      <ability>L2_Knowledge</ability>
      <abilityName>其他知识</abilityName>
      <candidateList>
        <item>〔2017〕141号</item>
      </candidateList>
      <explain>发文字号格式错误。</explain>
      <paraID>57D3CA52</paraID>
      <start>49</start>
      <end>59</end>
      <status>modified</status>
      <modifiedWord>〔2017〕141号</modifiedWord>
      <trackRevisions>false</trackRevisions>
    </reviewItem>
    <reviewItem>
      <errorID>feda44fe-08e9-4369-a4f9-0ed7149e7733</errorID>
      <errorWord>股东大会</errorWord>
      <group>L1_Word</group>
      <groupName>字词问题</groupName>
      <ability>L2_Typo</ability>
      <abilityName>字词错误</abilityName>
      <candidateList>
        <item>股东会</item>
      </candidateList>
      <explain/>
      <paraID> DB5DC0E</paraID>
      <start>113</start>
      <end>117</end>
      <status>ignored</status>
      <modifiedWord/>
      <trackRevisions>false</trackRevisions>
    </reviewItem>
    <reviewItem>
      <errorID>09a745ca-ff45-4bf0-9f0c-5ac428749b27</errorID>
      <errorWord>。】</errorWord>
      <group>L1_Punc</group>
      <groupName>标点问题</groupName>
      <ability>L2_Punc</ability>
      <abilityName>标点符号检查</abilityName>
      <candidateList>
        <item>】</item>
      </candidateList>
      <explain/>
      <paraID>53383580</paraID>
      <start>132</start>
      <end>133</end>
      <status>modified</status>
      <modifiedWord>】</modifiedWord>
      <trackRevisions>false</trackRevisions>
    </reviewItem>
    <reviewItem>
      <errorID>1212a30a-002d-4a91-9906-9cade2b88336</errorID>
      <errorWord>者</errorWord>
      <group>L1_Word</group>
      <groupName>字词问题</groupName>
      <ability>L2_Typo</ability>
      <abilityName>字词错误</abilityName>
      <candidateList>
        <item>者加</item>
      </candidateList>
      <explain/>
      <paraID>21B3E2ED</paraID>
      <start>37</start>
      <end>39</end>
      <status>modified</status>
      <modifiedWord>者加</modifiedWord>
      <trackRevisions>false</trackRevisions>
    </reviewItem>
    <reviewItem>
      <errorID>9aed23ef-ff81-4a6c-a8e8-fce67dff19e7</errorID>
      <errorWord>:</errorWord>
      <group>L1_Format</group>
      <groupName>格式问题</groupName>
      <ability>L2_HalfPunc</ability>
      <abilityName>全半角检查</abilityName>
      <candidateList>
        <item>：</item>
      </candidateList>
      <explain>文本全半角错误。</explain>
      <paraID>6B4A33C4</paraID>
      <start>47</start>
      <end>48</end>
      <status>modified</status>
      <modifiedWord>：</modifiedWord>
      <trackRevisions>false</trackRevisions>
    </reviewItem>
    <reviewItem>
      <errorID>bfc35553-2066-401f-8b07-da1c30a40c29</errorID>
      <errorWord>:</errorWord>
      <group>L1_Format</group>
      <groupName>格式问题</groupName>
      <ability>L2_HalfPunc</ability>
      <abilityName>全半角检查</abilityName>
      <candidateList>
        <item>：</item>
      </candidateList>
      <explain>文本全半角错误。</explain>
      <paraID>2855C1A3</paraID>
      <start>11</start>
      <end>12</end>
      <status>modified</status>
      <modifiedWord>：</modifiedWord>
      <trackRevisions>false</trackRevisions>
    </reviewItem>
    <reviewItem>
      <errorID>353401de-6ea5-40c1-864a-b32ec4bfccfe</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206FE657</paraID>
      <start>36</start>
      <end>38</end>
      <status>modified</status>
      <modifiedWord>”“</modifiedWord>
      <trackRevisions>false</trackRevisions>
    </reviewItem>
    <reviewItem>
      <errorID>ab8bbd13-3a10-4f7b-9911-e75b7f0772d6</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6151D101</paraID>
      <start>37</start>
      <end>39</end>
      <status>modified</status>
      <modifiedWord>”“</modifiedWord>
      <trackRevisions>false</trackRevisions>
    </reviewItem>
    <reviewItem>
      <errorID>178f9b87-11e6-48da-a78d-b08201175b9c</errorID>
      <errorWord>提出质疑</errorWord>
      <group>L1_Grammar</group>
      <groupName>语法问题</groupName>
      <ability>L2_Grammar</ability>
      <abilityName>语法错误</abilityName>
      <candidateList>
        <item>质疑</item>
      </candidateList>
      <explain>〈动〉提出疑问：～问难。</explain>
      <paraID>709302DD</paraID>
      <start>53</start>
      <end>57</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8169c29-3079-49ca-b60e-7d390453edb0}">
  <ds:schemaRefs/>
</ds:datastoreItem>
</file>

<file path=docProps/app.xml><?xml version="1.0" encoding="utf-8"?>
<Properties xmlns="http://schemas.openxmlformats.org/officeDocument/2006/extended-properties" xmlns:vt="http://schemas.openxmlformats.org/officeDocument/2006/docPropsVTypes">
  <Template>（1117招标文件）12.全区非法堆存、转移涉重固体废物危险特性鉴别及污染释放能力评估项目.dotx</Template>
  <Pages>89</Pages>
  <Words>50894</Words>
  <Characters>53636</Characters>
  <Lines>396</Lines>
  <Paragraphs>111</Paragraphs>
  <TotalTime>0</TotalTime>
  <ScaleCrop>false</ScaleCrop>
  <LinksUpToDate>false</LinksUpToDate>
  <CharactersWithSpaces>59794</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2025-11-20T03:43:00Z</dcterms:created>
  <dc:creator>lenovo</dc:creator>
  <cp:lastModifiedBy>001</cp:lastModifiedBy>
  <dcterms:modified xsi:type="dcterms:W3CDTF">2026-07-09T03:44:24Z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64576072FC65491D9C9FA446ABDF9FA9_13</vt:lpwstr>
  </property>
  <property fmtid="{D5CDD505-2E9C-101B-9397-08002B2CF9AE}" pid="4" name="KSOTemplateDocerSaveRecord">
    <vt:lpwstr>eyJoZGlkIjoiODYzNzJhZDBmY2E5OWI2NWE4NDRkNzgwNWNiNmY1MTciLCJ1c2VySWQiOiI4MzUwNTgwMjMifQ==</vt:lpwstr>
  </property>
</Properties>
</file>