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7F2DC">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_GBK" w:hAnsi="方正小标宋_GBK" w:eastAsia="方正小标宋_GBK" w:cs="方正小标宋_GBK"/>
          <w:b w:val="0"/>
          <w:bCs w:val="0"/>
          <w:color w:val="000000"/>
          <w:sz w:val="44"/>
          <w:szCs w:val="44"/>
          <w:highlight w:val="none"/>
        </w:rPr>
      </w:pPr>
    </w:p>
    <w:p w14:paraId="3C666960">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_GBK" w:hAnsi="方正小标宋_GBK" w:eastAsia="方正小标宋_GBK" w:cs="方正小标宋_GBK"/>
          <w:b w:val="0"/>
          <w:bCs w:val="0"/>
          <w:color w:val="000000"/>
          <w:sz w:val="44"/>
          <w:szCs w:val="44"/>
          <w:highlight w:val="none"/>
        </w:rPr>
      </w:pPr>
      <w:r>
        <w:rPr>
          <w:rFonts w:hint="eastAsia" w:ascii="方正小标宋_GBK" w:hAnsi="方正小标宋_GBK" w:eastAsia="方正小标宋_GBK" w:cs="方正小标宋_GBK"/>
          <w:b w:val="0"/>
          <w:bCs w:val="0"/>
          <w:color w:val="000000"/>
          <w:sz w:val="44"/>
          <w:szCs w:val="44"/>
          <w:highlight w:val="none"/>
        </w:rPr>
        <w:t>广西正海招标有限公司</w:t>
      </w:r>
    </w:p>
    <w:p w14:paraId="7EFDF4BC">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_GBK" w:hAnsi="方正小标宋_GBK" w:eastAsia="方正小标宋_GBK" w:cs="方正小标宋_GBK"/>
          <w:b w:val="0"/>
          <w:bCs w:val="0"/>
          <w:color w:val="000000"/>
          <w:sz w:val="44"/>
          <w:szCs w:val="44"/>
          <w:highlight w:val="none"/>
          <w:lang w:val="en-US" w:eastAsia="zh-CN"/>
        </w:rPr>
      </w:pPr>
      <w:r>
        <w:rPr>
          <w:rFonts w:hint="eastAsia" w:ascii="方正小标宋_GBK" w:hAnsi="方正小标宋_GBK" w:eastAsia="方正小标宋_GBK" w:cs="方正小标宋_GBK"/>
          <w:b w:val="0"/>
          <w:bCs w:val="0"/>
          <w:color w:val="000000"/>
          <w:sz w:val="44"/>
          <w:szCs w:val="44"/>
          <w:highlight w:val="none"/>
          <w:lang w:val="en-US" w:eastAsia="zh-CN"/>
        </w:rPr>
        <w:t>公开招标文件</w:t>
      </w:r>
    </w:p>
    <w:p w14:paraId="5FE7885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_GBK" w:hAnsi="方正小标宋_GBK" w:eastAsia="方正小标宋_GBK" w:cs="方正小标宋_GBK"/>
          <w:b w:val="0"/>
          <w:bCs w:val="0"/>
          <w:color w:val="000000"/>
          <w:sz w:val="44"/>
          <w:szCs w:val="44"/>
          <w:highlight w:val="none"/>
          <w:lang w:eastAsia="zh-CN"/>
        </w:rPr>
      </w:pPr>
      <w:r>
        <w:rPr>
          <w:rFonts w:hint="eastAsia" w:ascii="方正小标宋_GBK" w:hAnsi="方正小标宋_GBK" w:eastAsia="方正小标宋_GBK" w:cs="方正小标宋_GBK"/>
          <w:b w:val="0"/>
          <w:bCs w:val="0"/>
          <w:color w:val="000000"/>
          <w:sz w:val="44"/>
          <w:szCs w:val="44"/>
          <w:highlight w:val="none"/>
          <w:lang w:eastAsia="zh-CN"/>
        </w:rPr>
        <w:t>（</w:t>
      </w:r>
      <w:r>
        <w:rPr>
          <w:rFonts w:hint="eastAsia" w:ascii="方正小标宋_GBK" w:hAnsi="方正小标宋_GBK" w:eastAsia="方正小标宋_GBK" w:cs="方正小标宋_GBK"/>
          <w:b w:val="0"/>
          <w:bCs w:val="0"/>
          <w:color w:val="000000"/>
          <w:sz w:val="44"/>
          <w:szCs w:val="44"/>
          <w:highlight w:val="none"/>
          <w:lang w:val="en-US" w:eastAsia="zh-CN"/>
        </w:rPr>
        <w:t>货物类</w:t>
      </w:r>
      <w:r>
        <w:rPr>
          <w:rFonts w:hint="eastAsia" w:ascii="方正小标宋_GBK" w:hAnsi="方正小标宋_GBK" w:eastAsia="方正小标宋_GBK" w:cs="方正小标宋_GBK"/>
          <w:b w:val="0"/>
          <w:bCs w:val="0"/>
          <w:color w:val="000000"/>
          <w:sz w:val="44"/>
          <w:szCs w:val="44"/>
          <w:highlight w:val="none"/>
          <w:lang w:eastAsia="zh-CN"/>
        </w:rPr>
        <w:t>）</w:t>
      </w:r>
    </w:p>
    <w:p w14:paraId="7FCA86AA">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_GBK" w:hAnsi="方正小标宋_GBK" w:eastAsia="方正小标宋_GBK" w:cs="方正小标宋_GBK"/>
          <w:b w:val="0"/>
          <w:bCs w:val="0"/>
          <w:color w:val="000000"/>
          <w:sz w:val="44"/>
          <w:szCs w:val="44"/>
          <w:highlight w:val="none"/>
        </w:rPr>
      </w:pPr>
      <w:r>
        <w:rPr>
          <w:rFonts w:hint="eastAsia" w:ascii="方正小标宋_GBK" w:hAnsi="方正小标宋_GBK" w:eastAsia="方正小标宋_GBK" w:cs="方正小标宋_GBK"/>
          <w:b w:val="0"/>
          <w:bCs w:val="0"/>
          <w:color w:val="000000"/>
          <w:sz w:val="44"/>
          <w:szCs w:val="44"/>
          <w:highlight w:val="none"/>
        </w:rPr>
        <w:t>（全流程电子化采购）</w:t>
      </w:r>
    </w:p>
    <w:p w14:paraId="3D764F16">
      <w:pPr>
        <w:snapToGrid w:val="0"/>
        <w:spacing w:line="360" w:lineRule="auto"/>
        <w:rPr>
          <w:rFonts w:hint="eastAsia" w:ascii="宋体" w:hAnsi="宋体" w:eastAsia="宋体" w:cs="宋体"/>
          <w:color w:val="000000"/>
          <w:sz w:val="30"/>
          <w:szCs w:val="72"/>
          <w:highlight w:val="none"/>
        </w:rPr>
      </w:pPr>
    </w:p>
    <w:p w14:paraId="192F094D">
      <w:pPr>
        <w:snapToGrid w:val="0"/>
        <w:spacing w:line="360" w:lineRule="auto"/>
        <w:rPr>
          <w:rFonts w:hint="eastAsia" w:ascii="宋体" w:hAnsi="宋体" w:eastAsia="宋体" w:cs="宋体"/>
          <w:color w:val="000000"/>
          <w:sz w:val="30"/>
          <w:szCs w:val="72"/>
          <w:highlight w:val="none"/>
        </w:rPr>
      </w:pPr>
    </w:p>
    <w:p w14:paraId="4C06CF3C">
      <w:pPr>
        <w:snapToGrid w:val="0"/>
        <w:spacing w:line="360" w:lineRule="auto"/>
        <w:rPr>
          <w:rFonts w:hint="eastAsia" w:ascii="宋体" w:hAnsi="宋体" w:eastAsia="宋体" w:cs="宋体"/>
          <w:color w:val="000000"/>
          <w:sz w:val="30"/>
          <w:szCs w:val="72"/>
          <w:highlight w:val="none"/>
        </w:rPr>
      </w:pPr>
    </w:p>
    <w:p w14:paraId="06095E5E">
      <w:pPr>
        <w:snapToGrid w:val="0"/>
        <w:spacing w:line="360" w:lineRule="auto"/>
        <w:rPr>
          <w:rFonts w:hint="eastAsia" w:ascii="宋体" w:hAnsi="宋体" w:eastAsia="宋体" w:cs="宋体"/>
          <w:color w:val="000000"/>
          <w:sz w:val="30"/>
          <w:szCs w:val="72"/>
          <w:highlight w:val="none"/>
        </w:rPr>
      </w:pPr>
    </w:p>
    <w:p w14:paraId="169F0084">
      <w:pPr>
        <w:snapToGrid w:val="0"/>
        <w:spacing w:line="360" w:lineRule="auto"/>
        <w:rPr>
          <w:rFonts w:hint="eastAsia" w:ascii="宋体" w:hAnsi="宋体" w:eastAsia="宋体" w:cs="宋体"/>
          <w:color w:val="000000"/>
          <w:sz w:val="30"/>
          <w:szCs w:val="72"/>
          <w:highlight w:val="none"/>
        </w:rPr>
      </w:pPr>
    </w:p>
    <w:p w14:paraId="2E888F3D">
      <w:pPr>
        <w:pStyle w:val="25"/>
        <w:keepNext w:val="0"/>
        <w:keepLines w:val="0"/>
        <w:pageBreakBefore w:val="0"/>
        <w:widowControl w:val="0"/>
        <w:kinsoku/>
        <w:wordWrap/>
        <w:overflowPunct/>
        <w:topLinePunct w:val="0"/>
        <w:autoSpaceDE/>
        <w:autoSpaceDN/>
        <w:bidi w:val="0"/>
        <w:adjustRightInd/>
        <w:snapToGrid w:val="0"/>
        <w:spacing w:line="600" w:lineRule="exact"/>
        <w:ind w:left="2802" w:leftChars="568" w:hanging="1609" w:hangingChars="501"/>
        <w:textAlignment w:val="auto"/>
        <w:rPr>
          <w:rFonts w:hint="eastAsia" w:ascii="方正小标宋_GBK" w:hAnsi="方正小标宋_GBK" w:eastAsia="方正小标宋_GBK" w:cs="方正小标宋_GBK"/>
          <w:b/>
          <w:bCs/>
          <w:color w:val="000000"/>
          <w:sz w:val="32"/>
          <w:szCs w:val="32"/>
          <w:highlight w:val="none"/>
        </w:rPr>
      </w:pPr>
    </w:p>
    <w:p w14:paraId="36FD4BA1">
      <w:pPr>
        <w:pStyle w:val="25"/>
        <w:keepNext w:val="0"/>
        <w:keepLines w:val="0"/>
        <w:pageBreakBefore w:val="0"/>
        <w:widowControl w:val="0"/>
        <w:kinsoku/>
        <w:wordWrap/>
        <w:overflowPunct/>
        <w:topLinePunct w:val="0"/>
        <w:autoSpaceDE/>
        <w:autoSpaceDN/>
        <w:bidi w:val="0"/>
        <w:adjustRightInd/>
        <w:snapToGrid w:val="0"/>
        <w:spacing w:line="600" w:lineRule="exact"/>
        <w:ind w:left="2802" w:leftChars="568" w:hanging="1609" w:hangingChars="501"/>
        <w:textAlignment w:val="auto"/>
        <w:rPr>
          <w:rFonts w:hint="eastAsia" w:ascii="方正小标宋_GBK" w:hAnsi="方正小标宋_GBK" w:eastAsia="方正小标宋_GBK" w:cs="方正小标宋_GBK"/>
          <w:b/>
          <w:bCs/>
          <w:color w:val="000000"/>
          <w:sz w:val="32"/>
          <w:szCs w:val="32"/>
          <w:highlight w:val="none"/>
        </w:rPr>
      </w:pPr>
    </w:p>
    <w:p w14:paraId="731F8206">
      <w:pPr>
        <w:pStyle w:val="25"/>
        <w:keepNext w:val="0"/>
        <w:keepLines w:val="0"/>
        <w:pageBreakBefore w:val="0"/>
        <w:widowControl w:val="0"/>
        <w:kinsoku/>
        <w:wordWrap/>
        <w:overflowPunct/>
        <w:topLinePunct w:val="0"/>
        <w:autoSpaceDE/>
        <w:autoSpaceDN/>
        <w:bidi w:val="0"/>
        <w:adjustRightInd/>
        <w:snapToGrid w:val="0"/>
        <w:spacing w:line="600" w:lineRule="exact"/>
        <w:ind w:left="2802" w:leftChars="568" w:hanging="1609" w:hangingChars="501"/>
        <w:textAlignment w:val="auto"/>
        <w:rPr>
          <w:rFonts w:hint="eastAsia" w:ascii="方正小标宋_GBK" w:hAnsi="方正小标宋_GBK" w:eastAsia="方正小标宋_GBK" w:cs="方正小标宋_GBK"/>
          <w:b/>
          <w:bCs/>
          <w:color w:val="000000"/>
          <w:sz w:val="32"/>
          <w:szCs w:val="32"/>
          <w:highlight w:val="none"/>
        </w:rPr>
      </w:pPr>
    </w:p>
    <w:p w14:paraId="56BB09AA">
      <w:pPr>
        <w:pStyle w:val="25"/>
        <w:keepNext w:val="0"/>
        <w:keepLines w:val="0"/>
        <w:pageBreakBefore w:val="0"/>
        <w:widowControl w:val="0"/>
        <w:kinsoku/>
        <w:wordWrap/>
        <w:overflowPunct/>
        <w:topLinePunct w:val="0"/>
        <w:autoSpaceDE/>
        <w:autoSpaceDN/>
        <w:bidi w:val="0"/>
        <w:adjustRightInd/>
        <w:snapToGrid w:val="0"/>
        <w:spacing w:line="600" w:lineRule="exact"/>
        <w:ind w:left="2802" w:leftChars="568" w:hanging="1609" w:hangingChars="501"/>
        <w:textAlignment w:val="auto"/>
        <w:rPr>
          <w:rFonts w:hint="eastAsia" w:ascii="方正小标宋_GBK" w:hAnsi="方正小标宋_GBK" w:eastAsia="方正小标宋_GBK" w:cs="方正小标宋_GBK"/>
          <w:b/>
          <w:bCs/>
          <w:color w:val="000000"/>
          <w:sz w:val="32"/>
          <w:szCs w:val="32"/>
          <w:highlight w:val="none"/>
        </w:rPr>
      </w:pPr>
    </w:p>
    <w:p w14:paraId="64223F1C">
      <w:pPr>
        <w:pStyle w:val="25"/>
        <w:keepNext w:val="0"/>
        <w:keepLines w:val="0"/>
        <w:pageBreakBefore w:val="0"/>
        <w:widowControl w:val="0"/>
        <w:kinsoku/>
        <w:wordWrap/>
        <w:overflowPunct/>
        <w:topLinePunct w:val="0"/>
        <w:autoSpaceDE/>
        <w:autoSpaceDN/>
        <w:bidi w:val="0"/>
        <w:adjustRightInd/>
        <w:snapToGrid w:val="0"/>
        <w:spacing w:line="600" w:lineRule="exact"/>
        <w:ind w:firstLine="1280" w:firstLineChars="400"/>
        <w:textAlignment w:val="auto"/>
        <w:rPr>
          <w:rFonts w:hint="eastAsia" w:ascii="方正小标宋_GBK" w:hAnsi="方正小标宋_GBK" w:eastAsia="方正小标宋_GBK" w:cs="方正小标宋_GBK"/>
          <w:b w:val="0"/>
          <w:bCs w:val="0"/>
          <w:color w:val="000000"/>
          <w:sz w:val="32"/>
          <w:szCs w:val="32"/>
          <w:highlight w:val="none"/>
          <w:lang w:val="en-US"/>
        </w:rPr>
      </w:pPr>
      <w:r>
        <w:rPr>
          <w:rFonts w:hint="eastAsia" w:ascii="方正小标宋_GBK" w:hAnsi="方正小标宋_GBK" w:eastAsia="方正小标宋_GBK" w:cs="方正小标宋_GBK"/>
          <w:b w:val="0"/>
          <w:bCs w:val="0"/>
          <w:color w:val="000000"/>
          <w:sz w:val="32"/>
          <w:szCs w:val="32"/>
          <w:highlight w:val="none"/>
        </w:rPr>
        <w:t>项目</w:t>
      </w:r>
      <w:r>
        <w:rPr>
          <w:rFonts w:hint="eastAsia" w:ascii="方正小标宋_GBK" w:hAnsi="方正小标宋_GBK" w:eastAsia="方正小标宋_GBK" w:cs="方正小标宋_GBK"/>
          <w:b w:val="0"/>
          <w:bCs w:val="0"/>
          <w:color w:val="000000"/>
          <w:w w:val="95"/>
          <w:sz w:val="32"/>
          <w:szCs w:val="32"/>
          <w:highlight w:val="none"/>
        </w:rPr>
        <w:t>名称</w:t>
      </w:r>
      <w:r>
        <w:rPr>
          <w:rFonts w:hint="eastAsia" w:ascii="方正小标宋_GBK" w:hAnsi="方正小标宋_GBK" w:eastAsia="方正小标宋_GBK" w:cs="方正小标宋_GBK"/>
          <w:b w:val="0"/>
          <w:bCs w:val="0"/>
          <w:color w:val="000000"/>
          <w:sz w:val="32"/>
          <w:szCs w:val="32"/>
          <w:highlight w:val="none"/>
        </w:rPr>
        <w:t>：</w:t>
      </w:r>
      <w:r>
        <w:rPr>
          <w:rFonts w:hint="eastAsia" w:ascii="方正小标宋_GBK" w:hAnsi="方正小标宋_GBK" w:eastAsia="方正小标宋_GBK" w:cs="方正小标宋_GBK"/>
          <w:b w:val="0"/>
          <w:bCs w:val="0"/>
          <w:color w:val="000000"/>
          <w:sz w:val="32"/>
          <w:szCs w:val="32"/>
          <w:highlight w:val="none"/>
          <w:lang w:val="en-US"/>
        </w:rPr>
        <w:t>广西制造工程职业技术学院智能制造学院</w:t>
      </w:r>
    </w:p>
    <w:p w14:paraId="61DF8932">
      <w:pPr>
        <w:pStyle w:val="25"/>
        <w:keepNext w:val="0"/>
        <w:keepLines w:val="0"/>
        <w:pageBreakBefore w:val="0"/>
        <w:widowControl w:val="0"/>
        <w:kinsoku/>
        <w:wordWrap/>
        <w:overflowPunct/>
        <w:topLinePunct w:val="0"/>
        <w:autoSpaceDE/>
        <w:autoSpaceDN/>
        <w:bidi w:val="0"/>
        <w:adjustRightInd/>
        <w:snapToGrid w:val="0"/>
        <w:spacing w:line="600" w:lineRule="exact"/>
        <w:ind w:firstLine="2720" w:firstLineChars="850"/>
        <w:textAlignment w:val="auto"/>
        <w:rPr>
          <w:rFonts w:hint="eastAsia" w:ascii="方正小标宋_GBK" w:hAnsi="方正小标宋_GBK" w:eastAsia="方正小标宋_GBK" w:cs="方正小标宋_GBK"/>
          <w:b w:val="0"/>
          <w:bCs w:val="0"/>
          <w:color w:val="000000"/>
          <w:sz w:val="32"/>
          <w:szCs w:val="32"/>
          <w:highlight w:val="none"/>
          <w:lang w:val="en-US"/>
        </w:rPr>
      </w:pPr>
      <w:r>
        <w:rPr>
          <w:rFonts w:hint="eastAsia" w:ascii="方正小标宋_GBK" w:hAnsi="方正小标宋_GBK" w:eastAsia="方正小标宋_GBK" w:cs="方正小标宋_GBK"/>
          <w:b w:val="0"/>
          <w:bCs w:val="0"/>
          <w:color w:val="000000"/>
          <w:sz w:val="32"/>
          <w:szCs w:val="32"/>
          <w:highlight w:val="none"/>
          <w:lang w:val="en-US"/>
        </w:rPr>
        <w:t>2026年实训室及资源库建设项目</w:t>
      </w:r>
    </w:p>
    <w:p w14:paraId="400D9F48">
      <w:pPr>
        <w:keepNext w:val="0"/>
        <w:keepLines w:val="0"/>
        <w:pageBreakBefore w:val="0"/>
        <w:widowControl w:val="0"/>
        <w:kinsoku/>
        <w:wordWrap/>
        <w:overflowPunct/>
        <w:topLinePunct w:val="0"/>
        <w:autoSpaceDE/>
        <w:autoSpaceDN/>
        <w:bidi w:val="0"/>
        <w:adjustRightInd/>
        <w:snapToGrid w:val="0"/>
        <w:spacing w:line="600" w:lineRule="exact"/>
        <w:ind w:firstLine="1216" w:firstLineChars="400"/>
        <w:textAlignment w:val="auto"/>
        <w:rPr>
          <w:rFonts w:hint="eastAsia" w:ascii="方正小标宋_GBK" w:hAnsi="方正小标宋_GBK" w:eastAsia="方正小标宋_GBK" w:cs="方正小标宋_GBK"/>
          <w:b w:val="0"/>
          <w:bCs w:val="0"/>
          <w:color w:val="000000"/>
          <w:sz w:val="32"/>
          <w:szCs w:val="32"/>
          <w:highlight w:val="none"/>
          <w:lang w:val="en-US" w:eastAsia="zh-CN"/>
        </w:rPr>
      </w:pPr>
      <w:r>
        <w:rPr>
          <w:rFonts w:hint="eastAsia" w:ascii="方正小标宋_GBK" w:hAnsi="方正小标宋_GBK" w:eastAsia="方正小标宋_GBK" w:cs="方正小标宋_GBK"/>
          <w:b w:val="0"/>
          <w:bCs w:val="0"/>
          <w:color w:val="000000"/>
          <w:w w:val="95"/>
          <w:sz w:val="32"/>
          <w:szCs w:val="32"/>
          <w:highlight w:val="none"/>
        </w:rPr>
        <w:t>项目</w:t>
      </w:r>
      <w:r>
        <w:rPr>
          <w:rFonts w:hint="eastAsia" w:ascii="方正小标宋_GBK" w:hAnsi="方正小标宋_GBK" w:eastAsia="方正小标宋_GBK" w:cs="方正小标宋_GBK"/>
          <w:b w:val="0"/>
          <w:bCs w:val="0"/>
          <w:color w:val="000000"/>
          <w:sz w:val="32"/>
          <w:szCs w:val="32"/>
          <w:highlight w:val="none"/>
        </w:rPr>
        <w:t>编号</w:t>
      </w:r>
      <w:r>
        <w:rPr>
          <w:rFonts w:hint="eastAsia" w:ascii="方正小标宋_GBK" w:hAnsi="方正小标宋_GBK" w:eastAsia="方正小标宋_GBK" w:cs="方正小标宋_GBK"/>
          <w:b w:val="0"/>
          <w:bCs w:val="0"/>
          <w:color w:val="000000"/>
          <w:w w:val="95"/>
          <w:sz w:val="32"/>
          <w:szCs w:val="32"/>
          <w:highlight w:val="none"/>
        </w:rPr>
        <w:t>：</w:t>
      </w:r>
      <w:r>
        <w:rPr>
          <w:rFonts w:hint="eastAsia" w:ascii="方正小标宋_GBK" w:hAnsi="方正小标宋_GBK" w:eastAsia="方正小标宋_GBK" w:cs="方正小标宋_GBK"/>
          <w:b w:val="0"/>
          <w:bCs w:val="0"/>
          <w:color w:val="000000"/>
          <w:sz w:val="32"/>
          <w:szCs w:val="32"/>
          <w:highlight w:val="none"/>
          <w:lang w:val="en-US" w:eastAsia="zh-CN"/>
        </w:rPr>
        <w:t>GXZC2026-G1-001257-ZHZB</w:t>
      </w:r>
    </w:p>
    <w:p w14:paraId="57C76F06">
      <w:pPr>
        <w:pStyle w:val="25"/>
        <w:keepNext w:val="0"/>
        <w:keepLines w:val="0"/>
        <w:pageBreakBefore w:val="0"/>
        <w:widowControl w:val="0"/>
        <w:kinsoku/>
        <w:wordWrap/>
        <w:overflowPunct/>
        <w:topLinePunct w:val="0"/>
        <w:autoSpaceDE/>
        <w:autoSpaceDN/>
        <w:bidi w:val="0"/>
        <w:adjustRightInd/>
        <w:snapToGrid w:val="0"/>
        <w:spacing w:line="600" w:lineRule="exact"/>
        <w:ind w:firstLine="1194" w:firstLineChars="393"/>
        <w:textAlignment w:val="auto"/>
        <w:rPr>
          <w:rFonts w:hint="eastAsia" w:ascii="方正小标宋_GBK" w:hAnsi="方正小标宋_GBK" w:eastAsia="方正小标宋_GBK" w:cs="方正小标宋_GBK"/>
          <w:b w:val="0"/>
          <w:bCs w:val="0"/>
          <w:color w:val="000000"/>
          <w:w w:val="95"/>
          <w:sz w:val="32"/>
          <w:szCs w:val="32"/>
          <w:highlight w:val="none"/>
        </w:rPr>
      </w:pPr>
      <w:r>
        <w:rPr>
          <w:rFonts w:hint="eastAsia" w:ascii="方正小标宋_GBK" w:hAnsi="方正小标宋_GBK" w:eastAsia="方正小标宋_GBK" w:cs="方正小标宋_GBK"/>
          <w:b w:val="0"/>
          <w:bCs w:val="0"/>
          <w:color w:val="000000"/>
          <w:w w:val="95"/>
          <w:sz w:val="32"/>
          <w:szCs w:val="32"/>
          <w:highlight w:val="none"/>
        </w:rPr>
        <w:t>采 购 人：广西制造工程职业技术学院</w:t>
      </w:r>
    </w:p>
    <w:p w14:paraId="28B1847C">
      <w:pPr>
        <w:pStyle w:val="25"/>
        <w:keepNext w:val="0"/>
        <w:keepLines w:val="0"/>
        <w:pageBreakBefore w:val="0"/>
        <w:widowControl w:val="0"/>
        <w:kinsoku/>
        <w:wordWrap/>
        <w:overflowPunct/>
        <w:topLinePunct w:val="0"/>
        <w:autoSpaceDE/>
        <w:autoSpaceDN/>
        <w:bidi w:val="0"/>
        <w:adjustRightInd/>
        <w:snapToGrid w:val="0"/>
        <w:spacing w:line="600" w:lineRule="exact"/>
        <w:ind w:firstLine="1194" w:firstLineChars="393"/>
        <w:textAlignment w:val="auto"/>
        <w:rPr>
          <w:rFonts w:hint="eastAsia" w:ascii="方正小标宋_GBK" w:hAnsi="方正小标宋_GBK" w:eastAsia="方正小标宋_GBK" w:cs="方正小标宋_GBK"/>
          <w:b w:val="0"/>
          <w:bCs w:val="0"/>
          <w:color w:val="000000"/>
          <w:w w:val="95"/>
          <w:sz w:val="32"/>
          <w:szCs w:val="32"/>
          <w:highlight w:val="none"/>
        </w:rPr>
      </w:pPr>
      <w:r>
        <w:rPr>
          <w:rFonts w:hint="eastAsia" w:ascii="方正小标宋_GBK" w:hAnsi="方正小标宋_GBK" w:eastAsia="方正小标宋_GBK" w:cs="方正小标宋_GBK"/>
          <w:b w:val="0"/>
          <w:bCs w:val="0"/>
          <w:color w:val="000000"/>
          <w:w w:val="95"/>
          <w:sz w:val="32"/>
          <w:szCs w:val="32"/>
          <w:highlight w:val="none"/>
        </w:rPr>
        <w:t xml:space="preserve">采购代理机构：广西正海招标有限公司              </w:t>
      </w:r>
    </w:p>
    <w:p w14:paraId="72BD3842">
      <w:pPr>
        <w:pStyle w:val="25"/>
        <w:keepNext w:val="0"/>
        <w:keepLines w:val="0"/>
        <w:pageBreakBefore w:val="0"/>
        <w:widowControl w:val="0"/>
        <w:kinsoku/>
        <w:wordWrap/>
        <w:overflowPunct/>
        <w:topLinePunct w:val="0"/>
        <w:autoSpaceDE/>
        <w:autoSpaceDN/>
        <w:bidi w:val="0"/>
        <w:adjustRightInd/>
        <w:snapToGrid w:val="0"/>
        <w:spacing w:line="600" w:lineRule="exact"/>
        <w:ind w:firstLine="3040" w:firstLineChars="1000"/>
        <w:textAlignment w:val="auto"/>
        <w:rPr>
          <w:rFonts w:hint="eastAsia" w:ascii="方正小标宋_GBK" w:hAnsi="方正小标宋_GBK" w:eastAsia="方正小标宋_GBK" w:cs="方正小标宋_GBK"/>
          <w:b w:val="0"/>
          <w:bCs w:val="0"/>
          <w:w w:val="95"/>
          <w:sz w:val="32"/>
          <w:szCs w:val="32"/>
          <w:highlight w:val="none"/>
        </w:rPr>
      </w:pPr>
    </w:p>
    <w:p w14:paraId="62A8D012">
      <w:pPr>
        <w:pStyle w:val="25"/>
        <w:keepNext w:val="0"/>
        <w:keepLines w:val="0"/>
        <w:pageBreakBefore w:val="0"/>
        <w:widowControl w:val="0"/>
        <w:kinsoku/>
        <w:wordWrap/>
        <w:overflowPunct/>
        <w:topLinePunct w:val="0"/>
        <w:autoSpaceDE/>
        <w:autoSpaceDN/>
        <w:bidi w:val="0"/>
        <w:adjustRightInd/>
        <w:snapToGrid w:val="0"/>
        <w:spacing w:line="600" w:lineRule="exact"/>
        <w:ind w:firstLine="3040" w:firstLineChars="1000"/>
        <w:textAlignment w:val="auto"/>
        <w:rPr>
          <w:rFonts w:hint="eastAsia" w:ascii="方正小标宋_GBK" w:hAnsi="方正小标宋_GBK" w:eastAsia="方正小标宋_GBK" w:cs="方正小标宋_GBK"/>
          <w:b w:val="0"/>
          <w:bCs w:val="0"/>
          <w:w w:val="95"/>
          <w:sz w:val="32"/>
          <w:szCs w:val="32"/>
          <w:highlight w:val="none"/>
        </w:rPr>
      </w:pPr>
      <w:r>
        <w:rPr>
          <w:rFonts w:hint="eastAsia" w:ascii="方正小标宋_GBK" w:hAnsi="方正小标宋_GBK" w:eastAsia="方正小标宋_GBK" w:cs="方正小标宋_GBK"/>
          <w:b w:val="0"/>
          <w:bCs w:val="0"/>
          <w:w w:val="95"/>
          <w:sz w:val="32"/>
          <w:szCs w:val="32"/>
          <w:highlight w:val="none"/>
        </w:rPr>
        <w:t>20</w:t>
      </w:r>
      <w:r>
        <w:rPr>
          <w:rFonts w:hint="eastAsia" w:ascii="方正小标宋_GBK" w:hAnsi="方正小标宋_GBK" w:eastAsia="方正小标宋_GBK" w:cs="方正小标宋_GBK"/>
          <w:b w:val="0"/>
          <w:bCs w:val="0"/>
          <w:w w:val="95"/>
          <w:sz w:val="32"/>
          <w:szCs w:val="32"/>
          <w:highlight w:val="none"/>
          <w:lang w:val="en-US" w:eastAsia="zh-CN"/>
        </w:rPr>
        <w:t>26</w:t>
      </w:r>
      <w:r>
        <w:rPr>
          <w:rFonts w:hint="eastAsia" w:ascii="方正小标宋_GBK" w:hAnsi="方正小标宋_GBK" w:eastAsia="方正小标宋_GBK" w:cs="方正小标宋_GBK"/>
          <w:b w:val="0"/>
          <w:bCs w:val="0"/>
          <w:w w:val="95"/>
          <w:sz w:val="32"/>
          <w:szCs w:val="32"/>
          <w:highlight w:val="none"/>
        </w:rPr>
        <w:t>年 5月</w:t>
      </w:r>
    </w:p>
    <w:p w14:paraId="4DA76735">
      <w:pPr>
        <w:pStyle w:val="25"/>
        <w:snapToGrid w:val="0"/>
        <w:spacing w:line="360" w:lineRule="auto"/>
        <w:ind w:firstLine="841" w:firstLineChars="294"/>
        <w:rPr>
          <w:rFonts w:ascii="仿宋_GB2312" w:hAnsi="宋体" w:eastAsia="仿宋_GB2312"/>
          <w:b/>
          <w:bCs/>
          <w:color w:val="000000"/>
          <w:w w:val="95"/>
          <w:sz w:val="30"/>
          <w:szCs w:val="30"/>
          <w:highlight w:val="none"/>
        </w:rPr>
        <w:sectPr>
          <w:footerReference r:id="rId5" w:type="first"/>
          <w:headerReference r:id="rId3" w:type="default"/>
          <w:footerReference r:id="rId4" w:type="even"/>
          <w:pgSz w:w="11906" w:h="16838"/>
          <w:pgMar w:top="1701" w:right="1701" w:bottom="1701" w:left="1701" w:header="851" w:footer="992" w:gutter="0"/>
          <w:cols w:space="720" w:num="1"/>
          <w:titlePg/>
          <w:docGrid w:linePitch="312" w:charSpace="0"/>
        </w:sectPr>
      </w:pPr>
    </w:p>
    <w:p w14:paraId="3DC43130">
      <w:pPr>
        <w:spacing w:line="360" w:lineRule="auto"/>
        <w:jc w:val="center"/>
        <w:rPr>
          <w:rFonts w:ascii="宋体" w:hAnsi="宋体"/>
          <w:b/>
          <w:color w:val="000000"/>
          <w:sz w:val="44"/>
          <w:szCs w:val="44"/>
          <w:highlight w:val="none"/>
        </w:rPr>
      </w:pPr>
      <w:r>
        <w:rPr>
          <w:rFonts w:hint="eastAsia" w:ascii="宋体" w:hAnsi="宋体"/>
          <w:b/>
          <w:color w:val="000000"/>
          <w:sz w:val="44"/>
          <w:szCs w:val="44"/>
          <w:highlight w:val="none"/>
        </w:rPr>
        <w:t>目  录</w:t>
      </w:r>
    </w:p>
    <w:p w14:paraId="7180D80B">
      <w:pPr>
        <w:pStyle w:val="33"/>
        <w:tabs>
          <w:tab w:val="right" w:leader="dot" w:pos="8504"/>
          <w:tab w:val="clear" w:pos="8398"/>
        </w:tabs>
        <w:spacing w:line="360" w:lineRule="auto"/>
        <w:rPr>
          <w:sz w:val="28"/>
          <w:szCs w:val="28"/>
          <w:highlight w:val="none"/>
        </w:rPr>
      </w:pPr>
      <w:r>
        <w:rPr>
          <w:rFonts w:hint="eastAsia" w:cs="宋体"/>
          <w:b w:val="0"/>
          <w:color w:val="000000"/>
          <w:sz w:val="28"/>
          <w:szCs w:val="28"/>
          <w:highlight w:val="none"/>
        </w:rPr>
        <w:fldChar w:fldCharType="begin"/>
      </w:r>
      <w:r>
        <w:rPr>
          <w:rFonts w:hint="eastAsia" w:cs="宋体"/>
          <w:b w:val="0"/>
          <w:color w:val="000000"/>
          <w:sz w:val="28"/>
          <w:szCs w:val="28"/>
          <w:highlight w:val="none"/>
        </w:rPr>
        <w:instrText xml:space="preserve"> TOC \o "1-2" \h \z \u </w:instrText>
      </w:r>
      <w:r>
        <w:rPr>
          <w:rFonts w:hint="eastAsia" w:cs="宋体"/>
          <w:b w:val="0"/>
          <w:color w:val="000000"/>
          <w:sz w:val="28"/>
          <w:szCs w:val="28"/>
          <w:highlight w:val="none"/>
        </w:rPr>
        <w:fldChar w:fldCharType="separate"/>
      </w:r>
      <w:r>
        <w:rPr>
          <w:rFonts w:hint="eastAsia" w:cs="宋体"/>
          <w:color w:val="000000"/>
          <w:sz w:val="28"/>
          <w:szCs w:val="28"/>
          <w:highlight w:val="none"/>
        </w:rPr>
        <w:fldChar w:fldCharType="begin"/>
      </w:r>
      <w:r>
        <w:rPr>
          <w:rFonts w:hint="eastAsia" w:cs="宋体"/>
          <w:sz w:val="28"/>
          <w:szCs w:val="28"/>
          <w:highlight w:val="none"/>
        </w:rPr>
        <w:instrText xml:space="preserve"> HYPERLINK \l _Toc19500 </w:instrText>
      </w:r>
      <w:r>
        <w:rPr>
          <w:rFonts w:hint="eastAsia" w:cs="宋体"/>
          <w:sz w:val="28"/>
          <w:szCs w:val="28"/>
          <w:highlight w:val="none"/>
        </w:rPr>
        <w:fldChar w:fldCharType="separate"/>
      </w:r>
      <w:r>
        <w:rPr>
          <w:rFonts w:hint="eastAsia"/>
          <w:sz w:val="28"/>
          <w:szCs w:val="28"/>
          <w:highlight w:val="none"/>
        </w:rPr>
        <w:t>第一章 招标公告</w:t>
      </w:r>
      <w:r>
        <w:rPr>
          <w:sz w:val="28"/>
          <w:szCs w:val="28"/>
          <w:highlight w:val="none"/>
        </w:rPr>
        <w:tab/>
      </w:r>
      <w:r>
        <w:rPr>
          <w:sz w:val="28"/>
          <w:szCs w:val="28"/>
          <w:highlight w:val="none"/>
        </w:rPr>
        <w:fldChar w:fldCharType="begin"/>
      </w:r>
      <w:r>
        <w:rPr>
          <w:sz w:val="28"/>
          <w:szCs w:val="28"/>
          <w:highlight w:val="none"/>
        </w:rPr>
        <w:instrText xml:space="preserve"> PAGEREF _Toc19500 \h </w:instrText>
      </w:r>
      <w:r>
        <w:rPr>
          <w:sz w:val="28"/>
          <w:szCs w:val="28"/>
          <w:highlight w:val="none"/>
        </w:rPr>
        <w:fldChar w:fldCharType="separate"/>
      </w:r>
      <w:r>
        <w:rPr>
          <w:sz w:val="28"/>
          <w:szCs w:val="28"/>
          <w:highlight w:val="none"/>
        </w:rPr>
        <w:t>2</w:t>
      </w:r>
      <w:r>
        <w:rPr>
          <w:sz w:val="28"/>
          <w:szCs w:val="28"/>
          <w:highlight w:val="none"/>
        </w:rPr>
        <w:fldChar w:fldCharType="end"/>
      </w:r>
      <w:r>
        <w:rPr>
          <w:rFonts w:hint="eastAsia" w:cs="宋体"/>
          <w:color w:val="000000"/>
          <w:sz w:val="28"/>
          <w:szCs w:val="28"/>
          <w:highlight w:val="none"/>
        </w:rPr>
        <w:fldChar w:fldCharType="end"/>
      </w:r>
    </w:p>
    <w:p w14:paraId="0CDBBBC6">
      <w:pPr>
        <w:pStyle w:val="33"/>
        <w:tabs>
          <w:tab w:val="right" w:leader="dot" w:pos="8504"/>
          <w:tab w:val="clear" w:pos="8398"/>
        </w:tabs>
        <w:spacing w:line="360" w:lineRule="auto"/>
        <w:rPr>
          <w:sz w:val="28"/>
          <w:szCs w:val="28"/>
          <w:highlight w:val="none"/>
        </w:rPr>
      </w:pPr>
      <w:r>
        <w:rPr>
          <w:rFonts w:hint="eastAsia" w:ascii="宋体" w:hAnsi="宋体" w:cs="宋体"/>
          <w:color w:val="000000"/>
          <w:sz w:val="28"/>
          <w:szCs w:val="28"/>
          <w:highlight w:val="none"/>
        </w:rPr>
        <w:fldChar w:fldCharType="begin"/>
      </w:r>
      <w:r>
        <w:rPr>
          <w:rFonts w:hint="eastAsia" w:ascii="宋体" w:hAnsi="宋体" w:cs="宋体"/>
          <w:sz w:val="28"/>
          <w:szCs w:val="28"/>
          <w:highlight w:val="none"/>
        </w:rPr>
        <w:instrText xml:space="preserve"> HYPERLINK \l _Toc10462 </w:instrText>
      </w:r>
      <w:r>
        <w:rPr>
          <w:rFonts w:hint="eastAsia" w:ascii="宋体" w:hAnsi="宋体" w:cs="宋体"/>
          <w:sz w:val="28"/>
          <w:szCs w:val="28"/>
          <w:highlight w:val="none"/>
        </w:rPr>
        <w:fldChar w:fldCharType="separate"/>
      </w:r>
      <w:r>
        <w:rPr>
          <w:rFonts w:hint="eastAsia"/>
          <w:sz w:val="28"/>
          <w:szCs w:val="28"/>
          <w:highlight w:val="none"/>
        </w:rPr>
        <w:t>第二章 采购需求</w:t>
      </w:r>
      <w:r>
        <w:rPr>
          <w:sz w:val="28"/>
          <w:szCs w:val="28"/>
          <w:highlight w:val="none"/>
        </w:rPr>
        <w:tab/>
      </w:r>
      <w:r>
        <w:rPr>
          <w:sz w:val="28"/>
          <w:szCs w:val="28"/>
          <w:highlight w:val="none"/>
        </w:rPr>
        <w:fldChar w:fldCharType="begin"/>
      </w:r>
      <w:r>
        <w:rPr>
          <w:sz w:val="28"/>
          <w:szCs w:val="28"/>
          <w:highlight w:val="none"/>
        </w:rPr>
        <w:instrText xml:space="preserve"> PAGEREF _Toc10462 \h </w:instrText>
      </w:r>
      <w:r>
        <w:rPr>
          <w:sz w:val="28"/>
          <w:szCs w:val="28"/>
          <w:highlight w:val="none"/>
        </w:rPr>
        <w:fldChar w:fldCharType="separate"/>
      </w:r>
      <w:r>
        <w:rPr>
          <w:sz w:val="28"/>
          <w:szCs w:val="28"/>
          <w:highlight w:val="none"/>
        </w:rPr>
        <w:t>6</w:t>
      </w:r>
      <w:r>
        <w:rPr>
          <w:sz w:val="28"/>
          <w:szCs w:val="28"/>
          <w:highlight w:val="none"/>
        </w:rPr>
        <w:fldChar w:fldCharType="end"/>
      </w:r>
      <w:r>
        <w:rPr>
          <w:rFonts w:hint="eastAsia" w:ascii="宋体" w:hAnsi="宋体" w:cs="宋体"/>
          <w:color w:val="000000"/>
          <w:sz w:val="28"/>
          <w:szCs w:val="28"/>
          <w:highlight w:val="none"/>
        </w:rPr>
        <w:fldChar w:fldCharType="end"/>
      </w:r>
    </w:p>
    <w:p w14:paraId="6233FD66">
      <w:pPr>
        <w:pStyle w:val="33"/>
        <w:tabs>
          <w:tab w:val="right" w:leader="dot" w:pos="8504"/>
          <w:tab w:val="clear" w:pos="8398"/>
        </w:tabs>
        <w:spacing w:line="360" w:lineRule="auto"/>
        <w:rPr>
          <w:sz w:val="28"/>
          <w:szCs w:val="28"/>
          <w:highlight w:val="none"/>
        </w:rPr>
      </w:pPr>
      <w:r>
        <w:rPr>
          <w:rFonts w:hint="eastAsia" w:ascii="宋体" w:hAnsi="宋体" w:cs="宋体"/>
          <w:color w:val="000000"/>
          <w:sz w:val="28"/>
          <w:szCs w:val="28"/>
          <w:highlight w:val="none"/>
        </w:rPr>
        <w:fldChar w:fldCharType="begin"/>
      </w:r>
      <w:r>
        <w:rPr>
          <w:rFonts w:hint="eastAsia" w:ascii="宋体" w:hAnsi="宋体" w:cs="宋体"/>
          <w:sz w:val="28"/>
          <w:szCs w:val="28"/>
          <w:highlight w:val="none"/>
        </w:rPr>
        <w:instrText xml:space="preserve"> HYPERLINK \l _Toc12083 </w:instrText>
      </w:r>
      <w:r>
        <w:rPr>
          <w:rFonts w:hint="eastAsia" w:ascii="宋体" w:hAnsi="宋体" w:cs="宋体"/>
          <w:sz w:val="28"/>
          <w:szCs w:val="28"/>
          <w:highlight w:val="none"/>
        </w:rPr>
        <w:fldChar w:fldCharType="separate"/>
      </w:r>
      <w:r>
        <w:rPr>
          <w:rFonts w:hint="eastAsia"/>
          <w:sz w:val="28"/>
          <w:szCs w:val="28"/>
          <w:highlight w:val="none"/>
        </w:rPr>
        <w:t>第三章 投标人须知</w:t>
      </w:r>
      <w:r>
        <w:rPr>
          <w:sz w:val="28"/>
          <w:szCs w:val="28"/>
          <w:highlight w:val="none"/>
        </w:rPr>
        <w:tab/>
      </w:r>
      <w:r>
        <w:rPr>
          <w:sz w:val="28"/>
          <w:szCs w:val="28"/>
          <w:highlight w:val="none"/>
        </w:rPr>
        <w:fldChar w:fldCharType="begin"/>
      </w:r>
      <w:r>
        <w:rPr>
          <w:sz w:val="28"/>
          <w:szCs w:val="28"/>
          <w:highlight w:val="none"/>
        </w:rPr>
        <w:instrText xml:space="preserve"> PAGEREF _Toc12083 \h </w:instrText>
      </w:r>
      <w:r>
        <w:rPr>
          <w:sz w:val="28"/>
          <w:szCs w:val="28"/>
          <w:highlight w:val="none"/>
        </w:rPr>
        <w:fldChar w:fldCharType="separate"/>
      </w:r>
      <w:r>
        <w:rPr>
          <w:sz w:val="28"/>
          <w:szCs w:val="28"/>
          <w:highlight w:val="none"/>
        </w:rPr>
        <w:t>122</w:t>
      </w:r>
      <w:r>
        <w:rPr>
          <w:sz w:val="28"/>
          <w:szCs w:val="28"/>
          <w:highlight w:val="none"/>
        </w:rPr>
        <w:fldChar w:fldCharType="end"/>
      </w:r>
      <w:r>
        <w:rPr>
          <w:rFonts w:hint="eastAsia" w:ascii="宋体" w:hAnsi="宋体" w:cs="宋体"/>
          <w:color w:val="000000"/>
          <w:sz w:val="28"/>
          <w:szCs w:val="28"/>
          <w:highlight w:val="none"/>
        </w:rPr>
        <w:fldChar w:fldCharType="end"/>
      </w:r>
    </w:p>
    <w:p w14:paraId="2DB4F490">
      <w:pPr>
        <w:pStyle w:val="33"/>
        <w:tabs>
          <w:tab w:val="right" w:leader="dot" w:pos="8504"/>
          <w:tab w:val="clear" w:pos="8398"/>
        </w:tabs>
        <w:spacing w:line="360" w:lineRule="auto"/>
        <w:rPr>
          <w:sz w:val="28"/>
          <w:szCs w:val="28"/>
          <w:highlight w:val="none"/>
        </w:rPr>
      </w:pPr>
      <w:r>
        <w:rPr>
          <w:rFonts w:hint="eastAsia" w:ascii="宋体" w:hAnsi="宋体" w:cs="宋体"/>
          <w:color w:val="000000"/>
          <w:sz w:val="28"/>
          <w:szCs w:val="28"/>
          <w:highlight w:val="none"/>
        </w:rPr>
        <w:fldChar w:fldCharType="begin"/>
      </w:r>
      <w:r>
        <w:rPr>
          <w:rFonts w:hint="eastAsia" w:ascii="宋体" w:hAnsi="宋体" w:cs="宋体"/>
          <w:sz w:val="28"/>
          <w:szCs w:val="28"/>
          <w:highlight w:val="none"/>
        </w:rPr>
        <w:instrText xml:space="preserve"> HYPERLINK \l _Toc22874 </w:instrText>
      </w:r>
      <w:r>
        <w:rPr>
          <w:rFonts w:hint="eastAsia" w:ascii="宋体" w:hAnsi="宋体" w:cs="宋体"/>
          <w:sz w:val="28"/>
          <w:szCs w:val="28"/>
          <w:highlight w:val="none"/>
        </w:rPr>
        <w:fldChar w:fldCharType="separate"/>
      </w:r>
      <w:r>
        <w:rPr>
          <w:rFonts w:hint="eastAsia"/>
          <w:sz w:val="28"/>
          <w:szCs w:val="28"/>
          <w:highlight w:val="none"/>
        </w:rPr>
        <w:t>第四章 评标方法及评标标准</w:t>
      </w:r>
      <w:r>
        <w:rPr>
          <w:sz w:val="28"/>
          <w:szCs w:val="28"/>
          <w:highlight w:val="none"/>
        </w:rPr>
        <w:tab/>
      </w:r>
      <w:r>
        <w:rPr>
          <w:sz w:val="28"/>
          <w:szCs w:val="28"/>
          <w:highlight w:val="none"/>
        </w:rPr>
        <w:fldChar w:fldCharType="begin"/>
      </w:r>
      <w:r>
        <w:rPr>
          <w:sz w:val="28"/>
          <w:szCs w:val="28"/>
          <w:highlight w:val="none"/>
        </w:rPr>
        <w:instrText xml:space="preserve"> PAGEREF _Toc22874 \h </w:instrText>
      </w:r>
      <w:r>
        <w:rPr>
          <w:sz w:val="28"/>
          <w:szCs w:val="28"/>
          <w:highlight w:val="none"/>
        </w:rPr>
        <w:fldChar w:fldCharType="separate"/>
      </w:r>
      <w:r>
        <w:rPr>
          <w:sz w:val="28"/>
          <w:szCs w:val="28"/>
          <w:highlight w:val="none"/>
        </w:rPr>
        <w:t>149</w:t>
      </w:r>
      <w:r>
        <w:rPr>
          <w:sz w:val="28"/>
          <w:szCs w:val="28"/>
          <w:highlight w:val="none"/>
        </w:rPr>
        <w:fldChar w:fldCharType="end"/>
      </w:r>
      <w:r>
        <w:rPr>
          <w:rFonts w:hint="eastAsia" w:ascii="宋体" w:hAnsi="宋体" w:cs="宋体"/>
          <w:color w:val="000000"/>
          <w:sz w:val="28"/>
          <w:szCs w:val="28"/>
          <w:highlight w:val="none"/>
        </w:rPr>
        <w:fldChar w:fldCharType="end"/>
      </w:r>
    </w:p>
    <w:p w14:paraId="48B98CE3">
      <w:pPr>
        <w:pStyle w:val="33"/>
        <w:tabs>
          <w:tab w:val="right" w:leader="dot" w:pos="8504"/>
          <w:tab w:val="clear" w:pos="8398"/>
        </w:tabs>
        <w:spacing w:line="360" w:lineRule="auto"/>
        <w:rPr>
          <w:sz w:val="28"/>
          <w:szCs w:val="28"/>
          <w:highlight w:val="none"/>
        </w:rPr>
      </w:pPr>
      <w:r>
        <w:rPr>
          <w:rFonts w:hint="eastAsia" w:ascii="宋体" w:hAnsi="宋体" w:cs="宋体"/>
          <w:color w:val="000000"/>
          <w:sz w:val="28"/>
          <w:szCs w:val="28"/>
          <w:highlight w:val="none"/>
        </w:rPr>
        <w:fldChar w:fldCharType="begin"/>
      </w:r>
      <w:r>
        <w:rPr>
          <w:rFonts w:hint="eastAsia" w:ascii="宋体" w:hAnsi="宋体" w:cs="宋体"/>
          <w:sz w:val="28"/>
          <w:szCs w:val="28"/>
          <w:highlight w:val="none"/>
        </w:rPr>
        <w:instrText xml:space="preserve"> HYPERLINK \l _Toc24399 </w:instrText>
      </w:r>
      <w:r>
        <w:rPr>
          <w:rFonts w:hint="eastAsia" w:ascii="宋体" w:hAnsi="宋体" w:cs="宋体"/>
          <w:sz w:val="28"/>
          <w:szCs w:val="28"/>
          <w:highlight w:val="none"/>
        </w:rPr>
        <w:fldChar w:fldCharType="separate"/>
      </w:r>
      <w:r>
        <w:rPr>
          <w:rFonts w:hint="eastAsia"/>
          <w:sz w:val="28"/>
          <w:szCs w:val="28"/>
          <w:highlight w:val="none"/>
        </w:rPr>
        <w:t>第五章 拟签订的合同文本</w:t>
      </w:r>
      <w:r>
        <w:rPr>
          <w:sz w:val="28"/>
          <w:szCs w:val="28"/>
          <w:highlight w:val="none"/>
        </w:rPr>
        <w:tab/>
      </w:r>
      <w:r>
        <w:rPr>
          <w:sz w:val="28"/>
          <w:szCs w:val="28"/>
          <w:highlight w:val="none"/>
        </w:rPr>
        <w:fldChar w:fldCharType="begin"/>
      </w:r>
      <w:r>
        <w:rPr>
          <w:sz w:val="28"/>
          <w:szCs w:val="28"/>
          <w:highlight w:val="none"/>
        </w:rPr>
        <w:instrText xml:space="preserve"> PAGEREF _Toc24399 \h </w:instrText>
      </w:r>
      <w:r>
        <w:rPr>
          <w:sz w:val="28"/>
          <w:szCs w:val="28"/>
          <w:highlight w:val="none"/>
        </w:rPr>
        <w:fldChar w:fldCharType="separate"/>
      </w:r>
      <w:r>
        <w:rPr>
          <w:sz w:val="28"/>
          <w:szCs w:val="28"/>
          <w:highlight w:val="none"/>
        </w:rPr>
        <w:t>174</w:t>
      </w:r>
      <w:r>
        <w:rPr>
          <w:sz w:val="28"/>
          <w:szCs w:val="28"/>
          <w:highlight w:val="none"/>
        </w:rPr>
        <w:fldChar w:fldCharType="end"/>
      </w:r>
      <w:r>
        <w:rPr>
          <w:rFonts w:hint="eastAsia" w:ascii="宋体" w:hAnsi="宋体" w:cs="宋体"/>
          <w:color w:val="000000"/>
          <w:sz w:val="28"/>
          <w:szCs w:val="28"/>
          <w:highlight w:val="none"/>
        </w:rPr>
        <w:fldChar w:fldCharType="end"/>
      </w:r>
    </w:p>
    <w:p w14:paraId="5BC48B12">
      <w:pPr>
        <w:pStyle w:val="33"/>
        <w:tabs>
          <w:tab w:val="right" w:leader="dot" w:pos="8504"/>
          <w:tab w:val="clear" w:pos="8398"/>
        </w:tabs>
        <w:spacing w:line="360" w:lineRule="auto"/>
        <w:rPr>
          <w:sz w:val="28"/>
          <w:szCs w:val="28"/>
          <w:highlight w:val="none"/>
        </w:rPr>
      </w:pPr>
      <w:r>
        <w:rPr>
          <w:rFonts w:hint="eastAsia" w:ascii="宋体" w:hAnsi="宋体" w:cs="宋体"/>
          <w:color w:val="000000"/>
          <w:sz w:val="28"/>
          <w:szCs w:val="28"/>
          <w:highlight w:val="none"/>
        </w:rPr>
        <w:fldChar w:fldCharType="begin"/>
      </w:r>
      <w:r>
        <w:rPr>
          <w:rFonts w:hint="eastAsia" w:ascii="宋体" w:hAnsi="宋体" w:cs="宋体"/>
          <w:sz w:val="28"/>
          <w:szCs w:val="28"/>
          <w:highlight w:val="none"/>
        </w:rPr>
        <w:instrText xml:space="preserve"> HYPERLINK \l _Toc26018 </w:instrText>
      </w:r>
      <w:r>
        <w:rPr>
          <w:rFonts w:hint="eastAsia" w:ascii="宋体" w:hAnsi="宋体" w:cs="宋体"/>
          <w:sz w:val="28"/>
          <w:szCs w:val="28"/>
          <w:highlight w:val="none"/>
        </w:rPr>
        <w:fldChar w:fldCharType="separate"/>
      </w:r>
      <w:r>
        <w:rPr>
          <w:rFonts w:hint="eastAsia"/>
          <w:sz w:val="28"/>
          <w:szCs w:val="28"/>
          <w:highlight w:val="none"/>
        </w:rPr>
        <w:t>第六章</w:t>
      </w:r>
      <w:r>
        <w:rPr>
          <w:rFonts w:hint="eastAsia"/>
          <w:sz w:val="28"/>
          <w:szCs w:val="28"/>
          <w:highlight w:val="none"/>
          <w:lang w:val="en-US" w:eastAsia="zh-CN"/>
        </w:rPr>
        <w:t xml:space="preserve"> </w:t>
      </w:r>
      <w:r>
        <w:rPr>
          <w:rFonts w:hint="eastAsia"/>
          <w:sz w:val="28"/>
          <w:szCs w:val="28"/>
          <w:highlight w:val="none"/>
        </w:rPr>
        <w:t>投标文件格式</w:t>
      </w:r>
      <w:r>
        <w:rPr>
          <w:sz w:val="28"/>
          <w:szCs w:val="28"/>
          <w:highlight w:val="none"/>
        </w:rPr>
        <w:tab/>
      </w:r>
      <w:r>
        <w:rPr>
          <w:sz w:val="28"/>
          <w:szCs w:val="28"/>
          <w:highlight w:val="none"/>
        </w:rPr>
        <w:fldChar w:fldCharType="begin"/>
      </w:r>
      <w:r>
        <w:rPr>
          <w:sz w:val="28"/>
          <w:szCs w:val="28"/>
          <w:highlight w:val="none"/>
        </w:rPr>
        <w:instrText xml:space="preserve"> PAGEREF _Toc26018 \h </w:instrText>
      </w:r>
      <w:r>
        <w:rPr>
          <w:sz w:val="28"/>
          <w:szCs w:val="28"/>
          <w:highlight w:val="none"/>
        </w:rPr>
        <w:fldChar w:fldCharType="separate"/>
      </w:r>
      <w:r>
        <w:rPr>
          <w:sz w:val="28"/>
          <w:szCs w:val="28"/>
          <w:highlight w:val="none"/>
        </w:rPr>
        <w:t>189</w:t>
      </w:r>
      <w:r>
        <w:rPr>
          <w:sz w:val="28"/>
          <w:szCs w:val="28"/>
          <w:highlight w:val="none"/>
        </w:rPr>
        <w:fldChar w:fldCharType="end"/>
      </w:r>
      <w:r>
        <w:rPr>
          <w:rFonts w:hint="eastAsia" w:ascii="宋体" w:hAnsi="宋体" w:cs="宋体"/>
          <w:color w:val="000000"/>
          <w:sz w:val="28"/>
          <w:szCs w:val="28"/>
          <w:highlight w:val="none"/>
        </w:rPr>
        <w:fldChar w:fldCharType="end"/>
      </w:r>
    </w:p>
    <w:p w14:paraId="77337B5E">
      <w:pPr>
        <w:spacing w:line="360" w:lineRule="auto"/>
        <w:rPr>
          <w:rFonts w:ascii="仿宋_GB2312" w:hAnsi="宋体" w:eastAsia="仿宋_GB2312"/>
          <w:color w:val="000000"/>
          <w:sz w:val="24"/>
          <w:highlight w:val="none"/>
        </w:rPr>
      </w:pPr>
      <w:r>
        <w:rPr>
          <w:rFonts w:hint="eastAsia" w:ascii="宋体" w:hAnsi="宋体" w:cs="宋体"/>
          <w:color w:val="000000"/>
          <w:sz w:val="28"/>
          <w:szCs w:val="28"/>
          <w:highlight w:val="none"/>
        </w:rPr>
        <w:fldChar w:fldCharType="end"/>
      </w:r>
    </w:p>
    <w:p w14:paraId="3DD480CB">
      <w:pPr>
        <w:spacing w:before="120" w:beforeLines="50" w:line="480" w:lineRule="exact"/>
        <w:rPr>
          <w:rFonts w:ascii="仿宋_GB2312" w:hAnsi="宋体" w:eastAsia="仿宋_GB2312"/>
          <w:color w:val="000000"/>
          <w:sz w:val="30"/>
          <w:highlight w:val="none"/>
        </w:rPr>
      </w:pPr>
    </w:p>
    <w:p w14:paraId="105C385C">
      <w:pPr>
        <w:rPr>
          <w:color w:val="000000"/>
          <w:highlight w:val="none"/>
        </w:rPr>
      </w:pPr>
    </w:p>
    <w:p w14:paraId="747B51C6">
      <w:pPr>
        <w:spacing w:before="120" w:beforeLines="50" w:line="480" w:lineRule="exact"/>
        <w:rPr>
          <w:rFonts w:ascii="仿宋_GB2312" w:hAnsi="宋体" w:eastAsia="仿宋_GB2312"/>
          <w:color w:val="000000"/>
          <w:sz w:val="30"/>
          <w:highlight w:val="none"/>
        </w:rPr>
      </w:pPr>
    </w:p>
    <w:p w14:paraId="17257683">
      <w:pPr>
        <w:spacing w:before="120" w:beforeLines="50" w:line="480" w:lineRule="exact"/>
        <w:rPr>
          <w:rFonts w:ascii="仿宋_GB2312" w:hAnsi="宋体" w:eastAsia="仿宋_GB2312"/>
          <w:color w:val="000000"/>
          <w:sz w:val="30"/>
          <w:highlight w:val="none"/>
        </w:rPr>
      </w:pPr>
    </w:p>
    <w:p w14:paraId="6D9F25CF">
      <w:pPr>
        <w:pStyle w:val="17"/>
        <w:rPr>
          <w:rFonts w:ascii="宋体" w:hAnsi="宋体" w:cs="宋体"/>
          <w:b/>
          <w:bCs/>
          <w:color w:val="000000"/>
          <w:highlight w:val="none"/>
        </w:rPr>
      </w:pPr>
      <w:bookmarkStart w:id="0" w:name="_Toc254970489"/>
      <w:bookmarkStart w:id="1" w:name="_Toc254970630"/>
    </w:p>
    <w:p w14:paraId="7FE6AF62">
      <w:pPr>
        <w:pStyle w:val="2"/>
        <w:keepNext w:val="0"/>
        <w:keepLines w:val="0"/>
        <w:tabs>
          <w:tab w:val="left" w:pos="0"/>
          <w:tab w:val="left" w:pos="3165"/>
          <w:tab w:val="center" w:pos="4153"/>
        </w:tabs>
        <w:autoSpaceDE w:val="0"/>
        <w:autoSpaceDN w:val="0"/>
        <w:adjustRightInd w:val="0"/>
        <w:spacing w:before="0" w:after="0" w:line="360" w:lineRule="auto"/>
        <w:jc w:val="center"/>
        <w:rPr>
          <w:color w:val="000000"/>
          <w:highlight w:val="none"/>
        </w:rPr>
        <w:sectPr>
          <w:footerReference r:id="rId7" w:type="first"/>
          <w:footerReference r:id="rId6" w:type="default"/>
          <w:pgSz w:w="11906" w:h="16838"/>
          <w:pgMar w:top="1701" w:right="1701" w:bottom="1701" w:left="1701" w:header="851" w:footer="992" w:gutter="0"/>
          <w:pgNumType w:start="1"/>
          <w:cols w:space="720" w:num="1"/>
          <w:docGrid w:linePitch="312" w:charSpace="0"/>
        </w:sectPr>
      </w:pPr>
    </w:p>
    <w:p w14:paraId="4745B669">
      <w:pPr>
        <w:pStyle w:val="2"/>
        <w:keepNext w:val="0"/>
        <w:keepLines w:val="0"/>
        <w:tabs>
          <w:tab w:val="left" w:pos="0"/>
          <w:tab w:val="left" w:pos="3165"/>
          <w:tab w:val="center" w:pos="4153"/>
        </w:tabs>
        <w:autoSpaceDE w:val="0"/>
        <w:autoSpaceDN w:val="0"/>
        <w:adjustRightInd w:val="0"/>
        <w:spacing w:before="0" w:after="0" w:line="360" w:lineRule="auto"/>
        <w:jc w:val="center"/>
        <w:rPr>
          <w:color w:val="000000"/>
          <w:highlight w:val="none"/>
        </w:rPr>
      </w:pPr>
      <w:bookmarkStart w:id="2" w:name="_Toc19500"/>
      <w:r>
        <w:rPr>
          <w:rFonts w:hint="eastAsia"/>
          <w:color w:val="000000"/>
          <w:highlight w:val="none"/>
        </w:rPr>
        <w:t>第一章</w:t>
      </w:r>
      <w:bookmarkEnd w:id="0"/>
      <w:bookmarkEnd w:id="1"/>
      <w:bookmarkStart w:id="3" w:name="_Toc35393789"/>
      <w:bookmarkStart w:id="4" w:name="_Toc28359001"/>
      <w:r>
        <w:rPr>
          <w:rFonts w:hint="eastAsia"/>
          <w:color w:val="000000"/>
          <w:highlight w:val="none"/>
        </w:rPr>
        <w:t xml:space="preserve"> 招标公告</w:t>
      </w:r>
      <w:bookmarkEnd w:id="2"/>
      <w:bookmarkEnd w:id="3"/>
      <w:bookmarkEnd w:id="4"/>
    </w:p>
    <w:p w14:paraId="074D7EFF">
      <w:pPr>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项目概况</w:t>
      </w:r>
    </w:p>
    <w:p w14:paraId="0E723BAE">
      <w:pPr>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u w:val="single"/>
          <w:lang w:val="en-US" w:eastAsia="zh-CN"/>
        </w:rPr>
        <w:t>广西制造工程职业技术学院智能制造学院2026年实训室及资源库建设项目</w:t>
      </w:r>
      <w:r>
        <w:rPr>
          <w:rFonts w:hint="eastAsia" w:ascii="宋体" w:hAnsi="宋体" w:eastAsia="宋体" w:cs="宋体"/>
          <w:color w:val="000000"/>
          <w:sz w:val="21"/>
          <w:szCs w:val="21"/>
          <w:highlight w:val="none"/>
        </w:rPr>
        <w:t>招标项目的潜在投标人应在广西政府采购云平台（</w:t>
      </w:r>
      <w:r>
        <w:rPr>
          <w:rFonts w:hint="eastAsia" w:ascii="宋体" w:hAnsi="宋体" w:eastAsia="宋体" w:cs="宋体"/>
          <w:bCs/>
          <w:kern w:val="0"/>
          <w:sz w:val="21"/>
          <w:szCs w:val="21"/>
          <w:highlight w:val="none"/>
        </w:rPr>
        <w:t>https://www.gcy.zfcg.gxzf.gov.cn/</w:t>
      </w:r>
      <w:r>
        <w:rPr>
          <w:rFonts w:hint="eastAsia" w:ascii="宋体" w:hAnsi="宋体" w:eastAsia="宋体" w:cs="宋体"/>
          <w:color w:val="000000"/>
          <w:sz w:val="21"/>
          <w:szCs w:val="21"/>
          <w:highlight w:val="none"/>
        </w:rPr>
        <w:t>）获取（下载）招标文件，并于</w:t>
      </w:r>
      <w:r>
        <w:rPr>
          <w:rFonts w:hint="eastAsia" w:ascii="宋体" w:hAnsi="宋体" w:eastAsia="宋体" w:cs="宋体"/>
          <w:color w:val="000000"/>
          <w:sz w:val="21"/>
          <w:szCs w:val="21"/>
          <w:highlight w:val="none"/>
          <w:u w:val="single"/>
        </w:rPr>
        <w:t>20</w:t>
      </w:r>
      <w:r>
        <w:rPr>
          <w:rFonts w:hint="eastAsia" w:ascii="宋体" w:hAnsi="宋体" w:eastAsia="宋体" w:cs="宋体"/>
          <w:color w:val="000000"/>
          <w:sz w:val="21"/>
          <w:szCs w:val="21"/>
          <w:highlight w:val="none"/>
          <w:u w:val="single"/>
          <w:lang w:val="en-US"/>
        </w:rPr>
        <w:t>2</w:t>
      </w:r>
      <w:r>
        <w:rPr>
          <w:rFonts w:hint="eastAsia" w:ascii="宋体" w:hAnsi="宋体" w:eastAsia="宋体" w:cs="宋体"/>
          <w:color w:val="000000"/>
          <w:sz w:val="21"/>
          <w:szCs w:val="21"/>
          <w:highlight w:val="none"/>
          <w:u w:val="single"/>
          <w:lang w:val="en-US" w:eastAsia="zh-CN"/>
        </w:rPr>
        <w:t>6</w:t>
      </w:r>
      <w:r>
        <w:rPr>
          <w:rFonts w:hint="eastAsia" w:ascii="宋体" w:hAnsi="宋体" w:eastAsia="宋体" w:cs="宋体"/>
          <w:color w:val="000000"/>
          <w:sz w:val="21"/>
          <w:szCs w:val="21"/>
          <w:highlight w:val="none"/>
          <w:u w:val="single"/>
        </w:rPr>
        <w:t>年</w:t>
      </w:r>
      <w:r>
        <w:rPr>
          <w:rFonts w:hint="default" w:ascii="宋体" w:hAnsi="宋体" w:cs="宋体"/>
          <w:color w:val="000000"/>
          <w:sz w:val="21"/>
          <w:szCs w:val="21"/>
          <w:highlight w:val="none"/>
          <w:u w:val="single"/>
          <w:lang w:val="en-US" w:eastAsia="zh-CN"/>
        </w:rPr>
        <w:t>6</w:t>
      </w:r>
      <w:r>
        <w:rPr>
          <w:rFonts w:hint="eastAsia" w:ascii="宋体" w:hAnsi="宋体" w:eastAsia="宋体" w:cs="宋体"/>
          <w:color w:val="000000"/>
          <w:sz w:val="21"/>
          <w:szCs w:val="21"/>
          <w:highlight w:val="none"/>
          <w:u w:val="single"/>
          <w:lang w:val="en-US" w:eastAsia="zh-CN"/>
        </w:rPr>
        <w:t>月</w:t>
      </w:r>
      <w:r>
        <w:rPr>
          <w:rFonts w:hint="default" w:ascii="宋体" w:hAnsi="宋体" w:cs="宋体"/>
          <w:color w:val="000000"/>
          <w:sz w:val="21"/>
          <w:szCs w:val="21"/>
          <w:highlight w:val="none"/>
          <w:u w:val="single"/>
          <w:lang w:val="en-US" w:eastAsia="zh-CN"/>
        </w:rPr>
        <w:t>22</w:t>
      </w:r>
      <w:r>
        <w:rPr>
          <w:rFonts w:hint="eastAsia" w:ascii="宋体" w:hAnsi="宋体" w:eastAsia="宋体" w:cs="宋体"/>
          <w:color w:val="000000"/>
          <w:sz w:val="21"/>
          <w:szCs w:val="21"/>
          <w:highlight w:val="none"/>
          <w:u w:val="single"/>
          <w:lang w:val="en-US" w:eastAsia="zh-CN"/>
        </w:rPr>
        <w:t>日</w:t>
      </w:r>
      <w:r>
        <w:rPr>
          <w:rFonts w:hint="eastAsia" w:ascii="宋体" w:hAnsi="宋体" w:eastAsia="宋体" w:cs="宋体"/>
          <w:color w:val="000000"/>
          <w:sz w:val="21"/>
          <w:szCs w:val="21"/>
          <w:highlight w:val="none"/>
          <w:u w:val="single"/>
        </w:rPr>
        <w:t>9时30分</w:t>
      </w:r>
      <w:r>
        <w:rPr>
          <w:rFonts w:hint="eastAsia" w:ascii="宋体" w:hAnsi="宋体" w:eastAsia="宋体" w:cs="宋体"/>
          <w:bCs/>
          <w:color w:val="000000"/>
          <w:sz w:val="21"/>
          <w:szCs w:val="21"/>
          <w:highlight w:val="none"/>
          <w:u w:val="single"/>
        </w:rPr>
        <w:t>（</w:t>
      </w:r>
      <w:r>
        <w:rPr>
          <w:rFonts w:hint="eastAsia" w:ascii="宋体" w:hAnsi="宋体" w:eastAsia="宋体" w:cs="宋体"/>
          <w:bCs/>
          <w:color w:val="000000"/>
          <w:sz w:val="21"/>
          <w:szCs w:val="21"/>
          <w:highlight w:val="none"/>
        </w:rPr>
        <w:t>北京时间）前按要求递交（上传）投标文件</w:t>
      </w:r>
      <w:r>
        <w:rPr>
          <w:rFonts w:hint="eastAsia" w:ascii="宋体" w:hAnsi="宋体" w:eastAsia="宋体" w:cs="宋体"/>
          <w:color w:val="000000"/>
          <w:sz w:val="21"/>
          <w:szCs w:val="21"/>
          <w:highlight w:val="none"/>
        </w:rPr>
        <w:t>。</w:t>
      </w:r>
    </w:p>
    <w:p w14:paraId="6BB96F57">
      <w:pPr>
        <w:pageBreakBefore w:val="0"/>
        <w:kinsoku/>
        <w:wordWrap/>
        <w:overflowPunct/>
        <w:topLinePunct w:val="0"/>
        <w:autoSpaceDE/>
        <w:autoSpaceDN/>
        <w:bidi w:val="0"/>
        <w:adjustRightInd/>
        <w:spacing w:line="440" w:lineRule="exact"/>
        <w:textAlignment w:val="auto"/>
        <w:rPr>
          <w:rFonts w:hint="eastAsia" w:ascii="宋体" w:hAnsi="宋体" w:eastAsia="宋体" w:cs="宋体"/>
          <w:b/>
          <w:bCs/>
          <w:color w:val="000000"/>
          <w:sz w:val="21"/>
          <w:szCs w:val="21"/>
          <w:highlight w:val="none"/>
        </w:rPr>
      </w:pPr>
      <w:bookmarkStart w:id="5" w:name="_Toc28359002"/>
      <w:bookmarkStart w:id="6" w:name="_Toc35393790"/>
      <w:bookmarkStart w:id="7" w:name="_Toc35393621"/>
      <w:bookmarkStart w:id="8" w:name="_Toc28359079"/>
      <w:bookmarkStart w:id="9" w:name="_Hlk24379207"/>
      <w:r>
        <w:rPr>
          <w:rFonts w:hint="eastAsia" w:ascii="宋体" w:hAnsi="宋体" w:eastAsia="宋体" w:cs="宋体"/>
          <w:b/>
          <w:bCs/>
          <w:color w:val="000000"/>
          <w:sz w:val="21"/>
          <w:szCs w:val="21"/>
          <w:highlight w:val="none"/>
        </w:rPr>
        <w:t>一、项目基本情况</w:t>
      </w:r>
      <w:bookmarkEnd w:id="5"/>
      <w:bookmarkEnd w:id="6"/>
      <w:bookmarkEnd w:id="7"/>
      <w:bookmarkEnd w:id="8"/>
    </w:p>
    <w:p w14:paraId="5637B778">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项目编号：</w:t>
      </w:r>
      <w:r>
        <w:rPr>
          <w:rFonts w:hint="eastAsia" w:ascii="宋体" w:hAnsi="宋体" w:eastAsia="宋体" w:cs="宋体"/>
          <w:color w:val="000000"/>
          <w:sz w:val="21"/>
          <w:szCs w:val="21"/>
          <w:highlight w:val="none"/>
          <w:lang w:val="en-US" w:eastAsia="zh-CN"/>
        </w:rPr>
        <w:t>GXZC2026-G1-001257-ZHZB</w:t>
      </w:r>
    </w:p>
    <w:p w14:paraId="262F0B02">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项目名称：</w:t>
      </w:r>
      <w:r>
        <w:rPr>
          <w:rFonts w:hint="eastAsia" w:ascii="宋体" w:hAnsi="宋体" w:eastAsia="宋体" w:cs="宋体"/>
          <w:color w:val="000000"/>
          <w:sz w:val="21"/>
          <w:szCs w:val="21"/>
          <w:highlight w:val="none"/>
          <w:lang w:val="en-US" w:eastAsia="zh-CN"/>
        </w:rPr>
        <w:t>广西制造工程职业技术学院智能制造学院2026年实训室及资源库建设项目</w:t>
      </w:r>
    </w:p>
    <w:bookmarkEnd w:id="9"/>
    <w:p w14:paraId="174B65BD">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预算金额</w:t>
      </w:r>
      <w:r>
        <w:rPr>
          <w:rFonts w:hint="eastAsia" w:ascii="宋体" w:hAnsi="宋体" w:cs="宋体"/>
          <w:color w:val="000000"/>
          <w:sz w:val="21"/>
          <w:szCs w:val="21"/>
          <w:highlight w:val="none"/>
          <w:lang w:eastAsia="zh-CN"/>
        </w:rPr>
        <w:t>（人民币）</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伍佰捌拾贰万捌仟肆佰伍拾</w:t>
      </w:r>
      <w:r>
        <w:rPr>
          <w:rFonts w:hint="eastAsia" w:ascii="宋体" w:hAnsi="宋体" w:eastAsia="宋体" w:cs="宋体"/>
          <w:color w:val="000000"/>
          <w:sz w:val="21"/>
          <w:szCs w:val="21"/>
          <w:highlight w:val="none"/>
          <w:lang w:eastAsia="zh-CN"/>
        </w:rPr>
        <w:t>元整</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5828450.00</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，其中</w:t>
      </w:r>
      <w:r>
        <w:rPr>
          <w:rFonts w:hint="eastAsia" w:ascii="宋体" w:hAnsi="宋体" w:eastAsia="宋体" w:cs="宋体"/>
          <w:color w:val="000000"/>
          <w:sz w:val="21"/>
          <w:szCs w:val="21"/>
          <w:highlight w:val="none"/>
          <w:lang w:val="en-US" w:eastAsia="zh-CN"/>
        </w:rPr>
        <w:t>分标1</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贰佰叁拾捌万肆仟陆佰伍拾</w:t>
      </w:r>
      <w:r>
        <w:rPr>
          <w:rFonts w:hint="eastAsia" w:ascii="宋体" w:hAnsi="宋体" w:eastAsia="宋体" w:cs="宋体"/>
          <w:color w:val="000000"/>
          <w:sz w:val="21"/>
          <w:szCs w:val="21"/>
          <w:highlight w:val="none"/>
          <w:lang w:eastAsia="zh-CN"/>
        </w:rPr>
        <w:t>元整</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2384650.00</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分标2</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贰佰零肆万叁仟捌佰</w:t>
      </w:r>
      <w:r>
        <w:rPr>
          <w:rFonts w:hint="eastAsia" w:ascii="宋体" w:hAnsi="宋体" w:eastAsia="宋体" w:cs="宋体"/>
          <w:color w:val="000000"/>
          <w:sz w:val="21"/>
          <w:szCs w:val="21"/>
          <w:highlight w:val="none"/>
          <w:lang w:eastAsia="zh-CN"/>
        </w:rPr>
        <w:t>元整</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2043800.00</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分标3</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玖拾万</w:t>
      </w:r>
      <w:r>
        <w:rPr>
          <w:rFonts w:hint="eastAsia" w:ascii="宋体" w:hAnsi="宋体" w:eastAsia="宋体" w:cs="宋体"/>
          <w:color w:val="000000"/>
          <w:sz w:val="21"/>
          <w:szCs w:val="21"/>
          <w:highlight w:val="none"/>
          <w:lang w:eastAsia="zh-CN"/>
        </w:rPr>
        <w:t>元整</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900000.00</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lang w:val="en-US" w:eastAsia="zh-CN"/>
        </w:rPr>
        <w:t>；分标4</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伍拾万</w:t>
      </w:r>
      <w:r>
        <w:rPr>
          <w:rFonts w:hint="eastAsia" w:ascii="宋体" w:hAnsi="宋体" w:eastAsia="宋体" w:cs="宋体"/>
          <w:color w:val="000000"/>
          <w:sz w:val="21"/>
          <w:szCs w:val="21"/>
          <w:highlight w:val="none"/>
          <w:lang w:eastAsia="zh-CN"/>
        </w:rPr>
        <w:t>元整</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500000.00</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lang w:val="en-US" w:eastAsia="zh-CN"/>
        </w:rPr>
        <w:t>。</w:t>
      </w:r>
    </w:p>
    <w:p w14:paraId="1E7F6789">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最高限价</w:t>
      </w:r>
      <w:r>
        <w:rPr>
          <w:rFonts w:hint="eastAsia" w:ascii="宋体" w:hAnsi="宋体" w:cs="宋体"/>
          <w:color w:val="000000"/>
          <w:sz w:val="21"/>
          <w:szCs w:val="21"/>
          <w:highlight w:val="none"/>
          <w:lang w:eastAsia="zh-CN"/>
        </w:rPr>
        <w:t>（人民币）</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伍佰捌拾贰万捌仟肆佰伍拾</w:t>
      </w:r>
      <w:r>
        <w:rPr>
          <w:rFonts w:hint="eastAsia" w:ascii="宋体" w:hAnsi="宋体" w:eastAsia="宋体" w:cs="宋体"/>
          <w:color w:val="000000"/>
          <w:sz w:val="21"/>
          <w:szCs w:val="21"/>
          <w:highlight w:val="none"/>
          <w:lang w:eastAsia="zh-CN"/>
        </w:rPr>
        <w:t>元整</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5828450.00</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，其中</w:t>
      </w:r>
      <w:r>
        <w:rPr>
          <w:rFonts w:hint="eastAsia" w:ascii="宋体" w:hAnsi="宋体" w:eastAsia="宋体" w:cs="宋体"/>
          <w:color w:val="000000"/>
          <w:sz w:val="21"/>
          <w:szCs w:val="21"/>
          <w:highlight w:val="none"/>
          <w:lang w:val="en-US" w:eastAsia="zh-CN"/>
        </w:rPr>
        <w:t>分标1</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贰佰叁拾捌万肆仟陆佰伍拾</w:t>
      </w:r>
      <w:r>
        <w:rPr>
          <w:rFonts w:hint="eastAsia" w:ascii="宋体" w:hAnsi="宋体" w:eastAsia="宋体" w:cs="宋体"/>
          <w:color w:val="000000"/>
          <w:sz w:val="21"/>
          <w:szCs w:val="21"/>
          <w:highlight w:val="none"/>
          <w:lang w:eastAsia="zh-CN"/>
        </w:rPr>
        <w:t>元整</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2384650.00</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分标2</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贰佰零肆万叁仟捌佰</w:t>
      </w:r>
      <w:r>
        <w:rPr>
          <w:rFonts w:hint="eastAsia" w:ascii="宋体" w:hAnsi="宋体" w:eastAsia="宋体" w:cs="宋体"/>
          <w:color w:val="000000"/>
          <w:sz w:val="21"/>
          <w:szCs w:val="21"/>
          <w:highlight w:val="none"/>
          <w:lang w:eastAsia="zh-CN"/>
        </w:rPr>
        <w:t>元整</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2043800.00</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分标3</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玖拾万</w:t>
      </w:r>
      <w:r>
        <w:rPr>
          <w:rFonts w:hint="eastAsia" w:ascii="宋体" w:hAnsi="宋体" w:eastAsia="宋体" w:cs="宋体"/>
          <w:color w:val="000000"/>
          <w:sz w:val="21"/>
          <w:szCs w:val="21"/>
          <w:highlight w:val="none"/>
          <w:lang w:eastAsia="zh-CN"/>
        </w:rPr>
        <w:t>元整</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900000.00</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lang w:val="en-US" w:eastAsia="zh-CN"/>
        </w:rPr>
        <w:t>；分标4</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伍拾万</w:t>
      </w:r>
      <w:r>
        <w:rPr>
          <w:rFonts w:hint="eastAsia" w:ascii="宋体" w:hAnsi="宋体" w:eastAsia="宋体" w:cs="宋体"/>
          <w:color w:val="000000"/>
          <w:sz w:val="21"/>
          <w:szCs w:val="21"/>
          <w:highlight w:val="none"/>
          <w:lang w:eastAsia="zh-CN"/>
        </w:rPr>
        <w:t>元整</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500000.00</w:t>
      </w:r>
      <w:r>
        <w:rPr>
          <w:rFonts w:hint="eastAsia" w:ascii="宋体" w:hAnsi="宋体" w:eastAsia="宋体" w:cs="宋体"/>
          <w:color w:val="000000"/>
          <w:sz w:val="21"/>
          <w:szCs w:val="21"/>
          <w:highlight w:val="none"/>
          <w:lang w:val="en-US"/>
        </w:rPr>
        <w:t>)</w:t>
      </w:r>
      <w:r>
        <w:rPr>
          <w:rFonts w:hint="eastAsia" w:ascii="宋体" w:hAnsi="宋体" w:eastAsia="宋体" w:cs="宋体"/>
          <w:color w:val="000000"/>
          <w:sz w:val="21"/>
          <w:szCs w:val="21"/>
          <w:highlight w:val="none"/>
          <w:lang w:val="en-US" w:eastAsia="zh-CN"/>
        </w:rPr>
        <w:t>。</w:t>
      </w:r>
    </w:p>
    <w:p w14:paraId="1E85E7DE">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采购需求： </w:t>
      </w:r>
    </w:p>
    <w:tbl>
      <w:tblPr>
        <w:tblStyle w:val="48"/>
        <w:tblW w:w="87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3438"/>
        <w:gridCol w:w="1407"/>
        <w:gridCol w:w="3052"/>
      </w:tblGrid>
      <w:tr w14:paraId="2396CA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817" w:type="dxa"/>
            <w:tcBorders>
              <w:top w:val="single" w:color="auto" w:sz="4" w:space="0"/>
              <w:left w:val="single" w:color="auto" w:sz="4" w:space="0"/>
              <w:bottom w:val="single" w:color="auto" w:sz="4" w:space="0"/>
              <w:right w:val="single" w:color="auto" w:sz="4" w:space="0"/>
            </w:tcBorders>
            <w:vAlign w:val="center"/>
          </w:tcPr>
          <w:p w14:paraId="1A1B210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序号</w:t>
            </w:r>
          </w:p>
        </w:tc>
        <w:tc>
          <w:tcPr>
            <w:tcW w:w="3438" w:type="dxa"/>
            <w:tcBorders>
              <w:top w:val="single" w:color="auto" w:sz="4" w:space="0"/>
              <w:left w:val="single" w:color="auto" w:sz="4" w:space="0"/>
              <w:bottom w:val="single" w:color="auto" w:sz="4" w:space="0"/>
              <w:right w:val="single" w:color="auto" w:sz="4" w:space="0"/>
            </w:tcBorders>
            <w:vAlign w:val="center"/>
          </w:tcPr>
          <w:p w14:paraId="24A6E54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标的名称</w:t>
            </w:r>
          </w:p>
        </w:tc>
        <w:tc>
          <w:tcPr>
            <w:tcW w:w="1407" w:type="dxa"/>
            <w:tcBorders>
              <w:top w:val="single" w:color="auto" w:sz="4" w:space="0"/>
              <w:left w:val="single" w:color="auto" w:sz="4" w:space="0"/>
              <w:bottom w:val="single" w:color="auto" w:sz="4" w:space="0"/>
              <w:right w:val="single" w:color="auto" w:sz="4" w:space="0"/>
            </w:tcBorders>
            <w:vAlign w:val="center"/>
          </w:tcPr>
          <w:p w14:paraId="6976FE7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数量及单位</w:t>
            </w:r>
          </w:p>
        </w:tc>
        <w:tc>
          <w:tcPr>
            <w:tcW w:w="3052" w:type="dxa"/>
            <w:tcBorders>
              <w:top w:val="single" w:color="auto" w:sz="4" w:space="0"/>
              <w:left w:val="single" w:color="auto" w:sz="4" w:space="0"/>
              <w:bottom w:val="single" w:color="auto" w:sz="4" w:space="0"/>
              <w:right w:val="single" w:color="auto" w:sz="4" w:space="0"/>
            </w:tcBorders>
            <w:vAlign w:val="center"/>
          </w:tcPr>
          <w:p w14:paraId="05ACB8B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简要技术需求或者服务要求</w:t>
            </w:r>
          </w:p>
        </w:tc>
      </w:tr>
      <w:tr w14:paraId="72CBD1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14" w:type="dxa"/>
            <w:gridSpan w:val="4"/>
            <w:tcBorders>
              <w:top w:val="single" w:color="auto" w:sz="4" w:space="0"/>
              <w:left w:val="single" w:color="auto" w:sz="4" w:space="0"/>
              <w:bottom w:val="single" w:color="auto" w:sz="4" w:space="0"/>
              <w:right w:val="single" w:color="auto" w:sz="4" w:space="0"/>
            </w:tcBorders>
            <w:vAlign w:val="center"/>
          </w:tcPr>
          <w:p w14:paraId="4F43FA0E">
            <w:pPr>
              <w:keepNext w:val="0"/>
              <w:keepLines w:val="0"/>
              <w:pageBreakBefore w:val="0"/>
              <w:widowControl w:val="0"/>
              <w:kinsoku/>
              <w:wordWrap/>
              <w:overflowPunct/>
              <w:topLinePunct w:val="0"/>
              <w:autoSpaceDE/>
              <w:autoSpaceDN/>
              <w:bidi w:val="0"/>
              <w:adjustRightInd/>
              <w:snapToGrid w:val="0"/>
              <w:spacing w:line="44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分标1：工业网络智能控制与维护实训室建设</w:t>
            </w:r>
          </w:p>
        </w:tc>
      </w:tr>
      <w:tr w14:paraId="510B83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47400059">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w:t>
            </w:r>
          </w:p>
        </w:tc>
        <w:tc>
          <w:tcPr>
            <w:tcW w:w="3438" w:type="dxa"/>
            <w:tcBorders>
              <w:top w:val="single" w:color="auto" w:sz="4" w:space="0"/>
              <w:left w:val="single" w:color="auto" w:sz="4" w:space="0"/>
              <w:bottom w:val="single" w:color="auto" w:sz="4" w:space="0"/>
              <w:right w:val="single" w:color="auto" w:sz="4" w:space="0"/>
            </w:tcBorders>
            <w:vAlign w:val="center"/>
          </w:tcPr>
          <w:p w14:paraId="757EDC8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auto"/>
                <w:kern w:val="0"/>
                <w:sz w:val="21"/>
                <w:szCs w:val="21"/>
                <w:highlight w:val="none"/>
                <w:lang w:bidi="ar"/>
              </w:rPr>
              <w:t>工业网络智能控制与维护系统</w:t>
            </w:r>
          </w:p>
        </w:tc>
        <w:tc>
          <w:tcPr>
            <w:tcW w:w="1407" w:type="dxa"/>
            <w:tcBorders>
              <w:top w:val="single" w:color="auto" w:sz="4" w:space="0"/>
              <w:left w:val="single" w:color="auto" w:sz="4" w:space="0"/>
              <w:bottom w:val="single" w:color="auto" w:sz="4" w:space="0"/>
              <w:right w:val="single" w:color="auto" w:sz="4" w:space="0"/>
            </w:tcBorders>
            <w:vAlign w:val="center"/>
          </w:tcPr>
          <w:p w14:paraId="57CA748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12套</w:t>
            </w:r>
          </w:p>
        </w:tc>
        <w:tc>
          <w:tcPr>
            <w:tcW w:w="3052" w:type="dxa"/>
            <w:tcBorders>
              <w:top w:val="single" w:color="auto" w:sz="4" w:space="0"/>
              <w:left w:val="single" w:color="auto" w:sz="4" w:space="0"/>
              <w:bottom w:val="single" w:color="auto" w:sz="4" w:space="0"/>
              <w:right w:val="single" w:color="auto" w:sz="4" w:space="0"/>
            </w:tcBorders>
            <w:vAlign w:val="center"/>
          </w:tcPr>
          <w:p w14:paraId="5907F74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详见《采购需求》</w:t>
            </w:r>
          </w:p>
        </w:tc>
      </w:tr>
      <w:tr w14:paraId="27598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7BF6166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p>
        </w:tc>
        <w:tc>
          <w:tcPr>
            <w:tcW w:w="3438" w:type="dxa"/>
            <w:tcBorders>
              <w:top w:val="single" w:color="auto" w:sz="4" w:space="0"/>
              <w:left w:val="single" w:color="auto" w:sz="4" w:space="0"/>
              <w:bottom w:val="single" w:color="auto" w:sz="4" w:space="0"/>
              <w:right w:val="single" w:color="auto" w:sz="4" w:space="0"/>
            </w:tcBorders>
            <w:vAlign w:val="center"/>
          </w:tcPr>
          <w:p w14:paraId="6E34E27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w:t>
            </w:r>
          </w:p>
        </w:tc>
        <w:tc>
          <w:tcPr>
            <w:tcW w:w="1407" w:type="dxa"/>
            <w:tcBorders>
              <w:top w:val="single" w:color="auto" w:sz="4" w:space="0"/>
              <w:left w:val="single" w:color="auto" w:sz="4" w:space="0"/>
              <w:bottom w:val="single" w:color="auto" w:sz="4" w:space="0"/>
              <w:right w:val="single" w:color="auto" w:sz="4" w:space="0"/>
            </w:tcBorders>
            <w:vAlign w:val="center"/>
          </w:tcPr>
          <w:p w14:paraId="7F6AAA2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w:t>
            </w:r>
          </w:p>
        </w:tc>
        <w:tc>
          <w:tcPr>
            <w:tcW w:w="3052" w:type="dxa"/>
            <w:tcBorders>
              <w:top w:val="single" w:color="auto" w:sz="4" w:space="0"/>
              <w:left w:val="single" w:color="auto" w:sz="4" w:space="0"/>
              <w:bottom w:val="single" w:color="auto" w:sz="4" w:space="0"/>
              <w:right w:val="single" w:color="auto" w:sz="4" w:space="0"/>
            </w:tcBorders>
            <w:vAlign w:val="center"/>
          </w:tcPr>
          <w:p w14:paraId="6FBB7EC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p>
        </w:tc>
      </w:tr>
      <w:tr w14:paraId="66C88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14" w:type="dxa"/>
            <w:gridSpan w:val="4"/>
            <w:tcBorders>
              <w:top w:val="single" w:color="auto" w:sz="4" w:space="0"/>
              <w:left w:val="single" w:color="auto" w:sz="4" w:space="0"/>
              <w:bottom w:val="single" w:color="auto" w:sz="4" w:space="0"/>
              <w:right w:val="single" w:color="auto" w:sz="4" w:space="0"/>
            </w:tcBorders>
            <w:vAlign w:val="center"/>
          </w:tcPr>
          <w:p w14:paraId="40B5B0F8">
            <w:pPr>
              <w:keepNext w:val="0"/>
              <w:keepLines w:val="0"/>
              <w:pageBreakBefore w:val="0"/>
              <w:widowControl w:val="0"/>
              <w:kinsoku/>
              <w:wordWrap/>
              <w:overflowPunct/>
              <w:topLinePunct w:val="0"/>
              <w:autoSpaceDE/>
              <w:autoSpaceDN/>
              <w:bidi w:val="0"/>
              <w:adjustRightInd/>
              <w:spacing w:line="440" w:lineRule="exact"/>
              <w:jc w:val="both"/>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auto"/>
                <w:sz w:val="21"/>
                <w:szCs w:val="21"/>
                <w:highlight w:val="none"/>
              </w:rPr>
              <w:t>合同履行期限：</w:t>
            </w:r>
            <w:r>
              <w:rPr>
                <w:rFonts w:hint="eastAsia" w:ascii="宋体" w:hAnsi="宋体" w:eastAsia="宋体" w:cs="宋体"/>
                <w:sz w:val="21"/>
                <w:szCs w:val="21"/>
                <w:highlight w:val="none"/>
              </w:rPr>
              <w:t>自签订合同之日起</w:t>
            </w:r>
            <w:r>
              <w:rPr>
                <w:rFonts w:hint="eastAsia" w:ascii="宋体" w:hAnsi="宋体" w:eastAsia="宋体" w:cs="宋体"/>
                <w:sz w:val="21"/>
                <w:szCs w:val="21"/>
                <w:highlight w:val="none"/>
                <w:u w:val="none"/>
                <w:lang w:val="en-US" w:eastAsia="zh-CN"/>
              </w:rPr>
              <w:t>60</w:t>
            </w:r>
            <w:r>
              <w:rPr>
                <w:rFonts w:hint="eastAsia" w:ascii="宋体" w:hAnsi="宋体" w:eastAsia="宋体" w:cs="宋体"/>
                <w:sz w:val="21"/>
                <w:szCs w:val="21"/>
                <w:highlight w:val="none"/>
              </w:rPr>
              <w:t>日内所有货物、成果交付完成，货物安装调试完毕并交付使用，同时经采购人验收合格</w:t>
            </w:r>
            <w:r>
              <w:rPr>
                <w:rFonts w:hint="eastAsia" w:ascii="宋体" w:hAnsi="宋体" w:eastAsia="宋体" w:cs="宋体"/>
                <w:sz w:val="21"/>
                <w:szCs w:val="21"/>
                <w:highlight w:val="none"/>
                <w:lang w:eastAsia="zh-CN"/>
              </w:rPr>
              <w:t>。</w:t>
            </w:r>
          </w:p>
        </w:tc>
      </w:tr>
      <w:tr w14:paraId="0C52F0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14" w:type="dxa"/>
            <w:gridSpan w:val="4"/>
            <w:tcBorders>
              <w:top w:val="single" w:color="auto" w:sz="4" w:space="0"/>
              <w:left w:val="single" w:color="auto" w:sz="4" w:space="0"/>
              <w:bottom w:val="single" w:color="auto" w:sz="4" w:space="0"/>
              <w:right w:val="single" w:color="auto" w:sz="4" w:space="0"/>
            </w:tcBorders>
            <w:vAlign w:val="center"/>
          </w:tcPr>
          <w:p w14:paraId="66E19E90">
            <w:pPr>
              <w:keepNext w:val="0"/>
              <w:keepLines w:val="0"/>
              <w:pageBreakBefore w:val="0"/>
              <w:widowControl w:val="0"/>
              <w:kinsoku/>
              <w:wordWrap/>
              <w:overflowPunct/>
              <w:topLinePunct w:val="0"/>
              <w:autoSpaceDE/>
              <w:autoSpaceDN/>
              <w:bidi w:val="0"/>
              <w:adjustRightInd/>
              <w:snapToGrid w:val="0"/>
              <w:spacing w:line="44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分标2：机械产品数字化设计实训室建设</w:t>
            </w:r>
          </w:p>
        </w:tc>
      </w:tr>
      <w:tr w14:paraId="77DF7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29AC9B4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w:t>
            </w:r>
          </w:p>
        </w:tc>
        <w:tc>
          <w:tcPr>
            <w:tcW w:w="3438" w:type="dxa"/>
            <w:tcBorders>
              <w:top w:val="single" w:color="auto" w:sz="4" w:space="0"/>
              <w:left w:val="single" w:color="auto" w:sz="4" w:space="0"/>
              <w:bottom w:val="single" w:color="auto" w:sz="4" w:space="0"/>
              <w:right w:val="single" w:color="auto" w:sz="4" w:space="0"/>
            </w:tcBorders>
            <w:vAlign w:val="center"/>
          </w:tcPr>
          <w:p w14:paraId="6B75B3C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auto"/>
                <w:sz w:val="21"/>
                <w:szCs w:val="21"/>
                <w:highlight w:val="none"/>
              </w:rPr>
              <w:t>三维数据处理</w:t>
            </w:r>
            <w:r>
              <w:rPr>
                <w:rFonts w:hint="eastAsia" w:ascii="宋体" w:hAnsi="宋体" w:eastAsia="宋体" w:cs="宋体"/>
                <w:color w:val="auto"/>
                <w:sz w:val="21"/>
                <w:szCs w:val="21"/>
                <w:highlight w:val="none"/>
                <w:lang w:val="en-US" w:eastAsia="zh-CN"/>
              </w:rPr>
              <w:t>工作站</w:t>
            </w:r>
          </w:p>
        </w:tc>
        <w:tc>
          <w:tcPr>
            <w:tcW w:w="1407" w:type="dxa"/>
            <w:tcBorders>
              <w:top w:val="single" w:color="auto" w:sz="4" w:space="0"/>
              <w:left w:val="single" w:color="auto" w:sz="4" w:space="0"/>
              <w:bottom w:val="single" w:color="auto" w:sz="4" w:space="0"/>
              <w:right w:val="single" w:color="auto" w:sz="4" w:space="0"/>
            </w:tcBorders>
            <w:vAlign w:val="center"/>
          </w:tcPr>
          <w:p w14:paraId="3376CF7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54</w:t>
            </w:r>
            <w:r>
              <w:rPr>
                <w:rFonts w:hint="eastAsia" w:ascii="宋体" w:hAnsi="宋体" w:cs="宋体"/>
                <w:color w:val="000000" w:themeColor="text1"/>
                <w:sz w:val="21"/>
                <w:szCs w:val="21"/>
                <w:highlight w:val="none"/>
                <w:lang w:val="en-US" w:eastAsia="zh-CN"/>
                <w14:textFill>
                  <w14:solidFill>
                    <w14:schemeClr w14:val="tx1"/>
                  </w14:solidFill>
                </w14:textFill>
              </w:rPr>
              <w:t>台</w:t>
            </w:r>
          </w:p>
        </w:tc>
        <w:tc>
          <w:tcPr>
            <w:tcW w:w="3052" w:type="dxa"/>
            <w:tcBorders>
              <w:top w:val="single" w:color="auto" w:sz="4" w:space="0"/>
              <w:left w:val="single" w:color="auto" w:sz="4" w:space="0"/>
              <w:bottom w:val="single" w:color="auto" w:sz="4" w:space="0"/>
              <w:right w:val="single" w:color="auto" w:sz="4" w:space="0"/>
            </w:tcBorders>
            <w:vAlign w:val="center"/>
          </w:tcPr>
          <w:p w14:paraId="4F9AD01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详见《采购需求》</w:t>
            </w:r>
          </w:p>
        </w:tc>
      </w:tr>
      <w:tr w14:paraId="383AC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037EC8A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p>
        </w:tc>
        <w:tc>
          <w:tcPr>
            <w:tcW w:w="3438" w:type="dxa"/>
            <w:tcBorders>
              <w:top w:val="single" w:color="auto" w:sz="4" w:space="0"/>
              <w:left w:val="single" w:color="auto" w:sz="4" w:space="0"/>
              <w:bottom w:val="single" w:color="auto" w:sz="4" w:space="0"/>
              <w:right w:val="single" w:color="auto" w:sz="4" w:space="0"/>
            </w:tcBorders>
            <w:vAlign w:val="center"/>
          </w:tcPr>
          <w:p w14:paraId="65A5784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w:t>
            </w:r>
          </w:p>
        </w:tc>
        <w:tc>
          <w:tcPr>
            <w:tcW w:w="1407" w:type="dxa"/>
            <w:tcBorders>
              <w:top w:val="single" w:color="auto" w:sz="4" w:space="0"/>
              <w:left w:val="single" w:color="auto" w:sz="4" w:space="0"/>
              <w:bottom w:val="single" w:color="auto" w:sz="4" w:space="0"/>
              <w:right w:val="single" w:color="auto" w:sz="4" w:space="0"/>
            </w:tcBorders>
            <w:vAlign w:val="center"/>
          </w:tcPr>
          <w:p w14:paraId="4F03154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p>
        </w:tc>
        <w:tc>
          <w:tcPr>
            <w:tcW w:w="3052" w:type="dxa"/>
            <w:tcBorders>
              <w:top w:val="single" w:color="auto" w:sz="4" w:space="0"/>
              <w:left w:val="single" w:color="auto" w:sz="4" w:space="0"/>
              <w:bottom w:val="single" w:color="auto" w:sz="4" w:space="0"/>
              <w:right w:val="single" w:color="auto" w:sz="4" w:space="0"/>
            </w:tcBorders>
            <w:vAlign w:val="center"/>
          </w:tcPr>
          <w:p w14:paraId="068F3BB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p>
        </w:tc>
      </w:tr>
      <w:tr w14:paraId="648E7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14" w:type="dxa"/>
            <w:gridSpan w:val="4"/>
            <w:tcBorders>
              <w:top w:val="single" w:color="auto" w:sz="4" w:space="0"/>
              <w:left w:val="single" w:color="auto" w:sz="4" w:space="0"/>
              <w:bottom w:val="single" w:color="auto" w:sz="4" w:space="0"/>
              <w:right w:val="single" w:color="auto" w:sz="4" w:space="0"/>
            </w:tcBorders>
            <w:vAlign w:val="center"/>
          </w:tcPr>
          <w:p w14:paraId="09089E2A">
            <w:pPr>
              <w:keepNext w:val="0"/>
              <w:keepLines w:val="0"/>
              <w:pageBreakBefore w:val="0"/>
              <w:widowControl w:val="0"/>
              <w:kinsoku/>
              <w:wordWrap/>
              <w:overflowPunct/>
              <w:topLinePunct w:val="0"/>
              <w:autoSpaceDE/>
              <w:autoSpaceDN/>
              <w:bidi w:val="0"/>
              <w:adjustRightInd/>
              <w:spacing w:line="44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auto"/>
                <w:sz w:val="21"/>
                <w:szCs w:val="21"/>
                <w:highlight w:val="none"/>
              </w:rPr>
              <w:t>合同履行期限：</w:t>
            </w:r>
            <w:r>
              <w:rPr>
                <w:rFonts w:hint="eastAsia" w:ascii="宋体" w:hAnsi="宋体" w:eastAsia="宋体" w:cs="宋体"/>
                <w:sz w:val="21"/>
                <w:szCs w:val="21"/>
                <w:highlight w:val="none"/>
              </w:rPr>
              <w:t>自签订合同之日起</w:t>
            </w:r>
            <w:r>
              <w:rPr>
                <w:rFonts w:hint="eastAsia" w:ascii="宋体" w:hAnsi="宋体" w:eastAsia="宋体" w:cs="宋体"/>
                <w:sz w:val="21"/>
                <w:szCs w:val="21"/>
                <w:highlight w:val="none"/>
                <w:u w:val="none"/>
                <w:lang w:val="en-US" w:eastAsia="zh-CN"/>
              </w:rPr>
              <w:t>60</w:t>
            </w:r>
            <w:r>
              <w:rPr>
                <w:rFonts w:hint="eastAsia" w:ascii="宋体" w:hAnsi="宋体" w:eastAsia="宋体" w:cs="宋体"/>
                <w:sz w:val="21"/>
                <w:szCs w:val="21"/>
                <w:highlight w:val="none"/>
              </w:rPr>
              <w:t>日内所有货物、成果交付完成，货物安装调试完毕并交付使用，同时经采购人验收合格</w:t>
            </w:r>
            <w:r>
              <w:rPr>
                <w:rFonts w:hint="eastAsia" w:ascii="宋体" w:hAnsi="宋体" w:eastAsia="宋体" w:cs="宋体"/>
                <w:sz w:val="21"/>
                <w:szCs w:val="21"/>
                <w:highlight w:val="none"/>
                <w:lang w:eastAsia="zh-CN"/>
              </w:rPr>
              <w:t>。</w:t>
            </w:r>
          </w:p>
        </w:tc>
      </w:tr>
      <w:tr w14:paraId="3D2D3F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14" w:type="dxa"/>
            <w:gridSpan w:val="4"/>
            <w:tcBorders>
              <w:top w:val="single" w:color="auto" w:sz="4" w:space="0"/>
              <w:left w:val="single" w:color="auto" w:sz="4" w:space="0"/>
              <w:bottom w:val="single" w:color="auto" w:sz="4" w:space="0"/>
              <w:right w:val="single" w:color="auto" w:sz="4" w:space="0"/>
            </w:tcBorders>
            <w:vAlign w:val="center"/>
          </w:tcPr>
          <w:p w14:paraId="79233046">
            <w:pPr>
              <w:keepNext w:val="0"/>
              <w:keepLines w:val="0"/>
              <w:pageBreakBefore w:val="0"/>
              <w:widowControl w:val="0"/>
              <w:kinsoku/>
              <w:wordWrap/>
              <w:overflowPunct/>
              <w:topLinePunct w:val="0"/>
              <w:autoSpaceDE/>
              <w:autoSpaceDN/>
              <w:bidi w:val="0"/>
              <w:adjustRightInd/>
              <w:spacing w:line="44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分标3：机械制造及自动化专业群资源库项目</w:t>
            </w:r>
          </w:p>
        </w:tc>
      </w:tr>
      <w:tr w14:paraId="787EA0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61402F7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w:t>
            </w: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1A06204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课程导学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F806F1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5个</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5D3D2B2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详见《采购需求》</w:t>
            </w:r>
          </w:p>
        </w:tc>
      </w:tr>
      <w:tr w14:paraId="5A67F9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08D33EE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w:t>
            </w: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47AD66B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D0196D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w:t>
            </w:r>
          </w:p>
        </w:tc>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14:paraId="6896978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w:t>
            </w:r>
          </w:p>
        </w:tc>
      </w:tr>
      <w:tr w14:paraId="153B5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1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D81D5AB">
            <w:pPr>
              <w:keepNext w:val="0"/>
              <w:keepLines w:val="0"/>
              <w:pageBreakBefore w:val="0"/>
              <w:widowControl w:val="0"/>
              <w:kinsoku/>
              <w:wordWrap/>
              <w:overflowPunct/>
              <w:topLinePunct w:val="0"/>
              <w:autoSpaceDE/>
              <w:autoSpaceDN/>
              <w:bidi w:val="0"/>
              <w:adjustRightInd/>
              <w:spacing w:line="440" w:lineRule="exact"/>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auto"/>
                <w:sz w:val="21"/>
                <w:szCs w:val="21"/>
                <w:highlight w:val="none"/>
              </w:rPr>
              <w:t>合同履行期限：</w:t>
            </w:r>
            <w:r>
              <w:rPr>
                <w:rFonts w:hint="eastAsia" w:ascii="宋体" w:hAnsi="宋体" w:eastAsia="宋体" w:cs="宋体"/>
                <w:color w:val="auto"/>
                <w:szCs w:val="21"/>
                <w:highlight w:val="none"/>
              </w:rPr>
              <w:t>自签订合同之日起350日内所有成果交付完成并经采购人验收合格</w:t>
            </w:r>
            <w:r>
              <w:rPr>
                <w:rFonts w:hint="eastAsia" w:ascii="宋体" w:hAnsi="宋体" w:eastAsia="宋体" w:cs="宋体"/>
                <w:color w:val="auto"/>
                <w:szCs w:val="21"/>
                <w:highlight w:val="none"/>
                <w:lang w:eastAsia="zh-CN"/>
              </w:rPr>
              <w:t>。</w:t>
            </w:r>
          </w:p>
        </w:tc>
      </w:tr>
      <w:tr w14:paraId="626B3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1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2EA0AA6">
            <w:pPr>
              <w:keepNext w:val="0"/>
              <w:keepLines w:val="0"/>
              <w:pageBreakBefore w:val="0"/>
              <w:widowControl w:val="0"/>
              <w:kinsoku/>
              <w:wordWrap/>
              <w:overflowPunct/>
              <w:topLinePunct w:val="0"/>
              <w:autoSpaceDE/>
              <w:autoSpaceDN/>
              <w:bidi w:val="0"/>
              <w:adjustRightInd/>
              <w:snapToGrid w:val="0"/>
              <w:spacing w:line="440" w:lineRule="exact"/>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分标4：智能制造学院课程资源建设项目</w:t>
            </w:r>
          </w:p>
        </w:tc>
      </w:tr>
      <w:tr w14:paraId="2831D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63E2FC2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1</w:t>
            </w:r>
          </w:p>
        </w:tc>
        <w:tc>
          <w:tcPr>
            <w:tcW w:w="3438" w:type="dxa"/>
            <w:tcBorders>
              <w:top w:val="single" w:color="auto" w:sz="4" w:space="0"/>
              <w:left w:val="single" w:color="auto" w:sz="4" w:space="0"/>
              <w:bottom w:val="single" w:color="auto" w:sz="4" w:space="0"/>
              <w:right w:val="single" w:color="auto" w:sz="4" w:space="0"/>
            </w:tcBorders>
            <w:vAlign w:val="center"/>
          </w:tcPr>
          <w:p w14:paraId="7440FD3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纸质教材公开出版</w:t>
            </w:r>
          </w:p>
        </w:tc>
        <w:tc>
          <w:tcPr>
            <w:tcW w:w="1407" w:type="dxa"/>
            <w:tcBorders>
              <w:top w:val="single" w:color="auto" w:sz="4" w:space="0"/>
              <w:left w:val="single" w:color="auto" w:sz="4" w:space="0"/>
              <w:bottom w:val="single" w:color="auto" w:sz="4" w:space="0"/>
              <w:right w:val="single" w:color="auto" w:sz="4" w:space="0"/>
            </w:tcBorders>
            <w:vAlign w:val="center"/>
          </w:tcPr>
          <w:p w14:paraId="7430EB3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2本</w:t>
            </w:r>
          </w:p>
        </w:tc>
        <w:tc>
          <w:tcPr>
            <w:tcW w:w="3052" w:type="dxa"/>
            <w:tcBorders>
              <w:top w:val="single" w:color="auto" w:sz="4" w:space="0"/>
              <w:left w:val="single" w:color="auto" w:sz="4" w:space="0"/>
              <w:bottom w:val="single" w:color="auto" w:sz="4" w:space="0"/>
              <w:right w:val="single" w:color="auto" w:sz="4" w:space="0"/>
            </w:tcBorders>
            <w:vAlign w:val="center"/>
          </w:tcPr>
          <w:p w14:paraId="2FA6D3A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详见《采购需求》</w:t>
            </w:r>
          </w:p>
        </w:tc>
      </w:tr>
      <w:tr w14:paraId="2B5F86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346222B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2</w:t>
            </w:r>
          </w:p>
        </w:tc>
        <w:tc>
          <w:tcPr>
            <w:tcW w:w="3438" w:type="dxa"/>
            <w:tcBorders>
              <w:top w:val="single" w:color="auto" w:sz="4" w:space="0"/>
              <w:left w:val="single" w:color="auto" w:sz="4" w:space="0"/>
              <w:bottom w:val="single" w:color="auto" w:sz="4" w:space="0"/>
              <w:right w:val="single" w:color="auto" w:sz="4" w:space="0"/>
            </w:tcBorders>
            <w:vAlign w:val="center"/>
          </w:tcPr>
          <w:p w14:paraId="725B29A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w:t>
            </w:r>
          </w:p>
        </w:tc>
        <w:tc>
          <w:tcPr>
            <w:tcW w:w="1407" w:type="dxa"/>
            <w:tcBorders>
              <w:top w:val="single" w:color="auto" w:sz="4" w:space="0"/>
              <w:left w:val="single" w:color="auto" w:sz="4" w:space="0"/>
              <w:bottom w:val="single" w:color="auto" w:sz="4" w:space="0"/>
              <w:right w:val="single" w:color="auto" w:sz="4" w:space="0"/>
            </w:tcBorders>
            <w:vAlign w:val="center"/>
          </w:tcPr>
          <w:p w14:paraId="44D809F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p>
        </w:tc>
        <w:tc>
          <w:tcPr>
            <w:tcW w:w="3052" w:type="dxa"/>
            <w:tcBorders>
              <w:top w:val="single" w:color="auto" w:sz="4" w:space="0"/>
              <w:left w:val="single" w:color="auto" w:sz="4" w:space="0"/>
              <w:bottom w:val="single" w:color="auto" w:sz="4" w:space="0"/>
              <w:right w:val="single" w:color="auto" w:sz="4" w:space="0"/>
            </w:tcBorders>
            <w:vAlign w:val="center"/>
          </w:tcPr>
          <w:p w14:paraId="447055E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p>
        </w:tc>
      </w:tr>
      <w:tr w14:paraId="5FFAA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714" w:type="dxa"/>
            <w:gridSpan w:val="4"/>
            <w:tcBorders>
              <w:top w:val="single" w:color="auto" w:sz="4" w:space="0"/>
              <w:left w:val="single" w:color="auto" w:sz="4" w:space="0"/>
              <w:bottom w:val="single" w:color="auto" w:sz="4" w:space="0"/>
              <w:right w:val="single" w:color="auto" w:sz="4" w:space="0"/>
            </w:tcBorders>
            <w:vAlign w:val="center"/>
          </w:tcPr>
          <w:p w14:paraId="5439C4A7">
            <w:pPr>
              <w:keepNext w:val="0"/>
              <w:keepLines w:val="0"/>
              <w:pageBreakBefore w:val="0"/>
              <w:widowControl w:val="0"/>
              <w:kinsoku/>
              <w:wordWrap/>
              <w:overflowPunct/>
              <w:topLinePunct w:val="0"/>
              <w:autoSpaceDE/>
              <w:autoSpaceDN/>
              <w:bidi w:val="0"/>
              <w:adjustRightInd/>
              <w:spacing w:line="44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auto"/>
                <w:sz w:val="21"/>
                <w:szCs w:val="21"/>
                <w:highlight w:val="none"/>
              </w:rPr>
              <w:t>合同履行期限：自签订合同之日起350日内所有成果交付完成并经采购人验收合格</w:t>
            </w:r>
            <w:r>
              <w:rPr>
                <w:rFonts w:hint="eastAsia" w:ascii="宋体" w:hAnsi="宋体" w:eastAsia="宋体" w:cs="宋体"/>
                <w:color w:val="auto"/>
                <w:kern w:val="0"/>
                <w:sz w:val="21"/>
                <w:szCs w:val="21"/>
                <w:highlight w:val="none"/>
              </w:rPr>
              <w:t>。</w:t>
            </w:r>
          </w:p>
        </w:tc>
      </w:tr>
    </w:tbl>
    <w:p w14:paraId="6BD0EC23">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本项目不接受联合体投标。</w:t>
      </w:r>
    </w:p>
    <w:p w14:paraId="18942DDD">
      <w:pPr>
        <w:pageBreakBefore w:val="0"/>
        <w:kinsoku/>
        <w:wordWrap/>
        <w:overflowPunct/>
        <w:topLinePunct w:val="0"/>
        <w:autoSpaceDE/>
        <w:autoSpaceDN/>
        <w:bidi w:val="0"/>
        <w:adjustRightInd/>
        <w:spacing w:line="440" w:lineRule="exact"/>
        <w:textAlignment w:val="auto"/>
        <w:rPr>
          <w:rFonts w:hint="eastAsia" w:ascii="宋体" w:hAnsi="宋体" w:eastAsia="宋体" w:cs="宋体"/>
          <w:b/>
          <w:bCs/>
          <w:color w:val="000000"/>
          <w:sz w:val="21"/>
          <w:szCs w:val="21"/>
          <w:highlight w:val="none"/>
        </w:rPr>
      </w:pPr>
      <w:bookmarkStart w:id="10" w:name="_Toc35393791"/>
      <w:bookmarkStart w:id="11" w:name="_Toc35393622"/>
      <w:bookmarkStart w:id="12" w:name="_Toc28359080"/>
      <w:bookmarkStart w:id="13" w:name="_Toc28359003"/>
      <w:r>
        <w:rPr>
          <w:rFonts w:hint="eastAsia" w:ascii="宋体" w:hAnsi="宋体" w:eastAsia="宋体" w:cs="宋体"/>
          <w:b/>
          <w:bCs/>
          <w:color w:val="000000"/>
          <w:sz w:val="21"/>
          <w:szCs w:val="21"/>
          <w:highlight w:val="none"/>
        </w:rPr>
        <w:t>二、申请人的资格要求：</w:t>
      </w:r>
      <w:bookmarkEnd w:id="10"/>
      <w:bookmarkEnd w:id="11"/>
      <w:bookmarkEnd w:id="12"/>
      <w:bookmarkEnd w:id="13"/>
    </w:p>
    <w:p w14:paraId="07CA7219">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rPr>
      </w:pPr>
      <w:bookmarkStart w:id="14" w:name="_Hlk51746371"/>
      <w:r>
        <w:rPr>
          <w:rFonts w:hint="eastAsia" w:ascii="宋体" w:hAnsi="宋体" w:eastAsia="宋体" w:cs="宋体"/>
          <w:color w:val="000000"/>
          <w:sz w:val="21"/>
          <w:szCs w:val="21"/>
          <w:highlight w:val="none"/>
        </w:rPr>
        <w:t>1.满足《中华人民共和国政府采购法》第二十二条规定；</w:t>
      </w:r>
    </w:p>
    <w:p w14:paraId="1C09F8B5">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rPr>
      </w:pPr>
      <w:bookmarkStart w:id="15" w:name="_Toc28359081"/>
      <w:bookmarkStart w:id="16" w:name="_Toc28359004"/>
      <w:r>
        <w:rPr>
          <w:rFonts w:hint="eastAsia" w:ascii="宋体" w:hAnsi="宋体" w:eastAsia="宋体" w:cs="宋体"/>
          <w:color w:val="000000"/>
          <w:sz w:val="21"/>
          <w:szCs w:val="21"/>
          <w:highlight w:val="none"/>
        </w:rPr>
        <w:t>2.落实政府采购政策需满足的资格要求：</w:t>
      </w:r>
      <w:r>
        <w:rPr>
          <w:rFonts w:hint="eastAsia" w:ascii="宋体" w:hAnsi="宋体" w:eastAsia="宋体" w:cs="宋体"/>
          <w:color w:val="000000"/>
          <w:sz w:val="21"/>
          <w:szCs w:val="21"/>
          <w:highlight w:val="none"/>
          <w:u w:val="single"/>
        </w:rPr>
        <w:t>无</w:t>
      </w:r>
      <w:r>
        <w:rPr>
          <w:rFonts w:hint="eastAsia" w:ascii="宋体" w:hAnsi="宋体" w:eastAsia="宋体" w:cs="宋体"/>
          <w:color w:val="000000"/>
          <w:sz w:val="21"/>
          <w:szCs w:val="21"/>
          <w:highlight w:val="none"/>
        </w:rPr>
        <w:t>；</w:t>
      </w:r>
    </w:p>
    <w:p w14:paraId="602F0B80">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3.本项目的特定资格要求：</w:t>
      </w:r>
      <w:r>
        <w:rPr>
          <w:rFonts w:hint="eastAsia" w:ascii="宋体" w:hAnsi="宋体" w:eastAsia="宋体" w:cs="宋体"/>
          <w:color w:val="000000"/>
          <w:sz w:val="21"/>
          <w:szCs w:val="21"/>
          <w:highlight w:val="none"/>
          <w:u w:val="single"/>
        </w:rPr>
        <w:t>无</w:t>
      </w:r>
      <w:r>
        <w:rPr>
          <w:rFonts w:hint="eastAsia" w:ascii="宋体" w:hAnsi="宋体" w:eastAsia="宋体" w:cs="宋体"/>
          <w:color w:val="000000"/>
          <w:sz w:val="21"/>
          <w:szCs w:val="21"/>
          <w:highlight w:val="none"/>
        </w:rPr>
        <w:t>。</w:t>
      </w:r>
    </w:p>
    <w:bookmarkEnd w:id="14"/>
    <w:p w14:paraId="54B4EF50">
      <w:pPr>
        <w:pageBreakBefore w:val="0"/>
        <w:kinsoku/>
        <w:wordWrap/>
        <w:overflowPunct/>
        <w:topLinePunct w:val="0"/>
        <w:autoSpaceDE/>
        <w:autoSpaceDN/>
        <w:bidi w:val="0"/>
        <w:adjustRightInd/>
        <w:spacing w:line="440" w:lineRule="exact"/>
        <w:textAlignment w:val="auto"/>
        <w:rPr>
          <w:rFonts w:hint="eastAsia" w:ascii="宋体" w:hAnsi="宋体" w:eastAsia="宋体" w:cs="宋体"/>
          <w:b/>
          <w:bCs/>
          <w:color w:val="000000"/>
          <w:sz w:val="21"/>
          <w:szCs w:val="21"/>
          <w:highlight w:val="none"/>
        </w:rPr>
      </w:pPr>
      <w:bookmarkStart w:id="17" w:name="_Toc35393623"/>
      <w:bookmarkStart w:id="18" w:name="_Toc35393792"/>
      <w:r>
        <w:rPr>
          <w:rFonts w:hint="eastAsia" w:ascii="宋体" w:hAnsi="宋体" w:eastAsia="宋体" w:cs="宋体"/>
          <w:b/>
          <w:bCs/>
          <w:color w:val="000000"/>
          <w:sz w:val="21"/>
          <w:szCs w:val="21"/>
          <w:highlight w:val="none"/>
        </w:rPr>
        <w:t>三、获取招标文件</w:t>
      </w:r>
      <w:bookmarkEnd w:id="15"/>
      <w:bookmarkEnd w:id="16"/>
      <w:bookmarkEnd w:id="17"/>
      <w:bookmarkEnd w:id="18"/>
    </w:p>
    <w:p w14:paraId="5CE9B2C0">
      <w:pPr>
        <w:pageBreakBefore w:val="0"/>
        <w:kinsoku/>
        <w:wordWrap/>
        <w:overflowPunct/>
        <w:topLinePunct w:val="0"/>
        <w:autoSpaceDE/>
        <w:autoSpaceDN/>
        <w:bidi w:val="0"/>
        <w:adjustRightInd/>
        <w:spacing w:line="440" w:lineRule="exact"/>
        <w:ind w:firstLine="426"/>
        <w:textAlignment w:val="auto"/>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时间：20</w:t>
      </w:r>
      <w:r>
        <w:rPr>
          <w:rFonts w:hint="eastAsia" w:ascii="宋体" w:hAnsi="宋体" w:eastAsia="宋体" w:cs="宋体"/>
          <w:bCs/>
          <w:color w:val="000000"/>
          <w:kern w:val="0"/>
          <w:sz w:val="21"/>
          <w:szCs w:val="21"/>
          <w:highlight w:val="none"/>
          <w:lang w:val="en-US" w:eastAsia="zh-CN"/>
        </w:rPr>
        <w:t>26</w:t>
      </w:r>
      <w:r>
        <w:rPr>
          <w:rFonts w:hint="eastAsia" w:ascii="宋体" w:hAnsi="宋体" w:eastAsia="宋体" w:cs="宋体"/>
          <w:bCs/>
          <w:color w:val="000000"/>
          <w:kern w:val="0"/>
          <w:sz w:val="21"/>
          <w:szCs w:val="21"/>
          <w:highlight w:val="none"/>
        </w:rPr>
        <w:t>年</w:t>
      </w:r>
      <w:r>
        <w:rPr>
          <w:rFonts w:hint="default" w:ascii="宋体" w:hAnsi="宋体" w:cs="宋体"/>
          <w:bCs/>
          <w:color w:val="000000"/>
          <w:kern w:val="0"/>
          <w:sz w:val="21"/>
          <w:szCs w:val="21"/>
          <w:highlight w:val="none"/>
          <w:lang w:val="en-US" w:eastAsia="zh-CN"/>
        </w:rPr>
        <w:t>5</w:t>
      </w:r>
      <w:r>
        <w:rPr>
          <w:rFonts w:hint="eastAsia" w:ascii="宋体" w:hAnsi="宋体" w:eastAsia="宋体" w:cs="宋体"/>
          <w:bCs/>
          <w:color w:val="000000"/>
          <w:kern w:val="0"/>
          <w:sz w:val="21"/>
          <w:szCs w:val="21"/>
          <w:highlight w:val="none"/>
        </w:rPr>
        <w:t>月</w:t>
      </w:r>
      <w:r>
        <w:rPr>
          <w:rFonts w:hint="default" w:ascii="宋体" w:hAnsi="宋体" w:cs="宋体"/>
          <w:bCs/>
          <w:color w:val="000000"/>
          <w:kern w:val="0"/>
          <w:sz w:val="21"/>
          <w:szCs w:val="21"/>
          <w:highlight w:val="none"/>
          <w:lang w:val="en-US" w:eastAsia="zh-CN"/>
        </w:rPr>
        <w:t>29</w:t>
      </w:r>
      <w:r>
        <w:rPr>
          <w:rFonts w:hint="eastAsia" w:ascii="宋体" w:hAnsi="宋体" w:eastAsia="宋体" w:cs="宋体"/>
          <w:bCs/>
          <w:color w:val="000000"/>
          <w:kern w:val="0"/>
          <w:sz w:val="21"/>
          <w:szCs w:val="21"/>
          <w:highlight w:val="none"/>
        </w:rPr>
        <w:t>日至20</w:t>
      </w:r>
      <w:r>
        <w:rPr>
          <w:rFonts w:hint="eastAsia" w:ascii="宋体" w:hAnsi="宋体" w:eastAsia="宋体" w:cs="宋体"/>
          <w:bCs/>
          <w:color w:val="000000"/>
          <w:kern w:val="0"/>
          <w:sz w:val="21"/>
          <w:szCs w:val="21"/>
          <w:highlight w:val="none"/>
          <w:lang w:val="en-US" w:eastAsia="zh-CN"/>
        </w:rPr>
        <w:t>26</w:t>
      </w:r>
      <w:r>
        <w:rPr>
          <w:rFonts w:hint="eastAsia" w:ascii="宋体" w:hAnsi="宋体" w:eastAsia="宋体" w:cs="宋体"/>
          <w:bCs/>
          <w:color w:val="000000"/>
          <w:kern w:val="0"/>
          <w:sz w:val="21"/>
          <w:szCs w:val="21"/>
          <w:highlight w:val="none"/>
        </w:rPr>
        <w:t>年</w:t>
      </w:r>
      <w:r>
        <w:rPr>
          <w:rFonts w:hint="default" w:ascii="宋体" w:hAnsi="宋体" w:cs="宋体"/>
          <w:bCs/>
          <w:color w:val="000000"/>
          <w:kern w:val="0"/>
          <w:sz w:val="21"/>
          <w:szCs w:val="21"/>
          <w:highlight w:val="none"/>
          <w:lang w:val="en-US" w:eastAsia="zh-CN"/>
        </w:rPr>
        <w:t>6</w:t>
      </w:r>
      <w:r>
        <w:rPr>
          <w:rFonts w:hint="eastAsia" w:ascii="宋体" w:hAnsi="宋体" w:eastAsia="宋体" w:cs="宋体"/>
          <w:bCs/>
          <w:color w:val="000000"/>
          <w:kern w:val="0"/>
          <w:sz w:val="21"/>
          <w:szCs w:val="21"/>
          <w:highlight w:val="none"/>
        </w:rPr>
        <w:t>月</w:t>
      </w:r>
      <w:r>
        <w:rPr>
          <w:rFonts w:hint="default" w:ascii="宋体" w:hAnsi="宋体" w:cs="宋体"/>
          <w:bCs/>
          <w:color w:val="000000"/>
          <w:kern w:val="0"/>
          <w:sz w:val="21"/>
          <w:szCs w:val="21"/>
          <w:highlight w:val="none"/>
          <w:lang w:val="en-US" w:eastAsia="zh-CN"/>
        </w:rPr>
        <w:t>5</w:t>
      </w:r>
      <w:r>
        <w:rPr>
          <w:rFonts w:hint="eastAsia" w:ascii="宋体" w:hAnsi="宋体" w:eastAsia="宋体" w:cs="宋体"/>
          <w:bCs/>
          <w:color w:val="000000"/>
          <w:kern w:val="0"/>
          <w:sz w:val="21"/>
          <w:szCs w:val="21"/>
          <w:highlight w:val="none"/>
        </w:rPr>
        <w:t>日，</w:t>
      </w:r>
      <w:r>
        <w:rPr>
          <w:rFonts w:hint="eastAsia" w:ascii="宋体" w:hAnsi="宋体" w:eastAsia="宋体" w:cs="宋体"/>
          <w:bCs/>
          <w:kern w:val="0"/>
          <w:sz w:val="21"/>
          <w:szCs w:val="21"/>
          <w:highlight w:val="none"/>
        </w:rPr>
        <w:t>每天00:00至11:59，12:00至23:59（北京时间，法定节假日除外）</w:t>
      </w:r>
    </w:p>
    <w:p w14:paraId="2434C0D6">
      <w:pPr>
        <w:pageBreakBefore w:val="0"/>
        <w:kinsoku/>
        <w:wordWrap/>
        <w:overflowPunct/>
        <w:topLinePunct w:val="0"/>
        <w:autoSpaceDE/>
        <w:autoSpaceDN/>
        <w:bidi w:val="0"/>
        <w:adjustRightInd/>
        <w:spacing w:line="440" w:lineRule="exact"/>
        <w:ind w:firstLine="426"/>
        <w:textAlignment w:val="auto"/>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地点：广西政府采购云平台（https://www.gcy.zfcg.gxzf.gov.cn/）</w:t>
      </w:r>
    </w:p>
    <w:p w14:paraId="76E1B521">
      <w:pPr>
        <w:pageBreakBefore w:val="0"/>
        <w:kinsoku/>
        <w:wordWrap/>
        <w:overflowPunct/>
        <w:topLinePunct w:val="0"/>
        <w:autoSpaceDE/>
        <w:autoSpaceDN/>
        <w:bidi w:val="0"/>
        <w:adjustRightInd/>
        <w:spacing w:line="440" w:lineRule="exact"/>
        <w:ind w:firstLine="426"/>
        <w:textAlignment w:val="auto"/>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方式：</w:t>
      </w:r>
      <w:r>
        <w:rPr>
          <w:rFonts w:hint="eastAsia" w:ascii="宋体" w:hAnsi="宋体" w:eastAsia="宋体" w:cs="宋体"/>
          <w:sz w:val="21"/>
          <w:szCs w:val="21"/>
          <w:highlight w:val="none"/>
        </w:rPr>
        <w:t>网上下载。本项目不提供纸质文件，潜在供应商需在广西政府采购云平台（https://www.gcy.zfcg.gxzf.gov.cn/）-进入“项目采购”应用，在获取采购文件菜单中选择项目，获取招标文件。电子投标文件制作需要基于广西政府采购云平台获取的招标文件编制，通过其他方式获取招标文件的，将有可能导致供应商无法在广西政府采购云平台编制及上传投标文件。</w:t>
      </w:r>
    </w:p>
    <w:p w14:paraId="5CE6A159">
      <w:pPr>
        <w:pageBreakBefore w:val="0"/>
        <w:kinsoku/>
        <w:wordWrap/>
        <w:overflowPunct/>
        <w:topLinePunct w:val="0"/>
        <w:autoSpaceDE/>
        <w:autoSpaceDN/>
        <w:bidi w:val="0"/>
        <w:adjustRightInd/>
        <w:spacing w:line="440" w:lineRule="exact"/>
        <w:ind w:firstLine="426"/>
        <w:textAlignment w:val="auto"/>
        <w:rPr>
          <w:rFonts w:hint="eastAsia" w:ascii="宋体" w:hAnsi="宋体" w:eastAsia="宋体" w:cs="宋体"/>
          <w:color w:val="000000"/>
          <w:sz w:val="21"/>
          <w:szCs w:val="21"/>
          <w:highlight w:val="none"/>
        </w:rPr>
      </w:pPr>
      <w:r>
        <w:rPr>
          <w:rFonts w:hint="eastAsia" w:ascii="宋体" w:hAnsi="宋体" w:eastAsia="宋体" w:cs="宋体"/>
          <w:bCs/>
          <w:color w:val="000000"/>
          <w:kern w:val="0"/>
          <w:sz w:val="21"/>
          <w:szCs w:val="21"/>
          <w:highlight w:val="none"/>
        </w:rPr>
        <w:t>售价：</w:t>
      </w:r>
      <w:r>
        <w:rPr>
          <w:rFonts w:hint="eastAsia" w:ascii="宋体" w:hAnsi="宋体" w:eastAsia="宋体" w:cs="宋体"/>
          <w:bCs/>
          <w:color w:val="000000"/>
          <w:kern w:val="0"/>
          <w:sz w:val="21"/>
          <w:szCs w:val="21"/>
          <w:highlight w:val="none"/>
          <w:u w:val="single"/>
        </w:rPr>
        <w:t>0</w:t>
      </w:r>
      <w:r>
        <w:rPr>
          <w:rFonts w:hint="eastAsia" w:ascii="宋体" w:hAnsi="宋体" w:eastAsia="宋体" w:cs="宋体"/>
          <w:color w:val="000000"/>
          <w:sz w:val="21"/>
          <w:szCs w:val="21"/>
          <w:highlight w:val="none"/>
        </w:rPr>
        <w:t>元</w:t>
      </w:r>
    </w:p>
    <w:p w14:paraId="0BA8DE6E">
      <w:pPr>
        <w:pageBreakBefore w:val="0"/>
        <w:kinsoku/>
        <w:wordWrap/>
        <w:overflowPunct/>
        <w:topLinePunct w:val="0"/>
        <w:autoSpaceDE/>
        <w:autoSpaceDN/>
        <w:bidi w:val="0"/>
        <w:adjustRightInd/>
        <w:spacing w:line="440" w:lineRule="exact"/>
        <w:textAlignment w:val="auto"/>
        <w:rPr>
          <w:rFonts w:hint="eastAsia" w:ascii="宋体" w:hAnsi="宋体" w:eastAsia="宋体" w:cs="宋体"/>
          <w:b/>
          <w:bCs/>
          <w:color w:val="000000"/>
          <w:sz w:val="21"/>
          <w:szCs w:val="21"/>
          <w:highlight w:val="none"/>
        </w:rPr>
      </w:pPr>
      <w:bookmarkStart w:id="19" w:name="_Toc28359005"/>
      <w:bookmarkStart w:id="20" w:name="_Toc28359082"/>
      <w:bookmarkStart w:id="21" w:name="_Toc35393793"/>
      <w:bookmarkStart w:id="22" w:name="_Toc35393624"/>
      <w:r>
        <w:rPr>
          <w:rFonts w:hint="eastAsia" w:ascii="宋体" w:hAnsi="宋体" w:eastAsia="宋体" w:cs="宋体"/>
          <w:b/>
          <w:bCs/>
          <w:color w:val="000000"/>
          <w:sz w:val="21"/>
          <w:szCs w:val="21"/>
          <w:highlight w:val="none"/>
        </w:rPr>
        <w:t>四、提交投标文件</w:t>
      </w:r>
      <w:bookmarkEnd w:id="19"/>
      <w:bookmarkEnd w:id="20"/>
      <w:r>
        <w:rPr>
          <w:rFonts w:hint="eastAsia" w:ascii="宋体" w:hAnsi="宋体" w:eastAsia="宋体" w:cs="宋体"/>
          <w:b/>
          <w:bCs/>
          <w:color w:val="000000"/>
          <w:sz w:val="21"/>
          <w:szCs w:val="21"/>
          <w:highlight w:val="none"/>
        </w:rPr>
        <w:t>截止时间、开标时间和地点</w:t>
      </w:r>
      <w:bookmarkEnd w:id="21"/>
      <w:bookmarkEnd w:id="22"/>
    </w:p>
    <w:p w14:paraId="35F2F294">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u w:val="single"/>
        </w:rPr>
      </w:pPr>
      <w:bookmarkStart w:id="23" w:name="_Toc35393625"/>
      <w:bookmarkStart w:id="24" w:name="_Toc28359084"/>
      <w:bookmarkStart w:id="25" w:name="_Toc28359007"/>
      <w:bookmarkStart w:id="26" w:name="_Toc35393794"/>
      <w:r>
        <w:rPr>
          <w:rFonts w:hint="eastAsia" w:ascii="宋体" w:hAnsi="宋体" w:eastAsia="宋体" w:cs="宋体"/>
          <w:bCs/>
          <w:color w:val="000000"/>
          <w:sz w:val="21"/>
          <w:szCs w:val="21"/>
          <w:highlight w:val="none"/>
        </w:rPr>
        <w:t>时间：</w:t>
      </w:r>
      <w:r>
        <w:rPr>
          <w:rFonts w:hint="eastAsia" w:ascii="宋体" w:hAnsi="宋体" w:eastAsia="宋体" w:cs="宋体"/>
          <w:color w:val="000000"/>
          <w:sz w:val="21"/>
          <w:szCs w:val="21"/>
          <w:highlight w:val="none"/>
          <w:u w:val="single"/>
        </w:rPr>
        <w:t>20</w:t>
      </w:r>
      <w:r>
        <w:rPr>
          <w:rFonts w:hint="eastAsia" w:ascii="宋体" w:hAnsi="宋体" w:eastAsia="宋体" w:cs="宋体"/>
          <w:color w:val="000000"/>
          <w:sz w:val="21"/>
          <w:szCs w:val="21"/>
          <w:highlight w:val="none"/>
          <w:u w:val="single"/>
          <w:lang w:val="en-US" w:eastAsia="zh-CN"/>
        </w:rPr>
        <w:t>26</w:t>
      </w:r>
      <w:r>
        <w:rPr>
          <w:rFonts w:hint="eastAsia" w:ascii="宋体" w:hAnsi="宋体" w:eastAsia="宋体" w:cs="宋体"/>
          <w:color w:val="000000"/>
          <w:sz w:val="21"/>
          <w:szCs w:val="21"/>
          <w:highlight w:val="none"/>
          <w:u w:val="single"/>
        </w:rPr>
        <w:t>年</w:t>
      </w:r>
      <w:r>
        <w:rPr>
          <w:rFonts w:hint="default" w:ascii="宋体" w:hAnsi="宋体" w:cs="宋体"/>
          <w:color w:val="000000"/>
          <w:sz w:val="21"/>
          <w:szCs w:val="21"/>
          <w:highlight w:val="none"/>
          <w:u w:val="single"/>
          <w:lang w:val="en-US" w:eastAsia="zh-CN"/>
        </w:rPr>
        <w:t>6</w:t>
      </w:r>
      <w:r>
        <w:rPr>
          <w:rFonts w:hint="eastAsia" w:ascii="宋体" w:hAnsi="宋体" w:eastAsia="宋体" w:cs="宋体"/>
          <w:color w:val="000000"/>
          <w:sz w:val="21"/>
          <w:szCs w:val="21"/>
          <w:highlight w:val="none"/>
          <w:u w:val="single"/>
          <w:lang w:val="en-US" w:eastAsia="zh-CN"/>
        </w:rPr>
        <w:t>月</w:t>
      </w:r>
      <w:r>
        <w:rPr>
          <w:rFonts w:hint="default" w:ascii="宋体" w:hAnsi="宋体" w:cs="宋体"/>
          <w:color w:val="000000"/>
          <w:sz w:val="21"/>
          <w:szCs w:val="21"/>
          <w:highlight w:val="none"/>
          <w:u w:val="single"/>
          <w:lang w:val="en-US" w:eastAsia="zh-CN"/>
        </w:rPr>
        <w:t>22</w:t>
      </w:r>
      <w:r>
        <w:rPr>
          <w:rFonts w:hint="eastAsia" w:ascii="宋体" w:hAnsi="宋体" w:eastAsia="宋体" w:cs="宋体"/>
          <w:color w:val="000000"/>
          <w:sz w:val="21"/>
          <w:szCs w:val="21"/>
          <w:highlight w:val="none"/>
          <w:u w:val="single"/>
          <w:lang w:val="en-US" w:eastAsia="zh-CN"/>
        </w:rPr>
        <w:t>日</w:t>
      </w:r>
      <w:r>
        <w:rPr>
          <w:rFonts w:hint="eastAsia" w:ascii="宋体" w:hAnsi="宋体" w:eastAsia="宋体" w:cs="宋体"/>
          <w:color w:val="000000"/>
          <w:sz w:val="21"/>
          <w:szCs w:val="21"/>
          <w:highlight w:val="none"/>
          <w:u w:val="single"/>
        </w:rPr>
        <w:t>9时30分</w:t>
      </w:r>
      <w:r>
        <w:rPr>
          <w:rFonts w:hint="eastAsia" w:ascii="宋体" w:hAnsi="宋体" w:eastAsia="宋体" w:cs="宋体"/>
          <w:bCs/>
          <w:color w:val="000000"/>
          <w:sz w:val="21"/>
          <w:szCs w:val="21"/>
          <w:highlight w:val="none"/>
        </w:rPr>
        <w:t>（北京时间）</w:t>
      </w:r>
    </w:p>
    <w:p w14:paraId="2218C8BF">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投标地点：</w:t>
      </w:r>
      <w:r>
        <w:rPr>
          <w:rFonts w:hint="eastAsia" w:ascii="宋体" w:hAnsi="宋体" w:eastAsia="宋体" w:cs="宋体"/>
          <w:bCs/>
          <w:kern w:val="0"/>
          <w:sz w:val="21"/>
          <w:szCs w:val="21"/>
          <w:highlight w:val="none"/>
        </w:rPr>
        <w:t xml:space="preserve">广西政府采购云平台（https://www.gcy.zfcg.gxzf.gov.cn/） </w:t>
      </w:r>
    </w:p>
    <w:p w14:paraId="58C41E6D">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开标地点：</w:t>
      </w:r>
      <w:r>
        <w:rPr>
          <w:rFonts w:hint="eastAsia" w:ascii="宋体" w:hAnsi="宋体" w:eastAsia="宋体" w:cs="宋体"/>
          <w:bCs/>
          <w:kern w:val="0"/>
          <w:sz w:val="21"/>
          <w:szCs w:val="21"/>
          <w:highlight w:val="none"/>
        </w:rPr>
        <w:t xml:space="preserve">广西政府采购云平台（https://www.gcy.zfcg.gxzf.gov.cn/） </w:t>
      </w:r>
    </w:p>
    <w:p w14:paraId="40AE37F2">
      <w:pPr>
        <w:pageBreakBefore w:val="0"/>
        <w:kinsoku/>
        <w:wordWrap/>
        <w:overflowPunct/>
        <w:topLinePunct w:val="0"/>
        <w:autoSpaceDE/>
        <w:autoSpaceDN/>
        <w:bidi w:val="0"/>
        <w:adjustRightInd/>
        <w:spacing w:line="440" w:lineRule="exact"/>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五、公告期限</w:t>
      </w:r>
      <w:bookmarkEnd w:id="23"/>
      <w:bookmarkEnd w:id="24"/>
      <w:bookmarkEnd w:id="25"/>
      <w:bookmarkEnd w:id="26"/>
    </w:p>
    <w:p w14:paraId="5F688525">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自本公告发布之日起5个工作日。</w:t>
      </w:r>
    </w:p>
    <w:p w14:paraId="49CDAF1E">
      <w:pPr>
        <w:pageBreakBefore w:val="0"/>
        <w:kinsoku/>
        <w:wordWrap/>
        <w:overflowPunct/>
        <w:topLinePunct w:val="0"/>
        <w:autoSpaceDE/>
        <w:autoSpaceDN/>
        <w:bidi w:val="0"/>
        <w:adjustRightInd/>
        <w:spacing w:line="440" w:lineRule="exact"/>
        <w:textAlignment w:val="auto"/>
        <w:rPr>
          <w:rFonts w:hint="eastAsia" w:ascii="宋体" w:hAnsi="宋体" w:eastAsia="宋体" w:cs="宋体"/>
          <w:b/>
          <w:bCs/>
          <w:color w:val="000000"/>
          <w:sz w:val="21"/>
          <w:szCs w:val="21"/>
          <w:highlight w:val="none"/>
        </w:rPr>
      </w:pPr>
      <w:bookmarkStart w:id="27" w:name="_Toc35393795"/>
      <w:bookmarkStart w:id="28" w:name="_Toc35393626"/>
      <w:r>
        <w:rPr>
          <w:rFonts w:hint="eastAsia" w:ascii="宋体" w:hAnsi="宋体" w:eastAsia="宋体" w:cs="宋体"/>
          <w:b/>
          <w:bCs/>
          <w:color w:val="000000"/>
          <w:sz w:val="21"/>
          <w:szCs w:val="21"/>
          <w:highlight w:val="none"/>
        </w:rPr>
        <w:t>六、其他补充事宜</w:t>
      </w:r>
      <w:bookmarkEnd w:id="27"/>
      <w:bookmarkEnd w:id="28"/>
    </w:p>
    <w:p w14:paraId="59B435A0">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kern w:val="0"/>
          <w:sz w:val="21"/>
          <w:szCs w:val="21"/>
          <w:highlight w:val="none"/>
        </w:rPr>
      </w:pPr>
      <w:bookmarkStart w:id="29" w:name="_Hlk37429585"/>
      <w:bookmarkStart w:id="30" w:name="_Hlk37429595"/>
      <w:r>
        <w:rPr>
          <w:rFonts w:hint="eastAsia" w:ascii="宋体" w:hAnsi="宋体" w:eastAsia="宋体" w:cs="宋体"/>
          <w:color w:val="000000"/>
          <w:kern w:val="0"/>
          <w:sz w:val="21"/>
          <w:szCs w:val="21"/>
          <w:highlight w:val="none"/>
        </w:rPr>
        <w:t>1.网上查询地址</w:t>
      </w:r>
    </w:p>
    <w:p w14:paraId="2C09668A">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中国政府采购网、广西壮族自治区政府采购网、</w:t>
      </w:r>
      <w:bookmarkEnd w:id="29"/>
      <w:r>
        <w:rPr>
          <w:rFonts w:hint="eastAsia" w:ascii="宋体" w:hAnsi="宋体" w:eastAsia="宋体" w:cs="宋体"/>
          <w:color w:val="000000"/>
          <w:sz w:val="21"/>
          <w:szCs w:val="21"/>
          <w:highlight w:val="none"/>
        </w:rPr>
        <w:t>广西壮族自治区公共资源交易中心网、广西正海招标有限公司网。</w:t>
      </w:r>
    </w:p>
    <w:bookmarkEnd w:id="30"/>
    <w:p w14:paraId="3A02286F">
      <w:pPr>
        <w:pageBreakBefore w:val="0"/>
        <w:kinsoku/>
        <w:wordWrap/>
        <w:overflowPunct/>
        <w:topLinePunct w:val="0"/>
        <w:autoSpaceDE/>
        <w:autoSpaceDN/>
        <w:bidi w:val="0"/>
        <w:adjustRightInd/>
        <w:spacing w:line="440" w:lineRule="exact"/>
        <w:ind w:firstLine="424" w:firstLineChars="202"/>
        <w:textAlignment w:val="auto"/>
        <w:rPr>
          <w:rFonts w:hint="eastAsia" w:ascii="宋体" w:hAnsi="宋体" w:eastAsia="宋体" w:cs="宋体"/>
          <w:color w:val="000000"/>
          <w:kern w:val="0"/>
          <w:sz w:val="21"/>
          <w:szCs w:val="21"/>
          <w:highlight w:val="none"/>
        </w:rPr>
      </w:pPr>
      <w:bookmarkStart w:id="31" w:name="_Hlk37429674"/>
      <w:r>
        <w:rPr>
          <w:rFonts w:hint="eastAsia" w:ascii="宋体" w:hAnsi="宋体" w:eastAsia="宋体" w:cs="宋体"/>
          <w:color w:val="000000"/>
          <w:sz w:val="21"/>
          <w:szCs w:val="21"/>
          <w:highlight w:val="none"/>
        </w:rPr>
        <w:t>2.</w:t>
      </w:r>
      <w:r>
        <w:rPr>
          <w:rFonts w:hint="eastAsia" w:ascii="宋体" w:hAnsi="宋体" w:eastAsia="宋体" w:cs="宋体"/>
          <w:color w:val="000000"/>
          <w:kern w:val="0"/>
          <w:sz w:val="21"/>
          <w:szCs w:val="21"/>
          <w:highlight w:val="none"/>
        </w:rPr>
        <w:t>本项目需要落实的政府采购政策</w:t>
      </w:r>
    </w:p>
    <w:p w14:paraId="58DCAE80">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（1）政府采购促进中小企业发展。</w:t>
      </w:r>
    </w:p>
    <w:p w14:paraId="25C3EC81">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（2）政府采购支持采用本国产品的政策。</w:t>
      </w:r>
    </w:p>
    <w:p w14:paraId="4D9BC3BC">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（3）强制采购节能产品；优先采购节能产品、环境标志产品。</w:t>
      </w:r>
    </w:p>
    <w:p w14:paraId="71B38C45">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（4）政府采购促进残疾人就业政策。</w:t>
      </w:r>
    </w:p>
    <w:p w14:paraId="4ED8C0B1">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（5）政府采购支持监狱企业发展。</w:t>
      </w:r>
    </w:p>
    <w:bookmarkEnd w:id="31"/>
    <w:p w14:paraId="5C0BA164">
      <w:pPr>
        <w:pageBreakBefore w:val="0"/>
        <w:widowControl/>
        <w:kinsoku/>
        <w:wordWrap/>
        <w:overflowPunct/>
        <w:topLinePunct w:val="0"/>
        <w:autoSpaceDE/>
        <w:autoSpaceDN/>
        <w:bidi w:val="0"/>
        <w:adjustRightInd/>
        <w:spacing w:line="440" w:lineRule="exact"/>
        <w:ind w:firstLine="422" w:firstLineChars="200"/>
        <w:jc w:val="left"/>
        <w:textAlignment w:val="auto"/>
        <w:rPr>
          <w:rFonts w:hint="eastAsia" w:ascii="宋体" w:hAnsi="宋体" w:eastAsia="宋体" w:cs="宋体"/>
          <w:b/>
          <w:color w:val="000000"/>
          <w:sz w:val="21"/>
          <w:szCs w:val="21"/>
          <w:highlight w:val="none"/>
        </w:rPr>
      </w:pPr>
      <w:bookmarkStart w:id="32" w:name="_Toc28359085"/>
      <w:bookmarkStart w:id="33" w:name="_Toc28359008"/>
      <w:bookmarkStart w:id="34" w:name="_Toc35393627"/>
      <w:bookmarkStart w:id="35" w:name="_Toc35393796"/>
      <w:r>
        <w:rPr>
          <w:rFonts w:hint="eastAsia" w:ascii="宋体" w:hAnsi="宋体" w:eastAsia="宋体" w:cs="宋体"/>
          <w:b/>
          <w:color w:val="000000"/>
          <w:kern w:val="0"/>
          <w:sz w:val="21"/>
          <w:szCs w:val="21"/>
          <w:highlight w:val="none"/>
        </w:rPr>
        <w:t>3.投标人</w:t>
      </w:r>
      <w:r>
        <w:rPr>
          <w:rFonts w:hint="eastAsia" w:ascii="宋体" w:hAnsi="宋体" w:eastAsia="宋体" w:cs="宋体"/>
          <w:b/>
          <w:color w:val="000000"/>
          <w:sz w:val="21"/>
          <w:szCs w:val="21"/>
          <w:highlight w:val="none"/>
        </w:rPr>
        <w:t>投标注意事项</w:t>
      </w:r>
    </w:p>
    <w:p w14:paraId="3B1F90D7">
      <w:pPr>
        <w:pageBreakBefore w:val="0"/>
        <w:widowControl/>
        <w:kinsoku/>
        <w:wordWrap/>
        <w:overflowPunct/>
        <w:topLinePunct w:val="0"/>
        <w:autoSpaceDE/>
        <w:autoSpaceDN/>
        <w:bidi w:val="0"/>
        <w:adjustRightInd/>
        <w:spacing w:line="440" w:lineRule="exact"/>
        <w:ind w:firstLine="422" w:firstLineChars="200"/>
        <w:jc w:val="left"/>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1）本项目为全流程电子化采购项目，通过广西政府采购云平台（https://www.gcy.zfcg.gxzf.gov.cn/）实行在线电子投标，投标人应先安装“广西政府采购云平台客户端”（请自行前往“广西政府采购云平台（https://www.gcy.zfcg.gxzf.gov.cn/）”平台进行下载），并按照本项目招标文件和广西政府采购云平台的要求编制、加密后在投标截止时间前通过网络上传至 广西政府采购云平台（</w:t>
      </w:r>
      <w:r>
        <w:rPr>
          <w:rFonts w:hint="eastAsia" w:ascii="宋体" w:hAnsi="宋体" w:eastAsia="宋体" w:cs="宋体"/>
          <w:b/>
          <w:color w:val="000000"/>
          <w:sz w:val="21"/>
          <w:szCs w:val="21"/>
          <w:highlight w:val="none"/>
          <w:u w:val="single"/>
        </w:rPr>
        <w:t>加密的电子投标文件是指后缀名为“jmbs”的文件</w:t>
      </w:r>
      <w:r>
        <w:rPr>
          <w:rFonts w:hint="eastAsia" w:ascii="宋体" w:hAnsi="宋体" w:eastAsia="宋体" w:cs="宋体"/>
          <w:b/>
          <w:color w:val="000000"/>
          <w:sz w:val="21"/>
          <w:szCs w:val="21"/>
          <w:highlight w:val="none"/>
        </w:rPr>
        <w:t>），投标人在广西政府采购云平台提交电子投标文件时，请填写参加远程开标活动经办人联系方式。电子投标具体操作流程参考《政府采购项目电子交易管理操作指南-供应商》（详见广西壮族自治区政府采购网—办事服务—下载专区-</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"http://zfcg.gxzf.gov.cn/site/detail?parentId=66479&amp;articleId=+06E5n62B1RzrGh0ew1OFg==" \t "http://zfcg.gxzf.gov.cn/site/_blank" \o "广西政府采购云平台新版客户端" </w:instrText>
      </w:r>
      <w:r>
        <w:rPr>
          <w:rFonts w:hint="eastAsia" w:ascii="宋体" w:hAnsi="宋体" w:eastAsia="宋体" w:cs="宋体"/>
          <w:sz w:val="21"/>
          <w:szCs w:val="21"/>
          <w:highlight w:val="none"/>
        </w:rPr>
        <w:fldChar w:fldCharType="separate"/>
      </w:r>
      <w:r>
        <w:rPr>
          <w:rFonts w:hint="eastAsia" w:ascii="宋体" w:hAnsi="宋体" w:eastAsia="宋体" w:cs="宋体"/>
          <w:b/>
          <w:color w:val="000000"/>
          <w:sz w:val="21"/>
          <w:szCs w:val="21"/>
          <w:highlight w:val="none"/>
        </w:rPr>
        <w:t>广西政府采购云平台新版客户端</w:t>
      </w:r>
      <w:r>
        <w:rPr>
          <w:rFonts w:hint="eastAsia" w:ascii="宋体" w:hAnsi="宋体" w:eastAsia="宋体" w:cs="宋体"/>
          <w:b/>
          <w:color w:val="000000"/>
          <w:sz w:val="21"/>
          <w:szCs w:val="21"/>
          <w:highlight w:val="none"/>
        </w:rPr>
        <w:fldChar w:fldCharType="end"/>
      </w:r>
      <w:r>
        <w:rPr>
          <w:rFonts w:hint="eastAsia" w:ascii="宋体" w:hAnsi="宋体" w:eastAsia="宋体" w:cs="宋体"/>
          <w:b/>
          <w:color w:val="000000"/>
          <w:sz w:val="21"/>
          <w:szCs w:val="21"/>
          <w:highlight w:val="none"/>
        </w:rPr>
        <w:t>）。</w:t>
      </w:r>
    </w:p>
    <w:p w14:paraId="28133322">
      <w:pPr>
        <w:pageBreakBefore w:val="0"/>
        <w:widowControl/>
        <w:kinsoku/>
        <w:wordWrap/>
        <w:overflowPunct/>
        <w:topLinePunct w:val="0"/>
        <w:autoSpaceDE/>
        <w:autoSpaceDN/>
        <w:bidi w:val="0"/>
        <w:adjustRightInd/>
        <w:spacing w:line="440" w:lineRule="exact"/>
        <w:ind w:firstLine="422" w:firstLineChars="200"/>
        <w:jc w:val="left"/>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w:t>
      </w:r>
      <w:r>
        <w:rPr>
          <w:rFonts w:hint="eastAsia" w:ascii="宋体" w:hAnsi="宋体" w:eastAsia="宋体" w:cs="宋体"/>
          <w:b/>
          <w:color w:val="000000"/>
          <w:sz w:val="21"/>
          <w:szCs w:val="21"/>
          <w:highlight w:val="none"/>
          <w:lang w:eastAsia="zh-CN"/>
        </w:rPr>
        <w:t>登录</w:t>
      </w:r>
      <w:r>
        <w:rPr>
          <w:rFonts w:hint="eastAsia" w:ascii="宋体" w:hAnsi="宋体" w:eastAsia="宋体" w:cs="宋体"/>
          <w:b/>
          <w:color w:val="000000"/>
          <w:sz w:val="21"/>
          <w:szCs w:val="21"/>
          <w:highlight w:val="none"/>
        </w:rPr>
        <w:t>广西政府采购云平台</w:t>
      </w:r>
      <w:r>
        <w:rPr>
          <w:rFonts w:hint="eastAsia" w:ascii="宋体" w:hAnsi="宋体" w:eastAsia="宋体" w:cs="宋体"/>
          <w:b/>
          <w:color w:val="000000"/>
          <w:kern w:val="0"/>
          <w:sz w:val="21"/>
          <w:szCs w:val="21"/>
          <w:highlight w:val="none"/>
        </w:rPr>
        <w:t>，</w:t>
      </w:r>
      <w:r>
        <w:rPr>
          <w:rFonts w:hint="eastAsia" w:ascii="宋体" w:hAnsi="宋体" w:eastAsia="宋体" w:cs="宋体"/>
          <w:b/>
          <w:color w:val="000000"/>
          <w:sz w:val="21"/>
          <w:szCs w:val="21"/>
          <w:highlight w:val="none"/>
        </w:rPr>
        <w:t>依次进入“CA管理-申领CA”中查看CA数字证书办理操作流程。</w:t>
      </w:r>
      <w:r>
        <w:rPr>
          <w:rFonts w:hint="eastAsia" w:ascii="宋体" w:hAnsi="宋体" w:eastAsia="宋体" w:cs="宋体"/>
          <w:b/>
          <w:bCs/>
          <w:color w:val="000000"/>
          <w:kern w:val="0"/>
          <w:sz w:val="21"/>
          <w:szCs w:val="21"/>
          <w:highlight w:val="none"/>
        </w:rPr>
        <w:t>如在操作过程中遇到问题或者需要技术支持，请致电客服热线：95763</w:t>
      </w:r>
      <w:r>
        <w:rPr>
          <w:rFonts w:hint="eastAsia" w:ascii="宋体" w:hAnsi="宋体" w:eastAsia="宋体" w:cs="宋体"/>
          <w:b/>
          <w:color w:val="000000"/>
          <w:sz w:val="21"/>
          <w:szCs w:val="21"/>
          <w:highlight w:val="none"/>
        </w:rPr>
        <w:t>）。</w:t>
      </w:r>
    </w:p>
    <w:p w14:paraId="418BF7DC">
      <w:pPr>
        <w:pageBreakBefore w:val="0"/>
        <w:kinsoku/>
        <w:wordWrap/>
        <w:overflowPunct/>
        <w:topLinePunct w:val="0"/>
        <w:autoSpaceDE/>
        <w:autoSpaceDN/>
        <w:bidi w:val="0"/>
        <w:adjustRightInd/>
        <w:snapToGrid w:val="0"/>
        <w:spacing w:line="440" w:lineRule="exact"/>
        <w:ind w:firstLine="422" w:firstLineChars="200"/>
        <w:textAlignment w:val="auto"/>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（3）CA证书在线解密：投标人投标时，需凭制作投标文件时用来加密的有效数字证书（CA认证）登录</w:t>
      </w:r>
      <w:r>
        <w:rPr>
          <w:rFonts w:hint="eastAsia" w:ascii="宋体" w:hAnsi="宋体" w:eastAsia="宋体" w:cs="宋体"/>
          <w:b/>
          <w:color w:val="000000"/>
          <w:sz w:val="21"/>
          <w:szCs w:val="21"/>
          <w:highlight w:val="none"/>
        </w:rPr>
        <w:t>广西政府采购云平台</w:t>
      </w:r>
      <w:r>
        <w:rPr>
          <w:rFonts w:hint="eastAsia" w:ascii="宋体" w:hAnsi="宋体" w:eastAsia="宋体" w:cs="宋体"/>
          <w:b/>
          <w:color w:val="000000"/>
          <w:kern w:val="0"/>
          <w:sz w:val="21"/>
          <w:szCs w:val="21"/>
          <w:highlight w:val="none"/>
        </w:rPr>
        <w:t>电子开标大厅现场按规定时间对加密的投标文件进行解密，否则后果自负。</w:t>
      </w:r>
    </w:p>
    <w:p w14:paraId="21000BE9">
      <w:pPr>
        <w:pageBreakBefore w:val="0"/>
        <w:kinsoku/>
        <w:wordWrap/>
        <w:overflowPunct/>
        <w:topLinePunct w:val="0"/>
        <w:autoSpaceDE/>
        <w:autoSpaceDN/>
        <w:bidi w:val="0"/>
        <w:adjustRightInd/>
        <w:spacing w:line="440" w:lineRule="exact"/>
        <w:ind w:firstLine="426" w:firstLineChars="202"/>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注：</w:t>
      </w:r>
    </w:p>
    <w:p w14:paraId="5F960AC6">
      <w:pPr>
        <w:pageBreakBefore w:val="0"/>
        <w:kinsoku/>
        <w:wordWrap/>
        <w:overflowPunct/>
        <w:topLinePunct w:val="0"/>
        <w:autoSpaceDE/>
        <w:autoSpaceDN/>
        <w:bidi w:val="0"/>
        <w:adjustRightInd/>
        <w:spacing w:line="440" w:lineRule="exact"/>
        <w:ind w:firstLine="426" w:firstLineChars="202"/>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fldChar w:fldCharType="begin"/>
      </w:r>
      <w:r>
        <w:rPr>
          <w:rFonts w:hint="eastAsia" w:ascii="宋体" w:hAnsi="宋体" w:eastAsia="宋体" w:cs="宋体"/>
          <w:b/>
          <w:color w:val="000000"/>
          <w:sz w:val="21"/>
          <w:szCs w:val="21"/>
          <w:highlight w:val="none"/>
        </w:rPr>
        <w:instrText xml:space="preserve"> = 1 \* GB3 </w:instrText>
      </w:r>
      <w:r>
        <w:rPr>
          <w:rFonts w:hint="eastAsia" w:ascii="宋体" w:hAnsi="宋体" w:eastAsia="宋体" w:cs="宋体"/>
          <w:b/>
          <w:color w:val="000000"/>
          <w:sz w:val="21"/>
          <w:szCs w:val="21"/>
          <w:highlight w:val="none"/>
        </w:rPr>
        <w:fldChar w:fldCharType="separate"/>
      </w:r>
      <w:r>
        <w:rPr>
          <w:rFonts w:hint="eastAsia" w:ascii="宋体" w:hAnsi="宋体" w:eastAsia="宋体" w:cs="宋体"/>
          <w:b/>
          <w:color w:val="000000"/>
          <w:sz w:val="21"/>
          <w:szCs w:val="21"/>
          <w:highlight w:val="none"/>
        </w:rPr>
        <w:t>①</w:t>
      </w:r>
      <w:r>
        <w:rPr>
          <w:rFonts w:hint="eastAsia" w:ascii="宋体" w:hAnsi="宋体" w:eastAsia="宋体" w:cs="宋体"/>
          <w:b/>
          <w:color w:val="000000"/>
          <w:sz w:val="21"/>
          <w:szCs w:val="21"/>
          <w:highlight w:val="none"/>
        </w:rPr>
        <w:fldChar w:fldCharType="end"/>
      </w:r>
      <w:r>
        <w:rPr>
          <w:rFonts w:hint="eastAsia" w:ascii="宋体" w:hAnsi="宋体" w:eastAsia="宋体" w:cs="宋体"/>
          <w:b/>
          <w:color w:val="000000"/>
          <w:sz w:val="21"/>
          <w:szCs w:val="21"/>
          <w:highlight w:val="none"/>
        </w:rPr>
        <w:t>为确保网上操作合法、有效和安全，请投标人确保在电子投标过程中能够对相关数据电文进行加密和使用电子签章，妥善保管CA数字证书并使用有效的CA数字证书参与整个招标活动。</w:t>
      </w:r>
    </w:p>
    <w:p w14:paraId="767DD9C8">
      <w:pPr>
        <w:pageBreakBefore w:val="0"/>
        <w:kinsoku/>
        <w:wordWrap/>
        <w:overflowPunct/>
        <w:topLinePunct w:val="0"/>
        <w:autoSpaceDE/>
        <w:autoSpaceDN/>
        <w:bidi w:val="0"/>
        <w:adjustRightInd/>
        <w:spacing w:line="440" w:lineRule="exact"/>
        <w:ind w:firstLine="426" w:firstLineChars="202"/>
        <w:textAlignment w:val="auto"/>
        <w:rPr>
          <w:rFonts w:hint="eastAsia" w:ascii="宋体" w:hAnsi="宋体" w:eastAsia="宋体" w:cs="宋体"/>
          <w:b/>
          <w:bCs/>
          <w:color w:val="000000"/>
          <w:sz w:val="21"/>
          <w:szCs w:val="21"/>
          <w:highlight w:val="none"/>
        </w:rPr>
      </w:pPr>
      <w:r>
        <w:rPr>
          <w:rFonts w:hint="eastAsia" w:ascii="宋体" w:hAnsi="宋体" w:eastAsia="宋体" w:cs="宋体"/>
          <w:b/>
          <w:color w:val="000000"/>
          <w:sz w:val="21"/>
          <w:szCs w:val="21"/>
          <w:highlight w:val="none"/>
        </w:rPr>
        <w:fldChar w:fldCharType="begin"/>
      </w:r>
      <w:r>
        <w:rPr>
          <w:rFonts w:hint="eastAsia" w:ascii="宋体" w:hAnsi="宋体" w:eastAsia="宋体" w:cs="宋体"/>
          <w:b/>
          <w:color w:val="000000"/>
          <w:sz w:val="21"/>
          <w:szCs w:val="21"/>
          <w:highlight w:val="none"/>
        </w:rPr>
        <w:instrText xml:space="preserve"> = 2 \* GB3 </w:instrText>
      </w:r>
      <w:r>
        <w:rPr>
          <w:rFonts w:hint="eastAsia" w:ascii="宋体" w:hAnsi="宋体" w:eastAsia="宋体" w:cs="宋体"/>
          <w:b/>
          <w:color w:val="000000"/>
          <w:sz w:val="21"/>
          <w:szCs w:val="21"/>
          <w:highlight w:val="none"/>
        </w:rPr>
        <w:fldChar w:fldCharType="separate"/>
      </w:r>
      <w:r>
        <w:rPr>
          <w:rFonts w:hint="eastAsia" w:ascii="宋体" w:hAnsi="宋体" w:eastAsia="宋体" w:cs="宋体"/>
          <w:b/>
          <w:color w:val="000000"/>
          <w:sz w:val="21"/>
          <w:szCs w:val="21"/>
          <w:highlight w:val="none"/>
        </w:rPr>
        <w:t>②</w:t>
      </w:r>
      <w:r>
        <w:rPr>
          <w:rFonts w:hint="eastAsia" w:ascii="宋体" w:hAnsi="宋体" w:eastAsia="宋体" w:cs="宋体"/>
          <w:b/>
          <w:color w:val="000000"/>
          <w:sz w:val="21"/>
          <w:szCs w:val="21"/>
          <w:highlight w:val="none"/>
        </w:rPr>
        <w:fldChar w:fldCharType="end"/>
      </w:r>
      <w:r>
        <w:rPr>
          <w:rFonts w:hint="eastAsia" w:ascii="宋体" w:hAnsi="宋体" w:eastAsia="宋体" w:cs="宋体"/>
          <w:b/>
          <w:bCs/>
          <w:color w:val="000000"/>
          <w:sz w:val="21"/>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宋体" w:cs="宋体"/>
          <w:b/>
          <w:color w:val="000000"/>
          <w:sz w:val="21"/>
          <w:szCs w:val="21"/>
          <w:highlight w:val="none"/>
        </w:rPr>
        <w:t>广西政府采购云平台</w:t>
      </w:r>
      <w:r>
        <w:rPr>
          <w:rFonts w:hint="eastAsia" w:ascii="宋体" w:hAnsi="宋体" w:eastAsia="宋体" w:cs="宋体"/>
          <w:b/>
          <w:bCs/>
          <w:color w:val="000000"/>
          <w:sz w:val="21"/>
          <w:szCs w:val="21"/>
          <w:highlight w:val="none"/>
        </w:rPr>
        <w:t>将予以拒收。</w:t>
      </w:r>
    </w:p>
    <w:p w14:paraId="5D3DA3CC">
      <w:pPr>
        <w:pageBreakBefore w:val="0"/>
        <w:kinsoku/>
        <w:wordWrap/>
        <w:overflowPunct/>
        <w:topLinePunct w:val="0"/>
        <w:autoSpaceDE/>
        <w:autoSpaceDN/>
        <w:bidi w:val="0"/>
        <w:adjustRightInd/>
        <w:spacing w:line="440" w:lineRule="exact"/>
        <w:ind w:firstLine="426" w:firstLineChars="202"/>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（4）投标人需要在具备有摄像头及语音功能且互联网网络状况良好的电脑登录“广西政府采购云平台”远程开标大厅参与本次投标，否则后果自负。</w:t>
      </w:r>
    </w:p>
    <w:p w14:paraId="7BD3D3EB">
      <w:pPr>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七、对本次招标提出询问，请按以下方式联系。</w:t>
      </w:r>
      <w:bookmarkEnd w:id="32"/>
      <w:bookmarkEnd w:id="33"/>
      <w:bookmarkEnd w:id="34"/>
      <w:bookmarkEnd w:id="35"/>
    </w:p>
    <w:p w14:paraId="7FF03A41">
      <w:pPr>
        <w:pageBreakBefore w:val="0"/>
        <w:kinsoku/>
        <w:wordWrap/>
        <w:overflowPunct/>
        <w:topLinePunct w:val="0"/>
        <w:autoSpaceDE/>
        <w:autoSpaceDN/>
        <w:bidi w:val="0"/>
        <w:adjustRightInd/>
        <w:spacing w:line="440" w:lineRule="exact"/>
        <w:ind w:firstLine="567" w:firstLineChars="27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1.采购人信息</w:t>
      </w:r>
    </w:p>
    <w:p w14:paraId="2DDD1B62">
      <w:pPr>
        <w:pageBreakBefore w:val="0"/>
        <w:kinsoku/>
        <w:wordWrap/>
        <w:overflowPunct/>
        <w:topLinePunct w:val="0"/>
        <w:autoSpaceDE/>
        <w:autoSpaceDN/>
        <w:bidi w:val="0"/>
        <w:adjustRightInd/>
        <w:spacing w:line="440" w:lineRule="exact"/>
        <w:ind w:firstLine="567" w:firstLineChars="27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名</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称：广西制造工程职业技术学院</w:t>
      </w:r>
    </w:p>
    <w:p w14:paraId="20BC9659">
      <w:pPr>
        <w:pageBreakBefore w:val="0"/>
        <w:kinsoku/>
        <w:wordWrap/>
        <w:overflowPunct/>
        <w:topLinePunct w:val="0"/>
        <w:autoSpaceDE/>
        <w:autoSpaceDN/>
        <w:bidi w:val="0"/>
        <w:adjustRightInd/>
        <w:spacing w:line="440" w:lineRule="exact"/>
        <w:ind w:firstLine="567" w:firstLineChars="27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地</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址：广西南宁市武鸣区（广西—东盟经济技术开发区）宝源南路29号</w:t>
      </w:r>
    </w:p>
    <w:p w14:paraId="504EA932">
      <w:pPr>
        <w:pageBreakBefore w:val="0"/>
        <w:kinsoku/>
        <w:wordWrap/>
        <w:overflowPunct/>
        <w:topLinePunct w:val="0"/>
        <w:autoSpaceDE/>
        <w:autoSpaceDN/>
        <w:bidi w:val="0"/>
        <w:adjustRightInd/>
        <w:spacing w:line="440" w:lineRule="exact"/>
        <w:ind w:firstLine="567" w:firstLineChars="27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联系方式：</w:t>
      </w:r>
      <w:r>
        <w:rPr>
          <w:rFonts w:hint="eastAsia" w:ascii="宋体" w:hAnsi="宋体" w:eastAsia="宋体" w:cs="宋体"/>
          <w:sz w:val="21"/>
          <w:szCs w:val="21"/>
          <w:highlight w:val="none"/>
          <w:lang w:eastAsia="zh-CN"/>
        </w:rPr>
        <w:t>龚小泳</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0771-2206200</w:t>
      </w:r>
    </w:p>
    <w:p w14:paraId="23BD1E81">
      <w:pPr>
        <w:pageBreakBefore w:val="0"/>
        <w:kinsoku/>
        <w:wordWrap/>
        <w:overflowPunct/>
        <w:topLinePunct w:val="0"/>
        <w:autoSpaceDE/>
        <w:autoSpaceDN/>
        <w:bidi w:val="0"/>
        <w:adjustRightInd/>
        <w:spacing w:line="440" w:lineRule="exact"/>
        <w:ind w:firstLine="567" w:firstLineChars="270"/>
        <w:jc w:val="left"/>
        <w:textAlignment w:val="auto"/>
        <w:rPr>
          <w:rFonts w:hint="eastAsia" w:ascii="宋体" w:hAnsi="宋体" w:eastAsia="宋体" w:cs="宋体"/>
          <w:color w:val="000000"/>
          <w:sz w:val="21"/>
          <w:szCs w:val="21"/>
          <w:highlight w:val="none"/>
        </w:rPr>
      </w:pPr>
      <w:bookmarkStart w:id="36" w:name="_Toc28359009"/>
      <w:bookmarkStart w:id="37" w:name="_Toc28359086"/>
      <w:r>
        <w:rPr>
          <w:rFonts w:hint="eastAsia" w:ascii="宋体" w:hAnsi="宋体" w:eastAsia="宋体" w:cs="宋体"/>
          <w:color w:val="000000"/>
          <w:sz w:val="21"/>
          <w:szCs w:val="21"/>
          <w:highlight w:val="none"/>
        </w:rPr>
        <w:t>2.采购代理机构信息</w:t>
      </w:r>
      <w:bookmarkEnd w:id="36"/>
      <w:bookmarkEnd w:id="37"/>
    </w:p>
    <w:p w14:paraId="3102F7F3">
      <w:pPr>
        <w:pageBreakBefore w:val="0"/>
        <w:kinsoku/>
        <w:wordWrap/>
        <w:overflowPunct/>
        <w:topLinePunct w:val="0"/>
        <w:autoSpaceDE/>
        <w:autoSpaceDN/>
        <w:bidi w:val="0"/>
        <w:adjustRightInd/>
        <w:spacing w:line="440" w:lineRule="exact"/>
        <w:ind w:firstLine="567" w:firstLineChars="27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名</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称：广西正海招标有限公司</w:t>
      </w:r>
    </w:p>
    <w:p w14:paraId="0BC4DA3D">
      <w:pPr>
        <w:pageBreakBefore w:val="0"/>
        <w:kinsoku/>
        <w:wordWrap/>
        <w:overflowPunct/>
        <w:topLinePunct w:val="0"/>
        <w:autoSpaceDE/>
        <w:autoSpaceDN/>
        <w:bidi w:val="0"/>
        <w:adjustRightInd/>
        <w:spacing w:line="440" w:lineRule="exact"/>
        <w:ind w:firstLine="567" w:firstLineChars="27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地</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址：</w:t>
      </w:r>
      <w:r>
        <w:rPr>
          <w:rFonts w:hint="eastAsia" w:ascii="宋体" w:hAnsi="宋体" w:eastAsia="宋体" w:cs="宋体"/>
          <w:color w:val="000000" w:themeColor="text1"/>
          <w:sz w:val="21"/>
          <w:szCs w:val="21"/>
          <w:highlight w:val="none"/>
          <w:lang w:eastAsia="zh-CN"/>
          <w14:textFill>
            <w14:solidFill>
              <w14:schemeClr w14:val="tx1"/>
            </w14:solidFill>
          </w14:textFill>
        </w:rPr>
        <w:t>南宁市青秀区茅桥路2号习艺基地A栋1号电梯3楼</w:t>
      </w:r>
    </w:p>
    <w:p w14:paraId="6D509412">
      <w:pPr>
        <w:pageBreakBefore w:val="0"/>
        <w:kinsoku/>
        <w:wordWrap/>
        <w:overflowPunct/>
        <w:topLinePunct w:val="0"/>
        <w:autoSpaceDE/>
        <w:autoSpaceDN/>
        <w:bidi w:val="0"/>
        <w:adjustRightInd/>
        <w:spacing w:line="440" w:lineRule="exact"/>
        <w:ind w:firstLine="567" w:firstLineChars="27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联系方式：</w:t>
      </w:r>
      <w:bookmarkStart w:id="38" w:name="_Toc28359010"/>
      <w:bookmarkStart w:id="39" w:name="_Toc28359087"/>
      <w:r>
        <w:rPr>
          <w:rFonts w:hint="eastAsia" w:ascii="宋体" w:hAnsi="宋体" w:eastAsia="宋体" w:cs="宋体"/>
          <w:color w:val="000000"/>
          <w:sz w:val="21"/>
          <w:szCs w:val="21"/>
          <w:highlight w:val="none"/>
        </w:rPr>
        <w:t>0771-2865989</w:t>
      </w:r>
    </w:p>
    <w:p w14:paraId="07A4358E">
      <w:pPr>
        <w:pageBreakBefore w:val="0"/>
        <w:kinsoku/>
        <w:wordWrap/>
        <w:overflowPunct/>
        <w:topLinePunct w:val="0"/>
        <w:autoSpaceDE/>
        <w:autoSpaceDN/>
        <w:bidi w:val="0"/>
        <w:adjustRightInd/>
        <w:spacing w:line="440" w:lineRule="exact"/>
        <w:ind w:firstLine="567" w:firstLineChars="27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3.项目联系方式</w:t>
      </w:r>
      <w:bookmarkEnd w:id="38"/>
      <w:bookmarkEnd w:id="39"/>
    </w:p>
    <w:p w14:paraId="7F998471">
      <w:pPr>
        <w:pStyle w:val="25"/>
        <w:pageBreakBefore w:val="0"/>
        <w:kinsoku/>
        <w:wordWrap/>
        <w:overflowPunct/>
        <w:topLinePunct w:val="0"/>
        <w:autoSpaceDE/>
        <w:autoSpaceDN/>
        <w:bidi w:val="0"/>
        <w:adjustRightInd/>
        <w:spacing w:line="440" w:lineRule="exact"/>
        <w:ind w:firstLine="567" w:firstLineChars="27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项目联系人：</w:t>
      </w:r>
      <w:r>
        <w:rPr>
          <w:rFonts w:hint="eastAsia" w:hAnsi="宋体" w:cs="宋体"/>
          <w:color w:val="000000"/>
          <w:sz w:val="21"/>
          <w:szCs w:val="21"/>
          <w:highlight w:val="none"/>
          <w:lang w:eastAsia="zh-CN"/>
        </w:rPr>
        <w:t>覃旭理、谭斯少、王玉娇</w:t>
      </w:r>
    </w:p>
    <w:p w14:paraId="4AD7983C">
      <w:pPr>
        <w:pageBreakBefore w:val="0"/>
        <w:kinsoku/>
        <w:wordWrap/>
        <w:overflowPunct/>
        <w:topLinePunct w:val="0"/>
        <w:autoSpaceDE/>
        <w:autoSpaceDN/>
        <w:bidi w:val="0"/>
        <w:adjustRightInd/>
        <w:spacing w:line="440" w:lineRule="exact"/>
        <w:ind w:firstLine="567" w:firstLineChars="27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　话：0771-2865989</w:t>
      </w:r>
    </w:p>
    <w:p w14:paraId="44210E34">
      <w:pPr>
        <w:pStyle w:val="2"/>
        <w:pageBreakBefore w:val="0"/>
        <w:kinsoku/>
        <w:wordWrap/>
        <w:overflowPunct/>
        <w:topLinePunct w:val="0"/>
        <w:autoSpaceDE/>
        <w:autoSpaceDN/>
        <w:bidi w:val="0"/>
        <w:adjustRightInd/>
        <w:spacing w:before="0" w:after="0" w:line="440" w:lineRule="exact"/>
        <w:jc w:val="center"/>
        <w:textAlignment w:val="auto"/>
        <w:rPr>
          <w:rFonts w:hint="eastAsia" w:ascii="宋体" w:hAnsi="宋体" w:eastAsia="宋体" w:cs="宋体"/>
          <w:b w:val="0"/>
          <w:bCs w:val="0"/>
          <w:color w:val="000000" w:themeColor="text1"/>
          <w:kern w:val="2"/>
          <w:sz w:val="21"/>
          <w:szCs w:val="21"/>
          <w:highlight w:val="none"/>
          <w14:textFill>
            <w14:solidFill>
              <w14:schemeClr w14:val="tx1"/>
            </w14:solidFill>
          </w14:textFill>
        </w:rPr>
      </w:pPr>
      <w:r>
        <w:rPr>
          <w:rFonts w:hint="eastAsia" w:ascii="宋体" w:hAnsi="宋体" w:eastAsia="宋体" w:cs="宋体"/>
          <w:b w:val="0"/>
          <w:bCs w:val="0"/>
          <w:color w:val="000000" w:themeColor="text1"/>
          <w:kern w:val="2"/>
          <w:sz w:val="21"/>
          <w:szCs w:val="21"/>
          <w:highlight w:val="none"/>
          <w14:textFill>
            <w14:solidFill>
              <w14:schemeClr w14:val="tx1"/>
            </w14:solidFill>
          </w14:textFill>
        </w:rPr>
        <w:t xml:space="preserve">                                              </w:t>
      </w:r>
      <w:bookmarkStart w:id="40" w:name="_Toc29724"/>
      <w:r>
        <w:rPr>
          <w:rFonts w:hint="eastAsia" w:ascii="宋体" w:hAnsi="宋体" w:eastAsia="宋体" w:cs="宋体"/>
          <w:b w:val="0"/>
          <w:bCs w:val="0"/>
          <w:color w:val="000000" w:themeColor="text1"/>
          <w:kern w:val="2"/>
          <w:sz w:val="21"/>
          <w:szCs w:val="21"/>
          <w:highlight w:val="none"/>
          <w14:textFill>
            <w14:solidFill>
              <w14:schemeClr w14:val="tx1"/>
            </w14:solidFill>
          </w14:textFill>
        </w:rPr>
        <w:t>广西正海招标有限公司</w:t>
      </w:r>
      <w:bookmarkEnd w:id="40"/>
    </w:p>
    <w:p w14:paraId="3526E734">
      <w:pPr>
        <w:pageBreakBefore w:val="0"/>
        <w:kinsoku/>
        <w:wordWrap/>
        <w:overflowPunct/>
        <w:topLinePunct w:val="0"/>
        <w:autoSpaceDE/>
        <w:autoSpaceDN/>
        <w:bidi w:val="0"/>
        <w:adjustRightInd/>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20</w:t>
      </w:r>
      <w:r>
        <w:rPr>
          <w:rFonts w:hint="eastAsia" w:ascii="宋体" w:hAnsi="宋体" w:eastAsia="宋体" w:cs="宋体"/>
          <w:color w:val="000000" w:themeColor="text1"/>
          <w:sz w:val="21"/>
          <w:szCs w:val="21"/>
          <w:highlight w:val="none"/>
          <w:lang w:val="en-US" w:eastAsia="zh-CN"/>
          <w14:textFill>
            <w14:solidFill>
              <w14:schemeClr w14:val="tx1"/>
            </w14:solidFill>
          </w14:textFill>
        </w:rPr>
        <w:t>26</w:t>
      </w:r>
      <w:r>
        <w:rPr>
          <w:rFonts w:hint="eastAsia" w:ascii="宋体" w:hAnsi="宋体" w:eastAsia="宋体" w:cs="宋体"/>
          <w:color w:val="000000" w:themeColor="text1"/>
          <w:sz w:val="21"/>
          <w:szCs w:val="21"/>
          <w:highlight w:val="none"/>
          <w14:textFill>
            <w14:solidFill>
              <w14:schemeClr w14:val="tx1"/>
            </w14:solidFill>
          </w14:textFill>
        </w:rPr>
        <w:t>年</w:t>
      </w:r>
      <w:r>
        <w:rPr>
          <w:rFonts w:hint="default"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月</w:t>
      </w:r>
      <w:r>
        <w:rPr>
          <w:rFonts w:hint="default" w:ascii="宋体" w:hAnsi="宋体" w:cs="宋体"/>
          <w:color w:val="000000" w:themeColor="text1"/>
          <w:sz w:val="21"/>
          <w:szCs w:val="21"/>
          <w:highlight w:val="none"/>
          <w:lang w:val="en-US" w:eastAsia="zh-CN"/>
          <w14:textFill>
            <w14:solidFill>
              <w14:schemeClr w14:val="tx1"/>
            </w14:solidFill>
          </w14:textFill>
        </w:rPr>
        <w:t>29</w:t>
      </w:r>
      <w:r>
        <w:rPr>
          <w:rFonts w:hint="eastAsia" w:ascii="宋体" w:hAnsi="宋体" w:eastAsia="宋体" w:cs="宋体"/>
          <w:color w:val="000000" w:themeColor="text1"/>
          <w:sz w:val="21"/>
          <w:szCs w:val="21"/>
          <w:highlight w:val="none"/>
          <w14:textFill>
            <w14:solidFill>
              <w14:schemeClr w14:val="tx1"/>
            </w14:solidFill>
          </w14:textFill>
        </w:rPr>
        <w:t>日</w:t>
      </w:r>
    </w:p>
    <w:p w14:paraId="6570DA18">
      <w:pPr>
        <w:pStyle w:val="59"/>
        <w:rPr>
          <w:rFonts w:hint="eastAsia" w:ascii="宋体" w:hAnsi="宋体" w:cs="宋体"/>
          <w:color w:val="000000" w:themeColor="text1"/>
          <w:szCs w:val="21"/>
          <w:highlight w:val="none"/>
          <w14:textFill>
            <w14:solidFill>
              <w14:schemeClr w14:val="tx1"/>
            </w14:solidFill>
          </w14:textFill>
        </w:rPr>
      </w:pPr>
    </w:p>
    <w:p w14:paraId="1DCA43E6">
      <w:pPr>
        <w:rPr>
          <w:rFonts w:hint="eastAsia" w:ascii="宋体" w:hAnsi="宋体" w:cs="宋体"/>
          <w:color w:val="000000" w:themeColor="text1"/>
          <w:szCs w:val="21"/>
          <w:highlight w:val="none"/>
          <w14:textFill>
            <w14:solidFill>
              <w14:schemeClr w14:val="tx1"/>
            </w14:solidFill>
          </w14:textFill>
        </w:rPr>
      </w:pPr>
    </w:p>
    <w:p w14:paraId="25FD351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p>
    <w:p w14:paraId="0E4C1390">
      <w:pPr>
        <w:pStyle w:val="2"/>
        <w:spacing w:before="0" w:after="0" w:line="360" w:lineRule="auto"/>
        <w:jc w:val="center"/>
        <w:rPr>
          <w:color w:val="000000"/>
          <w:highlight w:val="none"/>
        </w:rPr>
      </w:pPr>
      <w:bookmarkStart w:id="41" w:name="_Toc10462"/>
      <w:r>
        <w:rPr>
          <w:rFonts w:hint="eastAsia"/>
          <w:color w:val="000000"/>
          <w:highlight w:val="none"/>
        </w:rPr>
        <w:t>第二章  采购需求</w:t>
      </w:r>
      <w:bookmarkEnd w:id="41"/>
    </w:p>
    <w:p w14:paraId="035AF011">
      <w:pPr>
        <w:spacing w:line="360" w:lineRule="auto"/>
        <w:jc w:val="left"/>
        <w:rPr>
          <w:rFonts w:ascii="宋体" w:hAnsi="宋体" w:cs="宋体"/>
          <w:color w:val="000000"/>
          <w:szCs w:val="21"/>
          <w:highlight w:val="none"/>
        </w:rPr>
      </w:pPr>
      <w:bookmarkStart w:id="42" w:name="_Toc254970490"/>
      <w:bookmarkStart w:id="43" w:name="_Toc254970631"/>
      <w:r>
        <w:rPr>
          <w:rFonts w:hint="eastAsia" w:ascii="宋体" w:hAnsi="宋体" w:cs="宋体"/>
          <w:color w:val="000000"/>
          <w:szCs w:val="21"/>
          <w:highlight w:val="none"/>
        </w:rPr>
        <w:t>说明：</w:t>
      </w:r>
    </w:p>
    <w:p w14:paraId="31C591D7">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highlight w:val="none"/>
        </w:rPr>
        <w:t>1.为落实政府采购政策需满足的要求（根据项目实际情况填写内容）</w:t>
      </w:r>
    </w:p>
    <w:p w14:paraId="61686FCA">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（1）本招标文件所称中小企业必须符合《政府采购促进中小企业发展管理办法》（财库〔2020〕46号）的规定。</w:t>
      </w:r>
    </w:p>
    <w:p w14:paraId="26DDF10F">
      <w:pPr>
        <w:spacing w:line="360" w:lineRule="auto"/>
        <w:ind w:firstLine="424" w:firstLineChars="202"/>
        <w:jc w:val="left"/>
        <w:rPr>
          <w:rFonts w:ascii="宋体" w:hAnsi="宋体" w:cs="宋体"/>
          <w:color w:val="000000"/>
          <w:szCs w:val="21"/>
          <w:highlight w:val="none"/>
        </w:rPr>
      </w:pPr>
      <w:r>
        <w:rPr>
          <w:rFonts w:hint="eastAsia" w:ascii="宋体" w:hAnsi="宋体" w:cs="宋体"/>
          <w:color w:val="000000"/>
          <w:szCs w:val="21"/>
          <w:highlight w:val="none"/>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w:t>
      </w:r>
    </w:p>
    <w:p w14:paraId="262BEE3F">
      <w:pPr>
        <w:spacing w:line="360" w:lineRule="auto"/>
        <w:ind w:firstLine="424" w:firstLineChars="202"/>
        <w:jc w:val="left"/>
        <w:rPr>
          <w:rFonts w:ascii="宋体" w:hAnsi="宋体" w:cs="宋体"/>
          <w:color w:val="000000"/>
          <w:szCs w:val="21"/>
          <w:highlight w:val="none"/>
        </w:rPr>
      </w:pPr>
      <w:r>
        <w:rPr>
          <w:rFonts w:hint="eastAsia" w:ascii="宋体" w:hAnsi="宋体" w:cs="宋体"/>
          <w:color w:val="000000"/>
          <w:szCs w:val="21"/>
          <w:highlight w:val="none"/>
        </w:rPr>
        <w:t>3.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投标处理。如属于《网络关键设备和网络安全专用产品目录》中“二、网络安全专用产品”内“产品类别”中的所描述的产品，但不属于所列“产品描述”情形的，应提供相应的说明及证明材料。</w:t>
      </w:r>
    </w:p>
    <w:p w14:paraId="1B21335B">
      <w:pPr>
        <w:spacing w:line="360" w:lineRule="auto"/>
        <w:ind w:firstLine="426" w:firstLineChars="202"/>
        <w:jc w:val="left"/>
        <w:rPr>
          <w:rFonts w:ascii="宋体" w:hAnsi="宋体" w:cs="宋体"/>
          <w:b/>
          <w:bCs/>
          <w:szCs w:val="21"/>
          <w:highlight w:val="none"/>
        </w:rPr>
      </w:pPr>
      <w:r>
        <w:rPr>
          <w:rFonts w:hint="eastAsia" w:ascii="宋体" w:hAnsi="宋体" w:cs="宋体"/>
          <w:b/>
          <w:bCs/>
          <w:color w:val="000000"/>
          <w:szCs w:val="21"/>
          <w:highlight w:val="none"/>
        </w:rPr>
        <w:t>4.</w:t>
      </w:r>
      <w:r>
        <w:rPr>
          <w:rFonts w:hint="eastAsia" w:ascii="宋体" w:hAnsi="宋体" w:cs="宋体"/>
          <w:b/>
          <w:bCs/>
          <w:szCs w:val="21"/>
          <w:highlight w:val="none"/>
        </w:rPr>
        <w:t>“实质性要求”是指招标文件中已经指明不满足则投标无效的条款，或者不能偏离的条款，或者采购需求中带“▲”的条款</w:t>
      </w:r>
      <w:r>
        <w:rPr>
          <w:rFonts w:hint="eastAsia" w:ascii="宋体" w:hAnsi="宋体" w:cs="宋体"/>
          <w:b/>
          <w:bCs/>
          <w:szCs w:val="21"/>
          <w:highlight w:val="none"/>
          <w:lang w:eastAsia="zh-CN"/>
        </w:rPr>
        <w:t>，标注“◆”、“●”的服务内容为演示及加分项，供应商应尽量满足。</w:t>
      </w:r>
    </w:p>
    <w:p w14:paraId="48A075E6">
      <w:pPr>
        <w:spacing w:line="360" w:lineRule="auto"/>
        <w:ind w:firstLine="424" w:firstLineChars="202"/>
        <w:jc w:val="left"/>
        <w:rPr>
          <w:rStyle w:val="57"/>
          <w:rFonts w:ascii="宋体" w:hAnsi="宋体" w:cs="宋体"/>
          <w:highlight w:val="none"/>
        </w:rPr>
      </w:pPr>
      <w:r>
        <w:rPr>
          <w:rFonts w:hint="eastAsia" w:ascii="宋体" w:hAnsi="宋体" w:cs="宋体"/>
          <w:szCs w:val="21"/>
          <w:highlight w:val="none"/>
          <w:lang w:val="en-US" w:eastAsia="zh-CN"/>
        </w:rPr>
        <w:t>5</w:t>
      </w:r>
      <w:r>
        <w:rPr>
          <w:rFonts w:hint="eastAsia" w:ascii="宋体" w:hAnsi="宋体" w:cs="宋体"/>
          <w:szCs w:val="21"/>
          <w:highlight w:val="none"/>
        </w:rPr>
        <w:t>.</w:t>
      </w:r>
      <w:bookmarkStart w:id="44" w:name="_Hlk65055179"/>
      <w:r>
        <w:rPr>
          <w:rFonts w:hint="eastAsia" w:ascii="宋体" w:hAnsi="宋体" w:cs="宋体"/>
          <w:szCs w:val="21"/>
          <w:highlight w:val="none"/>
        </w:rPr>
        <w:t>投标人应根据自身实际情况如实响应招标文件，不得仅将招标文件内容简单复制粘贴作为投标响应，还应当提供相关证明材料，</w:t>
      </w:r>
      <w:r>
        <w:rPr>
          <w:rFonts w:hint="eastAsia" w:ascii="宋体" w:hAnsi="宋体" w:cs="宋体"/>
          <w:b/>
          <w:bCs/>
          <w:szCs w:val="21"/>
          <w:highlight w:val="none"/>
        </w:rPr>
        <w:t>否则将作无效响应处理</w:t>
      </w:r>
      <w:r>
        <w:rPr>
          <w:rFonts w:hint="eastAsia" w:ascii="宋体" w:hAnsi="宋体" w:cs="宋体"/>
          <w:szCs w:val="21"/>
          <w:highlight w:val="none"/>
        </w:rPr>
        <w:t>（定制采购不适用本条款）。</w:t>
      </w:r>
      <w:r>
        <w:rPr>
          <w:rFonts w:hint="eastAsia" w:ascii="宋体" w:hAnsi="宋体" w:cs="宋体"/>
          <w:highlight w:val="none"/>
        </w:rPr>
        <w:t>对于重要技术条款或技术参数应当在投标文件中提供技术支持资料，技术支持资料以招标文件中规定的形式为准，</w:t>
      </w:r>
      <w:r>
        <w:rPr>
          <w:rFonts w:hint="eastAsia" w:ascii="宋体" w:hAnsi="宋体" w:cs="宋体"/>
          <w:b/>
          <w:bCs/>
          <w:highlight w:val="none"/>
        </w:rPr>
        <w:t>否则将视为无效技术支持资料</w:t>
      </w:r>
      <w:r>
        <w:rPr>
          <w:rFonts w:hint="eastAsia" w:ascii="宋体" w:hAnsi="宋体" w:cs="宋体"/>
          <w:highlight w:val="none"/>
        </w:rPr>
        <w:t>。</w:t>
      </w:r>
    </w:p>
    <w:p w14:paraId="525D7EAB">
      <w:pPr>
        <w:spacing w:line="360" w:lineRule="auto"/>
        <w:ind w:firstLine="424" w:firstLineChars="202"/>
        <w:jc w:val="left"/>
        <w:rPr>
          <w:rFonts w:ascii="宋体" w:hAnsi="宋体" w:cs="宋体"/>
          <w:color w:val="000000"/>
          <w:highlight w:val="none"/>
        </w:rPr>
      </w:pP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w:t>
      </w:r>
      <w:r>
        <w:rPr>
          <w:rFonts w:hint="eastAsia" w:ascii="宋体" w:hAnsi="宋体" w:cs="宋体"/>
          <w:color w:val="000000"/>
          <w:highlight w:val="none"/>
        </w:rPr>
        <w:t>投标人必须自行为其投标产品侵犯他人的知识产权或者专利成果的行为承担相应法律责任。</w:t>
      </w:r>
    </w:p>
    <w:p w14:paraId="3771C2B2">
      <w:pPr>
        <w:spacing w:line="360" w:lineRule="auto"/>
        <w:ind w:firstLine="426" w:firstLineChars="202"/>
        <w:jc w:val="left"/>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7</w:t>
      </w:r>
      <w:r>
        <w:rPr>
          <w:rFonts w:hint="eastAsia" w:ascii="宋体" w:hAnsi="宋体" w:cs="宋体"/>
          <w:b/>
          <w:bCs/>
          <w:color w:val="000000"/>
          <w:szCs w:val="21"/>
          <w:highlight w:val="none"/>
        </w:rPr>
        <w:t>.本项目所属行业：</w:t>
      </w:r>
    </w:p>
    <w:p w14:paraId="75CAA58C">
      <w:pPr>
        <w:spacing w:line="360" w:lineRule="auto"/>
        <w:ind w:firstLine="426" w:firstLineChars="202"/>
        <w:jc w:val="left"/>
        <w:rPr>
          <w:rFonts w:hint="eastAsia" w:ascii="宋体" w:hAnsi="宋体" w:cs="宋体"/>
          <w:b/>
          <w:bCs/>
          <w:color w:val="000000"/>
          <w:szCs w:val="21"/>
          <w:highlight w:val="none"/>
          <w:lang w:eastAsia="zh-CN"/>
        </w:rPr>
      </w:pPr>
      <w:r>
        <w:rPr>
          <w:rFonts w:hint="eastAsia" w:ascii="宋体" w:hAnsi="宋体" w:cs="宋体"/>
          <w:b/>
          <w:bCs/>
          <w:color w:val="000000"/>
          <w:szCs w:val="21"/>
          <w:highlight w:val="none"/>
          <w:lang w:val="en-US" w:eastAsia="zh-CN"/>
        </w:rPr>
        <w:t>分标1/分标2：</w:t>
      </w:r>
      <w:r>
        <w:rPr>
          <w:rFonts w:hint="eastAsia" w:ascii="宋体" w:hAnsi="宋体" w:cs="宋体"/>
          <w:b/>
          <w:bCs/>
          <w:color w:val="000000"/>
          <w:szCs w:val="21"/>
          <w:highlight w:val="none"/>
        </w:rPr>
        <w:t>工业</w:t>
      </w:r>
      <w:r>
        <w:rPr>
          <w:rFonts w:hint="eastAsia" w:ascii="宋体" w:hAnsi="宋体" w:cs="宋体"/>
          <w:b/>
          <w:bCs/>
          <w:color w:val="000000"/>
          <w:szCs w:val="21"/>
          <w:highlight w:val="none"/>
          <w:lang w:eastAsia="zh-CN"/>
        </w:rPr>
        <w:t>；</w:t>
      </w:r>
    </w:p>
    <w:p w14:paraId="2A2DD9DD">
      <w:pPr>
        <w:spacing w:line="360" w:lineRule="auto"/>
        <w:ind w:firstLine="426" w:firstLineChars="202"/>
        <w:jc w:val="left"/>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分标3/分标4：软件和信息技术服务业</w:t>
      </w:r>
      <w:r>
        <w:rPr>
          <w:rFonts w:hint="eastAsia" w:ascii="宋体" w:hAnsi="宋体" w:cs="宋体"/>
          <w:b/>
          <w:bCs/>
          <w:color w:val="000000"/>
          <w:szCs w:val="21"/>
          <w:highlight w:val="none"/>
        </w:rPr>
        <w:t>。</w:t>
      </w:r>
    </w:p>
    <w:tbl>
      <w:tblPr>
        <w:tblStyle w:val="48"/>
        <w:tblW w:w="10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017"/>
        <w:gridCol w:w="67"/>
        <w:gridCol w:w="566"/>
        <w:gridCol w:w="631"/>
        <w:gridCol w:w="7467"/>
      </w:tblGrid>
      <w:tr w14:paraId="4E05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1" w:type="dxa"/>
            <w:gridSpan w:val="6"/>
            <w:tcBorders>
              <w:bottom w:val="single" w:color="auto" w:sz="4" w:space="0"/>
            </w:tcBorders>
            <w:vAlign w:val="center"/>
          </w:tcPr>
          <w:p w14:paraId="609BA490">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分标1：工业网络智能控制与维护实训室建设</w:t>
            </w:r>
          </w:p>
        </w:tc>
      </w:tr>
      <w:tr w14:paraId="7981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tcBorders>
              <w:bottom w:val="single" w:color="auto" w:sz="4" w:space="0"/>
            </w:tcBorders>
            <w:vAlign w:val="center"/>
          </w:tcPr>
          <w:p w14:paraId="3629CA8D">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1017" w:type="dxa"/>
            <w:tcBorders>
              <w:bottom w:val="single" w:color="auto" w:sz="4" w:space="0"/>
            </w:tcBorders>
            <w:vAlign w:val="center"/>
          </w:tcPr>
          <w:p w14:paraId="7C4C460E">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标的名称</w:t>
            </w:r>
          </w:p>
        </w:tc>
        <w:tc>
          <w:tcPr>
            <w:tcW w:w="633" w:type="dxa"/>
            <w:gridSpan w:val="2"/>
            <w:tcBorders>
              <w:bottom w:val="single" w:color="auto" w:sz="4" w:space="0"/>
            </w:tcBorders>
            <w:shd w:val="clear" w:color="auto" w:fill="FFFFFF"/>
            <w:vAlign w:val="center"/>
          </w:tcPr>
          <w:p w14:paraId="15288831">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数量</w:t>
            </w:r>
          </w:p>
        </w:tc>
        <w:tc>
          <w:tcPr>
            <w:tcW w:w="631" w:type="dxa"/>
            <w:tcBorders>
              <w:bottom w:val="single" w:color="auto" w:sz="4" w:space="0"/>
            </w:tcBorders>
            <w:vAlign w:val="center"/>
          </w:tcPr>
          <w:p w14:paraId="4EFD7214">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单位</w:t>
            </w:r>
          </w:p>
        </w:tc>
        <w:tc>
          <w:tcPr>
            <w:tcW w:w="7467" w:type="dxa"/>
            <w:tcBorders>
              <w:bottom w:val="single" w:color="auto" w:sz="4" w:space="0"/>
            </w:tcBorders>
            <w:noWrap/>
            <w:vAlign w:val="center"/>
          </w:tcPr>
          <w:p w14:paraId="6C0E3E88">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具体说明、功能及技术参数要求</w:t>
            </w:r>
          </w:p>
        </w:tc>
      </w:tr>
      <w:tr w14:paraId="51B9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3" w:type="dxa"/>
            <w:tcBorders>
              <w:top w:val="single" w:color="auto" w:sz="4" w:space="0"/>
            </w:tcBorders>
            <w:vAlign w:val="center"/>
          </w:tcPr>
          <w:p w14:paraId="05EFF0D2">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w:t>
            </w:r>
          </w:p>
        </w:tc>
        <w:tc>
          <w:tcPr>
            <w:tcW w:w="1017" w:type="dxa"/>
            <w:tcBorders>
              <w:top w:val="single" w:color="auto" w:sz="4" w:space="0"/>
            </w:tcBorders>
            <w:vAlign w:val="center"/>
          </w:tcPr>
          <w:p w14:paraId="60F666B4">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工业网络智能控制与维护系统</w:t>
            </w:r>
          </w:p>
        </w:tc>
        <w:tc>
          <w:tcPr>
            <w:tcW w:w="633" w:type="dxa"/>
            <w:gridSpan w:val="2"/>
            <w:tcBorders>
              <w:top w:val="single" w:color="auto" w:sz="4" w:space="0"/>
            </w:tcBorders>
            <w:shd w:val="clear" w:color="auto" w:fill="FFFFFF"/>
            <w:vAlign w:val="center"/>
          </w:tcPr>
          <w:p w14:paraId="67CEECFE">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631" w:type="dxa"/>
            <w:tcBorders>
              <w:top w:val="single" w:color="auto" w:sz="4" w:space="0"/>
            </w:tcBorders>
            <w:vAlign w:val="center"/>
          </w:tcPr>
          <w:p w14:paraId="0866B1CE">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467" w:type="dxa"/>
            <w:tcBorders>
              <w:top w:val="single" w:color="auto" w:sz="4" w:space="0"/>
            </w:tcBorders>
            <w:vAlign w:val="center"/>
          </w:tcPr>
          <w:p w14:paraId="66BFE40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一、工业网络通信实训台架 </w:t>
            </w:r>
          </w:p>
          <w:p w14:paraId="6A9BE99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1．外框材质：工业铝型材搭接，规格:≥40mm×40mm×2mm； </w:t>
            </w:r>
          </w:p>
          <w:p w14:paraId="7A5D01C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2．外形尺寸（长×宽×高）：≥800mm×800mm×1500mm； </w:t>
            </w:r>
          </w:p>
          <w:p w14:paraId="5D1AD4E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3．设备总功率：≥1.5Kw； </w:t>
            </w:r>
          </w:p>
          <w:p w14:paraId="6967CF5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4．供电电压：AC220V 50HZ ±10%； </w:t>
            </w:r>
          </w:p>
          <w:p w14:paraId="4E89C90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5．采用开发式电气安装模式，电气元件优先选用DIN导轨安装类型； </w:t>
            </w:r>
          </w:p>
          <w:p w14:paraId="16F28AA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6．底部需安装4个便携移动万向轮； </w:t>
            </w:r>
          </w:p>
          <w:p w14:paraId="71BF0D5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7．设备总重量：≥65Kg。 </w:t>
            </w:r>
          </w:p>
          <w:p w14:paraId="496F1A5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二、工业交换机 </w:t>
            </w:r>
          </w:p>
          <w:p w14:paraId="465373A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1．非网管型 5×10/100 Mbit/s RJ45 端口； </w:t>
            </w:r>
          </w:p>
          <w:p w14:paraId="0A895A1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2．具备 LED 诊断； </w:t>
            </w:r>
          </w:p>
          <w:p w14:paraId="0C85AF9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val="en-US" w:eastAsia="zh-CN" w:bidi="ar"/>
              </w:rPr>
              <w:t>3</w:t>
            </w:r>
            <w:r>
              <w:rPr>
                <w:rFonts w:hint="eastAsia" w:ascii="宋体" w:hAnsi="宋体" w:eastAsia="宋体" w:cs="宋体"/>
                <w:kern w:val="0"/>
                <w:sz w:val="21"/>
                <w:szCs w:val="21"/>
                <w:highlight w:val="none"/>
                <w:lang w:bidi="ar"/>
              </w:rPr>
              <w:t xml:space="preserve">．供电电压：24V DC 电源； </w:t>
            </w:r>
          </w:p>
          <w:p w14:paraId="0FF7B40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val="en-US" w:eastAsia="zh-CN" w:bidi="ar"/>
              </w:rPr>
              <w:t>4</w:t>
            </w:r>
            <w:r>
              <w:rPr>
                <w:rFonts w:hint="eastAsia" w:ascii="宋体" w:hAnsi="宋体" w:eastAsia="宋体" w:cs="宋体"/>
                <w:kern w:val="0"/>
                <w:sz w:val="21"/>
                <w:szCs w:val="21"/>
                <w:highlight w:val="none"/>
                <w:lang w:bidi="ar"/>
              </w:rPr>
              <w:t xml:space="preserve">．符合 PROFINET 的固定护套； </w:t>
            </w:r>
          </w:p>
          <w:p w14:paraId="2CC1B4D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val="en-US" w:eastAsia="zh-CN" w:bidi="ar"/>
              </w:rPr>
              <w:t>5</w:t>
            </w:r>
            <w:r>
              <w:rPr>
                <w:rFonts w:hint="eastAsia" w:ascii="宋体" w:hAnsi="宋体" w:eastAsia="宋体" w:cs="宋体"/>
                <w:kern w:val="0"/>
                <w:sz w:val="21"/>
                <w:szCs w:val="21"/>
                <w:highlight w:val="none"/>
                <w:lang w:bidi="ar"/>
              </w:rPr>
              <w:t xml:space="preserve">．具备不少于 5 个端口。 </w:t>
            </w:r>
          </w:p>
          <w:p w14:paraId="1E42E56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三、触摸屏</w:t>
            </w:r>
          </w:p>
          <w:p w14:paraId="0767B00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1.分辨率≥480×800 像素，64K 色；</w:t>
            </w:r>
          </w:p>
          <w:p w14:paraId="2FD9EAC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2.按键：按键和触摸操作，≥8个功能键；</w:t>
            </w:r>
          </w:p>
          <w:p w14:paraId="5611423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3.接口：1×PROFINET，1×USB。</w:t>
            </w:r>
          </w:p>
          <w:p w14:paraId="6F25207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四、主控 PLC 1</w:t>
            </w:r>
          </w:p>
          <w:p w14:paraId="7E5BB78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1．数字量 IO：14 输入/10 路输出； </w:t>
            </w:r>
          </w:p>
          <w:p w14:paraId="1F9C430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2．模拟量 IO：2 输入/2 输出； </w:t>
            </w:r>
          </w:p>
          <w:p w14:paraId="48C3678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3．过程映像大小：1024 字节输入和 1024 字节输出； </w:t>
            </w:r>
          </w:p>
          <w:p w14:paraId="0B67DB5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4．位存储器：≥8192 个字节； </w:t>
            </w:r>
          </w:p>
          <w:p w14:paraId="2A5794D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5．最大本地 IO-数字量：可支持 284； </w:t>
            </w:r>
          </w:p>
          <w:p w14:paraId="7CF6DBD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6．最大本地 IO-模拟量：可支持 69； </w:t>
            </w:r>
          </w:p>
          <w:p w14:paraId="255BD29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7．高数计数器：不少于 6 路； </w:t>
            </w:r>
          </w:p>
          <w:p w14:paraId="4EAAD9D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8．脉冲输出：本体集成不少于2路，最大支持4路100KHz； </w:t>
            </w:r>
          </w:p>
          <w:p w14:paraId="0B734DD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9．不少于 1 个以太网通讯接口，支持 ProfiNET 通讯； </w:t>
            </w:r>
          </w:p>
          <w:p w14:paraId="617F0BC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10．实时数字运算执行速度：支持 2.3us 指令； </w:t>
            </w:r>
          </w:p>
          <w:p w14:paraId="37A6893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11．布尔运算执行速度：支持 0.08us 指令； </w:t>
            </w:r>
          </w:p>
          <w:p w14:paraId="6FA2F99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12．工业元件与 PLC2品牌一致或承诺与PLC 2无缝兼容。</w:t>
            </w:r>
          </w:p>
          <w:p w14:paraId="5A4D6A8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五、主控 PLC 2 </w:t>
            </w:r>
          </w:p>
          <w:p w14:paraId="66FD574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1．编程语言：支持 LAD、FBD、STL、SCL、GRAPH 等； </w:t>
            </w:r>
          </w:p>
          <w:p w14:paraId="200AE1A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2．扩展通讯模块：支持拓展通讯模块不少于 4 个； </w:t>
            </w:r>
          </w:p>
          <w:p w14:paraId="5C80158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3．最大连接资源数：不少于 96 个； </w:t>
            </w:r>
          </w:p>
          <w:p w14:paraId="38C746B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4．为 ES/HM/Web 预留的连接资源数：不少于 10； </w:t>
            </w:r>
          </w:p>
          <w:p w14:paraId="4FF0D6C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5．可连接 IO 设备的最大数量：不少于 128； </w:t>
            </w:r>
          </w:p>
          <w:p w14:paraId="656CC3F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6．CPU 块总计：不少于 2000； </w:t>
            </w:r>
          </w:p>
          <w:p w14:paraId="18A6F0F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7．集成工作存储器（用于程序）：≥150KB； </w:t>
            </w:r>
          </w:p>
          <w:p w14:paraId="5776EE7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8．集成工作存储器（用于数据）：≥1M； </w:t>
            </w:r>
          </w:p>
          <w:p w14:paraId="5B7EFEC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9．集成掉电保存数据区：≥128KB； </w:t>
            </w:r>
          </w:p>
          <w:p w14:paraId="320046F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10．数字量输入输出：不少于 16 输入/16 输出； </w:t>
            </w:r>
          </w:p>
          <w:p w14:paraId="4FB07B6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11．采用工业元件与 PLC 1 品牌一致或承诺与PLC1无缝兼容。 </w:t>
            </w:r>
          </w:p>
          <w:p w14:paraId="407B054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六、RS485 通信模块</w:t>
            </w:r>
          </w:p>
          <w:p w14:paraId="4A86F725">
            <w:pPr>
              <w:keepNext w:val="0"/>
              <w:keepLines w:val="0"/>
              <w:pageBreakBefore w:val="0"/>
              <w:widowControl/>
              <w:kinsoku/>
              <w:wordWrap/>
              <w:overflowPunct/>
              <w:topLinePunct w:val="0"/>
              <w:bidi w:val="0"/>
              <w:adjustRightInd/>
              <w:snapToGrid/>
              <w:spacing w:line="400" w:lineRule="exact"/>
              <w:ind w:firstLine="420" w:firstLineChars="200"/>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通过 RX485/232 通讯方式 PLC 可以读取到对应的采集数据，训练 学生进行 RS485 通讯应用;</w:t>
            </w:r>
          </w:p>
          <w:p w14:paraId="36C42BA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1．通讯类型：RS485； </w:t>
            </w:r>
          </w:p>
          <w:p w14:paraId="1ECC282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2．共模电压范围：-7V 至+12V，1 秒，3VRMS 连续； </w:t>
            </w:r>
          </w:p>
          <w:p w14:paraId="192DECC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3．与 PLC 品牌一致或承诺与PLC无缝兼容，便于编程与通讯。</w:t>
            </w:r>
          </w:p>
          <w:p w14:paraId="11E1BBD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七、RS485 智能仪表及传感器   </w:t>
            </w:r>
          </w:p>
          <w:p w14:paraId="1BEF8192">
            <w:pPr>
              <w:keepNext w:val="0"/>
              <w:keepLines w:val="0"/>
              <w:pageBreakBefore w:val="0"/>
              <w:widowControl/>
              <w:kinsoku/>
              <w:wordWrap/>
              <w:overflowPunct/>
              <w:topLinePunct w:val="0"/>
              <w:bidi w:val="0"/>
              <w:adjustRightInd/>
              <w:snapToGrid/>
              <w:spacing w:line="400" w:lineRule="exact"/>
              <w:ind w:firstLine="420" w:firstLineChars="200"/>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配套一套温度采集系统，包含温度传感器及显示仪表装置，通过 RX485/232 通讯方式 PLC 可以读取到对应的采集数据，训练学生 进行 RS485 通讯应用。</w:t>
            </w:r>
          </w:p>
          <w:p w14:paraId="4E4A717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八、ProfiNET 总线远 程 I/O 模块 </w:t>
            </w:r>
          </w:p>
          <w:p w14:paraId="18EEC6C2">
            <w:pPr>
              <w:keepNext w:val="0"/>
              <w:keepLines w:val="0"/>
              <w:pageBreakBefore w:val="0"/>
              <w:widowControl/>
              <w:kinsoku/>
              <w:wordWrap/>
              <w:overflowPunct/>
              <w:topLinePunct w:val="0"/>
              <w:bidi w:val="0"/>
              <w:adjustRightInd/>
              <w:snapToGrid/>
              <w:spacing w:line="400" w:lineRule="exact"/>
              <w:ind w:firstLine="420" w:firstLineChars="200"/>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一体式总线 I/O 总线模块，配套数字量输入 8 点数字量输出 8 点； 模块通讯接口支持 PROFINET 通讯协议，符合 GB/T25105 标准、支持 PROFINET 功能、集成双网口； </w:t>
            </w:r>
          </w:p>
          <w:p w14:paraId="1B4BB7A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1．总线协议：ProfiNET； </w:t>
            </w:r>
          </w:p>
          <w:p w14:paraId="42D042F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2．连接方式：2×RJ45； </w:t>
            </w:r>
          </w:p>
          <w:p w14:paraId="4AA6401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3．通讯距离：不低于 100Mb/S； </w:t>
            </w:r>
          </w:p>
          <w:p w14:paraId="66F5B94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4．支持防反接保护； </w:t>
            </w:r>
          </w:p>
          <w:p w14:paraId="7BD29DF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5．运行显示：需支持 RUN 显示（LED）； </w:t>
            </w:r>
          </w:p>
          <w:p w14:paraId="5A038C4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6．状态监控：需支持温度监控、电源监控。</w:t>
            </w:r>
          </w:p>
          <w:p w14:paraId="552AA2B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九、ProfiNET 总线伺 服驱动模块 </w:t>
            </w:r>
          </w:p>
          <w:p w14:paraId="5FB13586">
            <w:pPr>
              <w:keepNext w:val="0"/>
              <w:keepLines w:val="0"/>
              <w:pageBreakBefore w:val="0"/>
              <w:widowControl/>
              <w:kinsoku/>
              <w:wordWrap/>
              <w:overflowPunct/>
              <w:topLinePunct w:val="0"/>
              <w:bidi w:val="0"/>
              <w:adjustRightInd/>
              <w:snapToGrid/>
              <w:spacing w:line="400" w:lineRule="exact"/>
              <w:ind w:firstLine="420" w:firstLineChars="200"/>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通过 PROFINET 总线实现对伺服电机位置、速度、扭矩等模式进行控制，实现利用 PLC 通过工业总线进行的网络应用训练 </w:t>
            </w:r>
          </w:p>
          <w:p w14:paraId="2C5F36D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1．类型：ProfiNET 总线伺服驱动器；</w:t>
            </w:r>
          </w:p>
          <w:p w14:paraId="5BC8865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2．需支持 PROFINET 总线协议； </w:t>
            </w:r>
          </w:p>
          <w:p w14:paraId="36D5969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3．需支持 23bit 增量细分式编码器、23bit 多圈绝对值编码。 </w:t>
            </w:r>
          </w:p>
          <w:p w14:paraId="21C54B5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十、电气元件</w:t>
            </w:r>
          </w:p>
          <w:p w14:paraId="28E950C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1.需包含空气开关； </w:t>
            </w:r>
          </w:p>
          <w:p w14:paraId="19CCD74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2.24V 电源；</w:t>
            </w:r>
          </w:p>
          <w:p w14:paraId="626AC73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3.PLC I/O 接口的接线端子，配合实训的输入部分应配置按钮； </w:t>
            </w:r>
          </w:p>
          <w:p w14:paraId="356919F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4.线槽等配套电气元件；</w:t>
            </w:r>
          </w:p>
          <w:p w14:paraId="1C16E1A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 xml:space="preserve">5.交流接触器、热继电器 、辅助触头组、中间继电器、断路器、直流稳压电源等； </w:t>
            </w:r>
          </w:p>
          <w:p w14:paraId="34DC200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6.电气元件符合  GB/T 20540 系列标准。</w:t>
            </w:r>
          </w:p>
          <w:p w14:paraId="7BC5B49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十一、单轴滑台运动机构</w:t>
            </w:r>
          </w:p>
          <w:p w14:paraId="6AAEBF7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1.用于总线伺服定位控制，采用铝合金材料制作，滚珠丝杆传动，该模块安装于实验台架的网板上。滑台配行程检测开关用于定位控制时的行程限制检测。</w:t>
            </w:r>
          </w:p>
          <w:p w14:paraId="4CF4A06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2.制作材质：铝合金；</w:t>
            </w:r>
          </w:p>
          <w:p w14:paraId="5FBB987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3.驱动方式：伺服电机；</w:t>
            </w:r>
          </w:p>
          <w:p w14:paraId="3AD5EF4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4.传动方式：滚珠丝杆；</w:t>
            </w:r>
          </w:p>
          <w:p w14:paraId="3C48E73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5.限位方式：接近开关；</w:t>
            </w:r>
          </w:p>
          <w:p w14:paraId="53DABE7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（1）用于总线伺服控制实训时，滑台运动限位使用；</w:t>
            </w:r>
          </w:p>
          <w:p w14:paraId="09CA79E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（2）安装类型：底座安装；</w:t>
            </w:r>
          </w:p>
          <w:p w14:paraId="37B3917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（3）操作温度：-25°C～55°C TA；</w:t>
            </w:r>
          </w:p>
          <w:p w14:paraId="7EE0A0C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（4）输出电压：800mV；</w:t>
            </w:r>
          </w:p>
          <w:p w14:paraId="0A84D99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（5）光电子器件类型：晶体管输出槽式开关；</w:t>
            </w:r>
          </w:p>
          <w:p w14:paraId="259D6ED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（6）回应时间：≤1ms。</w:t>
            </w:r>
          </w:p>
          <w:p w14:paraId="23B141C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6.行程范围：≥200mm；</w:t>
            </w:r>
          </w:p>
          <w:p w14:paraId="623496A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十二、智能网关与采集应用</w:t>
            </w:r>
          </w:p>
          <w:p w14:paraId="1684631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1.物联网网关参数：</w:t>
            </w:r>
          </w:p>
          <w:p w14:paraId="6FD9CB0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（1）尺寸：≥106×90×28 mm（不含侧耳）；</w:t>
            </w:r>
          </w:p>
          <w:p w14:paraId="114DF64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（2）MCU：国产芯片；</w:t>
            </w:r>
          </w:p>
          <w:p w14:paraId="76EDC0A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（3）工作电压：USB供电为5V，DC供电为宽电压6V-12V；</w:t>
            </w:r>
          </w:p>
          <w:p w14:paraId="1A04D61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（4）工作电流：30mA-65mA；</w:t>
            </w:r>
          </w:p>
          <w:p w14:paraId="4695B09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（5）工作温度：0℃～+70℃；</w:t>
            </w:r>
          </w:p>
          <w:p w14:paraId="77A40C8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（6）通讯协议：zigbee，wifi等；</w:t>
            </w:r>
          </w:p>
          <w:p w14:paraId="6B80C2E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（7）网口数量：≥1个；</w:t>
            </w:r>
          </w:p>
          <w:p w14:paraId="45C1CC2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（8）网口规格：RJ45，10/100Mbps；</w:t>
            </w:r>
          </w:p>
          <w:p w14:paraId="36C1722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（9）发射功率: 4dBm；</w:t>
            </w:r>
          </w:p>
          <w:p w14:paraId="3644D2F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（10）天线形式:IPEX；</w:t>
            </w:r>
          </w:p>
          <w:p w14:paraId="095DA87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（11）接收灵敏度:-97dBm；</w:t>
            </w:r>
          </w:p>
          <w:p w14:paraId="6915B90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（12）尺寸：≥100mm×81mm；</w:t>
            </w:r>
          </w:p>
          <w:p w14:paraId="0168E1F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（13）传输距离: ≥200m。</w:t>
            </w:r>
          </w:p>
          <w:p w14:paraId="2FB0B99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lang w:bidi="ar"/>
              </w:rPr>
              <w:t>（14）提供WIFI模块固件配置软件：使用Windows系统桌面工具软件对串口波特率、WiFi、MQTT进行配置；</w:t>
            </w:r>
          </w:p>
          <w:p w14:paraId="29CB891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（15）开放zigbee 无线数据采集源代码和软件系统平台的源代码；</w:t>
            </w:r>
          </w:p>
          <w:p w14:paraId="0056995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（16）支持局域网MQTT通信以及远程MQTT通信。</w:t>
            </w:r>
          </w:p>
          <w:p w14:paraId="1545BBB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2.智能电源采集节点</w:t>
            </w:r>
          </w:p>
          <w:p w14:paraId="2F3E5B0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lang w:bidi="ar"/>
              </w:rPr>
              <w:t>（1）可实现远程监控设备的用电能耗情况；</w:t>
            </w:r>
          </w:p>
          <w:p w14:paraId="76CA02F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（2）具有良好的人机界面，实时显示设备情况等；</w:t>
            </w:r>
          </w:p>
          <w:p w14:paraId="3EE1A80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（3）具有保护功能，防止误操作；</w:t>
            </w:r>
          </w:p>
          <w:p w14:paraId="71F7378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（4）系统通信控制模块：</w:t>
            </w:r>
          </w:p>
          <w:p w14:paraId="341B32D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1）节点尺寸：≥150×91×29.7mm（不含侧耳）；</w:t>
            </w:r>
          </w:p>
          <w:p w14:paraId="1279CCC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2）MCU:国产芯片；</w:t>
            </w:r>
          </w:p>
          <w:p w14:paraId="65B0C48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3）通信方式：zigbee；</w:t>
            </w:r>
          </w:p>
          <w:p w14:paraId="496F722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4）发射功率:≥4dBm；</w:t>
            </w:r>
          </w:p>
          <w:p w14:paraId="537A8A6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5）工作电压: USB供电为5V，DC供电为宽电压6V-12V；</w:t>
            </w:r>
          </w:p>
          <w:p w14:paraId="1F1D25A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6）天线形式:IPEX；</w:t>
            </w:r>
          </w:p>
          <w:p w14:paraId="3C3B52E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7）接收电流:≥27ma；</w:t>
            </w:r>
          </w:p>
          <w:p w14:paraId="4AE79DA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8）发送电流:≥28ma；</w:t>
            </w:r>
          </w:p>
          <w:p w14:paraId="32985C6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9）传输距离:≥200m；</w:t>
            </w:r>
          </w:p>
          <w:p w14:paraId="1A1C8BA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10）接收灵敏度:-97dBm；</w:t>
            </w:r>
          </w:p>
          <w:p w14:paraId="5425F85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11）工作温度:-40℃～+125℃；</w:t>
            </w:r>
          </w:p>
          <w:p w14:paraId="4FB4A1F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12）485 接口：≥2 路 ，工业级 RS485 半双工通信芯片或同等系列芯片；</w:t>
            </w:r>
          </w:p>
          <w:p w14:paraId="7153F62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13）232 接口：≥1 路 ；</w:t>
            </w:r>
          </w:p>
          <w:p w14:paraId="3D18675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14）12V PWM控制接口：≥1路；</w:t>
            </w:r>
          </w:p>
          <w:p w14:paraId="6C40DDE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15）3.3V输出供电接口：≥2路；</w:t>
            </w:r>
          </w:p>
          <w:p w14:paraId="0F8DBF5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16）5V输出供电接口：≥2路；</w:t>
            </w:r>
          </w:p>
          <w:p w14:paraId="4BF2069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17）12V输出供电接口：≥2路；</w:t>
            </w:r>
          </w:p>
          <w:p w14:paraId="1EF4434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18）ADC采集接口：≥4路；</w:t>
            </w:r>
          </w:p>
          <w:p w14:paraId="1BC59B8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19）IO控制接口：≥4路；</w:t>
            </w:r>
          </w:p>
          <w:p w14:paraId="06ECBF1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20）USB 串口：≥1 个，可用于程序下载和代码调试（USMART 调试）；</w:t>
            </w:r>
          </w:p>
          <w:p w14:paraId="436AE96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21）IO口引出：除晶振占用的 IO 口外，其余所有 IO 口以插针方式全部引出；</w:t>
            </w:r>
          </w:p>
          <w:p w14:paraId="7788384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22）PCB板尺寸：≤13.17cm×9.49cm。</w:t>
            </w:r>
          </w:p>
          <w:p w14:paraId="3FE305C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（5）支持打开系统软件后自动同步设备用电能耗状态；</w:t>
            </w:r>
          </w:p>
          <w:p w14:paraId="0361A05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（6）支持设备上报电源能耗数据至系统软件。</w:t>
            </w:r>
          </w:p>
          <w:p w14:paraId="5351563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3.工业噪声变送采集</w:t>
            </w:r>
          </w:p>
          <w:p w14:paraId="72664F2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（1）直流供电(默认) ：10～30V DC；</w:t>
            </w:r>
          </w:p>
          <w:p w14:paraId="59F87C9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（2）功率 ：≥0.1W；</w:t>
            </w:r>
          </w:p>
          <w:p w14:paraId="2CCF8D0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（3）变送器电路工作温度：-20°C～+60℃，0%RH~95%RH(非结露)；</w:t>
            </w:r>
          </w:p>
          <w:p w14:paraId="31625B4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（4）输出信号：RS-485输出  ModBus-RTU 通信协议；</w:t>
            </w:r>
          </w:p>
          <w:p w14:paraId="25537CF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（5）UART或RS-485通信参数：N  8  1；</w:t>
            </w:r>
          </w:p>
          <w:p w14:paraId="0EED097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（6）分辨率：≥0.1dB；</w:t>
            </w:r>
          </w:p>
          <w:p w14:paraId="3690BA8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（7）测量范围：30dB～130dB；</w:t>
            </w:r>
          </w:p>
          <w:p w14:paraId="69508B8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（8）频率范围：20Hz～12.5kHz；</w:t>
            </w:r>
          </w:p>
          <w:p w14:paraId="5205CCF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（9）响应时间：≤3s；</w:t>
            </w:r>
          </w:p>
          <w:p w14:paraId="4395743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（10）稳定性：使用周期内小于2%；</w:t>
            </w:r>
          </w:p>
          <w:p w14:paraId="5798B40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（11）噪声精度：+0,5dB(在参考音准，94dB@1kHz)。</w:t>
            </w:r>
          </w:p>
          <w:p w14:paraId="183E698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 EtherCAT协议转换网关</w:t>
            </w:r>
          </w:p>
          <w:p w14:paraId="2D63076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（1）尺寸≥100×60×25mm；</w:t>
            </w:r>
          </w:p>
          <w:p w14:paraId="4B1EFBF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（2）接口类型RJ45×2；</w:t>
            </w:r>
          </w:p>
          <w:p w14:paraId="7EB40F0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（3）通讯最小周期1ms；</w:t>
            </w:r>
          </w:p>
          <w:p w14:paraId="5CB0C45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（4）通讯带宽10/100Mbps；</w:t>
            </w:r>
          </w:p>
          <w:p w14:paraId="046977A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（5）接口数量In1和OUT×1；</w:t>
            </w:r>
          </w:p>
          <w:p w14:paraId="5D201C0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（6）工作电压DC24V；</w:t>
            </w:r>
          </w:p>
          <w:p w14:paraId="33E03AF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（7）功耗2w～4w；</w:t>
            </w:r>
          </w:p>
          <w:p w14:paraId="3C44052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（8）工作温度-10℃至+60℃；</w:t>
            </w:r>
          </w:p>
          <w:p w14:paraId="1887869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（9）存储温度-20℃至+70℃；</w:t>
            </w:r>
          </w:p>
          <w:p w14:paraId="2241F56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（10）安装方式导轨式安装。</w:t>
            </w:r>
          </w:p>
          <w:p w14:paraId="5770B8B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5.温湿度变送器</w:t>
            </w:r>
          </w:p>
          <w:p w14:paraId="1A6A990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(1)供电：5～36V DC；</w:t>
            </w:r>
          </w:p>
          <w:p w14:paraId="067D478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(2)供电电流：≤0.1A；</w:t>
            </w:r>
          </w:p>
          <w:p w14:paraId="0F2E09C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(3)温度量程：-40°C~+125°C；</w:t>
            </w:r>
          </w:p>
          <w:p w14:paraId="74398A7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(4)湿度量程：0～100%RH；</w:t>
            </w:r>
          </w:p>
          <w:p w14:paraId="5E82683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(5)温度精度：±0.3°C；</w:t>
            </w:r>
          </w:p>
          <w:p w14:paraId="4BE44C5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(6)温度分辨率：≤0.1°C；</w:t>
            </w:r>
          </w:p>
          <w:p w14:paraId="10524B7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(7)湿度精度：±3%RH；</w:t>
            </w:r>
          </w:p>
          <w:p w14:paraId="402649E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(8)湿度分辨率：≤0.1%RH；</w:t>
            </w:r>
          </w:p>
          <w:p w14:paraId="17EF1BA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(9)通讯距离：0～1200米（可中继延长）；</w:t>
            </w:r>
          </w:p>
          <w:p w14:paraId="4B04E0F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(10)通讯地址：1～255（可设置，掉电保存）；</w:t>
            </w:r>
          </w:p>
          <w:p w14:paraId="15370A8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(11)参数复位：软件复位；</w:t>
            </w:r>
          </w:p>
          <w:p w14:paraId="7B9C53C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(12)指示灯：电源/通讯；</w:t>
            </w:r>
          </w:p>
          <w:p w14:paraId="3746FEF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(13)保护功能：过流/过压/反接。</w:t>
            </w:r>
          </w:p>
          <w:p w14:paraId="39B0255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6.光照度变送器</w:t>
            </w:r>
          </w:p>
          <w:p w14:paraId="3596669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(1)尺寸：≥117×87×43mm；</w:t>
            </w:r>
          </w:p>
          <w:p w14:paraId="65EB31E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(2)供电：10-30V DC；</w:t>
            </w:r>
          </w:p>
          <w:p w14:paraId="0AE5825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(3)最大功耗：≤0.4W（RS485）；</w:t>
            </w:r>
          </w:p>
          <w:p w14:paraId="21C547C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(4)精度：±7%（25℃）；</w:t>
            </w:r>
          </w:p>
          <w:p w14:paraId="285E60E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(5)量程：0-65535Lux/0-20万；</w:t>
            </w:r>
          </w:p>
          <w:p w14:paraId="47B9253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(6)工作环境：-40℃～+60℃；</w:t>
            </w:r>
          </w:p>
          <w:p w14:paraId="24D55C8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(7)响应时间：≤2s；</w:t>
            </w:r>
          </w:p>
          <w:p w14:paraId="284BDE6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(8)分辨率：≤1Lux；</w:t>
            </w:r>
          </w:p>
          <w:p w14:paraId="019F8E6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(9)输出信号：RS485；</w:t>
            </w:r>
          </w:p>
          <w:p w14:paraId="6125CFD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(10)防水等级：≥IP65。</w:t>
            </w:r>
          </w:p>
          <w:p w14:paraId="02A44D1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7.烟雾传感器</w:t>
            </w:r>
          </w:p>
          <w:p w14:paraId="742D6D2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(1)尺寸：≥117×87×43mm；</w:t>
            </w:r>
          </w:p>
          <w:p w14:paraId="0DC235B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(2)供电：10-30V DC；</w:t>
            </w:r>
          </w:p>
          <w:p w14:paraId="6E925F5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(3)功耗：0.9W（RS485）；</w:t>
            </w:r>
          </w:p>
          <w:p w14:paraId="0060E54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(4)精度：±5%FS（25℃）；</w:t>
            </w:r>
          </w:p>
          <w:p w14:paraId="20497A2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(5)量程：0~2000ppm/0～10000ppm；</w:t>
            </w:r>
          </w:p>
          <w:p w14:paraId="3DDF6F4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(6)工作环境：-20℃～+50℃；</w:t>
            </w:r>
          </w:p>
          <w:p w14:paraId="3FBCC17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(7)响应时间：≤35s；</w:t>
            </w:r>
          </w:p>
          <w:p w14:paraId="475802A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(8)预热时间：≥24H；</w:t>
            </w:r>
          </w:p>
          <w:p w14:paraId="166A682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(9)分辨率：≤1ppm；</w:t>
            </w:r>
          </w:p>
          <w:p w14:paraId="0B2A95C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(10)输出信号：RS485；</w:t>
            </w:r>
          </w:p>
          <w:p w14:paraId="7BC1E06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(11)压力范围：90~110Kpa。</w:t>
            </w:r>
          </w:p>
          <w:p w14:paraId="57CB47E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8.RFID读卡器</w:t>
            </w:r>
          </w:p>
          <w:p w14:paraId="2C9168D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(1)尺寸：≥80×80×40mm；</w:t>
            </w:r>
          </w:p>
          <w:p w14:paraId="6170D63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(2)供电：7.5～36V DC；</w:t>
            </w:r>
          </w:p>
          <w:p w14:paraId="40D7572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(3)外壳材质：ABS；</w:t>
            </w:r>
          </w:p>
          <w:p w14:paraId="20370BB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(4)工作环境：-20℃～+70℃；</w:t>
            </w:r>
          </w:p>
          <w:p w14:paraId="7ACA680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(5)输出信号：RS485；</w:t>
            </w:r>
          </w:p>
          <w:p w14:paraId="420636A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(6)支持协议:IS014443A、1S015693；</w:t>
            </w:r>
          </w:p>
          <w:p w14:paraId="036C6C2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(7)工作频段:13.56MHz；</w:t>
            </w:r>
          </w:p>
          <w:p w14:paraId="717EF8A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(8)读取距离:0~16cm(与标签、环境有关)；</w:t>
            </w:r>
          </w:p>
          <w:p w14:paraId="2F16E82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(9)写入距离:0~12cm(与标签、环境有关)；</w:t>
            </w:r>
          </w:p>
          <w:p w14:paraId="1CD4076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(10)识别速度:≥30张/秒(与标签、环境有关)输出功率:220mw；</w:t>
            </w:r>
          </w:p>
          <w:p w14:paraId="0D2C532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(11)RFID标签：高频≥13.56MHz,ISO15693协议，直径≥30mm，孔径≥5mm，厚≥3mm（无背胶），内置NXP | Code SLix</w:t>
            </w:r>
            <w:r>
              <w:rPr>
                <w:rFonts w:hint="eastAsia" w:ascii="宋体" w:hAnsi="宋体" w:eastAsia="宋体" w:cs="宋体"/>
                <w:sz w:val="21"/>
                <w:szCs w:val="21"/>
                <w:highlight w:val="none"/>
              </w:rPr>
              <w:t>或同等品牌信号</w:t>
            </w:r>
            <w:r>
              <w:rPr>
                <w:rFonts w:hint="eastAsia" w:ascii="宋体" w:hAnsi="宋体" w:eastAsia="宋体" w:cs="宋体"/>
                <w:kern w:val="0"/>
                <w:sz w:val="21"/>
                <w:szCs w:val="21"/>
                <w:highlight w:val="none"/>
                <w:lang w:bidi="ar"/>
              </w:rPr>
              <w:t>芯片。</w:t>
            </w:r>
          </w:p>
          <w:p w14:paraId="787EF87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9.物联网管理平台：</w:t>
            </w:r>
          </w:p>
          <w:p w14:paraId="3A0F3D1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lang w:bidi="ar"/>
              </w:rPr>
              <w:t>（1）设备接入：支持编辑创建项目、按照分组添加管理设备、查看设备推送状态、设备插件接入、网关与子设备接入；</w:t>
            </w:r>
          </w:p>
          <w:p w14:paraId="75A723A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（2）规则引擎：支持数据转发第三方、接收设备数据并转换、接入各种协议、实时数据计算；</w:t>
            </w:r>
          </w:p>
          <w:p w14:paraId="28105D8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（3）多接入协议：支持MQTT、TCP、Modbus、GB28181等；</w:t>
            </w:r>
          </w:p>
          <w:p w14:paraId="16E1723E">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lang w:bidi="ar"/>
              </w:rPr>
              <w:t>（4）应用管理：设备插件、协议插件，用积木的方式搭建系统</w:t>
            </w:r>
            <w:r>
              <w:rPr>
                <w:rFonts w:hint="eastAsia" w:ascii="宋体" w:hAnsi="宋体" w:eastAsia="宋体" w:cs="宋体"/>
                <w:sz w:val="21"/>
                <w:szCs w:val="21"/>
                <w:highlight w:val="none"/>
              </w:rPr>
              <w:t>；</w:t>
            </w:r>
          </w:p>
          <w:p w14:paraId="716C727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（5）自动化：包括时间与设备两种触发模式，自动化告警和控制；</w:t>
            </w:r>
          </w:p>
          <w:p w14:paraId="687120D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（6）可视化：具有可视化编辑基本功能、开放式架构、预绑定数据图表、添加自己的图元；</w:t>
            </w:r>
          </w:p>
          <w:p w14:paraId="5704D20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（7）协议接入：支持开发自定义协议配置、配置后的接入参数；</w:t>
            </w:r>
          </w:p>
          <w:p w14:paraId="6EFB650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（8）多租户功能：具有超级管理员管理、租户账户管理业务系统、租户用户管理设备查看数据；</w:t>
            </w:r>
          </w:p>
          <w:p w14:paraId="3D5EFC9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（9）设备配置模板：关联设备、属性与功能、协议配置、数据处理、自动化、告警、扩展信息；</w:t>
            </w:r>
          </w:p>
          <w:p w14:paraId="000CA78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（10）组件化：开放架构，具有多种组件设计、可快速搭建。</w:t>
            </w:r>
          </w:p>
          <w:p w14:paraId="0084109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十三、工业视觉2D系统</w:t>
            </w:r>
          </w:p>
          <w:p w14:paraId="657CE77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1.1工业2D相机</w:t>
            </w:r>
          </w:p>
          <w:p w14:paraId="03C9993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1.传感器类型：CMOS，卷帘快门；</w:t>
            </w:r>
          </w:p>
          <w:p w14:paraId="6807D01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2.像元尺寸：2.4μm×2.4μm；</w:t>
            </w:r>
          </w:p>
          <w:p w14:paraId="0EC7A90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3.靶面尺寸：1/1.8"；</w:t>
            </w:r>
          </w:p>
          <w:p w14:paraId="1CAD1A4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4.分辨率：3072×2048；</w:t>
            </w:r>
          </w:p>
          <w:p w14:paraId="37D53B3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5.曝光时间：8μs～1s；</w:t>
            </w:r>
          </w:p>
          <w:p w14:paraId="0A4D22F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6.帧率：≥59 fps；</w:t>
            </w:r>
          </w:p>
          <w:p w14:paraId="4C42445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7.颜色：彩色；</w:t>
            </w:r>
          </w:p>
          <w:p w14:paraId="2545118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8.数据接口：USB3.0，兼容USB2.0；</w:t>
            </w:r>
          </w:p>
          <w:p w14:paraId="65BD4F6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9.协议/标准: USB3 Vision，GenlCam；</w:t>
            </w:r>
          </w:p>
          <w:p w14:paraId="2A9C6F4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10.软件: MVS 或第三方支持 USB3 Vision 协议软件；</w:t>
            </w:r>
          </w:p>
          <w:p w14:paraId="4E659B2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11.供电： 9～24VDC，支持USB供电；</w:t>
            </w:r>
          </w:p>
          <w:p w14:paraId="2AFD44D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12.镜头接口：C-Mount。</w:t>
            </w:r>
          </w:p>
          <w:p w14:paraId="5147A02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1.2工业镜头1.支持分辨率：≥800万；2.焦距：16 mm；3.光圈：F2.8～F16；4.像面尺寸：1/1.8''；5.畸变：-0.018%；6.最近摄距：0.1 m；7.接口类型：C-Moun。</w:t>
            </w:r>
          </w:p>
          <w:p w14:paraId="43D72DF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1.3工业光源</w:t>
            </w:r>
          </w:p>
          <w:p w14:paraId="310C237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1.类别：环形光源；</w:t>
            </w:r>
          </w:p>
          <w:p w14:paraId="39BA77C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2.尺寸：外径Φ≥70</w:t>
            </w:r>
            <w:r>
              <w:rPr>
                <w:rFonts w:hint="eastAsia" w:ascii="宋体" w:hAnsi="宋体" w:eastAsia="宋体" w:cs="宋体"/>
                <w:sz w:val="21"/>
                <w:szCs w:val="21"/>
                <w:highlight w:val="none"/>
              </w:rPr>
              <w:t>mm</w:t>
            </w:r>
            <w:r>
              <w:rPr>
                <w:rFonts w:hint="eastAsia" w:ascii="宋体" w:hAnsi="宋体" w:eastAsia="宋体" w:cs="宋体"/>
                <w:kern w:val="0"/>
                <w:sz w:val="21"/>
                <w:szCs w:val="21"/>
                <w:highlight w:val="none"/>
                <w:lang w:bidi="ar"/>
              </w:rPr>
              <w:t>，内径Φ≥36</w:t>
            </w:r>
            <w:r>
              <w:rPr>
                <w:rFonts w:hint="eastAsia" w:ascii="宋体" w:hAnsi="宋体" w:eastAsia="宋体" w:cs="宋体"/>
                <w:sz w:val="21"/>
                <w:szCs w:val="21"/>
                <w:highlight w:val="none"/>
              </w:rPr>
              <w:t>mm</w:t>
            </w:r>
            <w:r>
              <w:rPr>
                <w:rFonts w:hint="eastAsia" w:ascii="宋体" w:hAnsi="宋体" w:eastAsia="宋体" w:cs="宋体"/>
                <w:kern w:val="0"/>
                <w:sz w:val="21"/>
                <w:szCs w:val="21"/>
                <w:highlight w:val="none"/>
                <w:lang w:bidi="ar"/>
              </w:rPr>
              <w:t xml:space="preserve"> ，厚度≥20.5mm；</w:t>
            </w:r>
          </w:p>
          <w:p w14:paraId="419219C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3.颜色：白色；</w:t>
            </w:r>
          </w:p>
          <w:p w14:paraId="1CF3FD9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4.供电：24VDC。</w:t>
            </w:r>
          </w:p>
          <w:p w14:paraId="5754BEA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1.4工业视觉系统开发软件</w:t>
            </w:r>
          </w:p>
          <w:p w14:paraId="6923185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1.标准视觉算法平台软件，支持接入不少于8种品牌工业相机；</w:t>
            </w:r>
          </w:p>
          <w:p w14:paraId="79A0583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2.提供图形化交互编程模式，采用拖拽式流程式编辑，可视化配置，支持脚本编程；</w:t>
            </w:r>
          </w:p>
          <w:p w14:paraId="1765187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3.支持多工位和多任务同步运行，支持客户端和服务器之间传输图片、消息和数据；</w:t>
            </w:r>
          </w:p>
          <w:p w14:paraId="1C674E3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4.支持二次开发，提供VB、C#、C++等多种语言SDK；</w:t>
            </w:r>
          </w:p>
          <w:p w14:paraId="423153E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5.包含图像采集、处理、定位、标定、对位、测量、识别、颜色处理、缺陷检测、逻辑、通讯等图像处理和外部通讯工具；</w:t>
            </w:r>
          </w:p>
          <w:p w14:paraId="796D75C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支持图像处理功能：包含图像组合、形态学处理、图像二值化、图像滤波、图像增强、图像运算、清晰度评估、图像修正、阴影校正、仿射变换、圆环展开、拷贝填充、帧平均、图像归一化、图像矫正、几何变换、图像拼接、多图融合等工具；</w:t>
            </w:r>
          </w:p>
          <w:p w14:paraId="774D16F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7.支持定位功能：包含高精度匹配、快速匹配、灰度匹配、图形定位、圆查找、直线查找、BLOB 分析、卡尺工具、边缘查找、间距检测、位置修正、矩形检测、顶点检测、边缘交点、平行线查找、四边形查找、直线查找组合、多直线查找、路径提取、Blob标签分析等工具；</w:t>
            </w:r>
          </w:p>
          <w:p w14:paraId="63778F6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8.支持图像采集功能：包含图像源、多图采集、输出图像、缓存图像、光源等工具；</w:t>
            </w:r>
          </w:p>
          <w:p w14:paraId="7CC50B6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9.支持标定功能：包含标定板标定、平移旋转标定、标定转换、单点抓取单位转换、畸变标定、畸变校正、映射标定、N 图像标定等工具；</w:t>
            </w:r>
          </w:p>
          <w:p w14:paraId="2E5355F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10.支持对位功能：包含相机映射、单点对位、点集对位、线对位等工具；</w:t>
            </w:r>
          </w:p>
          <w:p w14:paraId="4E15E62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11.支持测量功能：包含高度测量线圆测量、圆圆测量、点圆测量、点线测量、线线测量、点点测量、圆拟合、直线拟合、亮度测量、像素统计、直方图工具、几何创建等工具；</w:t>
            </w:r>
          </w:p>
          <w:p w14:paraId="392A746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12.支持识别功能：包含二维码识别、条码识别、字符识别、DL 字符识别G/C、DL 读码G/C、DL 字符定位G/C等工具；</w:t>
            </w:r>
          </w:p>
          <w:p w14:paraId="2CC15DC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13.支持颜色处理功能：包含颜色抽取、颜色测量、颜色转换、颜色识别等工具；</w:t>
            </w:r>
          </w:p>
          <w:p w14:paraId="11376F8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14.支持缺陷检测功能：包含字符缺陷检测、圆弧边缘缺陷检测、直线边缘缺陷检测、圆弧对缺陷检测、直线对缺陷检测、边缘组合缺陷检测、边缘对组合缺陷检测、边缘模型缺陷检测、边缘对模型缺陷检测、缺陷对比等工具；</w:t>
            </w:r>
          </w:p>
          <w:p w14:paraId="16BDD4B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15.支持逻辑处理功能：包含条件检测、分支模块、分支字符、文本保存、逻辑、格式化、变量计算、字符比较、脚本、全局脚本Group、点集、耗时统计、数据集合、协议解析、协议组装等工具；</w:t>
            </w:r>
          </w:p>
          <w:p w14:paraId="0B9698C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16.支持通讯功能；包含接收数据、发送数据、相机IO 通信（支持TCP/IP、Modbus、UDP、串口、Ethernet/IP 等常用工业协议，支持与主流品牌PLC 的通信 ）等工具。</w:t>
            </w:r>
          </w:p>
          <w:p w14:paraId="2B6F960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十四、配套相应连接件和配件</w:t>
            </w:r>
          </w:p>
          <w:p w14:paraId="72DC84C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1.一字&amp;十字螺丝刀套件 1套；</w:t>
            </w:r>
          </w:p>
          <w:p w14:paraId="10DEC38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2.自动剥线钳 1把；</w:t>
            </w:r>
          </w:p>
          <w:p w14:paraId="4CFECD0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3.斜口钳 1把；</w:t>
            </w:r>
          </w:p>
          <w:p w14:paraId="660D7DD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4.尖嘴钳 1把；</w:t>
            </w:r>
          </w:p>
          <w:p w14:paraId="2EA135D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5.压线钳 1把；</w:t>
            </w:r>
          </w:p>
          <w:p w14:paraId="799C1ED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6.万用表1 把；</w:t>
            </w:r>
          </w:p>
          <w:p w14:paraId="75575FB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7.电线黑色0.5平方50米；</w:t>
            </w:r>
          </w:p>
          <w:p w14:paraId="33FED77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8.电线蓝色0.5平方50米；</w:t>
            </w:r>
          </w:p>
          <w:p w14:paraId="529C420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9.接线插针 200件；</w:t>
            </w:r>
          </w:p>
          <w:p w14:paraId="4F9CD11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10.冷压插子200件；</w:t>
            </w:r>
          </w:p>
          <w:p w14:paraId="4E0D559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11.接线端子200件；</w:t>
            </w:r>
          </w:p>
          <w:p w14:paraId="70984DB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12.网线10米；</w:t>
            </w:r>
          </w:p>
          <w:p w14:paraId="1DEABF4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kern w:val="0"/>
                <w:sz w:val="21"/>
                <w:szCs w:val="21"/>
                <w:highlight w:val="none"/>
                <w:lang w:bidi="ar"/>
              </w:rPr>
              <w:t>13.0.5米DIN导轨 10条。</w:t>
            </w:r>
          </w:p>
        </w:tc>
      </w:tr>
      <w:tr w14:paraId="7F8F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tcBorders>
              <w:top w:val="single" w:color="auto" w:sz="4" w:space="0"/>
            </w:tcBorders>
            <w:vAlign w:val="center"/>
          </w:tcPr>
          <w:p w14:paraId="597B2B61">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2</w:t>
            </w:r>
          </w:p>
        </w:tc>
        <w:tc>
          <w:tcPr>
            <w:tcW w:w="1017" w:type="dxa"/>
            <w:tcBorders>
              <w:top w:val="single" w:color="auto" w:sz="4" w:space="0"/>
            </w:tcBorders>
            <w:vAlign w:val="center"/>
          </w:tcPr>
          <w:p w14:paraId="653C0C6A">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工业互联网网关及可视化平台</w:t>
            </w:r>
          </w:p>
        </w:tc>
        <w:tc>
          <w:tcPr>
            <w:tcW w:w="633" w:type="dxa"/>
            <w:gridSpan w:val="2"/>
            <w:tcBorders>
              <w:top w:val="single" w:color="auto" w:sz="4" w:space="0"/>
            </w:tcBorders>
            <w:shd w:val="clear" w:color="auto" w:fill="FFFFFF"/>
            <w:vAlign w:val="center"/>
          </w:tcPr>
          <w:p w14:paraId="4BB53917">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631" w:type="dxa"/>
            <w:tcBorders>
              <w:top w:val="single" w:color="auto" w:sz="4" w:space="0"/>
            </w:tcBorders>
            <w:vAlign w:val="center"/>
          </w:tcPr>
          <w:p w14:paraId="025C077E">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467" w:type="dxa"/>
            <w:tcBorders>
              <w:top w:val="single" w:color="auto" w:sz="4" w:space="0"/>
            </w:tcBorders>
            <w:vAlign w:val="center"/>
          </w:tcPr>
          <w:p w14:paraId="1F9821F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装置为一体化的工业边缘控制与数据平台，集成Codesys软PLC、边缘网关、关系与时序数据库及可视化与告警功能，可面向工业现场实现设备实时控制、数据采集与预处理、历史与时序数据管理、可视化监控与告警以及与云端/数字孪生/智能体平台的双向数据交互。以3T融合综合实训装置为硬件基础，提供高集成度的现场控制与边缘计算能力，支持虚拟场景仿真与调试、智能体应用的快速部署。</w:t>
            </w:r>
          </w:p>
          <w:p w14:paraId="316589D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2.系统与核心性能：采用≧8核高性能处理器，集成神经网络处理器，整机功耗不高于15W。</w:t>
            </w:r>
          </w:p>
          <w:p w14:paraId="1F64B8D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3.支持视频与图形处理：集成高性能图形处理单元，支持JPEG编解码；支持不低于8K视频编码（H.265/H.264 等），提供≧2 路HDMI 2.1接口，支持异显输出，最高支持4K分辨率。</w:t>
            </w:r>
          </w:p>
          <w:p w14:paraId="7615015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4．网络与通信，配备双千兆以太网接口，支持 2.4G/5G双频Wi-Fi及蓝牙通信。</w:t>
            </w:r>
          </w:p>
          <w:p w14:paraId="1EE1B855">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5.Codesys软PLC工业控制与编程功能（未授权非实时核）：支持 IEC 61131-3 PLC 控制标准，配备PLC编程能力，兼容 LD（梯形图）、ST（结构化文本）、CFC（连续功能图）、FBD（功能块图）、SFC（顺序功能图）、G 代码等多种编程方式，同时可通过平台开展标准化PLC编程实训，适配工业领域主流PLC开发场景；可外接远程IO，实现对外部设备的灵活控制，控制范围涵盖远程开关量（如设备启停信号）、模拟量（如温度、压力等参数）等相关设备，为工业自动化控制提供多技术路径支撑。</w:t>
            </w:r>
          </w:p>
          <w:p w14:paraId="5469583D">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6.低代码开发与看板制作功能：配备低代码编程开发与低代码看板开发专项功能。可通过拖拽组件、配置参数的方式，快速搭建IoT数据采集、设备控制逻辑、数据转发等工业应用流程；可直观设计工业场景数据展示界面，实时呈现设备运行状态、关键参数（如温度、转速）、报警信息等内容，支持看板界面自定义布局。配备MQTT信号创建能力，支持多种主流通信协议，可通过云平台快速创建MQTT信号，实现工业设备与云端的高效数据交互，适配远程监控、云端数据存储等场景；装置USB口支持 usb/485 转换，可实现各类 485 通信设备的信号采集。</w:t>
            </w:r>
          </w:p>
          <w:p w14:paraId="686B0150">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7.数字孪生体虚拟调试功能：装置支持数字孪生体虚拟调试能力，兼容多种协议，可实现数字孪生模型与物理设备的双向数据传输；支持通过设计平台开展数字孪生体开发实训，涵盖运动逻辑配置、虚拟场景编程、虚实联动调试等环节，能模拟生产线运行、设备故障排查等工业场景，为数字孪生技术教学提供实操载体。</w:t>
            </w:r>
          </w:p>
          <w:p w14:paraId="6C1E3C2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数据库存储与管理功能：兼容关系数据库（MySQL）和时序数据库（InfluxDB）核心数据库类型，满足工业数据差异化存储需求。</w:t>
            </w:r>
          </w:p>
          <w:p w14:paraId="5EF6285D">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工业看板设计功能：集成工业级可视化与监控平台，支持将多个数据源（如InfluxDB、MySQL、MQTT 经由中间件等）聚合到统一仪表盘，用于实时监控、历史分析、报警联动与报表导出，满足教学、运维与性能分析需求。</w:t>
            </w:r>
          </w:p>
          <w:p w14:paraId="2477583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8.内网穿透远程访问功能：搭载 Frps 内网穿透功能，打破局域网访问限制，实现对工业设备、部署系统及各类实训终端的远程访问与远程控制。</w:t>
            </w:r>
          </w:p>
          <w:p w14:paraId="11802D6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物联网消息服务器部署功能：集成物联网消息服务器，实现工业设备间、设备与云端、设备与本地系统的双向消息通信与实时数据交互，支持消息持久化、断线重连、负载均衡等工业级特性，保障工业数据传输的稳定性与可靠性。</w:t>
            </w:r>
          </w:p>
          <w:p w14:paraId="7D5B29E0">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10.数据库可视化管理功能：适配数据库管理工具，为数据库打造可视化的Web端管理体系。可通过浏览器访问的可视化界面，完成数据库的创建、删除、修改，数据表的设计、数据的增删改查、SQL 语句的可视化编辑与执行等核心操作，同时支持数据库的备份与恢复、用户权限的精细化配置、数据导入与导出、数据库性能监控等运维功能。</w:t>
            </w:r>
          </w:p>
          <w:p w14:paraId="2D626592">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11.提供智能体场景展示（不少于3个）：应包含小型综合实训台控制场景（包含变频器控制模块、指示灯控制模块、伺服控制模块），Codesys PLC抽水蓄能实训装置控制场景（包含），智能产线综合实训平台（至少包含选送料模块、模拟冲压模块、机械手搬运模块、视觉检测模块、AGV小车运输模块、立体仓库模块）。能够通过coze平台发布到大模型应用平台上，实现多模态的交互方式，如语音、文字等。</w:t>
            </w:r>
          </w:p>
          <w:p w14:paraId="32DF5ACC">
            <w:pPr>
              <w:keepNext w:val="0"/>
              <w:keepLines w:val="0"/>
              <w:pageBreakBefore w:val="0"/>
              <w:kinsoku/>
              <w:wordWrap/>
              <w:overflowPunct/>
              <w:topLinePunct w:val="0"/>
              <w:bidi w:val="0"/>
              <w:adjustRightInd/>
              <w:snapToGrid/>
              <w:spacing w:line="400" w:lineRule="exact"/>
              <w:ind w:left="-36"/>
              <w:rPr>
                <w:rFonts w:hint="eastAsia" w:ascii="宋体" w:hAnsi="宋体" w:eastAsia="宋体" w:cs="宋体"/>
                <w:sz w:val="21"/>
                <w:szCs w:val="21"/>
                <w:highlight w:val="none"/>
              </w:rPr>
            </w:pPr>
            <w:r>
              <w:rPr>
                <w:rFonts w:hint="eastAsia" w:ascii="宋体" w:hAnsi="宋体" w:eastAsia="宋体" w:cs="宋体"/>
                <w:sz w:val="21"/>
                <w:szCs w:val="21"/>
                <w:highlight w:val="none"/>
              </w:rPr>
              <w:t>12.可实训项目：</w:t>
            </w:r>
          </w:p>
          <w:p w14:paraId="3DAB05E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（1）软PLC工业控制与编程功能：</w:t>
            </w:r>
          </w:p>
          <w:p w14:paraId="650E0E7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1）启保停编程案例实训；</w:t>
            </w:r>
          </w:p>
          <w:p w14:paraId="674DB0C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2）变量定义实训；</w:t>
            </w:r>
          </w:p>
          <w:p w14:paraId="2A83184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3）编程基本指令应用实训；</w:t>
            </w:r>
          </w:p>
          <w:p w14:paraId="024679A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4）编程功能指令应用实训；</w:t>
            </w:r>
          </w:p>
          <w:p w14:paraId="64B53E0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5）可视化视图应用实例实训；</w:t>
            </w:r>
          </w:p>
          <w:p w14:paraId="1818736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 PLCopen运动控制实训；</w:t>
            </w:r>
          </w:p>
          <w:p w14:paraId="7D0FE20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 单轴的运动控制实训；</w:t>
            </w:r>
          </w:p>
          <w:p w14:paraId="655EF57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 单轴的回零控制实训；</w:t>
            </w:r>
          </w:p>
          <w:p w14:paraId="06FAD43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 双轴主从运动的控制实训；</w:t>
            </w:r>
          </w:p>
          <w:p w14:paraId="5FACAFA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10）双轴的凸轮运动控制实训；</w:t>
            </w:r>
          </w:p>
          <w:p w14:paraId="7EDB79C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11）轴组插补运动的控制实训；</w:t>
            </w:r>
          </w:p>
          <w:p w14:paraId="44DC890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12）0PC UA通信实训；</w:t>
            </w:r>
          </w:p>
          <w:p w14:paraId="5B81F6E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13）Modbus TCP通信实训；</w:t>
            </w:r>
          </w:p>
          <w:p w14:paraId="23EA1DE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14）TCP/UDP通信实训；</w:t>
            </w:r>
          </w:p>
          <w:p w14:paraId="678A689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15）NVL通信实训。</w:t>
            </w:r>
          </w:p>
          <w:p w14:paraId="43DBF0E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（2）低代码开发与看板制作功能：</w:t>
            </w:r>
          </w:p>
          <w:p w14:paraId="67B5ABA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1）平台认知实训；</w:t>
            </w:r>
          </w:p>
          <w:p w14:paraId="3F87086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2）平台节点操作实训；</w:t>
            </w:r>
          </w:p>
          <w:p w14:paraId="3A5B008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3）平台看板设计实训；</w:t>
            </w:r>
          </w:p>
          <w:p w14:paraId="502F5CE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4）平台与PLC的通信；</w:t>
            </w:r>
          </w:p>
          <w:p w14:paraId="440D114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5）平台与PLC的OPC UA通信；</w:t>
            </w:r>
          </w:p>
          <w:p w14:paraId="445C52B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6）平台与传感器的Mobus通信；</w:t>
            </w:r>
          </w:p>
          <w:p w14:paraId="24DF123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7）平台与公有云平台的MQTT通信；</w:t>
            </w:r>
          </w:p>
          <w:p w14:paraId="1CCAEE5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8）平台与PLC的TCP及UDP通信；</w:t>
            </w:r>
          </w:p>
          <w:p w14:paraId="3025A2E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9）平台与网站API接口调取实时数据的通信；</w:t>
            </w:r>
          </w:p>
          <w:p w14:paraId="2EE7F72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10）平台与MY SQL关系数据库的通信；</w:t>
            </w:r>
          </w:p>
          <w:p w14:paraId="140053B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11）平台进行文本数据的双向存取；</w:t>
            </w:r>
          </w:p>
          <w:p w14:paraId="6B98DCE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12）平台进行CSV表格数据的双向存取；</w:t>
            </w:r>
          </w:p>
          <w:p w14:paraId="625ED3E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13）平台视觉摄像头的网络和串口调用和拍照；</w:t>
            </w:r>
          </w:p>
          <w:p w14:paraId="6AF3D38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（3）数字孪生体虚拟调试功能：</w:t>
            </w:r>
          </w:p>
          <w:p w14:paraId="2706CBF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1）软件认知与操作实训；</w:t>
            </w:r>
          </w:p>
          <w:p w14:paraId="4ACCA31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2）基本机电对象应用实训；</w:t>
            </w:r>
          </w:p>
          <w:p w14:paraId="279A998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3）运动副和约束应用实训；</w:t>
            </w:r>
          </w:p>
          <w:p w14:paraId="7101A66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4）耦合副应用实训；</w:t>
            </w:r>
          </w:p>
          <w:p w14:paraId="675920F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5）传感器和执行器应用实训；</w:t>
            </w:r>
          </w:p>
          <w:p w14:paraId="6151BCD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6）运行时行为应用实训；</w:t>
            </w:r>
          </w:p>
          <w:p w14:paraId="17C6E85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7）仿真过程控制实训；</w:t>
            </w:r>
          </w:p>
          <w:p w14:paraId="44CC0FB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8）虚拟调试协同连接实训；</w:t>
            </w:r>
          </w:p>
          <w:p w14:paraId="6383F5E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9）控制面板单元仿真与调试实训；</w:t>
            </w:r>
          </w:p>
          <w:p w14:paraId="587EC7D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10）出料与传送单元仿真与调试实训；</w:t>
            </w:r>
          </w:p>
          <w:p w14:paraId="12C539C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11）装配和仓储单元仿真与调试实训；</w:t>
            </w:r>
          </w:p>
          <w:p w14:paraId="33475E3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12）数字孪生体虚拟调试实训。</w:t>
            </w:r>
          </w:p>
          <w:p w14:paraId="53F7322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（4）数据库存储与管理功能：</w:t>
            </w:r>
          </w:p>
          <w:p w14:paraId="4D4C2D3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1）安装与连接配置；</w:t>
            </w:r>
          </w:p>
          <w:p w14:paraId="7E6FFE3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2）创建数据库与设备信息表；</w:t>
            </w:r>
          </w:p>
          <w:p w14:paraId="297825E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3）基本增删操作练习；</w:t>
            </w:r>
          </w:p>
          <w:p w14:paraId="0153B38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4）基本改查操作练习；</w:t>
            </w:r>
          </w:p>
          <w:p w14:paraId="031A8E3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5）写入与查询时序数据；</w:t>
            </w:r>
          </w:p>
          <w:p w14:paraId="2CCDD35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6）时序数据可视化准备（与Grafana对接基础）。</w:t>
            </w:r>
          </w:p>
          <w:p w14:paraId="6F31279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（5）工业看板设计功能：</w:t>
            </w:r>
          </w:p>
          <w:p w14:paraId="4BC80CB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1）安装与基础配置；</w:t>
            </w:r>
          </w:p>
          <w:p w14:paraId="549D276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2）数据源管理；</w:t>
            </w:r>
          </w:p>
          <w:p w14:paraId="2BFD0FC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3）基础看板制作；</w:t>
            </w:r>
          </w:p>
          <w:p w14:paraId="2653271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4）单值与统计面板；</w:t>
            </w:r>
          </w:p>
          <w:p w14:paraId="5F0EDF5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5）多数据源面板混合展示；</w:t>
            </w:r>
          </w:p>
          <w:p w14:paraId="5899F0F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6）警规则配置与通知；</w:t>
            </w:r>
          </w:p>
          <w:p w14:paraId="24BE9CC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7）数据下采样与长期趋势。</w:t>
            </w:r>
          </w:p>
          <w:p w14:paraId="3F90949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（6）工业智能体开发功能：</w:t>
            </w:r>
          </w:p>
          <w:p w14:paraId="28A0739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1）平台智能体创建实训；</w:t>
            </w:r>
          </w:p>
          <w:p w14:paraId="2E7E42F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2）平台智能体插件应用实训；</w:t>
            </w:r>
          </w:p>
          <w:p w14:paraId="3CDAD30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3）平台智能体工作流应用实训；</w:t>
            </w:r>
          </w:p>
          <w:p w14:paraId="31DF2F6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4）平台智能体触发器应用实训；</w:t>
            </w:r>
          </w:p>
          <w:p w14:paraId="5A2962A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5）平台智能体文本功能应用实训；</w:t>
            </w:r>
          </w:p>
          <w:p w14:paraId="00BB307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6）平台智能体表格功能应用实训；</w:t>
            </w:r>
          </w:p>
          <w:p w14:paraId="283DE4E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7）平台智能体照片功能应用实训；</w:t>
            </w:r>
          </w:p>
          <w:p w14:paraId="6983057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8）平台智能体变量功能应用实训；</w:t>
            </w:r>
          </w:p>
          <w:p w14:paraId="6275E7F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9）平台智能体数据库功能应用实训；</w:t>
            </w:r>
          </w:p>
          <w:p w14:paraId="605080D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10）平台智能体长期记忆功能应用实训；</w:t>
            </w:r>
          </w:p>
          <w:p w14:paraId="0B6C767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11）平台智能体文件盒子功能应用实训；</w:t>
            </w:r>
          </w:p>
          <w:p w14:paraId="5B09F82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12）平台智能体人设和回复逻辑实训；</w:t>
            </w:r>
          </w:p>
          <w:p w14:paraId="2881646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13）平台智能体与公有云通信实训；</w:t>
            </w:r>
          </w:p>
          <w:p w14:paraId="06F5AFC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14）平台智能体AI智能训练实训；</w:t>
            </w:r>
          </w:p>
          <w:p w14:paraId="1A64BEB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15）平台智能体工业设备数据查询控制实训；</w:t>
            </w:r>
          </w:p>
          <w:p w14:paraId="25F4EAB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16）平台智能体工业设备操作控制实训；</w:t>
            </w:r>
          </w:p>
          <w:p w14:paraId="3FDC3FF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sz w:val="21"/>
                <w:szCs w:val="21"/>
                <w:highlight w:val="none"/>
              </w:rPr>
              <w:t>17）平台智能体豆包和微信平台发布实训。</w:t>
            </w:r>
          </w:p>
        </w:tc>
      </w:tr>
      <w:tr w14:paraId="62DA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tcBorders>
              <w:top w:val="single" w:color="auto" w:sz="4" w:space="0"/>
            </w:tcBorders>
            <w:vAlign w:val="center"/>
          </w:tcPr>
          <w:p w14:paraId="2DC1910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3</w:t>
            </w:r>
          </w:p>
        </w:tc>
        <w:tc>
          <w:tcPr>
            <w:tcW w:w="1017" w:type="dxa"/>
            <w:tcBorders>
              <w:top w:val="single" w:color="auto" w:sz="4" w:space="0"/>
            </w:tcBorders>
            <w:vAlign w:val="center"/>
          </w:tcPr>
          <w:p w14:paraId="75E469EA">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智慧养殖巡检系统</w:t>
            </w:r>
          </w:p>
        </w:tc>
        <w:tc>
          <w:tcPr>
            <w:tcW w:w="633" w:type="dxa"/>
            <w:gridSpan w:val="2"/>
            <w:tcBorders>
              <w:top w:val="single" w:color="auto" w:sz="4" w:space="0"/>
            </w:tcBorders>
            <w:shd w:val="clear" w:color="auto" w:fill="FFFFFF"/>
            <w:vAlign w:val="center"/>
          </w:tcPr>
          <w:p w14:paraId="56C029B2">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tcBorders>
              <w:top w:val="single" w:color="auto" w:sz="4" w:space="0"/>
            </w:tcBorders>
            <w:vAlign w:val="center"/>
          </w:tcPr>
          <w:p w14:paraId="250C7CE3">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467" w:type="dxa"/>
            <w:tcBorders>
              <w:top w:val="single" w:color="auto" w:sz="4" w:space="0"/>
            </w:tcBorders>
            <w:vAlign w:val="center"/>
          </w:tcPr>
          <w:p w14:paraId="6B1FE78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一、系统功能</w:t>
            </w:r>
          </w:p>
          <w:p w14:paraId="420228C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利用养猪轨道式巡检机器人，搭载红外热成像、高清相机、深度相机、声音采集模块、环境传感器等多种传感器，加以AI智能算法，通过轨道行驶，完成巡检任务，并实时上报数据，实现自动化监测，完成巡检任务后，自动回充和清洗，避免人为二次干预。</w:t>
            </w:r>
          </w:p>
          <w:p w14:paraId="67E3CC3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▲2.猪只计数功能：通过可见光功能模块，全面掌握猪场环境，机器人携带工业相机，深度学习AI算法,实现猪只数量统计，并通过增加围栏识别，只识别当前猪舍里的猪只，防止其他猪舍的误识别。</w:t>
            </w:r>
          </w:p>
          <w:p w14:paraId="291F077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▲3.猪只温度异常监测：红外测温模块实现猪只无接触测温，及时发现发烧猪并报警；利用红外AI识别技术，针对猪耳窝/腹股沟/肛门等位置进行精准测量。</w:t>
            </w:r>
          </w:p>
          <w:p w14:paraId="266F439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4.猪只均重估算：智能机器人携带工业相机，配合物联网深度学习AI算法,实现猪只体重估算。</w:t>
            </w:r>
          </w:p>
          <w:p w14:paraId="1581CBE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5.猪舍环境监测：机器人搭载的环境监测模块，可以对猪场内的温度，湿度，氨气等环境信息进行实时采集，便于现场的环境控制器的调整和使用，提升猪只的舒适性。</w:t>
            </w:r>
          </w:p>
          <w:p w14:paraId="2F775B8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猪只声音异常监测：机器人利用自身携带的声音采集模块，对猪栏异常声音进行采集，如生病猪只的咳嗽，猪撕咬等数据进行采集，健康的猪只叫声清脆，病猪侧叫声嘶哑、哀鸣；将采集的数据进行分析，进而诊断出异常个体，触发相应报警。</w:t>
            </w:r>
          </w:p>
          <w:p w14:paraId="10FEBC8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7.猪只背膘测试：通过计算机视觉和图像处理的方式来实现背膘厚度的计算，可以准确反映出猪只的脂肪含量等情况。</w:t>
            </w:r>
          </w:p>
          <w:p w14:paraId="1794791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8.其他功能：猪场人员监控，猪只体态监测（识别皮肤表面病灶，肿胀、溃疡、小结节、红斑等）。</w:t>
            </w:r>
          </w:p>
          <w:p w14:paraId="35F72C1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二、开源智能畜牧猪场巡检机器人</w:t>
            </w:r>
          </w:p>
          <w:p w14:paraId="6663776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1.工作环境：猪场环境。</w:t>
            </w:r>
          </w:p>
          <w:p w14:paraId="10E8665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2.温度范围：-10℃～45℃。</w:t>
            </w:r>
          </w:p>
          <w:p w14:paraId="3EABBD4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3.湿度范围：5%～95%无冷凝。</w:t>
            </w:r>
          </w:p>
          <w:p w14:paraId="5D88145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4.防护等级：不小于IP55。</w:t>
            </w:r>
          </w:p>
          <w:p w14:paraId="48805FF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5.防锈等级：不小于WF2。《户内户外防腐低压电器环境技术要求》</w:t>
            </w:r>
          </w:p>
          <w:p w14:paraId="7FEF2A5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6.运行方式：自动运行/手动后台控制。</w:t>
            </w:r>
          </w:p>
          <w:p w14:paraId="1538967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7.充电方式：无线充电，充电距离约10-40mm。</w:t>
            </w:r>
          </w:p>
          <w:p w14:paraId="36F0152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8.设计尺寸：约532(L)×272(W)×308(H)mm，重量不大于15kg。</w:t>
            </w:r>
          </w:p>
          <w:p w14:paraId="3367C06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9.工作时长：不小于6小时。</w:t>
            </w:r>
          </w:p>
          <w:p w14:paraId="2E4BE27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10.运行速度：0-15m/min。</w:t>
            </w:r>
          </w:p>
          <w:p w14:paraId="303CB76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11.最大爬坡角度：满载不小于15°。</w:t>
            </w:r>
          </w:p>
          <w:p w14:paraId="24554DD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12.数据传输方式：4G及以上（WiFi）。</w:t>
            </w:r>
          </w:p>
          <w:p w14:paraId="77977C3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13.驱动形式：</w:t>
            </w:r>
          </w:p>
          <w:p w14:paraId="0984CDF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13.1驱动系统：闭环伺服电机；</w:t>
            </w:r>
          </w:p>
          <w:p w14:paraId="46DDD53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13.2电池：30-40V（45AH）；</w:t>
            </w:r>
          </w:p>
          <w:p w14:paraId="474A8FE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13.3续航时间：不小于6h；</w:t>
            </w:r>
          </w:p>
          <w:p w14:paraId="1280603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13.4制动方式：电机制动；</w:t>
            </w:r>
          </w:p>
          <w:p w14:paraId="61F83E7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13.5驻车方式：电机驻车。</w:t>
            </w:r>
          </w:p>
          <w:p w14:paraId="0B81AB0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14、环境检测：</w:t>
            </w:r>
          </w:p>
          <w:p w14:paraId="088A39A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14.1温度检测范围：-40℃～120℃；</w:t>
            </w:r>
          </w:p>
          <w:p w14:paraId="39D291E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14.2温度检测精度：±0.5℃；</w:t>
            </w:r>
          </w:p>
          <w:p w14:paraId="5E34741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14.3湿度检测范围：0～100%RH；</w:t>
            </w:r>
          </w:p>
          <w:p w14:paraId="1D570F3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14.4湿度检测精度：±3%RH；</w:t>
            </w:r>
          </w:p>
          <w:p w14:paraId="2FEEAD6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14.5氨气检测范围：5～500PPM；</w:t>
            </w:r>
          </w:p>
          <w:p w14:paraId="727F4A1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14.6氨气检测精度：±3%；</w:t>
            </w:r>
          </w:p>
          <w:p w14:paraId="184B4AD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14.7预留多个传感器端口。</w:t>
            </w:r>
          </w:p>
          <w:p w14:paraId="1B833AA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15视觉检测：可见光摄像头(不低于400w像素)+深度摄像头+红外摄像头。</w:t>
            </w:r>
          </w:p>
          <w:p w14:paraId="146EE28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三、鱼眼相机</w:t>
            </w:r>
          </w:p>
          <w:p w14:paraId="7CF438A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1.分辨率：≥500万像素；</w:t>
            </w:r>
          </w:p>
          <w:p w14:paraId="402ECEB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2.焦距：≤1.7mm；</w:t>
            </w:r>
          </w:p>
          <w:p w14:paraId="5EBE019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3.视场角：≥180度。</w:t>
            </w:r>
          </w:p>
          <w:p w14:paraId="3A503BB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四、红外测温模块</w:t>
            </w:r>
          </w:p>
          <w:p w14:paraId="33100CB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1.分辨率：≥384×288；</w:t>
            </w:r>
          </w:p>
          <w:p w14:paraId="09C385A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2.探测器类型：氧化钒非制冷红外焦平面探测器；</w:t>
            </w:r>
          </w:p>
          <w:p w14:paraId="2CEBC0C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3.像元间距：≤17μm；</w:t>
            </w:r>
          </w:p>
          <w:p w14:paraId="6B4F22A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4.焦距：≤6.8mm；</w:t>
            </w:r>
          </w:p>
          <w:p w14:paraId="55F044E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5.视场角：≥51°×38°。</w:t>
            </w:r>
          </w:p>
          <w:p w14:paraId="7D8FC6E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五、充电清洗仓</w:t>
            </w:r>
          </w:p>
          <w:p w14:paraId="0FCE7139">
            <w:pPr>
              <w:keepNext w:val="0"/>
              <w:keepLines w:val="0"/>
              <w:pageBreakBefore w:val="0"/>
              <w:widowControl/>
              <w:kinsoku/>
              <w:wordWrap/>
              <w:overflowPunct/>
              <w:topLinePunct w:val="0"/>
              <w:bidi w:val="0"/>
              <w:adjustRightInd/>
              <w:snapToGrid/>
              <w:spacing w:line="400" w:lineRule="exact"/>
              <w:ind w:firstLine="420" w:firstLineChars="200"/>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匹配开源智能畜牧猪场巡检机器人，至少包含，消毒液喷淋口等功能，满足采购人科研开发环境要求。</w:t>
            </w:r>
          </w:p>
          <w:p w14:paraId="7DDA615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六、智慧猪场环控系统和机器人轨道建设：</w:t>
            </w:r>
          </w:p>
          <w:p w14:paraId="3DD5F577">
            <w:pPr>
              <w:keepNext w:val="0"/>
              <w:keepLines w:val="0"/>
              <w:pageBreakBefore w:val="0"/>
              <w:widowControl/>
              <w:kinsoku/>
              <w:wordWrap/>
              <w:overflowPunct/>
              <w:topLinePunct w:val="0"/>
              <w:bidi w:val="0"/>
              <w:adjustRightInd/>
              <w:snapToGrid/>
              <w:spacing w:line="400" w:lineRule="exact"/>
              <w:ind w:firstLine="420" w:firstLineChars="200"/>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智慧猪场环控系统通过模拟真实猪场环境，在综合考虑栋舍构造、风机水帘位置、进风口位置、场外环境、猪只自身释放热量等因素的基础上，通过智能巡视设备及声音监测设备采集猪只争斗、跛脚等行为信息，送至云端系统进行实时分析，可准确判断主要疾病类型，以便通知管理人员及时干预，同时建立温度、湿度、主要有害气体浓度的立体等高线模型，根据模型及猪场对环境的要求自动启动设备，使猪场始终维持在一个良好的生长环境之中。</w:t>
            </w:r>
          </w:p>
          <w:p w14:paraId="5436B79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1.猪舍1尺寸不小于1m×5m，猪舍2尺寸不小于1.5×1米，猪舍采用一体化设计，带底座，框架主体金属材质。</w:t>
            </w:r>
          </w:p>
          <w:p w14:paraId="522CE74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2.配备10头仿真猪，异常猪数量不少于4头。</w:t>
            </w:r>
          </w:p>
          <w:p w14:paraId="1FB1721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3.环境控制设备</w:t>
            </w:r>
          </w:p>
          <w:p w14:paraId="7572103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1）风机系统：静态展示，（模压）玻璃钢喇叭口，直驱,外壳尺寸：不小于1140×1140mm,安装尺寸：不小于1160×1160mm,带拢风筒，纤维增强复合材料扇叶，通风量:(0pa:23500m3/h,25pa:21800m3/h,三相，380v,0.75kw，50hz。</w:t>
            </w:r>
          </w:p>
          <w:p w14:paraId="33E56C4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2）湿帘系统：含湿帘纸，静态展示。</w:t>
            </w:r>
          </w:p>
          <w:p w14:paraId="0378506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3）温度传感器、湿度传感器、声光报警器：需上电并采集数据。</w:t>
            </w:r>
          </w:p>
          <w:p w14:paraId="39B0C95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4）带环境控制器的电控箱：304不锈钢箱体，前单开门，发泡密封；镀锌安装背板，含防雷、相序、断电报警等。</w:t>
            </w:r>
          </w:p>
          <w:p w14:paraId="4E28231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 机器人轨道</w:t>
            </w:r>
          </w:p>
          <w:p w14:paraId="74D6C3B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1）外形尺寸：工字型（≥8.7cm×4.7cm），需吊装在实训室天花板上，整体长度约38米；</w:t>
            </w:r>
          </w:p>
          <w:p w14:paraId="6E1FB45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2）轨道重量：≤1.5KG/m（3m/节）；</w:t>
            </w:r>
          </w:p>
          <w:p w14:paraId="51579FD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3）轨道材质：复合材料；</w:t>
            </w:r>
          </w:p>
          <w:p w14:paraId="299ADFC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4）转弯半径：≥0.6m。</w:t>
            </w:r>
          </w:p>
          <w:p w14:paraId="3587C0B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5.完成网络配置（现场已有无线网络和有线网络端口），以及电力施工。</w:t>
            </w:r>
          </w:p>
          <w:p w14:paraId="33F9FEA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七、畜牧场系统管理平台</w:t>
            </w:r>
          </w:p>
          <w:p w14:paraId="18AA5CE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畜牧场机器人管理平台，实现机器人调度管理以及巡检结果信息、对象特征信息上传、远程观看和分析等功能。实时获取环境信息、AI数据、机器人设备管理等信息，配备Web客户端和手机端APP，实现异常报警提醒，远程实时视频查看，自动生成报表，实现数字化管理，并能提供开源接口。</w:t>
            </w:r>
          </w:p>
          <w:p w14:paraId="5AB9D6E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2.云平台及手机端功能包括但不限于：</w:t>
            </w:r>
          </w:p>
          <w:p w14:paraId="2676AB2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1）角色信息：用户根据需要创建不同角色，并配置各菜单及操作按钮的对应权限，保障系统信息安全，支持全选/清空，操作便捷；</w:t>
            </w:r>
          </w:p>
          <w:p w14:paraId="31917A7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2）环境报表：环境云图，环境报表，环境曲线；</w:t>
            </w:r>
          </w:p>
          <w:p w14:paraId="351526D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3）死淘报表：死淘信息云图；</w:t>
            </w:r>
          </w:p>
          <w:p w14:paraId="0780C62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4）巡检画面：每站点图片云查看；</w:t>
            </w:r>
          </w:p>
          <w:p w14:paraId="723D8B4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5）报警信息：包含但不仅限于局部环境报警，笼门未关报警，设备残留异物报警等；</w:t>
            </w:r>
          </w:p>
          <w:p w14:paraId="3E15BC0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6）云控制：云端规划机器人行进路线，实时画面反馈。</w:t>
            </w:r>
          </w:p>
        </w:tc>
      </w:tr>
      <w:tr w14:paraId="2BA8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83" w:type="dxa"/>
            <w:vAlign w:val="center"/>
          </w:tcPr>
          <w:p w14:paraId="642FCEB1">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4</w:t>
            </w:r>
          </w:p>
        </w:tc>
        <w:tc>
          <w:tcPr>
            <w:tcW w:w="1017" w:type="dxa"/>
            <w:vAlign w:val="center"/>
          </w:tcPr>
          <w:p w14:paraId="19194A86">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工业网络编程工作站</w:t>
            </w:r>
          </w:p>
        </w:tc>
        <w:tc>
          <w:tcPr>
            <w:tcW w:w="633" w:type="dxa"/>
            <w:gridSpan w:val="2"/>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B452566">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8A188">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467" w:type="dxa"/>
            <w:vAlign w:val="center"/>
          </w:tcPr>
          <w:p w14:paraId="0419B26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▲1.处理器：核心数≥14核，线程数≥20线程，最高睿频≥5.0GHz；</w:t>
            </w:r>
          </w:p>
          <w:p w14:paraId="2F205C9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▲2.芯片组：</w:t>
            </w:r>
          </w:p>
          <w:p w14:paraId="51341EF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（1）内存扩展能力：≥4 DIMM插槽，≥DDR4 3200/DDR5 4800，≥128GB；</w:t>
            </w:r>
          </w:p>
          <w:p w14:paraId="5794714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（2）存储接口：≥4×SATA 3.0，≥2×M.2 NVMe；</w:t>
            </w:r>
          </w:p>
          <w:p w14:paraId="74CB6EB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（3）高速扩展槽：≥2×PCIe x16；</w:t>
            </w:r>
          </w:p>
          <w:p w14:paraId="514B9D0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（4）I/O接口：≥10×USB（≥4×USB 3.2 Gen2），≥2×千兆网口；</w:t>
            </w:r>
          </w:p>
          <w:p w14:paraId="6471AA5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▲3.内存：≥32GB DDR5；</w:t>
            </w:r>
          </w:p>
          <w:p w14:paraId="77A10B9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▲4.硬盘：≥</w:t>
            </w:r>
            <w:r>
              <w:rPr>
                <w:rFonts w:hint="eastAsia" w:ascii="宋体" w:hAnsi="宋体" w:eastAsia="宋体" w:cs="宋体"/>
                <w:kern w:val="0"/>
                <w:sz w:val="21"/>
                <w:szCs w:val="21"/>
                <w:highlight w:val="none"/>
                <w:lang w:bidi="ar"/>
              </w:rPr>
              <w:t>256G SSD+7200转≥1T机械硬盘</w:t>
            </w:r>
            <w:r>
              <w:rPr>
                <w:rFonts w:hint="eastAsia" w:ascii="宋体" w:hAnsi="宋体" w:eastAsia="宋体" w:cs="宋体"/>
                <w:sz w:val="21"/>
                <w:szCs w:val="21"/>
                <w:highlight w:val="none"/>
              </w:rPr>
              <w:t>；</w:t>
            </w:r>
          </w:p>
          <w:p w14:paraId="7845C7D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▲5.显卡：集成显卡； </w:t>
            </w:r>
          </w:p>
          <w:p w14:paraId="280F666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▲6.声卡：集成声卡；</w:t>
            </w:r>
          </w:p>
          <w:p w14:paraId="71D96B2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▲7.电源：≥180W 电源；</w:t>
            </w:r>
          </w:p>
          <w:p w14:paraId="3CF0347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▲8.机箱：≥14.5L；</w:t>
            </w:r>
          </w:p>
          <w:p w14:paraId="6619CB1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▲9.显示器：≥23.8英寸；</w:t>
            </w:r>
          </w:p>
          <w:p w14:paraId="06920A7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▲10.键鼠：配套键盘鼠标。</w:t>
            </w:r>
          </w:p>
        </w:tc>
      </w:tr>
      <w:tr w14:paraId="00D6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026382A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5</w:t>
            </w:r>
          </w:p>
        </w:tc>
        <w:tc>
          <w:tcPr>
            <w:tcW w:w="1017" w:type="dxa"/>
            <w:vAlign w:val="center"/>
          </w:tcPr>
          <w:p w14:paraId="3E96E667">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编程工作站教师终端</w:t>
            </w:r>
          </w:p>
        </w:tc>
        <w:tc>
          <w:tcPr>
            <w:tcW w:w="633" w:type="dxa"/>
            <w:gridSpan w:val="2"/>
            <w:shd w:val="clear" w:color="auto" w:fill="FFFFFF"/>
            <w:vAlign w:val="center"/>
          </w:tcPr>
          <w:p w14:paraId="3E11D2B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4CCC8F8A">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467" w:type="dxa"/>
            <w:vAlign w:val="center"/>
          </w:tcPr>
          <w:p w14:paraId="5EAB86A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1.处理器： ≥16核，线程数≥24线程，最高睿频≥5.0GHz，三级缓存≥30MB</w:t>
            </w:r>
          </w:p>
          <w:p w14:paraId="5815AA1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 xml:space="preserve">2.芯片组： </w:t>
            </w:r>
          </w:p>
          <w:p w14:paraId="269053E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（1）内存扩展能力：≥4 DIMM插槽，≥DDR4 3200/DDR5 4800，≥128GB；</w:t>
            </w:r>
          </w:p>
          <w:p w14:paraId="09EE8D0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（2）存储接口：≥4×SATA 3.0，≥2×M.2 NVMe；</w:t>
            </w:r>
          </w:p>
          <w:p w14:paraId="1FA5C29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（3）高速扩展槽：≥2×PCIe x16；</w:t>
            </w:r>
          </w:p>
          <w:p w14:paraId="52898FB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bidi="ar"/>
              </w:rPr>
              <w:t>（4）I/O接口：≥10×USB（≥4×USB 3.2 Gen2），≥2×千兆网口</w:t>
            </w:r>
            <w:r>
              <w:rPr>
                <w:rFonts w:hint="eastAsia" w:ascii="宋体" w:hAnsi="宋体" w:eastAsia="宋体" w:cs="宋体"/>
                <w:kern w:val="0"/>
                <w:sz w:val="21"/>
                <w:szCs w:val="21"/>
                <w:highlight w:val="none"/>
                <w:lang w:eastAsia="zh-CN" w:bidi="ar"/>
              </w:rPr>
              <w:t>。</w:t>
            </w:r>
          </w:p>
          <w:p w14:paraId="6A42092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3.内存：≥16GB DDR4,</w:t>
            </w:r>
          </w:p>
          <w:p w14:paraId="2AA2523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4.硬盘：≥256G SSD+7200转≥1T机械硬盘 ；</w:t>
            </w:r>
          </w:p>
          <w:p w14:paraId="30387E6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 xml:space="preserve">5.显卡：≥4G独立显卡， </w:t>
            </w:r>
          </w:p>
          <w:p w14:paraId="0255929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6.声卡：集成声卡</w:t>
            </w:r>
          </w:p>
          <w:p w14:paraId="27E4FFD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7.电源：≥180W 电源</w:t>
            </w:r>
          </w:p>
          <w:p w14:paraId="1737F7A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8.机箱：≥14.5L</w:t>
            </w:r>
          </w:p>
          <w:p w14:paraId="5923DD7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9.显示器：≥23.8英寸</w:t>
            </w:r>
          </w:p>
          <w:p w14:paraId="4FF4E3D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dstrike/>
                <w:color w:val="000000" w:themeColor="text1"/>
                <w:kern w:val="0"/>
                <w:sz w:val="21"/>
                <w:szCs w:val="21"/>
                <w:highlight w:val="none"/>
                <w:lang w:bidi="ar"/>
                <w14:textFill>
                  <w14:solidFill>
                    <w14:schemeClr w14:val="tx1"/>
                  </w14:solidFill>
                </w14:textFill>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10.键鼠：配套键盘鼠标</w:t>
            </w:r>
          </w:p>
        </w:tc>
      </w:tr>
      <w:tr w14:paraId="6B09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458D52EC">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6</w:t>
            </w:r>
          </w:p>
        </w:tc>
        <w:tc>
          <w:tcPr>
            <w:tcW w:w="1017" w:type="dxa"/>
            <w:vAlign w:val="center"/>
          </w:tcPr>
          <w:p w14:paraId="59B3120F">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实训室智慧黑板</w:t>
            </w:r>
          </w:p>
        </w:tc>
        <w:tc>
          <w:tcPr>
            <w:tcW w:w="633" w:type="dxa"/>
            <w:gridSpan w:val="2"/>
            <w:shd w:val="clear" w:color="auto" w:fill="FFFFFF"/>
            <w:vAlign w:val="center"/>
          </w:tcPr>
          <w:p w14:paraId="45C8A516">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3D721C74">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467" w:type="dxa"/>
            <w:vAlign w:val="center"/>
          </w:tcPr>
          <w:p w14:paraId="5DBA515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一、显示系统</w:t>
            </w:r>
          </w:p>
          <w:p w14:paraId="4FCFC0E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1.尺寸：不低于100英寸；</w:t>
            </w:r>
          </w:p>
          <w:p w14:paraId="702894F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2.新国标能效等级：≥1级；</w:t>
            </w:r>
          </w:p>
          <w:p w14:paraId="5FE7BE4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3.分辨率：≥3840×2160；</w:t>
            </w:r>
          </w:p>
          <w:p w14:paraId="587B1E5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4.刷新率芯片解码：330Hz；</w:t>
            </w:r>
          </w:p>
          <w:p w14:paraId="3AEBCBA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5.亮度：≥522 cd/m² ；</w:t>
            </w:r>
          </w:p>
          <w:p w14:paraId="02EF891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6.色域值：95.00%；</w:t>
            </w:r>
          </w:p>
          <w:p w14:paraId="3A6A707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7.屏幕比例：16:9；</w:t>
            </w:r>
          </w:p>
          <w:p w14:paraId="2069B23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8.无频闪背光：是；</w:t>
            </w:r>
          </w:p>
          <w:p w14:paraId="11E7CEA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低蓝光：是；</w:t>
            </w:r>
          </w:p>
          <w:p w14:paraId="04F016F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抗反射：是；</w:t>
            </w:r>
          </w:p>
          <w:p w14:paraId="09ACE47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防眩光：是。</w:t>
            </w:r>
          </w:p>
          <w:p w14:paraId="48C52C3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9.额定功率：440W；</w:t>
            </w:r>
          </w:p>
          <w:p w14:paraId="4F3E911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待机功率：小于0.5W；</w:t>
            </w:r>
          </w:p>
          <w:p w14:paraId="2E5158B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10.DDR运行内存：≥4GB DDR4；</w:t>
            </w:r>
          </w:p>
          <w:p w14:paraId="01C5BFF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11.eMMC闪存容量：≥64GB ；</w:t>
            </w:r>
          </w:p>
          <w:p w14:paraId="1A6181B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12.电视接口及数量：</w:t>
            </w:r>
          </w:p>
          <w:p w14:paraId="29BA9C1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（1）2.1接口×3；</w:t>
            </w:r>
          </w:p>
          <w:p w14:paraId="770398F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（2）AＶ三合一接口；</w:t>
            </w:r>
          </w:p>
          <w:p w14:paraId="6011124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（3）数字音频输出×1；</w:t>
            </w:r>
          </w:p>
          <w:p w14:paraId="09F7FF8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（4）数字TV×1；</w:t>
            </w:r>
          </w:p>
          <w:p w14:paraId="0A1177B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（5）USB2.0×1；</w:t>
            </w:r>
          </w:p>
          <w:p w14:paraId="5B2A736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（6）USB3.0接口×1；</w:t>
            </w:r>
          </w:p>
          <w:p w14:paraId="0699508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（7）有线网口×1。</w:t>
            </w:r>
          </w:p>
          <w:p w14:paraId="42B2B09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13.无线配置：WIFI5，2.4G&amp;5G</w:t>
            </w:r>
          </w:p>
          <w:p w14:paraId="5C2D8C7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14.支持蓝牙键鼠，支持蓝牙音箱、蓝牙耳机、蓝牙语音遥控器</w:t>
            </w:r>
          </w:p>
          <w:p w14:paraId="5A73660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16.Android版本：支持Android13或以上</w:t>
            </w:r>
          </w:p>
          <w:p w14:paraId="181D495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17.电视音频输出功率：50W，支持杜比音效</w:t>
            </w:r>
          </w:p>
          <w:p w14:paraId="3692AC8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18.整机尺寸长×宽×厚（mm）：裸机尺寸mm（不含底座）：2227×1279×94</w:t>
            </w:r>
            <w:r>
              <w:rPr>
                <w:rFonts w:hint="eastAsia" w:ascii="宋体" w:hAnsi="宋体" w:eastAsia="宋体" w:cs="宋体"/>
                <w:sz w:val="21"/>
                <w:szCs w:val="21"/>
                <w:highlight w:val="none"/>
              </w:rPr>
              <w:t>mm</w:t>
            </w:r>
          </w:p>
          <w:p w14:paraId="33F1737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二、光能黑板</w:t>
            </w:r>
          </w:p>
          <w:p w14:paraId="50E6529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1.两侧各放置一块光能黑板副板。单块光能黑板副板尺寸≥1129（长）×1315（高）mm。</w:t>
            </w:r>
          </w:p>
          <w:p w14:paraId="2EFB994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2.边框采用铝合金材质，具有耐腐蚀特性。</w:t>
            </w:r>
          </w:p>
          <w:p w14:paraId="0534805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3.无需专用耗材，采用多种笔杆均可在板面进行书写，消除了粉笔粉尘对师生构成的健康隐患。可擦写次数不低于10万次。</w:t>
            </w:r>
          </w:p>
          <w:p w14:paraId="4A2BE53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4.板面应无频闪、无背光，上膜不应产生眩光。板书笔迹平视可视距离≥20米，可视角度≥150°。</w:t>
            </w:r>
          </w:p>
          <w:p w14:paraId="1104580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5.光能黑板的光泽度不高于30光泽单位。</w:t>
            </w:r>
          </w:p>
          <w:p w14:paraId="6EB0D19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6.为减少老师书写的疲劳感，板面粗糙度Sa≤0.3um。</w:t>
            </w:r>
          </w:p>
          <w:p w14:paraId="1066572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7.书写板上膜应经过抗紫外线工艺处理，波长小于380nm的紫外线阻隔率不低于99.5%。</w:t>
            </w:r>
          </w:p>
          <w:p w14:paraId="412ACC1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8.一键擦除时间不大于1.5秒，擦除应无断点、无死角等，擦除后应无明显残留痕迹。</w:t>
            </w:r>
          </w:p>
          <w:p w14:paraId="21E43C1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9.为方便使用，可使用板擦和手势对板书进行局部擦除，局部擦除时间不大于0.4秒，擦除应无断点、无死角等，擦除后应无明显残留痕迹，且非擦除区域不受影响。</w:t>
            </w:r>
          </w:p>
          <w:p w14:paraId="4BE1040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10.黑板内设有电压调整机制，支持自动感应调整，也支持通过手势按压书写板板面的特定位置，调节局部擦除的灵敏度，适应不同用户的使用需求。</w:t>
            </w:r>
          </w:p>
          <w:p w14:paraId="1263A48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11.最大工作电流（瞬间电流）不得超过1000mA。</w:t>
            </w:r>
          </w:p>
          <w:p w14:paraId="13ABCD2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12.黑板表面具有暗格，用以提供给师生在书写板书时的直线参照，可避免板书歪斜。黑板表面可吸附磁贴、磁扣等教学工具，便于老师教学使用。</w:t>
            </w:r>
          </w:p>
          <w:p w14:paraId="40E9F92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13.为让老师能够快速调取交互软件，方便使用功能，光能黑板的左侧或右侧应具有触摸快捷键。</w:t>
            </w:r>
          </w:p>
        </w:tc>
      </w:tr>
      <w:tr w14:paraId="7422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5B05BA27">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7</w:t>
            </w:r>
          </w:p>
        </w:tc>
        <w:tc>
          <w:tcPr>
            <w:tcW w:w="1017" w:type="dxa"/>
            <w:vAlign w:val="center"/>
          </w:tcPr>
          <w:p w14:paraId="05C34BCE">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教学音响</w:t>
            </w:r>
          </w:p>
        </w:tc>
        <w:tc>
          <w:tcPr>
            <w:tcW w:w="633" w:type="dxa"/>
            <w:gridSpan w:val="2"/>
            <w:shd w:val="clear" w:color="auto" w:fill="FFFFFF"/>
            <w:vAlign w:val="center"/>
          </w:tcPr>
          <w:p w14:paraId="303FC4F3">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19737113">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467" w:type="dxa"/>
            <w:vAlign w:val="center"/>
          </w:tcPr>
          <w:p w14:paraId="7CC5B4B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1.使用2.4G数字射频技术，避免传输干扰，同时使用1000套无窜频，满足同一场所大量使用的需要。</w:t>
            </w:r>
          </w:p>
          <w:p w14:paraId="47B320B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2.外置一体式小巧2.4G信号接收盒，避免音箱内部电磁干扰，增强信号稳定性及灵敏度。</w:t>
            </w:r>
          </w:p>
          <w:p w14:paraId="3DFA913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3.带一路广播优先接口，当有广播信号时自动切换。</w:t>
            </w:r>
          </w:p>
          <w:p w14:paraId="50A13C6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4.一路立体声RCA输入，二路话筒（环保麦克风插口自带DC+6V电源）输入。</w:t>
            </w:r>
          </w:p>
          <w:p w14:paraId="5496097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5.音箱标配壁挂安装配件。</w:t>
            </w:r>
          </w:p>
          <w:p w14:paraId="1AF5E4D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6.额定功率：50W。</w:t>
            </w:r>
          </w:p>
          <w:p w14:paraId="6659A27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7.额定阻抗：4Ω。</w:t>
            </w:r>
          </w:p>
          <w:p w14:paraId="17BA813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8.频率响应：55Hz-18kHz。</w:t>
            </w:r>
          </w:p>
          <w:p w14:paraId="68FB76C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9.驱动器：采用5.5寸长冲程低音驱动器，一个高音。</w:t>
            </w:r>
          </w:p>
          <w:p w14:paraId="1209077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10.接口：1路广播输入（70V－110V输入），1路立体声RCA，2路话筒接口；</w:t>
            </w:r>
          </w:p>
          <w:p w14:paraId="7F7113A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11.灵敏度：≥85dB/1W/1M。</w:t>
            </w:r>
          </w:p>
          <w:p w14:paraId="300C1EA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12.信噪比：≥75dB。</w:t>
            </w:r>
          </w:p>
          <w:p w14:paraId="5C00A1A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13.最大声压级：78dB</w:t>
            </w:r>
            <w:r>
              <w:rPr>
                <w:rFonts w:hint="eastAsia" w:ascii="宋体" w:hAnsi="宋体" w:eastAsia="宋体" w:cs="宋体"/>
                <w:sz w:val="21"/>
                <w:szCs w:val="21"/>
                <w:highlight w:val="none"/>
              </w:rPr>
              <w:t>。</w:t>
            </w:r>
          </w:p>
          <w:p w14:paraId="1F45FA8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14.箱体型式：倒相式。</w:t>
            </w:r>
          </w:p>
          <w:p w14:paraId="5AA8E0B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15.箱体及外饰：高密度中纤板（黑色）箱体，钢网。</w:t>
            </w:r>
          </w:p>
          <w:p w14:paraId="1BC2886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16.安装：标配壁挂架。</w:t>
            </w:r>
          </w:p>
          <w:p w14:paraId="10F6C34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17.箱体尺寸（L×W×H）（只）：约220×200×350mm，允许±10mm。</w:t>
            </w:r>
          </w:p>
          <w:p w14:paraId="65AE9D6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18.净重：约8.3kg/对（允许±0.5kg）。</w:t>
            </w:r>
          </w:p>
          <w:p w14:paraId="76D8BEF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19.配备≥2.4G话筒1个。</w:t>
            </w:r>
          </w:p>
        </w:tc>
      </w:tr>
      <w:tr w14:paraId="702F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483" w:type="dxa"/>
            <w:vAlign w:val="center"/>
          </w:tcPr>
          <w:p w14:paraId="60ADA7A6">
            <w:pPr>
              <w:keepNext w:val="0"/>
              <w:keepLines w:val="0"/>
              <w:pageBreakBefore w:val="0"/>
              <w:widowControl/>
              <w:kinsoku/>
              <w:wordWrap/>
              <w:overflowPunct/>
              <w:topLinePunct w:val="0"/>
              <w:bidi w:val="0"/>
              <w:adjustRightInd/>
              <w:snapToGrid/>
              <w:spacing w:line="400" w:lineRule="exact"/>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8</w:t>
            </w:r>
          </w:p>
        </w:tc>
        <w:tc>
          <w:tcPr>
            <w:tcW w:w="1017" w:type="dxa"/>
            <w:vAlign w:val="center"/>
          </w:tcPr>
          <w:p w14:paraId="01057854">
            <w:pPr>
              <w:keepNext w:val="0"/>
              <w:keepLines w:val="0"/>
              <w:pageBreakBefore w:val="0"/>
              <w:widowControl/>
              <w:kinsoku/>
              <w:wordWrap/>
              <w:overflowPunct/>
              <w:topLinePunct w:val="0"/>
              <w:bidi w:val="0"/>
              <w:adjustRightInd/>
              <w:snapToGrid/>
              <w:spacing w:line="400" w:lineRule="exact"/>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智联Cyber智能车升级套件</w:t>
            </w:r>
          </w:p>
        </w:tc>
        <w:tc>
          <w:tcPr>
            <w:tcW w:w="633" w:type="dxa"/>
            <w:gridSpan w:val="2"/>
            <w:shd w:val="clear" w:color="auto" w:fill="FFFFFF"/>
            <w:vAlign w:val="center"/>
          </w:tcPr>
          <w:p w14:paraId="49E5ED01">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14C22BF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467" w:type="dxa"/>
          </w:tcPr>
          <w:p w14:paraId="781C5CB1">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1.整机重量:SKG。</w:t>
            </w:r>
          </w:p>
          <w:p w14:paraId="381FF594">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2.尺寸:0.42mm*0.2lmm*0.23mm。</w:t>
            </w:r>
          </w:p>
          <w:p w14:paraId="1EE86816">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3.转向套件:阿克曼转向结构,升级防松舵机支架,球头转向拉杆,左右转向角度50°。</w:t>
            </w:r>
          </w:p>
          <w:p w14:paraId="54EDCB83">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4.动力套件:升级后置双驱电机，负载能力≥10KG。</w:t>
            </w:r>
          </w:p>
          <w:p w14:paraId="41A55148">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5.电源套件:升级一体化电源管理模块，单电池供电，采用磷酸铁锂安全电池，防爆防过充过放，使用寿命更长。</w:t>
            </w:r>
          </w:p>
          <w:p w14:paraId="7E2C182F">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6.升级线路一体化摄像头，轻量化支架，防抖:配置偏振片，防曝光。</w:t>
            </w:r>
          </w:p>
          <w:p w14:paraId="7CA8CBE4">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7.底盘骨架:高强度铝骨架，韧性减震，轻量化。</w:t>
            </w:r>
          </w:p>
          <w:p w14:paraId="72A2DDBD">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8.外壳:高强度铝外壳，轻量化。</w:t>
            </w:r>
          </w:p>
          <w:p w14:paraId="6D219BDC">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9.</w:t>
            </w:r>
            <w:r>
              <w:rPr>
                <w:rFonts w:hint="eastAsia" w:ascii="宋体" w:hAnsi="宋体" w:eastAsia="宋体" w:cs="宋体"/>
                <w:color w:val="0F1115"/>
                <w:sz w:val="21"/>
                <w:szCs w:val="21"/>
                <w:highlight w:val="none"/>
                <w:shd w:val="clear" w:color="auto" w:fill="FFFFFF"/>
              </w:rPr>
              <w:t>处理器≥10核/16线程，主频≥2.7GHz；独立显卡显存≥4GB；内存≥16GB；固态硬盘≥256GB</w:t>
            </w:r>
            <w:r>
              <w:rPr>
                <w:rFonts w:hint="eastAsia" w:ascii="宋体" w:hAnsi="宋体" w:eastAsia="宋体" w:cs="宋体"/>
                <w:sz w:val="21"/>
                <w:szCs w:val="21"/>
                <w:highlight w:val="none"/>
              </w:rPr>
              <w:t>。</w:t>
            </w:r>
          </w:p>
        </w:tc>
      </w:tr>
      <w:tr w14:paraId="7417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7B0A38AD">
            <w:pPr>
              <w:keepNext w:val="0"/>
              <w:keepLines w:val="0"/>
              <w:pageBreakBefore w:val="0"/>
              <w:widowControl/>
              <w:kinsoku/>
              <w:wordWrap/>
              <w:overflowPunct/>
              <w:topLinePunct w:val="0"/>
              <w:bidi w:val="0"/>
              <w:adjustRightInd/>
              <w:snapToGrid/>
              <w:spacing w:line="400" w:lineRule="exact"/>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9</w:t>
            </w:r>
          </w:p>
        </w:tc>
        <w:tc>
          <w:tcPr>
            <w:tcW w:w="1017" w:type="dxa"/>
            <w:vAlign w:val="center"/>
          </w:tcPr>
          <w:p w14:paraId="522D335E">
            <w:pPr>
              <w:keepNext w:val="0"/>
              <w:keepLines w:val="0"/>
              <w:pageBreakBefore w:val="0"/>
              <w:widowControl/>
              <w:kinsoku/>
              <w:wordWrap/>
              <w:overflowPunct/>
              <w:topLinePunct w:val="0"/>
              <w:bidi w:val="0"/>
              <w:adjustRightInd/>
              <w:snapToGrid/>
              <w:spacing w:line="400" w:lineRule="exact"/>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NAS网络储存器</w:t>
            </w:r>
          </w:p>
        </w:tc>
        <w:tc>
          <w:tcPr>
            <w:tcW w:w="633" w:type="dxa"/>
            <w:gridSpan w:val="2"/>
            <w:shd w:val="clear" w:color="auto" w:fill="FFFFFF"/>
            <w:vAlign w:val="center"/>
          </w:tcPr>
          <w:p w14:paraId="2B1873FE">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64269EC1">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c>
          <w:tcPr>
            <w:tcW w:w="7467" w:type="dxa"/>
          </w:tcPr>
          <w:p w14:paraId="38A536E5">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1.4T版，配4Tx1NAS专用硬盘。</w:t>
            </w:r>
          </w:p>
          <w:p w14:paraId="3537AE6F">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2.盘位类型：四盘位。</w:t>
            </w:r>
          </w:p>
          <w:p w14:paraId="342B977D">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color w:val="000000"/>
                <w:kern w:val="0"/>
                <w:sz w:val="21"/>
                <w:szCs w:val="21"/>
                <w:highlight w:val="none"/>
                <w:lang w:bidi="ar"/>
              </w:rPr>
            </w:pPr>
            <w:r>
              <w:rPr>
                <w:rFonts w:hint="eastAsia" w:ascii="宋体" w:hAnsi="宋体" w:eastAsia="宋体" w:cs="宋体"/>
                <w:sz w:val="21"/>
                <w:szCs w:val="21"/>
                <w:highlight w:val="none"/>
              </w:rPr>
              <w:t>3.接口类型：</w:t>
            </w:r>
            <w:r>
              <w:rPr>
                <w:rFonts w:hint="eastAsia" w:ascii="宋体" w:hAnsi="宋体" w:eastAsia="宋体" w:cs="宋体"/>
                <w:color w:val="0F1115"/>
                <w:sz w:val="21"/>
                <w:szCs w:val="21"/>
                <w:highlight w:val="none"/>
                <w:shd w:val="clear" w:color="auto" w:fill="FFFFFF"/>
              </w:rPr>
              <w:t>≥1个</w:t>
            </w:r>
            <w:r>
              <w:rPr>
                <w:rFonts w:hint="eastAsia" w:ascii="宋体" w:hAnsi="宋体" w:eastAsia="宋体" w:cs="宋体"/>
                <w:sz w:val="21"/>
                <w:szCs w:val="21"/>
                <w:highlight w:val="none"/>
              </w:rPr>
              <w:t>2.5GbE</w:t>
            </w:r>
            <w:r>
              <w:rPr>
                <w:rFonts w:hint="eastAsia" w:ascii="宋体" w:hAnsi="宋体" w:eastAsia="宋体" w:cs="宋体"/>
                <w:color w:val="0F1115"/>
                <w:sz w:val="21"/>
                <w:szCs w:val="21"/>
                <w:highlight w:val="none"/>
                <w:shd w:val="clear" w:color="auto" w:fill="FFFFFF"/>
              </w:rPr>
              <w:t> </w:t>
            </w:r>
            <w:r>
              <w:rPr>
                <w:rFonts w:hint="eastAsia" w:ascii="宋体" w:hAnsi="宋体" w:eastAsia="宋体" w:cs="宋体"/>
                <w:sz w:val="21"/>
                <w:szCs w:val="21"/>
                <w:highlight w:val="none"/>
              </w:rPr>
              <w:t>RJ45端口。</w:t>
            </w:r>
          </w:p>
        </w:tc>
      </w:tr>
      <w:tr w14:paraId="05F7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38B6FE3D">
            <w:pPr>
              <w:keepNext w:val="0"/>
              <w:keepLines w:val="0"/>
              <w:pageBreakBefore w:val="0"/>
              <w:widowControl/>
              <w:kinsoku/>
              <w:wordWrap/>
              <w:overflowPunct/>
              <w:topLinePunct w:val="0"/>
              <w:bidi w:val="0"/>
              <w:adjustRightInd/>
              <w:snapToGrid/>
              <w:spacing w:line="400" w:lineRule="exact"/>
              <w:jc w:val="center"/>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1017" w:type="dxa"/>
            <w:vAlign w:val="center"/>
          </w:tcPr>
          <w:p w14:paraId="5F44299F">
            <w:pPr>
              <w:keepNext w:val="0"/>
              <w:keepLines w:val="0"/>
              <w:pageBreakBefore w:val="0"/>
              <w:widowControl/>
              <w:kinsoku/>
              <w:wordWrap/>
              <w:overflowPunct/>
              <w:topLinePunct w:val="0"/>
              <w:bidi w:val="0"/>
              <w:adjustRightInd/>
              <w:snapToGrid/>
              <w:spacing w:line="400" w:lineRule="exact"/>
              <w:jc w:val="center"/>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实训室配套设备</w:t>
            </w:r>
          </w:p>
        </w:tc>
        <w:tc>
          <w:tcPr>
            <w:tcW w:w="633" w:type="dxa"/>
            <w:gridSpan w:val="2"/>
            <w:shd w:val="clear" w:color="auto" w:fill="FFFFFF"/>
            <w:vAlign w:val="center"/>
          </w:tcPr>
          <w:p w14:paraId="54FDB332">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23D0575D">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7467" w:type="dxa"/>
          </w:tcPr>
          <w:p w14:paraId="0AB4483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1、实训室门牌，不锈钢材质，尺寸≥600×400mm；</w:t>
            </w:r>
          </w:p>
          <w:p w14:paraId="4143B0D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2、实训室根据设备完成各点位的网络布线；采用六类网络线路、水晶头制作、千兆路由器、</w:t>
            </w:r>
            <w:r>
              <w:rPr>
                <w:rFonts w:hint="eastAsia" w:ascii="宋体" w:hAnsi="宋体" w:eastAsia="宋体" w:cs="宋体"/>
                <w:color w:val="0F1115"/>
                <w:sz w:val="21"/>
                <w:szCs w:val="21"/>
                <w:highlight w:val="none"/>
                <w:shd w:val="clear" w:color="auto" w:fill="FFFFFF"/>
              </w:rPr>
              <w:t>≥</w:t>
            </w:r>
            <w:r>
              <w:rPr>
                <w:rFonts w:hint="eastAsia" w:ascii="宋体" w:hAnsi="宋体" w:eastAsia="宋体" w:cs="宋体"/>
                <w:kern w:val="0"/>
                <w:sz w:val="21"/>
                <w:szCs w:val="21"/>
                <w:highlight w:val="none"/>
                <w:lang w:bidi="ar"/>
              </w:rPr>
              <w:t>48口千兆交换机安装配置等；施工要求：线缆敷设符合GB/T 50312-2016规范要求；所有线缆、面板、配线架均需进行规范标识，建立布线文档（含布线逻辑图、信息点对照表等）。</w:t>
            </w:r>
          </w:p>
          <w:p w14:paraId="5CE2E9F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3、玻璃为≥10mm钢化玻璃，上方玻璃隔断高度约为4米，整体面积约55平方；</w:t>
            </w:r>
          </w:p>
          <w:p w14:paraId="083575E1">
            <w:pPr>
              <w:keepNext w:val="0"/>
              <w:keepLines w:val="0"/>
              <w:pageBreakBefore w:val="0"/>
              <w:widowControl/>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4、使用40W LED灯管，数量不少于12盏，实训室灯光安装使用吸顶或吊装方式（具体由采购人确定），灯位布置应满足实训室照度均匀度要求；独立回路控制，开关位置设置合理，每组开关控制区域明确；灯具须可靠接地；灯具须具备CCC认证，驱动电源须符合国家相关标准。</w:t>
            </w:r>
          </w:p>
        </w:tc>
      </w:tr>
      <w:tr w14:paraId="2F0C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159D8F97">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11</w:t>
            </w:r>
          </w:p>
        </w:tc>
        <w:tc>
          <w:tcPr>
            <w:tcW w:w="1017" w:type="dxa"/>
            <w:vAlign w:val="center"/>
          </w:tcPr>
          <w:p w14:paraId="589A6155">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配套教学资源库建设服务</w:t>
            </w:r>
          </w:p>
        </w:tc>
        <w:tc>
          <w:tcPr>
            <w:tcW w:w="633" w:type="dxa"/>
            <w:gridSpan w:val="2"/>
            <w:shd w:val="clear" w:color="auto" w:fill="FFFFFF"/>
            <w:vAlign w:val="center"/>
          </w:tcPr>
          <w:p w14:paraId="3594CCAD">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287CD7AD">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7467" w:type="dxa"/>
            <w:vAlign w:val="center"/>
          </w:tcPr>
          <w:p w14:paraId="586ABE9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定制《工控网络与组态技术》。包含指导书、教案、课件PPT、微课视频、项目代码资源、题库等。</w:t>
            </w:r>
          </w:p>
          <w:p w14:paraId="121FAB2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1、实训指导书不少于20本；</w:t>
            </w:r>
          </w:p>
          <w:p w14:paraId="63F51B3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2、教案、PPT：</w:t>
            </w:r>
          </w:p>
          <w:p w14:paraId="4D22852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不少于15个PPT（每个20-30页），版式美观，图像、图形应清晰，图形符合国家相关绘制标准；计量符号符合国家相关标准。</w:t>
            </w:r>
          </w:p>
          <w:p w14:paraId="405AA6B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3、微课视频：（1）每个微课时长5-8分钟；视频总时长不少于100分钟；</w:t>
            </w:r>
          </w:p>
          <w:p w14:paraId="70B9D4B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（2）微课内容符合我国法律法规，尊重各民族的风俗习惯，版权不存在争议；</w:t>
            </w:r>
          </w:p>
          <w:p w14:paraId="2422CA2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（3）根据课程内容，制作出精美的视频，采用抠像、实景、实操等方式制作；</w:t>
            </w:r>
          </w:p>
          <w:p w14:paraId="65B1E0E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（4）符合核心课程知识点内容标准，课程大纲等。</w:t>
            </w:r>
          </w:p>
          <w:p w14:paraId="740DFA9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4、不少于15个实训项目的代码资源；</w:t>
            </w:r>
          </w:p>
          <w:p w14:paraId="5753A30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5、题库：</w:t>
            </w:r>
          </w:p>
          <w:p w14:paraId="3EA1856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包含视频知识点测试题、设备实训测试题等试题，不少于500题。</w:t>
            </w:r>
          </w:p>
          <w:p w14:paraId="5588908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6、配套生产型实训管理工位（整个项目只需配备一套）</w:t>
            </w:r>
          </w:p>
          <w:p w14:paraId="731E1E8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本软件以下内容投标时若有提供视频演示。</w:t>
            </w:r>
          </w:p>
          <w:p w14:paraId="6587034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本软件系统作为应用企业生产组织模式来开展实训教学的工具，分为学生端和教师端。主要要求如下：</w:t>
            </w:r>
          </w:p>
          <w:p w14:paraId="0796996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（1）软件能够实现企业生产组织模式的实训教学应用，包括教学、考核、资源管理、人员管理和实训室管理等功能模块。</w:t>
            </w:r>
          </w:p>
          <w:p w14:paraId="37871A7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（2）教师端能支持老师完成人员、设备、学生实训过程、实训记录、工作交接等工作，包括在线点名、工位分配、设置安全着装要求、6S和安全生产日报表、工作交接、拍照并对图片进行编辑等功能。</w:t>
            </w:r>
          </w:p>
          <w:p w14:paraId="550F4D9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（3）师端和学生端可以互相通信，教师端可实时查看各个学生端的生产教学进度。</w:t>
            </w:r>
          </w:p>
          <w:p w14:paraId="471FF46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（4）教师端各个必要节点和实训室管理模块里可支持填写数据，数据只能添加不能修改，以防篡改报告数据，教师端还具备工作交接小黑板功能，使工作交接电子化并具备可追溯性。</w:t>
            </w:r>
          </w:p>
          <w:p w14:paraId="2FEF811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（5）学生端软件能够实现企业生产组织模式的教学应用，包含：生产准备、生产加工、生产还原等功能模块。</w:t>
            </w:r>
          </w:p>
          <w:p w14:paraId="1237096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6）学生端软件具备实训过程导航功能，该导航是根据企业生产组织流程设置的，可对各个实训流程进行导航和应用指导，确保完成该步骤后才能进行下一步骤的操作，严格训练学生遵循企业生产组织模式进行实训，培养应用型人才。学生端预留接口，可支持二次开发，来连接设备的监控系统，并实时传输至教师端。</w:t>
            </w:r>
          </w:p>
          <w:p w14:paraId="6470459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 xml:space="preserve">（7）学生端和教师端可以互相通信，老师可实时查看各个学生端的生产教学进度，并通过各种数据的汇总，了解教学情况。 </w:t>
            </w:r>
          </w:p>
          <w:p w14:paraId="422A091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（8）可实现专业技能、职业技能教学资源统一管理，老师和学生在实训过程中可随时调用，查看相应教学资源。能支持word、PPT、excel、JPG、png、及多种视频格式文件的上传、查看、删除等操作。</w:t>
            </w:r>
          </w:p>
          <w:p w14:paraId="61ABBEC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（9）具备管理员功能，管理员能进行后台资源的上传、编辑和管理，管理员可上传学员资料。</w:t>
            </w:r>
          </w:p>
          <w:p w14:paraId="14C1AE3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（10）具备权限管理功能，根据登录账号分配相应使用功能权限。</w:t>
            </w:r>
          </w:p>
          <w:p w14:paraId="6544F4A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（11）使用java编程语言，采用Android源码框架，使用MySQL数据库，软件界面简单易用，人机交互体验良好，可预装在平板电脑内。</w:t>
            </w:r>
          </w:p>
          <w:p w14:paraId="216A9CD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（12）配备平板电脑作为生产型实训管理系统的预装平台。主要参数如下：</w:t>
            </w:r>
          </w:p>
          <w:p w14:paraId="121076D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1）金属机身，屏幕尺寸≥12.1英寸，IPS屏，比例16:10，分辨率≥2560×1600；</w:t>
            </w:r>
          </w:p>
          <w:p w14:paraId="1CACFF6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2）八核处理器，内存≥8G，存储≥128G，wifi版本；</w:t>
            </w:r>
          </w:p>
          <w:p w14:paraId="33CF340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3）系统版本Android 13或以上。</w:t>
            </w:r>
          </w:p>
        </w:tc>
      </w:tr>
      <w:tr w14:paraId="42B0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027709F4">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12</w:t>
            </w:r>
          </w:p>
        </w:tc>
        <w:tc>
          <w:tcPr>
            <w:tcW w:w="1017" w:type="dxa"/>
            <w:vAlign w:val="center"/>
          </w:tcPr>
          <w:p w14:paraId="2BC58B24">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实训室文化及氛围建设</w:t>
            </w:r>
          </w:p>
        </w:tc>
        <w:tc>
          <w:tcPr>
            <w:tcW w:w="633" w:type="dxa"/>
            <w:gridSpan w:val="2"/>
            <w:shd w:val="clear" w:color="auto" w:fill="FFFFFF"/>
            <w:vAlign w:val="center"/>
          </w:tcPr>
          <w:p w14:paraId="5477B214">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0EF79D7C">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7467" w:type="dxa"/>
            <w:vAlign w:val="center"/>
          </w:tcPr>
          <w:p w14:paraId="4C6146F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文化氛围建设：</w:t>
            </w:r>
          </w:p>
          <w:p w14:paraId="5B9F2A8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1.6S及制度牌等文化展板设计与制作，采用双面亚克力材质，单张尺寸：≥800×600mm；数量不少于6张；含安装所需五金配件，采用膨胀螺栓或不锈钢广告钉固定，安装位置以采购人确认为准。</w:t>
            </w:r>
          </w:p>
          <w:p w14:paraId="7F5F9FF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2.完成各点位的强电布线，电缆线规格根据实际功率计算电缆截面积，保留20%的功率富余，使用具备3C标识的国标铜芯电缆线，含3C标识的国标五孔插座，地面线路采用暗敷。</w:t>
            </w:r>
          </w:p>
          <w:p w14:paraId="0BC1088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负责开槽暗敷，地面开槽、水泥修复、垃圾清运等。根据强电、弱电敷设路径进行地面切缝开槽，槽宽及槽深应满足管线敷设要求，槽壁平整；管线按照强弱电分开敷设，间距≥300mm，交叉处须采取屏蔽隔离措施，线管采用阻燃PVC管或镀锌钢管；修复墙、地面要求采用不低于C20强度水泥砂浆回填找平，表面应与原地面齐平；施工过程中产生的建筑垃圾应及时清运，施工完毕后现场清理干净。</w:t>
            </w:r>
          </w:p>
          <w:p w14:paraId="077204B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4.玻璃隔断：</w:t>
            </w:r>
          </w:p>
          <w:p w14:paraId="3C2CC45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1）玻璃隔断外框架采用不锈钢烤漆方管，方管尺寸约为40×60mm，壁厚≥1.5mm；</w:t>
            </w:r>
          </w:p>
          <w:p w14:paraId="1C75924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2）玻璃为≥10mm钢化玻璃；</w:t>
            </w:r>
          </w:p>
          <w:p w14:paraId="6579FE1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3）下方约1米高砖墙，表面刮腻子刷乳胶漆，上方玻璃隔断高度约为4米，整体面积约55平方。</w:t>
            </w:r>
          </w:p>
          <w:p w14:paraId="1415B71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5.安装两个对开玻璃门，安装指纹锁，门宽约1.5米。</w:t>
            </w:r>
          </w:p>
          <w:p w14:paraId="0454C25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6.渗水墙体修复：实训室前后两侧渗水墙体，使用红砖加空心砖的形式找平整堵墙，表面刮腻子，刷乳胶漆。</w:t>
            </w:r>
          </w:p>
        </w:tc>
      </w:tr>
      <w:tr w14:paraId="356F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0020B111">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13</w:t>
            </w:r>
          </w:p>
        </w:tc>
        <w:tc>
          <w:tcPr>
            <w:tcW w:w="1017" w:type="dxa"/>
            <w:vAlign w:val="center"/>
          </w:tcPr>
          <w:p w14:paraId="01359B44">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实训室配套文化成果建设</w:t>
            </w:r>
          </w:p>
        </w:tc>
        <w:tc>
          <w:tcPr>
            <w:tcW w:w="633" w:type="dxa"/>
            <w:gridSpan w:val="2"/>
            <w:shd w:val="clear" w:color="auto" w:fill="FFFFFF"/>
            <w:vAlign w:val="center"/>
          </w:tcPr>
          <w:p w14:paraId="00923B2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04F2FE0D">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7467" w:type="dxa"/>
            <w:vAlign w:val="center"/>
          </w:tcPr>
          <w:p w14:paraId="7908F31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（一）教学成果培育</w:t>
            </w:r>
          </w:p>
          <w:p w14:paraId="6762BD4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1.围绕核心成果与培育成果进行精确选题，整体策划成果培育体系，明确：培育目标与量化指标、成果结构与内容模块、实践支撑与佐证材料体系、成果创新点、特色点、推广点，形成教学成果培育总体方案。</w:t>
            </w:r>
          </w:p>
          <w:p w14:paraId="5204D23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2.成果数量：培育教学成果总数≥2项，其中核心成果≥1项；核心成果需符合广西职业教育自治区级教学成果申报要求，明确创新点不少于3个，具备完整的实践过程、数据支撑和应用案例，可直接用于申报。</w:t>
            </w:r>
          </w:p>
          <w:p w14:paraId="1E017E5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3.成果质量：核心成果需通过专家审核（审核合格），创新点突出、实践成效显著，具备较强的实用性和推广价值；辅助成果需能够为核心成果提供有效支撑，形成完整的成果体系。</w:t>
            </w:r>
          </w:p>
          <w:p w14:paraId="3A59B5B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（二）教学成果团队培育</w:t>
            </w:r>
          </w:p>
          <w:p w14:paraId="1E9BFD1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1.团队规模：培育团队人数≥6人，其中跨学科教师≥4人（智能制造、现代农业技术相关），企业专家≥1人，团队负责人1名（副高级及以上职称）。</w:t>
            </w:r>
          </w:p>
          <w:p w14:paraId="614991F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工作频次：年均开展成果研讨、提炼工作≥4次，其中成果研讨≥2次，成果提炼≥2次；每次活动需形成会议纪要、活动记录，明确会议主题、参与人员、讨论内容、达成共识，留存相关佐证材料（照片、签到表、纪要等）。</w:t>
            </w:r>
          </w:p>
          <w:p w14:paraId="5E7130B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3.团队培训：团队成员年均参加教学成果培育相关培训≥2次，培训需有培训通知、培训课件、培训签到表、培训总结等佐证材料；团队内部技能提升研讨年均≥1次，邀请专家指导年均≥2次。</w:t>
            </w:r>
          </w:p>
          <w:p w14:paraId="37674FC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（三）省部级课题立项</w:t>
            </w:r>
          </w:p>
          <w:p w14:paraId="116C309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完成一项省部级课题立项，配合申报资料填写与制作。</w:t>
            </w:r>
          </w:p>
          <w:p w14:paraId="7E915D5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（四）竞赛成果转换</w:t>
            </w:r>
          </w:p>
          <w:p w14:paraId="29B67A7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完成一项竞赛成果转换支持，成果应用于实际行业应用，提供技术支撑与转化证明。</w:t>
            </w:r>
          </w:p>
          <w:p w14:paraId="5885195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（五）材料与案例</w:t>
            </w:r>
          </w:p>
          <w:p w14:paraId="052A375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1.材料汇编：形成教学成果总结报告、支撑材料汇编≥1套，其中支撑材料汇编需包含证明材料、数据材料、案例材料、评价材料等，装订规范、分类清晰，不少于300页（A4纸张）；</w:t>
            </w:r>
          </w:p>
          <w:p w14:paraId="3F98B29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2.推广案例：形成成果推广应用案例≥2个，每个案例需包含推广背景、推广过程、应用效果、经验总结，字数不少于3000字/个，配套相关佐证材料（照片、推广协议、应用报告等）。</w:t>
            </w:r>
          </w:p>
          <w:p w14:paraId="6007D2A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（六）成果推广</w:t>
            </w:r>
          </w:p>
          <w:p w14:paraId="2728FFF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1.推广院校：完成3-5所区内外同类职业院校的成果推广与应用，推广院校需签订推广应用协议，明确推广内容、推广期限、双方责任义务；</w:t>
            </w:r>
          </w:p>
          <w:p w14:paraId="6AEFD85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2.推广成效：每所推广院校需应用培育的核心成果，形成应用成效报告，明确应用后的教学质量提升、师资队伍建设、实训效果改善等具体数据（如实训合格率提升比例、学生技能竞赛获奖数量等）；</w:t>
            </w:r>
          </w:p>
          <w:p w14:paraId="0E4BF50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3.推广总结：形成成果推广应用总结报告1份，汇总推广情况、应用成效、存在问题及改进建议，字数不少于5000字，配套推广活动相关佐证材料。</w:t>
            </w:r>
          </w:p>
          <w:p w14:paraId="1304AD0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▲（七）本大项内容旨在为相关工作开展提供指引和参考，明确工作推进的基本要求和量化方向，具体完成时间与学校另行确定，不纳入本项目的验收范围。</w:t>
            </w:r>
          </w:p>
        </w:tc>
      </w:tr>
      <w:tr w14:paraId="0C2D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0B6DBE64">
            <w:pPr>
              <w:keepNext w:val="0"/>
              <w:keepLines w:val="0"/>
              <w:pageBreakBefore w:val="0"/>
              <w:widowControl/>
              <w:kinsoku/>
              <w:wordWrap/>
              <w:overflowPunct/>
              <w:topLinePunct w:val="0"/>
              <w:bidi w:val="0"/>
              <w:adjustRightInd/>
              <w:snapToGrid/>
              <w:spacing w:line="400" w:lineRule="exac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▲一、</w:t>
            </w:r>
            <w:r>
              <w:rPr>
                <w:rFonts w:hint="eastAsia" w:ascii="宋体" w:hAnsi="宋体" w:eastAsia="宋体" w:cs="宋体"/>
                <w:b/>
                <w:bCs/>
                <w:color w:val="000000" w:themeColor="text1"/>
                <w:kern w:val="0"/>
                <w:sz w:val="21"/>
                <w:szCs w:val="21"/>
                <w:highlight w:val="none"/>
                <w:lang w:bidi="ar"/>
                <w14:textFill>
                  <w14:solidFill>
                    <w14:schemeClr w14:val="tx1"/>
                  </w14:solidFill>
                </w14:textFill>
              </w:rPr>
              <w:t xml:space="preserve">商务条款 </w:t>
            </w:r>
          </w:p>
        </w:tc>
      </w:tr>
      <w:tr w14:paraId="50F2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5347F31E">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规范标准</w:t>
            </w:r>
          </w:p>
        </w:tc>
        <w:tc>
          <w:tcPr>
            <w:tcW w:w="8731" w:type="dxa"/>
            <w:gridSpan w:val="4"/>
            <w:tcBorders>
              <w:top w:val="single" w:color="auto" w:sz="4" w:space="0"/>
              <w:bottom w:val="single" w:color="auto" w:sz="4" w:space="0"/>
            </w:tcBorders>
            <w:vAlign w:val="center"/>
          </w:tcPr>
          <w:p w14:paraId="0A4695ED">
            <w:pPr>
              <w:keepNext w:val="0"/>
              <w:keepLines w:val="0"/>
              <w:pageBreakBefore w:val="0"/>
              <w:kinsoku/>
              <w:wordWrap/>
              <w:overflowPunct/>
              <w:topLinePunct w:val="0"/>
              <w:bidi w:val="0"/>
              <w:adjustRightInd/>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z w:val="21"/>
                <w:szCs w:val="21"/>
                <w:highlight w:val="none"/>
              </w:rPr>
              <w:t>采购标的需执行的国家标准、行业标准、地方标准或者其他标准、规范。多项标准的，按最新标准或较高标准执行。</w:t>
            </w:r>
          </w:p>
        </w:tc>
      </w:tr>
      <w:tr w14:paraId="1813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tcPr>
          <w:p w14:paraId="7C315197">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合同签订期</w:t>
            </w:r>
          </w:p>
        </w:tc>
        <w:tc>
          <w:tcPr>
            <w:tcW w:w="8731" w:type="dxa"/>
            <w:gridSpan w:val="4"/>
            <w:tcBorders>
              <w:top w:val="single" w:color="auto" w:sz="4" w:space="0"/>
              <w:bottom w:val="single" w:color="auto" w:sz="4" w:space="0"/>
            </w:tcBorders>
          </w:tcPr>
          <w:p w14:paraId="0B13F7BC">
            <w:pPr>
              <w:keepNext w:val="0"/>
              <w:keepLines w:val="0"/>
              <w:pageBreakBefore w:val="0"/>
              <w:kinsoku/>
              <w:wordWrap/>
              <w:overflowPunct/>
              <w:topLinePunct w:val="0"/>
              <w:autoSpaceDE w:val="0"/>
              <w:autoSpaceDN w:val="0"/>
              <w:bidi w:val="0"/>
              <w:adjustRightInd/>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自成交通知书发出之日起 25日内中标人须与采购人签订好合同。</w:t>
            </w:r>
          </w:p>
        </w:tc>
      </w:tr>
      <w:tr w14:paraId="503E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4131461B">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交货时间及地点</w:t>
            </w:r>
          </w:p>
        </w:tc>
        <w:tc>
          <w:tcPr>
            <w:tcW w:w="8731" w:type="dxa"/>
            <w:gridSpan w:val="4"/>
            <w:tcBorders>
              <w:top w:val="single" w:color="auto" w:sz="4" w:space="0"/>
              <w:bottom w:val="single" w:color="auto" w:sz="4" w:space="0"/>
            </w:tcBorders>
            <w:vAlign w:val="center"/>
          </w:tcPr>
          <w:p w14:paraId="1A5B475D">
            <w:pPr>
              <w:keepNext w:val="0"/>
              <w:keepLines w:val="0"/>
              <w:pageBreakBefore w:val="0"/>
              <w:kinsoku/>
              <w:wordWrap/>
              <w:overflowPunct/>
              <w:topLinePunct w:val="0"/>
              <w:autoSpaceDE w:val="0"/>
              <w:autoSpaceDN w:val="0"/>
              <w:bidi w:val="0"/>
              <w:adjustRightInd/>
              <w:snapToGrid/>
              <w:spacing w:line="400" w:lineRule="exact"/>
              <w:rPr>
                <w:rFonts w:hint="eastAsia" w:ascii="宋体" w:hAnsi="宋体" w:eastAsia="宋体" w:cs="宋体"/>
                <w:kern w:val="0"/>
                <w:sz w:val="21"/>
                <w:szCs w:val="21"/>
                <w:highlight w:val="none"/>
                <w:lang w:val="zh-CN"/>
              </w:rPr>
            </w:pPr>
            <w:r>
              <w:rPr>
                <w:rFonts w:hint="eastAsia" w:ascii="宋体" w:hAnsi="宋体" w:eastAsia="宋体" w:cs="宋体"/>
                <w:sz w:val="21"/>
                <w:szCs w:val="21"/>
                <w:highlight w:val="none"/>
              </w:rPr>
              <w:t>1.交货</w:t>
            </w:r>
            <w:r>
              <w:rPr>
                <w:rFonts w:hint="eastAsia" w:ascii="宋体" w:hAnsi="宋体" w:eastAsia="宋体" w:cs="宋体"/>
                <w:kern w:val="0"/>
                <w:sz w:val="21"/>
                <w:szCs w:val="21"/>
                <w:highlight w:val="none"/>
                <w:lang w:val="zh-CN"/>
              </w:rPr>
              <w:t>时间</w:t>
            </w:r>
            <w:r>
              <w:rPr>
                <w:rFonts w:hint="eastAsia" w:ascii="宋体" w:hAnsi="宋体" w:eastAsia="宋体" w:cs="宋体"/>
                <w:sz w:val="21"/>
                <w:szCs w:val="21"/>
                <w:highlight w:val="none"/>
              </w:rPr>
              <w:t>：自签订合同之日起</w:t>
            </w:r>
            <w:r>
              <w:rPr>
                <w:rFonts w:hint="eastAsia" w:ascii="宋体" w:hAnsi="宋体" w:eastAsia="宋体" w:cs="宋体"/>
                <w:sz w:val="21"/>
                <w:szCs w:val="21"/>
                <w:highlight w:val="none"/>
                <w:u w:val="single"/>
              </w:rPr>
              <w:t xml:space="preserve">  60  </w:t>
            </w:r>
            <w:r>
              <w:rPr>
                <w:rFonts w:hint="eastAsia" w:ascii="宋体" w:hAnsi="宋体" w:eastAsia="宋体" w:cs="宋体"/>
                <w:sz w:val="21"/>
                <w:szCs w:val="21"/>
                <w:highlight w:val="none"/>
              </w:rPr>
              <w:t>日内所有货物、成果交付完成，货物安装调试完毕并交付使用，同时经采购人验收合格</w:t>
            </w:r>
            <w:r>
              <w:rPr>
                <w:rFonts w:hint="eastAsia" w:ascii="宋体" w:hAnsi="宋体" w:eastAsia="宋体" w:cs="宋体"/>
                <w:kern w:val="0"/>
                <w:sz w:val="21"/>
                <w:szCs w:val="21"/>
                <w:highlight w:val="none"/>
              </w:rPr>
              <w:t>。</w:t>
            </w:r>
          </w:p>
          <w:p w14:paraId="3ACD6E30">
            <w:pPr>
              <w:keepNext w:val="0"/>
              <w:keepLines w:val="0"/>
              <w:pageBreakBefore w:val="0"/>
              <w:kinsoku/>
              <w:wordWrap/>
              <w:overflowPunct/>
              <w:topLinePunct w:val="0"/>
              <w:bidi w:val="0"/>
              <w:adjustRightInd/>
              <w:snapToGrid/>
              <w:spacing w:line="400" w:lineRule="exact"/>
              <w:rPr>
                <w:rFonts w:hint="eastAsia" w:ascii="宋体" w:hAnsi="宋体" w:eastAsia="宋体" w:cs="宋体"/>
                <w:kern w:val="0"/>
                <w:sz w:val="21"/>
                <w:szCs w:val="21"/>
                <w:highlight w:val="none"/>
              </w:rPr>
            </w:pPr>
            <w:r>
              <w:rPr>
                <w:rFonts w:hint="eastAsia" w:ascii="宋体" w:hAnsi="宋体" w:eastAsia="宋体" w:cs="宋体"/>
                <w:sz w:val="21"/>
                <w:szCs w:val="21"/>
                <w:highlight w:val="none"/>
              </w:rPr>
              <w:t>2.交货地点：</w:t>
            </w:r>
            <w:r>
              <w:rPr>
                <w:rFonts w:hint="eastAsia" w:ascii="宋体" w:hAnsi="宋体" w:eastAsia="宋体" w:cs="宋体"/>
                <w:kern w:val="0"/>
                <w:sz w:val="21"/>
                <w:szCs w:val="21"/>
                <w:highlight w:val="none"/>
              </w:rPr>
              <w:t>广西</w:t>
            </w:r>
            <w:r>
              <w:rPr>
                <w:rFonts w:hint="eastAsia" w:ascii="宋体" w:hAnsi="宋体" w:eastAsia="宋体" w:cs="宋体"/>
                <w:sz w:val="21"/>
                <w:szCs w:val="21"/>
                <w:highlight w:val="none"/>
              </w:rPr>
              <w:t>南宁市</w:t>
            </w:r>
            <w:r>
              <w:rPr>
                <w:rFonts w:hint="eastAsia" w:ascii="宋体" w:hAnsi="宋体" w:eastAsia="宋体" w:cs="宋体"/>
                <w:sz w:val="21"/>
                <w:szCs w:val="21"/>
                <w:highlight w:val="none"/>
                <w:u w:val="single"/>
              </w:rPr>
              <w:t>武鸣区（广西—东盟经济技术开发区）宝源南路29号广西制造工程职业技术学院校内</w:t>
            </w:r>
            <w:r>
              <w:rPr>
                <w:rFonts w:hint="eastAsia" w:ascii="宋体" w:hAnsi="宋体" w:eastAsia="宋体" w:cs="宋体"/>
                <w:sz w:val="21"/>
                <w:szCs w:val="21"/>
                <w:highlight w:val="none"/>
              </w:rPr>
              <w:t>（采购人指定地点）</w:t>
            </w:r>
            <w:r>
              <w:rPr>
                <w:rFonts w:hint="eastAsia" w:ascii="宋体" w:hAnsi="宋体" w:eastAsia="宋体" w:cs="宋体"/>
                <w:kern w:val="0"/>
                <w:sz w:val="21"/>
                <w:szCs w:val="21"/>
                <w:highlight w:val="none"/>
              </w:rPr>
              <w:t>。</w:t>
            </w:r>
          </w:p>
          <w:p w14:paraId="7608F223">
            <w:pPr>
              <w:keepNext w:val="0"/>
              <w:keepLines w:val="0"/>
              <w:pageBreakBefore w:val="0"/>
              <w:kinsoku/>
              <w:wordWrap/>
              <w:overflowPunct/>
              <w:topLinePunct w:val="0"/>
              <w:bidi w:val="0"/>
              <w:adjustRightInd/>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rPr>
              <w:t>3.交货方式：现场交货。</w:t>
            </w:r>
          </w:p>
        </w:tc>
      </w:tr>
      <w:tr w14:paraId="7FD0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7C416AB4">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质保期（保修期）</w:t>
            </w:r>
          </w:p>
        </w:tc>
        <w:tc>
          <w:tcPr>
            <w:tcW w:w="8731" w:type="dxa"/>
            <w:gridSpan w:val="4"/>
            <w:tcBorders>
              <w:top w:val="single" w:color="auto" w:sz="4" w:space="0"/>
              <w:bottom w:val="single" w:color="auto" w:sz="4" w:space="0"/>
            </w:tcBorders>
            <w:vAlign w:val="center"/>
          </w:tcPr>
          <w:p w14:paraId="74A7710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1.列表中“技术要求”另有要求的按要求执行；未有要求的，按国家有关产品“三包”规定执行“三包”，自项目验收合格之日起计算，产品质保期最短不少于</w:t>
            </w:r>
            <w:r>
              <w:rPr>
                <w:rFonts w:hint="eastAsia" w:ascii="宋体" w:hAnsi="宋体" w:eastAsia="宋体" w:cs="宋体"/>
                <w:sz w:val="21"/>
                <w:szCs w:val="21"/>
                <w:highlight w:val="none"/>
                <w:u w:val="single"/>
              </w:rPr>
              <w:t xml:space="preserve">  1  </w:t>
            </w:r>
            <w:r>
              <w:rPr>
                <w:rFonts w:hint="eastAsia" w:ascii="宋体" w:hAnsi="宋体" w:eastAsia="宋体" w:cs="宋体"/>
                <w:sz w:val="21"/>
                <w:szCs w:val="21"/>
                <w:highlight w:val="none"/>
              </w:rPr>
              <w:t>年(软件部分，质保期自交货并验收合格之日起计不少于三年，质保期内无条件提供升级服务)。</w:t>
            </w:r>
          </w:p>
          <w:p w14:paraId="56A7FA4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若产品质保期或产品生产厂家承诺的质保期超过本项目规定质保期限的，合同执行过程中按产品质保期限或厂家承诺期限执行；若中标人承诺的质保期限优于产品质保期或产品生产厂家承诺的，以中标人承诺执行。</w:t>
            </w:r>
          </w:p>
          <w:p w14:paraId="05393C7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3.质保期内负责上门服务、维修、更换配件，不得收取任何费用。质保期满后，终身维护，以不高于市场同类同期的价格优惠提供维修服务和备件更换，所更换备件须提供原厂备件。</w:t>
            </w:r>
          </w:p>
        </w:tc>
      </w:tr>
      <w:tr w14:paraId="3C8D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0D12C91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售后服务要求</w:t>
            </w:r>
          </w:p>
        </w:tc>
        <w:tc>
          <w:tcPr>
            <w:tcW w:w="8731" w:type="dxa"/>
            <w:gridSpan w:val="4"/>
            <w:tcBorders>
              <w:top w:val="single" w:color="auto" w:sz="4" w:space="0"/>
              <w:bottom w:val="single" w:color="auto" w:sz="4" w:space="0"/>
            </w:tcBorders>
            <w:vAlign w:val="center"/>
          </w:tcPr>
          <w:p w14:paraId="24B825E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列表中“技术要求”另有要求的按要求执行，其余货物售后服务要求如下：</w:t>
            </w:r>
          </w:p>
          <w:p w14:paraId="4794015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1.中标人按采购人指定的地点负责送货上门、安装、调试，负责培训使用人员和维护人员。</w:t>
            </w:r>
          </w:p>
          <w:p w14:paraId="140527D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中标人必须提供安装、配线以及软硬件的测试和调整服务。系统安装之前，应先对采购人的技术人员进行现场培训。开始安装时，应让采购人的硬软件和系统集成人员参与安装、检测和排除故障。中标人在施工、安装、调试等全过程中接受采购人的监督。</w:t>
            </w:r>
          </w:p>
          <w:p w14:paraId="24D597B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3.在中标人承诺的质保期内，设备保修所需要的配件均是原厂原装，不得使用兼容货物。</w:t>
            </w:r>
          </w:p>
          <w:p w14:paraId="312A9EC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4.中标人在质量保证期内应当为采购人提供以下技术支持和服务：</w:t>
            </w:r>
          </w:p>
          <w:p w14:paraId="4B18FFF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（1）电话咨询</w:t>
            </w:r>
          </w:p>
          <w:p w14:paraId="1920AD3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中标人应当为采购人提供技术援助电话，解答采购人在使用中遇到的问题，及时为采购人提出解决问题的建议。</w:t>
            </w:r>
          </w:p>
          <w:p w14:paraId="15A265A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（2）质量问题响应时间：按国家及行业标准进行及时处理，出现质量问题时在</w:t>
            </w:r>
            <w:r>
              <w:rPr>
                <w:rFonts w:hint="eastAsia" w:ascii="宋体" w:hAnsi="宋体" w:eastAsia="宋体" w:cs="宋体"/>
                <w:kern w:val="0"/>
                <w:sz w:val="21"/>
                <w:szCs w:val="21"/>
                <w:highlight w:val="none"/>
                <w:u w:val="single"/>
              </w:rPr>
              <w:t xml:space="preserve">  4  </w:t>
            </w:r>
            <w:r>
              <w:rPr>
                <w:rFonts w:hint="eastAsia" w:ascii="宋体" w:hAnsi="宋体" w:eastAsia="宋体" w:cs="宋体"/>
                <w:sz w:val="21"/>
                <w:szCs w:val="21"/>
                <w:highlight w:val="none"/>
              </w:rPr>
              <w:t>小时内响应，</w:t>
            </w:r>
            <w:r>
              <w:rPr>
                <w:rFonts w:hint="eastAsia" w:ascii="宋体" w:hAnsi="宋体" w:eastAsia="宋体" w:cs="宋体"/>
                <w:kern w:val="0"/>
                <w:sz w:val="21"/>
                <w:szCs w:val="21"/>
                <w:highlight w:val="none"/>
                <w:u w:val="single"/>
              </w:rPr>
              <w:t xml:space="preserve">  24  </w:t>
            </w:r>
            <w:r>
              <w:rPr>
                <w:rFonts w:hint="eastAsia" w:ascii="宋体" w:hAnsi="宋体" w:eastAsia="宋体" w:cs="宋体"/>
                <w:sz w:val="21"/>
                <w:szCs w:val="21"/>
                <w:highlight w:val="none"/>
              </w:rPr>
              <w:t>小时内到达现场；</w:t>
            </w:r>
            <w:r>
              <w:rPr>
                <w:rFonts w:hint="eastAsia" w:ascii="宋体" w:hAnsi="宋体" w:eastAsia="宋体" w:cs="宋体"/>
                <w:kern w:val="0"/>
                <w:sz w:val="21"/>
                <w:szCs w:val="21"/>
                <w:highlight w:val="none"/>
                <w:u w:val="single"/>
              </w:rPr>
              <w:t xml:space="preserve"> 48  </w:t>
            </w:r>
            <w:r>
              <w:rPr>
                <w:rFonts w:hint="eastAsia" w:ascii="宋体" w:hAnsi="宋体" w:eastAsia="宋体" w:cs="宋体"/>
                <w:sz w:val="21"/>
                <w:szCs w:val="21"/>
                <w:highlight w:val="none"/>
              </w:rPr>
              <w:t>小时内解决问题，保证采购人正常使用，产生的一切费用由中标人承担。如在规定时间内无法解决质量问题，需提供备用设备，终身提供技术支持。</w:t>
            </w:r>
          </w:p>
          <w:p w14:paraId="1221D05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（3）技术升级</w:t>
            </w:r>
          </w:p>
          <w:p w14:paraId="3642874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在质保期内，如果中标人的产品或服务升级，中标人应及时通知采购人，如采购人有相应要求，中标人应对采购人购买的产品或服务进行升级。</w:t>
            </w:r>
          </w:p>
          <w:p w14:paraId="314D6BD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5.质保期外服务要求</w:t>
            </w:r>
          </w:p>
          <w:p w14:paraId="022DF86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质量保证期过后，采购人需要继续由原中标人提供售后服务的，中标人应提供电话咨询服务，并应承诺提供产品或服务上门维护，中标人和制造商应以优惠价格提供售后服务。</w:t>
            </w:r>
          </w:p>
          <w:p w14:paraId="389F929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6.备品备件及易损件</w:t>
            </w:r>
          </w:p>
          <w:p w14:paraId="5CC65D8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中标人售后服务中，维修使用的备品备件及易损件应为原厂配件，未经采购人同意不得使用非原厂配件。</w:t>
            </w:r>
          </w:p>
          <w:p w14:paraId="40FFE6C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7.培训要求：中标人对其提供产品或服务的使用和操作应尽培训义务。中标人提供培训不少于2次，培训人次不少于30人。中标人应提供对本项目的使用单位进行培训服务，涉及的相关费用应计算在项目报价内，并使使用人员能独立、熟练操作系统。 </w:t>
            </w:r>
          </w:p>
          <w:p w14:paraId="34444F9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8.备品备件及耗材等要求：有稳定的备件供应渠道，可以满足采购人的设备在升级、扩充和保修服务配件及消耗品等多方面的需求，中标人就相关备品备件及耗材价格与采购人友好协商，应以优惠价格提供相关服务。</w:t>
            </w:r>
          </w:p>
          <w:p w14:paraId="3BAED0D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9.提供设备必须是全新、未使用的原装产品，且在正常安装、使用和保养条件下，其使用寿命期内各项指标均达到质量要求。</w:t>
            </w:r>
          </w:p>
        </w:tc>
      </w:tr>
      <w:tr w14:paraId="75C5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1FEB539C">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付款方式</w:t>
            </w:r>
          </w:p>
        </w:tc>
        <w:tc>
          <w:tcPr>
            <w:tcW w:w="8731" w:type="dxa"/>
            <w:gridSpan w:val="4"/>
            <w:tcBorders>
              <w:top w:val="single" w:color="auto" w:sz="4" w:space="0"/>
              <w:bottom w:val="single" w:color="auto" w:sz="4" w:space="0"/>
            </w:tcBorders>
            <w:vAlign w:val="center"/>
          </w:tcPr>
          <w:p w14:paraId="16708739">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1.在签订合同后10个工作日内，采购人向</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支付合同总金额的50%作为预付款；全部货物到货、安装调试及试运行完成，且经采购人验收合格后20个工作日内，采购人向</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支付合同总金额的50%余款。</w:t>
            </w:r>
          </w:p>
          <w:p w14:paraId="5EA3E017">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2.采购人付款前，</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应向采购人开具等额有效的增值税普通发票，采购人未收到发票的，有权不予支付相应款项直至</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提供合格发票，并不承担延迟付款责任。发票认证通过是付款的必要前提之一。</w:t>
            </w:r>
          </w:p>
          <w:p w14:paraId="59B86C56">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3.中标人应按照《广西壮族自治区财政厅关于在政府采购活动中推广使用电子保函的通知》（桂财采〔2023〕92 号）要求，在 “广西政府采购金融服务平台”申请预付款保函，于合同预付款支付前提供给采购人，预付款保函有效期至项目整体验收合格之日。</w:t>
            </w:r>
          </w:p>
        </w:tc>
      </w:tr>
      <w:tr w14:paraId="4484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45E62EE2">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其他要求</w:t>
            </w:r>
          </w:p>
        </w:tc>
        <w:tc>
          <w:tcPr>
            <w:tcW w:w="8731" w:type="dxa"/>
            <w:gridSpan w:val="4"/>
            <w:tcBorders>
              <w:top w:val="single" w:color="auto" w:sz="4" w:space="0"/>
              <w:bottom w:val="single" w:color="auto" w:sz="4" w:space="0"/>
            </w:tcBorders>
            <w:vAlign w:val="center"/>
          </w:tcPr>
          <w:p w14:paraId="2AA160C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一、总体要求</w:t>
            </w:r>
          </w:p>
          <w:p w14:paraId="0C099EF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1.报价要求：本次报价须为人民币报价，包括投标货物（包括备品备件、专用工具等）的价格，投标货物运输（含保险）、安装（如有）、调试、检验、技术服务、培训和</w:t>
            </w:r>
            <w:r>
              <w:rPr>
                <w:rFonts w:hint="eastAsia" w:ascii="宋体" w:hAnsi="宋体" w:eastAsia="宋体" w:cs="宋体"/>
                <w:bCs/>
                <w:color w:val="000000"/>
                <w:sz w:val="21"/>
                <w:szCs w:val="21"/>
                <w:highlight w:val="none"/>
              </w:rPr>
              <w:t>招标</w:t>
            </w:r>
            <w:r>
              <w:rPr>
                <w:rFonts w:hint="eastAsia" w:ascii="宋体" w:hAnsi="宋体" w:eastAsia="宋体" w:cs="宋体"/>
                <w:sz w:val="21"/>
                <w:szCs w:val="21"/>
                <w:highlight w:val="none"/>
              </w:rPr>
              <w:t>文件要求提供的所有伴随服务、工程等费用和税费。对于本文件中未列明，而供应商认为必需的费用也需列入总报价。在合同实施时，采购人将不予支付中标人没有列入的项目费用，并认为此项目的费用已包括在</w:t>
            </w:r>
            <w:r>
              <w:rPr>
                <w:rFonts w:hint="eastAsia" w:ascii="宋体" w:hAnsi="宋体" w:eastAsia="宋体" w:cs="宋体"/>
                <w:kern w:val="0"/>
                <w:sz w:val="21"/>
                <w:szCs w:val="21"/>
                <w:highlight w:val="none"/>
                <w:lang w:bidi="ar"/>
              </w:rPr>
              <w:t>投</w:t>
            </w:r>
            <w:r>
              <w:rPr>
                <w:rFonts w:hint="eastAsia" w:ascii="宋体" w:hAnsi="宋体" w:eastAsia="宋体" w:cs="宋体"/>
                <w:sz w:val="21"/>
                <w:szCs w:val="21"/>
                <w:highlight w:val="none"/>
              </w:rPr>
              <w:t>标总报价中。</w:t>
            </w:r>
          </w:p>
          <w:p w14:paraId="6824FF5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2.中标人不得将项目非法分包或转包给任何单位和个人，否则采购人有权依法解除合同，并要求中标人赔偿相应损失。</w:t>
            </w:r>
          </w:p>
          <w:p w14:paraId="6E64859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3.中标人应保证采购人在接受其提供的相关产品/服务时免受第三方提出侵犯其知识产权的起诉，由此引起的知识产权纠纷由中标人负责。</w:t>
            </w:r>
          </w:p>
          <w:p w14:paraId="2166F68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保密要求：中标人在项目实施过程中，可能需要了解或知悉采购人的相关业务信息，为确保采购人业务信息的安全，中标人必须对本项目所有项目信息予以保密，未经采购人书面许可，中标人不得以任何形式向第三方透露本项目的任何内容。</w:t>
            </w:r>
          </w:p>
          <w:p w14:paraId="060BB9A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二、采购标的验收标准</w:t>
            </w:r>
          </w:p>
          <w:p w14:paraId="0ADE597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采购人可以根据采购项目具体情况自行组织验收，或者委托第三方机构或部门开展采购项目履约验收工作，验收过程中所产生的一切费用均由中标人承担，履约验收服务费按照分标中标金额的≤0.9%收取，投标人在投标报价时应考虑相关费用。</w:t>
            </w:r>
          </w:p>
          <w:p w14:paraId="0F1B189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2.在验收过程中发现中标人有违约问题，可暂缓资金结算，待违约问题解决后，方可办理资金结算事宜。</w:t>
            </w:r>
          </w:p>
          <w:p w14:paraId="1D8B94C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3.验收依据：按合同要求及国家标准进行验收。</w:t>
            </w:r>
          </w:p>
          <w:p w14:paraId="0ED75F0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4.验收标准</w:t>
            </w:r>
          </w:p>
          <w:p w14:paraId="7766378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（1）所供产品的规格、数量、功能、材质、颜色等符合招标文件采购需求及采购合同约定的要求。</w:t>
            </w:r>
          </w:p>
          <w:p w14:paraId="276C628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（2）所供产品的外观完好，无严重碰撞、表皮脱落、五金件生锈等明显瑕疵。</w:t>
            </w:r>
          </w:p>
          <w:p w14:paraId="040B8E1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（3）所供产品结构牢固，无安全隐患。</w:t>
            </w:r>
          </w:p>
          <w:p w14:paraId="4A57983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（4）如有抽检要求的，检测结果符合招标文件采购需求及采购合同约定的要求。</w:t>
            </w:r>
          </w:p>
          <w:p w14:paraId="1D768FB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（5）所有产品均已运输至指定地点，并安装调试完毕。</w:t>
            </w:r>
          </w:p>
          <w:p w14:paraId="6873C88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（6）招标文件采购需求及采购合同约定的附件、工具、技术资料等齐全；提供产品使用说明书、合格证。</w:t>
            </w:r>
          </w:p>
          <w:p w14:paraId="3CE1B31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（7）货物技术参数应与投标文件中响应表或证明材料一致，性能或指标达到规定的标准。否则，以实际货物或服务技术参数与响应文件响应表参数或证明材料比较，按如下情况处理：</w:t>
            </w:r>
          </w:p>
          <w:p w14:paraId="39A092C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①供应商投标文件响应表或证明材料中满足或优于的技术参数，在验收时实际不满足技术参数要求的，视为供应商违约，采购人有权依法解除合同拒收货物，并追究供应商责任。</w:t>
            </w:r>
          </w:p>
          <w:p w14:paraId="602CE90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②供应商投标文件响应表或证明材料中优于的技术参数，在验收时实际仅满足并未优于技术参数要求的，视为供应商违约，采购人有权依法解除合同拒收货物，并追究供应商责任。</w:t>
            </w:r>
          </w:p>
          <w:p w14:paraId="35F4F64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③供应商投标文件响应表或证明材料中不满足的技术参数，在验收时实际满足技术参数的要求，以满足技术参数的要求验收。 </w:t>
            </w:r>
          </w:p>
          <w:p w14:paraId="1199E7B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④供应商投标文件响应表或证明材料中满足的技术参数，在验收时实际优于技术参数的要求，以满足技术参数的要求验收。</w:t>
            </w:r>
          </w:p>
          <w:p w14:paraId="585B98C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⑤供应商投标文件响应表或证明材料中优于的技术参数，在验收时实际也优于技术参数的要求，但没有达到响应表或证明材料中优于的程度，由采购人与供应商协商按是否满足要求验收。</w:t>
            </w:r>
          </w:p>
          <w:p w14:paraId="4D0195D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⑥实际货物与响应货物型号不一致的，验收时不论实际是优于还是满足技术参数的要求，采购人均有权依法解除合同拒收货物，并追究供应商责任。</w:t>
            </w:r>
          </w:p>
          <w:p w14:paraId="50DF0B4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5.验收要求</w:t>
            </w:r>
          </w:p>
          <w:p w14:paraId="17BFEA3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验收小组以项目</w:t>
            </w:r>
            <w:r>
              <w:rPr>
                <w:rFonts w:hint="eastAsia" w:ascii="宋体" w:hAnsi="宋体" w:eastAsia="宋体" w:cs="宋体"/>
                <w:bCs/>
                <w:color w:val="000000"/>
                <w:sz w:val="21"/>
                <w:szCs w:val="21"/>
                <w:highlight w:val="none"/>
              </w:rPr>
              <w:t>招标</w:t>
            </w:r>
            <w:r>
              <w:rPr>
                <w:rFonts w:hint="eastAsia" w:ascii="宋体" w:hAnsi="宋体" w:eastAsia="宋体" w:cs="宋体"/>
                <w:sz w:val="21"/>
                <w:szCs w:val="21"/>
                <w:highlight w:val="none"/>
              </w:rPr>
              <w:t>文件及采购合同为验收依据，对供货产品技术参数核对检验，如不符合技术参数要求的，中标人承担所有责任和费用。采购人保留进一步追究责任的权利。</w:t>
            </w:r>
          </w:p>
          <w:p w14:paraId="3889613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中标人按时间节点完成货物供货后，应及时整理技术资料并作出全面检查和整理，列出清单，作为采购人验收和使用的技术条件依据，清单应交给采购人；同时以书面形式通知采购人进行验收，采购人在收到通知后五个工作日内进行验收。</w:t>
            </w:r>
          </w:p>
          <w:p w14:paraId="0963C3B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（2）验收时中标人提供验收文档，包括但不限于：技术方案、实施方案、售后服务方案、培训方案、系统部署文档、测试文档、使用说明书、电子文档，以及对所有需要进行核查的原件等。</w:t>
            </w:r>
          </w:p>
          <w:p w14:paraId="53580E8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如供货产品不合格或不符合技术参数要求的，由中标人按采购人（或者采购人委托的第三方机构或部门）要求整改，中标人不按要求整改或拒不整改的，采购人有权依法解除合同，给采购人造成的损失等费用由中标人承担。</w:t>
            </w:r>
          </w:p>
          <w:p w14:paraId="74335DE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（4）如中标人提供虚假材料的，除按相关规定做违约处理外，采购人依据相关法律规定追究中标人的责任，由此带来的一切责任及损失由中标人自行承担。</w:t>
            </w:r>
          </w:p>
          <w:p w14:paraId="71A79FC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在项目验收过程中，如项目验收不合格，有关返工、再行验收产生相关成本费用，以及给采购人造成的损失等费用由中标人承担。连续两次项目验收不合格的，或弄虚作假的行为，采购人将不予验收，采购人有权解除合同，并追究中标人的责任，由此带来的一切责任由中标人自行承担。</w:t>
            </w:r>
          </w:p>
          <w:p w14:paraId="46AA264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（6）项目验收过程中，采购人需委托第三方检测机构介入的，费用由中标人另行承担。</w:t>
            </w:r>
          </w:p>
          <w:p w14:paraId="088A810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6.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16EC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322910B8">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履约保证金</w:t>
            </w:r>
          </w:p>
        </w:tc>
        <w:tc>
          <w:tcPr>
            <w:tcW w:w="8731" w:type="dxa"/>
            <w:gridSpan w:val="4"/>
            <w:tcBorders>
              <w:top w:val="single" w:color="auto" w:sz="4" w:space="0"/>
              <w:bottom w:val="single" w:color="auto" w:sz="4" w:space="0"/>
            </w:tcBorders>
            <w:vAlign w:val="center"/>
          </w:tcPr>
          <w:p w14:paraId="6C73217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1.履约保证金金额：中标金额的</w:t>
            </w:r>
            <w:r>
              <w:rPr>
                <w:rFonts w:hint="eastAsia" w:ascii="宋体" w:hAnsi="宋体" w:eastAsia="宋体" w:cs="宋体"/>
                <w:sz w:val="21"/>
                <w:szCs w:val="21"/>
                <w:highlight w:val="none"/>
                <w:u w:val="single"/>
              </w:rPr>
              <w:t>_5</w:t>
            </w:r>
            <w:r>
              <w:rPr>
                <w:rFonts w:hint="eastAsia" w:ascii="宋体" w:hAnsi="宋体" w:eastAsia="宋体" w:cs="宋体"/>
                <w:sz w:val="21"/>
                <w:szCs w:val="21"/>
                <w:highlight w:val="none"/>
              </w:rPr>
              <w:t>_%。（若中标人被评标委员会认定为中小企业的，履约保证金数额将按中标金额的2%收取）</w:t>
            </w:r>
          </w:p>
          <w:p w14:paraId="17D8663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2.履约保证金递交方式：转账或电汇等形式（支持支票、汇票、本票、保函等形式）</w:t>
            </w:r>
          </w:p>
          <w:p w14:paraId="63D53F0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3.履约保证金递交时间：签订合同后3个工作日内由中标人转入采购人指定保证金账户。</w:t>
            </w:r>
          </w:p>
          <w:p w14:paraId="06E0494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4.履约保证金期限：验收合格之日起一年</w:t>
            </w:r>
          </w:p>
          <w:p w14:paraId="6568498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履约保证金退还：履约保证期满后中标人无违约行为，中标人提供《政府采购项目履约保证金退付意见书》及《政府采购项目合同验收报告》，向采购人提出书面申请退还，采购人在收到申请后5个工作日内按照履约保证金缴纳的具体方式，配合中标人办理无息退还事宜。保证金指定账户：</w:t>
            </w:r>
          </w:p>
          <w:p w14:paraId="6CD9182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开户名：广西制造工程职业技术学院</w:t>
            </w:r>
          </w:p>
          <w:p w14:paraId="5F8184A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开户行：农行南宁东盟经济园区支行</w:t>
            </w:r>
          </w:p>
          <w:p w14:paraId="06CA38A9">
            <w:pPr>
              <w:keepNext w:val="0"/>
              <w:keepLines w:val="0"/>
              <w:pageBreakBefore w:val="0"/>
              <w:kinsoku/>
              <w:wordWrap/>
              <w:overflowPunct/>
              <w:topLinePunct w:val="0"/>
              <w:autoSpaceDE w:val="0"/>
              <w:autoSpaceDN w:val="0"/>
              <w:bidi w:val="0"/>
              <w:adjustRightInd/>
              <w:snapToGrid/>
              <w:spacing w:line="400" w:lineRule="exact"/>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账  号：20036501040014065</w:t>
            </w:r>
          </w:p>
        </w:tc>
      </w:tr>
      <w:tr w14:paraId="6143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04DB045E">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二、与实现项目目标相关的其他要求</w:t>
            </w:r>
          </w:p>
        </w:tc>
      </w:tr>
      <w:tr w14:paraId="4EAE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6DD63B51">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（一）投标人的履约能力要求</w:t>
            </w:r>
          </w:p>
        </w:tc>
      </w:tr>
      <w:tr w14:paraId="5FDB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193C27D3">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质量管理、企业信用要求</w:t>
            </w:r>
          </w:p>
        </w:tc>
        <w:tc>
          <w:tcPr>
            <w:tcW w:w="8664" w:type="dxa"/>
            <w:gridSpan w:val="3"/>
            <w:tcBorders>
              <w:top w:val="single" w:color="auto" w:sz="4" w:space="0"/>
              <w:bottom w:val="single" w:color="auto" w:sz="4" w:space="0"/>
            </w:tcBorders>
            <w:vAlign w:val="center"/>
          </w:tcPr>
          <w:p w14:paraId="33D079C2">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如有，请结合本招标文件“评标办法及评分标准”在投标文件中自行提供。</w:t>
            </w:r>
          </w:p>
        </w:tc>
      </w:tr>
      <w:tr w14:paraId="723C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0F268BB5">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能力或者业绩要求</w:t>
            </w:r>
          </w:p>
        </w:tc>
        <w:tc>
          <w:tcPr>
            <w:tcW w:w="8664" w:type="dxa"/>
            <w:gridSpan w:val="3"/>
            <w:tcBorders>
              <w:top w:val="single" w:color="auto" w:sz="4" w:space="0"/>
              <w:bottom w:val="single" w:color="auto" w:sz="4" w:space="0"/>
            </w:tcBorders>
            <w:vAlign w:val="center"/>
          </w:tcPr>
          <w:p w14:paraId="54CA5C1F">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如有，请结合本招标文件“评标办法及评分标准”在投标文件中自行提供。</w:t>
            </w:r>
          </w:p>
        </w:tc>
      </w:tr>
      <w:tr w14:paraId="4C59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24B845C5">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（二）政策性加分条件</w:t>
            </w:r>
          </w:p>
        </w:tc>
      </w:tr>
      <w:tr w14:paraId="1328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18691A72">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符合节能环保等国家政策要求。</w:t>
            </w:r>
          </w:p>
        </w:tc>
      </w:tr>
      <w:tr w14:paraId="091F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0D0B649A">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（三）进口产品及核心产品说明</w:t>
            </w:r>
          </w:p>
        </w:tc>
      </w:tr>
      <w:tr w14:paraId="313E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0A7A03C1">
            <w:pPr>
              <w:keepNext w:val="0"/>
              <w:keepLines w:val="0"/>
              <w:pageBreakBefore w:val="0"/>
              <w:tabs>
                <w:tab w:val="left" w:pos="180"/>
                <w:tab w:val="left" w:pos="1620"/>
              </w:tabs>
              <w:kinsoku/>
              <w:wordWrap/>
              <w:overflowPunct/>
              <w:topLinePunct w:val="0"/>
              <w:bidi w:val="0"/>
              <w:adjustRightInd/>
              <w:snapToGrid/>
              <w:spacing w:line="400" w:lineRule="exact"/>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▲1.本分标货物不接受进口产品（即通过中国海关报关验放进入中国境内且产自关境外的产品）参与投标，如有进口产品参与投标的作无效标处理。</w:t>
            </w:r>
          </w:p>
          <w:p w14:paraId="05EEB266">
            <w:pPr>
              <w:keepNext w:val="0"/>
              <w:keepLines w:val="0"/>
              <w:pageBreakBefore w:val="0"/>
              <w:tabs>
                <w:tab w:val="left" w:pos="180"/>
                <w:tab w:val="left" w:pos="1620"/>
              </w:tabs>
              <w:kinsoku/>
              <w:wordWrap/>
              <w:overflowPunct/>
              <w:topLinePunct w:val="0"/>
              <w:bidi w:val="0"/>
              <w:adjustRightInd/>
              <w:snapToGrid/>
              <w:spacing w:line="400" w:lineRule="exact"/>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本分标第</w:t>
            </w:r>
            <w:r>
              <w:rPr>
                <w:rFonts w:hint="eastAsia" w:ascii="宋体" w:hAnsi="宋体" w:eastAsia="宋体" w:cs="宋体"/>
                <w:b/>
                <w:bCs/>
                <w:color w:val="000000" w:themeColor="text1"/>
                <w:sz w:val="21"/>
                <w:szCs w:val="21"/>
                <w:highlight w:val="none"/>
                <w:u w:val="single"/>
                <w14:textFill>
                  <w14:solidFill>
                    <w14:schemeClr w14:val="tx1"/>
                  </w14:solidFill>
                </w14:textFill>
              </w:rPr>
              <w:t xml:space="preserve">   1  </w:t>
            </w:r>
            <w:r>
              <w:rPr>
                <w:rFonts w:hint="eastAsia" w:ascii="宋体" w:hAnsi="宋体" w:eastAsia="宋体" w:cs="宋体"/>
                <w:b/>
                <w:bCs/>
                <w:color w:val="000000" w:themeColor="text1"/>
                <w:sz w:val="21"/>
                <w:szCs w:val="21"/>
                <w:highlight w:val="none"/>
                <w14:textFill>
                  <w14:solidFill>
                    <w14:schemeClr w14:val="tx1"/>
                  </w14:solidFill>
                </w14:textFill>
              </w:rPr>
              <w:t>项产品“</w:t>
            </w:r>
            <w:r>
              <w:rPr>
                <w:rFonts w:hint="eastAsia" w:ascii="宋体" w:hAnsi="宋体" w:eastAsia="宋体" w:cs="宋体"/>
                <w:b/>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sz w:val="21"/>
                <w:szCs w:val="21"/>
                <w:highlight w:val="none"/>
                <w:u w:val="single"/>
              </w:rPr>
              <w:t>工业网络智能控制与维护系统</w:t>
            </w:r>
            <w:r>
              <w:rPr>
                <w:rFonts w:hint="eastAsia" w:ascii="宋体" w:hAnsi="宋体" w:eastAsia="宋体" w:cs="宋体"/>
                <w:b/>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”为核心产品</w:t>
            </w:r>
            <w:r>
              <w:rPr>
                <w:rFonts w:hint="eastAsia" w:ascii="宋体" w:hAnsi="宋体" w:eastAsia="宋体" w:cs="宋体"/>
                <w:color w:val="000000" w:themeColor="text1"/>
                <w:sz w:val="21"/>
                <w:szCs w:val="21"/>
                <w:highlight w:val="none"/>
                <w14:textFill>
                  <w14:solidFill>
                    <w14:schemeClr w14:val="tx1"/>
                  </w14:solidFill>
                </w14:textFill>
              </w:rPr>
              <w:t>。多家投标人提供的核心产品品牌相同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4C40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49513A8E">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三、其他说明</w:t>
            </w:r>
          </w:p>
        </w:tc>
      </w:tr>
      <w:tr w14:paraId="0FEF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56DF044F">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▲最高限价</w:t>
            </w:r>
          </w:p>
        </w:tc>
        <w:tc>
          <w:tcPr>
            <w:tcW w:w="8664" w:type="dxa"/>
            <w:gridSpan w:val="3"/>
            <w:tcBorders>
              <w:top w:val="single" w:color="auto" w:sz="4" w:space="0"/>
              <w:bottom w:val="single" w:color="auto" w:sz="4" w:space="0"/>
            </w:tcBorders>
            <w:vAlign w:val="center"/>
          </w:tcPr>
          <w:p w14:paraId="44B54009">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1.本项目评标时以本项目预算金额为最高限价，评标时以最高限价为评标依据，投标人投标报价超出最高限价的作无效投标处理。</w:t>
            </w:r>
          </w:p>
          <w:p w14:paraId="78668457">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sz w:val="21"/>
                <w:szCs w:val="21"/>
                <w:highlight w:val="none"/>
              </w:rPr>
            </w:pPr>
            <w:r>
              <w:rPr>
                <w:rFonts w:hint="eastAsia" w:ascii="宋体" w:hAnsi="宋体" w:eastAsia="宋体" w:cs="宋体"/>
                <w:b/>
                <w:bCs/>
                <w:color w:val="000000" w:themeColor="text1"/>
                <w:sz w:val="21"/>
                <w:szCs w:val="21"/>
                <w:highlight w:val="none"/>
                <w14:textFill>
                  <w14:solidFill>
                    <w14:schemeClr w14:val="tx1"/>
                  </w14:solidFill>
                </w14:textFill>
              </w:rPr>
              <w:t>2.本分标序号1-10的货物报价合计不得超过人民币贰佰贰拾陆万肆仟陆佰伍拾元整（¥2264650.00）；序号11-13货物报价合计不得超过人民币壹拾贰万元整（¥120000.00））。任一组报价超过对应最高限价的，投标无效。</w:t>
            </w:r>
          </w:p>
        </w:tc>
      </w:tr>
      <w:tr w14:paraId="2A4A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0267BCB7">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供应商其他要求</w:t>
            </w:r>
          </w:p>
        </w:tc>
        <w:tc>
          <w:tcPr>
            <w:tcW w:w="8664" w:type="dxa"/>
            <w:gridSpan w:val="3"/>
            <w:tcBorders>
              <w:top w:val="single" w:color="auto" w:sz="4" w:space="0"/>
              <w:bottom w:val="single" w:color="auto" w:sz="4" w:space="0"/>
            </w:tcBorders>
            <w:vAlign w:val="center"/>
          </w:tcPr>
          <w:p w14:paraId="60BF69C8">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rPr>
              <w:t>投标人</w:t>
            </w:r>
            <w:r>
              <w:rPr>
                <w:rFonts w:hint="eastAsia" w:ascii="宋体" w:hAnsi="宋体" w:eastAsia="宋体" w:cs="宋体"/>
                <w:sz w:val="21"/>
                <w:szCs w:val="21"/>
                <w:highlight w:val="none"/>
              </w:rPr>
              <w:t>可根据项目要求，可在投标文件中提供包括：项目实施方案、售后服务方案、业绩等与履约有关的材料。</w:t>
            </w:r>
          </w:p>
        </w:tc>
      </w:tr>
      <w:tr w14:paraId="1063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jc w:val="center"/>
        </w:trPr>
        <w:tc>
          <w:tcPr>
            <w:tcW w:w="1567" w:type="dxa"/>
            <w:gridSpan w:val="3"/>
            <w:tcBorders>
              <w:top w:val="single" w:color="auto" w:sz="4" w:space="0"/>
              <w:bottom w:val="single" w:color="auto" w:sz="4" w:space="0"/>
            </w:tcBorders>
            <w:vAlign w:val="center"/>
          </w:tcPr>
          <w:p w14:paraId="75A54968">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演示要求</w:t>
            </w:r>
          </w:p>
        </w:tc>
        <w:tc>
          <w:tcPr>
            <w:tcW w:w="8664" w:type="dxa"/>
            <w:gridSpan w:val="3"/>
            <w:tcBorders>
              <w:top w:val="single" w:color="auto" w:sz="4" w:space="0"/>
              <w:bottom w:val="single" w:color="auto" w:sz="4" w:space="0"/>
            </w:tcBorders>
            <w:vAlign w:val="center"/>
          </w:tcPr>
          <w:p w14:paraId="60FE21CD">
            <w:pPr>
              <w:keepNext w:val="0"/>
              <w:keepLines w:val="0"/>
              <w:pageBreakBefore w:val="0"/>
              <w:tabs>
                <w:tab w:val="left" w:pos="180"/>
                <w:tab w:val="left" w:pos="1620"/>
              </w:tabs>
              <w:kinsoku/>
              <w:wordWrap/>
              <w:overflowPunct/>
              <w:topLinePunct w:val="0"/>
              <w:bidi w:val="0"/>
              <w:adjustRightInd/>
              <w:snapToGrid/>
              <w:spacing w:line="400" w:lineRule="exact"/>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投标人需在评审时（具体时间由采购代理机构通知）对《具体说明、功能及技术参数要求》中标注“◆”功能通过广西政府采购云平台进行在线详细讲解和阐述。供应商自行准备线上演示所需的摄像头、话筒等设备，每家供应商线上演示时间均不超过</w:t>
            </w:r>
            <w:r>
              <w:rPr>
                <w:rFonts w:hint="eastAsia" w:ascii="宋体" w:hAnsi="宋体" w:eastAsia="宋体" w:cs="宋体"/>
                <w:sz w:val="21"/>
                <w:szCs w:val="21"/>
                <w:highlight w:val="none"/>
                <w:lang w:val="en-US" w:eastAsia="zh-CN"/>
              </w:rPr>
              <w:t>25</w:t>
            </w:r>
            <w:r>
              <w:rPr>
                <w:rFonts w:hint="eastAsia" w:ascii="宋体" w:hAnsi="宋体" w:eastAsia="宋体" w:cs="宋体"/>
                <w:sz w:val="21"/>
                <w:szCs w:val="21"/>
                <w:highlight w:val="none"/>
              </w:rPr>
              <w:t>分钟，演示的过程作为评审的重要依据，不演示不得分，具体内容详见《评标方法及评标标准》。</w:t>
            </w:r>
          </w:p>
        </w:tc>
      </w:tr>
      <w:tr w14:paraId="5F32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58552C86">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现场考察</w:t>
            </w:r>
          </w:p>
        </w:tc>
        <w:tc>
          <w:tcPr>
            <w:tcW w:w="8664" w:type="dxa"/>
            <w:gridSpan w:val="3"/>
            <w:tcBorders>
              <w:top w:val="single" w:color="auto" w:sz="4" w:space="0"/>
              <w:bottom w:val="single" w:color="auto" w:sz="4" w:space="0"/>
            </w:tcBorders>
            <w:vAlign w:val="center"/>
          </w:tcPr>
          <w:p w14:paraId="5699F8C1">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鉴于本项目需要根据现场情况综合评估成本，投标人可在招标截止前自行到现场考察（交通工具、费用由各供应商自行负责），以便供应商了解真实的现场情况和项目实际需求，保证项目按时按质按量完成。供应商需自行承担参与现场考察的所有责任和风险。</w:t>
            </w:r>
          </w:p>
          <w:p w14:paraId="6BE8E96A">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2.现场考察携带的资料：前往人员的身份证复印件（不能体现投标人单位名称和加盖公章等，以防泄露供应商信息，造成的后果由供应商自行承担）。</w:t>
            </w:r>
          </w:p>
          <w:p w14:paraId="614F7786">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3.现场考察时间：2026年</w:t>
            </w:r>
            <w:r>
              <w:rPr>
                <w:rFonts w:hint="default" w:ascii="宋体" w:hAnsi="宋体" w:cs="宋体"/>
                <w:color w:val="000000" w:themeColor="text1"/>
                <w:sz w:val="21"/>
                <w:szCs w:val="21"/>
                <w:highlight w:val="none"/>
                <w:lang w:val="en-US"/>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月</w:t>
            </w:r>
            <w:r>
              <w:rPr>
                <w:rFonts w:hint="default" w:ascii="宋体" w:hAnsi="宋体" w:cs="宋体"/>
                <w:color w:val="000000" w:themeColor="text1"/>
                <w:sz w:val="21"/>
                <w:szCs w:val="21"/>
                <w:highlight w:val="none"/>
                <w:lang w:val="en-US"/>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日上午10:00至11:30逾时不予接待，未在规定时间到场考察的投标人将视为自动放弃现场考察的权利。</w:t>
            </w:r>
          </w:p>
          <w:p w14:paraId="40A93ECC">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4.现场踏勘联系人：</w:t>
            </w:r>
            <w:r>
              <w:rPr>
                <w:rFonts w:hint="eastAsia" w:ascii="宋体" w:hAnsi="宋体" w:eastAsia="宋体" w:cs="宋体"/>
                <w:color w:val="000000" w:themeColor="text1"/>
                <w:sz w:val="21"/>
                <w:szCs w:val="21"/>
                <w:highlight w:val="none"/>
                <w:lang w:eastAsia="zh-CN"/>
                <w14:textFill>
                  <w14:solidFill>
                    <w14:schemeClr w14:val="tx1"/>
                  </w14:solidFill>
                </w14:textFill>
              </w:rPr>
              <w:t>苏</w:t>
            </w:r>
            <w:r>
              <w:rPr>
                <w:rFonts w:hint="eastAsia" w:ascii="宋体" w:hAnsi="宋体" w:eastAsia="宋体" w:cs="宋体"/>
                <w:color w:val="000000" w:themeColor="text1"/>
                <w:sz w:val="21"/>
                <w:szCs w:val="21"/>
                <w:highlight w:val="none"/>
                <w:lang w:val="en-US" w:eastAsia="zh-CN"/>
                <w14:textFill>
                  <w14:solidFill>
                    <w14:schemeClr w14:val="tx1"/>
                  </w14:solidFill>
                </w14:textFill>
              </w:rPr>
              <w:t>老师</w:t>
            </w:r>
            <w:r>
              <w:rPr>
                <w:rFonts w:hint="eastAsia" w:ascii="宋体" w:hAnsi="宋体" w:eastAsia="宋体" w:cs="宋体"/>
                <w:color w:val="000000" w:themeColor="text1"/>
                <w:sz w:val="21"/>
                <w:szCs w:val="21"/>
                <w:highlight w:val="none"/>
                <w14:textFill>
                  <w14:solidFill>
                    <w14:schemeClr w14:val="tx1"/>
                  </w14:solidFill>
                </w14:textFill>
              </w:rPr>
              <w:t>，联系电话：</w:t>
            </w:r>
            <w:r>
              <w:rPr>
                <w:rFonts w:hint="eastAsia" w:ascii="宋体" w:hAnsi="宋体" w:eastAsia="宋体" w:cs="宋体"/>
                <w:color w:val="000000" w:themeColor="text1"/>
                <w:sz w:val="21"/>
                <w:szCs w:val="21"/>
                <w:highlight w:val="none"/>
                <w:lang w:val="en-US" w:eastAsia="zh-CN"/>
                <w14:textFill>
                  <w14:solidFill>
                    <w14:schemeClr w14:val="tx1"/>
                  </w14:solidFill>
                </w14:textFill>
              </w:rPr>
              <w:t>18172667317</w:t>
            </w:r>
            <w:r>
              <w:rPr>
                <w:rFonts w:hint="eastAsia" w:ascii="宋体" w:hAnsi="宋体" w:eastAsia="宋体" w:cs="宋体"/>
                <w:color w:val="000000" w:themeColor="text1"/>
                <w:sz w:val="21"/>
                <w:szCs w:val="21"/>
                <w:highlight w:val="none"/>
                <w14:textFill>
                  <w14:solidFill>
                    <w14:schemeClr w14:val="tx1"/>
                  </w14:solidFill>
                </w14:textFill>
              </w:rPr>
              <w:t>。</w:t>
            </w:r>
          </w:p>
          <w:p w14:paraId="67A5D03F">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5.其他：供应商自行负责在踏勘现场中所发生的人员伤亡和财产损失。</w:t>
            </w:r>
          </w:p>
        </w:tc>
      </w:tr>
    </w:tbl>
    <w:p w14:paraId="2FC7BBAA">
      <w:pPr>
        <w:pStyle w:val="46"/>
        <w:spacing w:line="440" w:lineRule="exact"/>
        <w:ind w:firstLine="211"/>
        <w:rPr>
          <w:rFonts w:ascii="宋体" w:hAnsi="宋体"/>
          <w:b/>
          <w:bCs/>
          <w:color w:val="000000"/>
          <w:szCs w:val="21"/>
          <w:highlight w:val="none"/>
        </w:rPr>
      </w:pPr>
    </w:p>
    <w:bookmarkEnd w:id="42"/>
    <w:bookmarkEnd w:id="43"/>
    <w:bookmarkEnd w:id="44"/>
    <w:p w14:paraId="1F6A526C">
      <w:pPr>
        <w:spacing w:line="360" w:lineRule="exact"/>
        <w:rPr>
          <w:color w:val="000000"/>
          <w:highlight w:val="none"/>
        </w:rPr>
      </w:pPr>
    </w:p>
    <w:p w14:paraId="0D521FC4">
      <w:pPr>
        <w:spacing w:line="360" w:lineRule="exact"/>
        <w:rPr>
          <w:color w:val="000000"/>
          <w:highlight w:val="none"/>
        </w:rPr>
      </w:pPr>
    </w:p>
    <w:p w14:paraId="38B8627C">
      <w:pPr>
        <w:spacing w:line="360" w:lineRule="exact"/>
        <w:rPr>
          <w:color w:val="000000"/>
          <w:highlight w:val="none"/>
        </w:rPr>
      </w:pPr>
    </w:p>
    <w:p w14:paraId="1E590021">
      <w:pPr>
        <w:spacing w:line="360" w:lineRule="exact"/>
        <w:rPr>
          <w:color w:val="000000"/>
          <w:highlight w:val="none"/>
        </w:rPr>
      </w:pPr>
    </w:p>
    <w:p w14:paraId="1BAEF4BD">
      <w:pPr>
        <w:pStyle w:val="59"/>
        <w:rPr>
          <w:highlight w:val="none"/>
        </w:rPr>
      </w:pPr>
    </w:p>
    <w:p w14:paraId="214A7EB6">
      <w:pPr>
        <w:rPr>
          <w:color w:val="000000"/>
          <w:highlight w:val="none"/>
        </w:rPr>
      </w:pPr>
    </w:p>
    <w:p w14:paraId="44C399D7">
      <w:pPr>
        <w:rPr>
          <w:highlight w:val="none"/>
        </w:rPr>
      </w:pPr>
      <w:r>
        <w:rPr>
          <w:highlight w:val="none"/>
        </w:rPr>
        <w:br w:type="page"/>
      </w:r>
    </w:p>
    <w:tbl>
      <w:tblPr>
        <w:tblStyle w:val="48"/>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017"/>
        <w:gridCol w:w="67"/>
        <w:gridCol w:w="566"/>
        <w:gridCol w:w="631"/>
        <w:gridCol w:w="7344"/>
      </w:tblGrid>
      <w:tr w14:paraId="4E01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08" w:type="dxa"/>
            <w:gridSpan w:val="6"/>
            <w:tcBorders>
              <w:bottom w:val="single" w:color="auto" w:sz="4" w:space="0"/>
            </w:tcBorders>
            <w:shd w:val="clear" w:color="auto" w:fill="auto"/>
            <w:vAlign w:val="center"/>
          </w:tcPr>
          <w:p w14:paraId="62000E50">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分标2：机械产品数字化设计实训室建设</w:t>
            </w:r>
          </w:p>
        </w:tc>
      </w:tr>
      <w:tr w14:paraId="1628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bottom w:val="single" w:color="auto" w:sz="4" w:space="0"/>
            </w:tcBorders>
            <w:shd w:val="clear" w:color="auto" w:fill="auto"/>
            <w:vAlign w:val="center"/>
          </w:tcPr>
          <w:p w14:paraId="6F6F56F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1017" w:type="dxa"/>
            <w:tcBorders>
              <w:bottom w:val="single" w:color="auto" w:sz="4" w:space="0"/>
            </w:tcBorders>
            <w:shd w:val="clear" w:color="auto" w:fill="auto"/>
            <w:vAlign w:val="center"/>
          </w:tcPr>
          <w:p w14:paraId="53D3C08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标的名称</w:t>
            </w:r>
          </w:p>
        </w:tc>
        <w:tc>
          <w:tcPr>
            <w:tcW w:w="633" w:type="dxa"/>
            <w:gridSpan w:val="2"/>
            <w:tcBorders>
              <w:bottom w:val="single" w:color="auto" w:sz="4" w:space="0"/>
            </w:tcBorders>
            <w:shd w:val="clear" w:color="auto" w:fill="FFFFFF"/>
            <w:vAlign w:val="center"/>
          </w:tcPr>
          <w:p w14:paraId="763B72B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数量</w:t>
            </w:r>
          </w:p>
        </w:tc>
        <w:tc>
          <w:tcPr>
            <w:tcW w:w="631" w:type="dxa"/>
            <w:tcBorders>
              <w:bottom w:val="single" w:color="auto" w:sz="4" w:space="0"/>
            </w:tcBorders>
            <w:shd w:val="clear" w:color="auto" w:fill="auto"/>
            <w:vAlign w:val="center"/>
          </w:tcPr>
          <w:p w14:paraId="022F4B80">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单位</w:t>
            </w:r>
          </w:p>
        </w:tc>
        <w:tc>
          <w:tcPr>
            <w:tcW w:w="7344" w:type="dxa"/>
            <w:tcBorders>
              <w:bottom w:val="single" w:color="auto" w:sz="4" w:space="0"/>
            </w:tcBorders>
            <w:shd w:val="clear" w:color="auto" w:fill="auto"/>
            <w:noWrap/>
            <w:vAlign w:val="center"/>
          </w:tcPr>
          <w:p w14:paraId="07CDB87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具体说明、功能及技术参数要求</w:t>
            </w:r>
          </w:p>
        </w:tc>
      </w:tr>
      <w:tr w14:paraId="265D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6B01C08E">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017" w:type="dxa"/>
            <w:tcBorders>
              <w:top w:val="single" w:color="auto" w:sz="4" w:space="0"/>
            </w:tcBorders>
            <w:shd w:val="clear" w:color="auto" w:fill="auto"/>
            <w:vAlign w:val="center"/>
          </w:tcPr>
          <w:p w14:paraId="5FCEB94E">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三维数据处理</w:t>
            </w:r>
            <w:r>
              <w:rPr>
                <w:rFonts w:hint="eastAsia" w:ascii="宋体" w:hAnsi="宋体" w:eastAsia="宋体" w:cs="宋体"/>
                <w:color w:val="auto"/>
                <w:sz w:val="21"/>
                <w:szCs w:val="21"/>
                <w:highlight w:val="none"/>
                <w:lang w:val="en-US" w:eastAsia="zh-CN"/>
              </w:rPr>
              <w:t>工作站</w:t>
            </w:r>
          </w:p>
        </w:tc>
        <w:tc>
          <w:tcPr>
            <w:tcW w:w="633" w:type="dxa"/>
            <w:gridSpan w:val="2"/>
            <w:tcBorders>
              <w:top w:val="single" w:color="auto" w:sz="4" w:space="0"/>
            </w:tcBorders>
            <w:shd w:val="clear" w:color="auto" w:fill="FFFFFF"/>
            <w:vAlign w:val="center"/>
          </w:tcPr>
          <w:p w14:paraId="2FAFB35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54</w:t>
            </w:r>
          </w:p>
        </w:tc>
        <w:tc>
          <w:tcPr>
            <w:tcW w:w="631" w:type="dxa"/>
            <w:tcBorders>
              <w:top w:val="single" w:color="auto" w:sz="4" w:space="0"/>
            </w:tcBorders>
            <w:shd w:val="clear" w:color="auto" w:fill="auto"/>
            <w:vAlign w:val="center"/>
          </w:tcPr>
          <w:p w14:paraId="70D25F6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7344" w:type="dxa"/>
            <w:tcBorders>
              <w:top w:val="single" w:color="auto" w:sz="4" w:space="0"/>
            </w:tcBorders>
            <w:shd w:val="clear" w:color="auto" w:fill="auto"/>
            <w:vAlign w:val="center"/>
          </w:tcPr>
          <w:p w14:paraId="6302A987">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一、</w:t>
            </w:r>
            <w:r>
              <w:rPr>
                <w:rFonts w:hint="eastAsia" w:ascii="宋体" w:hAnsi="宋体" w:eastAsia="宋体" w:cs="宋体"/>
                <w:color w:val="auto"/>
                <w:sz w:val="21"/>
                <w:szCs w:val="21"/>
                <w:highlight w:val="none"/>
                <w:lang w:val="en-US" w:eastAsia="zh-CN"/>
              </w:rPr>
              <w:t>基本参数：</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▲1.处理器：</w:t>
            </w:r>
            <w:r>
              <w:rPr>
                <w:rFonts w:hint="eastAsia" w:ascii="宋体" w:hAnsi="宋体" w:eastAsia="宋体" w:cs="宋体"/>
                <w:i w:val="0"/>
                <w:iCs w:val="0"/>
                <w:caps w:val="0"/>
                <w:color w:val="0F1115"/>
                <w:spacing w:val="0"/>
                <w:sz w:val="21"/>
                <w:szCs w:val="21"/>
                <w:highlight w:val="none"/>
                <w:shd w:val="clear" w:fill="FFFFFF"/>
              </w:rPr>
              <w:t>主频不低于2.1GHz，核心数不低于20核</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▲2.主板：兼容CPU处理器，不少于1个PCIe x16、2个PCIe x1、1个PCI、2个M.2插槽，整机原生≥10个USB接口（不接受PCIE插槽转接），前置要求至少6个USB 3.2或以上。</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 xml:space="preserve">▲3.内存：≥32G </w:t>
            </w:r>
            <w:r>
              <w:rPr>
                <w:rFonts w:hint="eastAsia" w:ascii="宋体" w:hAnsi="宋体" w:eastAsia="宋体" w:cs="宋体"/>
                <w:color w:val="auto"/>
                <w:sz w:val="21"/>
                <w:szCs w:val="21"/>
                <w:highlight w:val="none"/>
              </w:rPr>
              <w:t>DDR5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5600</w:t>
            </w:r>
            <w:r>
              <w:rPr>
                <w:rFonts w:hint="eastAsia" w:ascii="宋体" w:hAnsi="宋体" w:eastAsia="宋体" w:cs="宋体"/>
                <w:b w:val="0"/>
                <w:bCs w:val="0"/>
                <w:i w:val="0"/>
                <w:iCs w:val="0"/>
                <w:caps w:val="0"/>
                <w:color w:val="auto"/>
                <w:spacing w:val="0"/>
                <w:sz w:val="21"/>
                <w:szCs w:val="21"/>
                <w:highlight w:val="none"/>
                <w:shd w:val="clear"/>
              </w:rPr>
              <w:t>MHz</w:t>
            </w:r>
            <w:r>
              <w:rPr>
                <w:rFonts w:hint="eastAsia" w:ascii="宋体" w:hAnsi="宋体" w:eastAsia="宋体" w:cs="宋体"/>
                <w:color w:val="auto"/>
                <w:sz w:val="21"/>
                <w:szCs w:val="21"/>
                <w:highlight w:val="none"/>
                <w:lang w:val="en-US" w:eastAsia="zh-CN"/>
              </w:rPr>
              <w:t>， ≥2个DIMM插槽，最大支持64G。</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4.硬盘：≥512G SSD，配备原厂硬盘保护架。</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▲5.显卡：为确保图形处理能力需求，本次配置≥6G或以上显卡。</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6.电源：要求电源≥750W节能电源，电源可在90V—265V范围内工作，直流工作电压可承受偏离标称值±6%。</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7.其他配件：配套键盘鼠标，键盘有五功能热键，支持键盘一键关机。</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8.主机箱：机箱体积≥15L，顶置提手和资产管理标签，顶置开关、重启键，顶置 3个运行状态指示灯，为防止灰尘堆积，主机通风口处内置可拆卸清洗防尘罩，以延长部件寿命。</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9.扩展：不占用扩展插槽或增加外设，可扩展第二串口和并口。</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10、显示器：≥23.8英寸宽屏液晶显示器，支持防蓝光护眼技术。</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二、软件保护卡功能要求：</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1.网络同传：基于Windows操作环境下数据即时压缩克隆，提升网络克隆的速度，减少克隆时间。</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2.多点可逆还原：采用树状多点还原技术，支持建立 254个还原点，每个还原点皆各自独立，可同时支持5个排程策略，“每次启动”“每周”“每月”等。按照设定的时间自动进入预设的还原点，如每周一进入还原点1 ，每周二进入还原点2。</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3.UNDI传输方式：可实现在Windows操作系统上进行网络复制（在Windows上拷贝Windows），传输速度：950MB--1.2GB/Min。</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4.差异增量拷贝功能、资产实时监控管理功能，控制台界面中可列出客户端的进程信息，主机直接关闭客户端正在进行的可疑应用程序。</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5.禁止使用USB：可禁用USB存储设备和光驱设备，禁用USB设备对USB鼠标键盘不会影响。</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6.共享分区的保护功能：可设置共享分区定时每次，每天，每月，每周，还原，无需手动还原。</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7.文件目录映射：可把保护分区下的一个目录转移到非保护分区，重启后这个目录将不被还原，可将每次还原的系统的资料夹转移到不还原的磁盘上。</w:t>
            </w:r>
          </w:p>
          <w:p w14:paraId="327CDCE8">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8.支持网络修复功能，对于网络硬件配置、网络连接配置、DHCP服务、DNS服务、HOSTS文件、LSP协议、IE代理、环境变量等方面进行全面检测。</w:t>
            </w:r>
          </w:p>
          <w:p w14:paraId="7983131A">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9.支持流量监测功能。</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10.故障智能定位功能：可侦测客户端机器的硬盘读写速度及丢包率可以定位客户端机器网络环境异常，硬盘故障，方便用户及时定位故障等。</w:t>
            </w:r>
          </w:p>
          <w:p w14:paraId="5348807B">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11.模板的管理支持模板的导入、导出、克隆、编辑、扩容等功能；可以对模板属性进行配置保护系统类型和还原方式等。</w:t>
            </w:r>
          </w:p>
          <w:p w14:paraId="30D3CD1B">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三、教师端教学软件要求：</w:t>
            </w:r>
          </w:p>
          <w:p w14:paraId="2AD7A6ED">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1.软件应支持导入*.dwg、*.igs、*.bmp、*.png、*.stl等格式文件，支持输出*.amf、*.igs、*.stp、*.dwg、*.obj、*.stl、*.tif等格式文件。</w:t>
            </w:r>
          </w:p>
          <w:p w14:paraId="5932F0A9">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2.软件应具备基本实体创建、草图绘制、空间曲线描绘等基础实体创建功能。</w:t>
            </w:r>
          </w:p>
          <w:p w14:paraId="6A82492B">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3.软件应具备拉伸、旋转、扫掠、放样、圆角、拔模、抽壳、扭曲、实体分割等基本实体编辑功能。</w:t>
            </w:r>
          </w:p>
          <w:p w14:paraId="5125D56E">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4.软件应支持将*.jpg、*.png、*.bmp、*.tif等格式图片转换成三维立体的浮雕造型。</w:t>
            </w:r>
          </w:p>
          <w:p w14:paraId="358061FE">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val="en-US" w:eastAsia="zh-CN"/>
              </w:rPr>
              <w:t>5.软件应具备加运算、减运算、交运算的组合编辑功能。</w:t>
            </w:r>
          </w:p>
          <w:p w14:paraId="2205F40A">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6.软件须支持对stl、obj等格式的三维模型进行雕刻。具有扭转、平滑、捏塑、皱褶等创作方式。</w:t>
            </w:r>
          </w:p>
          <w:p w14:paraId="64FA2A64">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val="en-US" w:eastAsia="zh-CN"/>
              </w:rPr>
              <w:t>7.</w:t>
            </w:r>
            <w:r>
              <w:rPr>
                <w:rFonts w:hint="eastAsia" w:ascii="宋体" w:hAnsi="宋体" w:eastAsia="宋体" w:cs="宋体"/>
                <w:color w:val="000000"/>
                <w:sz w:val="21"/>
                <w:szCs w:val="21"/>
                <w:highlight w:val="none"/>
              </w:rPr>
              <w:t>软件</w:t>
            </w:r>
            <w:r>
              <w:rPr>
                <w:rFonts w:hint="eastAsia" w:ascii="宋体" w:hAnsi="宋体" w:eastAsia="宋体" w:cs="宋体"/>
                <w:color w:val="000000"/>
                <w:sz w:val="21"/>
                <w:szCs w:val="21"/>
                <w:highlight w:val="none"/>
                <w:lang w:val="en-US" w:eastAsia="zh-CN"/>
              </w:rPr>
              <w:t>应</w:t>
            </w:r>
            <w:r>
              <w:rPr>
                <w:rFonts w:hint="eastAsia" w:ascii="宋体" w:hAnsi="宋体" w:eastAsia="宋体" w:cs="宋体"/>
                <w:color w:val="000000"/>
                <w:sz w:val="21"/>
                <w:szCs w:val="21"/>
                <w:highlight w:val="none"/>
              </w:rPr>
              <w:t>内置不少于8家硬件厂商模型库，电子件模型数量</w:t>
            </w:r>
            <w:r>
              <w:rPr>
                <w:rFonts w:hint="eastAsia" w:ascii="宋体" w:hAnsi="宋体" w:eastAsia="宋体" w:cs="宋体"/>
                <w:color w:val="000000"/>
                <w:sz w:val="21"/>
                <w:szCs w:val="21"/>
                <w:highlight w:val="none"/>
                <w:lang w:val="en-US" w:eastAsia="zh-CN"/>
              </w:rPr>
              <w:t>应</w:t>
            </w:r>
            <w:r>
              <w:rPr>
                <w:rFonts w:hint="eastAsia" w:ascii="宋体" w:hAnsi="宋体" w:eastAsia="宋体" w:cs="宋体"/>
                <w:color w:val="000000"/>
                <w:sz w:val="21"/>
                <w:szCs w:val="21"/>
                <w:highlight w:val="none"/>
              </w:rPr>
              <w:t>不少于400个</w:t>
            </w:r>
            <w:r>
              <w:rPr>
                <w:rFonts w:hint="eastAsia" w:ascii="宋体" w:hAnsi="宋体" w:eastAsia="宋体" w:cs="宋体"/>
                <w:color w:val="auto"/>
                <w:sz w:val="21"/>
                <w:szCs w:val="21"/>
                <w:highlight w:val="none"/>
                <w:lang w:val="en-US" w:eastAsia="zh-CN"/>
              </w:rPr>
              <w:t>。</w:t>
            </w:r>
          </w:p>
          <w:p w14:paraId="265B8C39">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8.可以通过选择实体的点、线、面手动勾勒出三视图。按照标准视图布局成主视图、俯视图、左视图、轴测图4个视窗。</w:t>
            </w:r>
          </w:p>
          <w:p w14:paraId="694482A2">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9.软件在三视图教学过程中，应具备</w:t>
            </w:r>
            <w:r>
              <w:rPr>
                <w:rFonts w:hint="eastAsia" w:ascii="宋体" w:hAnsi="宋体" w:eastAsia="宋体" w:cs="宋体"/>
                <w:sz w:val="21"/>
                <w:szCs w:val="21"/>
                <w:highlight w:val="none"/>
                <w:lang w:val="en-US" w:eastAsia="zh-CN"/>
              </w:rPr>
              <w:t>剖面视图功能</w:t>
            </w:r>
            <w:r>
              <w:rPr>
                <w:rFonts w:hint="eastAsia" w:ascii="宋体" w:hAnsi="宋体" w:eastAsia="宋体" w:cs="宋体"/>
                <w:color w:val="auto"/>
                <w:sz w:val="21"/>
                <w:szCs w:val="21"/>
                <w:highlight w:val="none"/>
                <w:lang w:val="en-US" w:eastAsia="zh-CN"/>
              </w:rPr>
              <w:t>，剖切结果可以在主视图、俯视图、左视图以及轴测图上同时显示，剖切面形式应包含线框平面剖切面、单一剖切面、三个相交的剖切面在内的三种剖切面形式。</w:t>
            </w:r>
          </w:p>
          <w:p w14:paraId="5A1B752A">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10.软件需要支持从三维模型生成二维工程图。包括装配图和工程图。支持标注、BOM表生成和测量等功能，并能够将工程图转换为主流的DWG文件格式。</w:t>
            </w:r>
          </w:p>
          <w:p w14:paraId="6060241E">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11.软件应可直接对接云资源，无需登录网页即可获取云平台上的课件、视频、3D模型等学习资源；可以在软件上直接管理作品、接收和好友互动的消息通知。</w:t>
            </w:r>
          </w:p>
          <w:p w14:paraId="4CC6D500">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12.软件需要内置不少于4家的国内外3D打印设备厂商切片软件的接口，提供“3D打印”功能按钮。</w:t>
            </w:r>
          </w:p>
          <w:p w14:paraId="3A3FCB40">
            <w:pPr>
              <w:keepNext w:val="0"/>
              <w:keepLines w:val="0"/>
              <w:pageBreakBefore w:val="0"/>
              <w:widowControl/>
              <w:numPr>
                <w:ilvl w:val="0"/>
                <w:numId w:val="0"/>
              </w:numPr>
              <w:kinsoku/>
              <w:wordWrap/>
              <w:overflowPunct/>
              <w:topLinePunct w:val="0"/>
              <w:bidi w:val="0"/>
              <w:adjustRightInd/>
              <w:spacing w:line="400" w:lineRule="exact"/>
              <w:ind w:left="0" w:leftChars="0" w:firstLine="0" w:firstLine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13.软件应具备杆状扫掠功能，须支持设置杆状体连接、圆角半径。</w:t>
            </w:r>
          </w:p>
          <w:p w14:paraId="7AE48A40">
            <w:pPr>
              <w:keepNext w:val="0"/>
              <w:keepLines w:val="0"/>
              <w:pageBreakBefore w:val="0"/>
              <w:widowControl/>
              <w:numPr>
                <w:ilvl w:val="0"/>
                <w:numId w:val="0"/>
              </w:numPr>
              <w:kinsoku/>
              <w:wordWrap/>
              <w:overflowPunct/>
              <w:topLinePunct w:val="0"/>
              <w:bidi w:val="0"/>
              <w:adjustRightInd/>
              <w:spacing w:line="400" w:lineRule="exact"/>
              <w:ind w:left="0" w:leftChars="0" w:firstLine="0" w:firstLine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四、商务认证要求：</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1、提供产品通过箱体封闭试验，将样品置于50°C的密封箱体中，开机运行2个小时，实验样品可以正常工作认证；</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2、提供产品通过防火试验，达到外壳V-0，印制板V-0级别认证；</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sz w:val="21"/>
                <w:szCs w:val="21"/>
                <w:highlight w:val="none"/>
                <w:lang w:val="en-US" w:eastAsia="zh-CN"/>
              </w:rPr>
              <w:t>3</w:t>
            </w:r>
            <w:r>
              <w:rPr>
                <w:rFonts w:hint="eastAsia" w:ascii="宋体" w:hAnsi="宋体" w:eastAsia="宋体" w:cs="宋体"/>
                <w:color w:val="auto"/>
                <w:sz w:val="21"/>
                <w:szCs w:val="21"/>
                <w:highlight w:val="none"/>
                <w:lang w:val="en-US" w:eastAsia="zh-CN"/>
              </w:rPr>
              <w:t>、提供产品通过</w:t>
            </w:r>
            <w:r>
              <w:rPr>
                <w:rFonts w:hint="eastAsia" w:ascii="宋体" w:hAnsi="宋体" w:eastAsia="宋体" w:cs="宋体"/>
                <w:i w:val="0"/>
                <w:iCs w:val="0"/>
                <w:caps w:val="0"/>
                <w:color w:val="0F1115"/>
                <w:spacing w:val="0"/>
                <w:sz w:val="21"/>
                <w:szCs w:val="21"/>
                <w:highlight w:val="none"/>
                <w:shd w:val="clear" w:fill="FFFFFF"/>
              </w:rPr>
              <w:t>GB/T 9254.1等国家标准中的B级限值</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4、提供产品投标通过有关人体辐射的电磁场测量方法，低频磁场辐射值不高于0.62%认证；</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以上认证供货时出具有资质的检测机构出具的检验证书复印件，并加盖供应商公章；</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五、质保：原厂3年无条件保修（节假日不休），终身400或800呼叫中心热线7*24小时无条件技术支持服务，保修服务可以通过机器序列号与原厂服务中心确认；</w:t>
            </w:r>
          </w:p>
        </w:tc>
      </w:tr>
      <w:tr w14:paraId="0964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004226FD">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017" w:type="dxa"/>
            <w:tcBorders>
              <w:top w:val="single" w:color="auto" w:sz="4" w:space="0"/>
            </w:tcBorders>
            <w:shd w:val="clear" w:color="auto" w:fill="auto"/>
            <w:vAlign w:val="center"/>
          </w:tcPr>
          <w:p w14:paraId="18B9864E">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音箱</w:t>
            </w:r>
          </w:p>
        </w:tc>
        <w:tc>
          <w:tcPr>
            <w:tcW w:w="633" w:type="dxa"/>
            <w:gridSpan w:val="2"/>
            <w:tcBorders>
              <w:top w:val="single" w:color="auto" w:sz="4" w:space="0"/>
            </w:tcBorders>
            <w:shd w:val="clear" w:color="auto" w:fill="FFFFFF"/>
            <w:vAlign w:val="center"/>
          </w:tcPr>
          <w:p w14:paraId="48BC14F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631" w:type="dxa"/>
            <w:tcBorders>
              <w:top w:val="single" w:color="auto" w:sz="4" w:space="0"/>
            </w:tcBorders>
            <w:shd w:val="clear" w:color="auto" w:fill="auto"/>
            <w:vAlign w:val="center"/>
          </w:tcPr>
          <w:p w14:paraId="3B477D4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套</w:t>
            </w:r>
          </w:p>
        </w:tc>
        <w:tc>
          <w:tcPr>
            <w:tcW w:w="7344" w:type="dxa"/>
            <w:tcBorders>
              <w:top w:val="single" w:color="auto" w:sz="4" w:space="0"/>
            </w:tcBorders>
            <w:shd w:val="clear" w:color="auto" w:fill="auto"/>
            <w:vAlign w:val="center"/>
          </w:tcPr>
          <w:p w14:paraId="4600D3E0">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bidi="ar"/>
              </w:rPr>
              <w:t>采用功放与有源音箱一体化设计，内置麦克风无线接收模块，帮助教师实现多媒体扩音以及本地扩声功能。</w:t>
            </w:r>
          </w:p>
          <w:p w14:paraId="552F5479">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2.输出额定功率≥ 2x15W。</w:t>
            </w:r>
          </w:p>
          <w:p w14:paraId="7A0B659C">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3.音箱灵敏度≥85dB，1W/1M。</w:t>
            </w:r>
          </w:p>
          <w:p w14:paraId="10C26BB4">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4.信噪比≥80dB@额定功率、A计权。</w:t>
            </w:r>
          </w:p>
          <w:p w14:paraId="3EEE5278">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5.全频喇叭单元尺寸≥5英寸。</w:t>
            </w:r>
          </w:p>
          <w:p w14:paraId="582768A9">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6.THD+N≤1%</w:t>
            </w:r>
            <w:r>
              <w:rPr>
                <w:rFonts w:hint="eastAsia" w:ascii="宋体" w:hAnsi="宋体" w:eastAsia="宋体" w:cs="宋体"/>
                <w:color w:val="auto"/>
                <w:kern w:val="0"/>
                <w:sz w:val="21"/>
                <w:szCs w:val="21"/>
                <w:highlight w:val="none"/>
                <w:lang w:eastAsia="zh-CN" w:bidi="ar"/>
              </w:rPr>
              <w:t>。</w:t>
            </w:r>
          </w:p>
          <w:p w14:paraId="6AEDD9FC">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7.声频响110Hz-16kHz。</w:t>
            </w:r>
          </w:p>
          <w:p w14:paraId="781692BD">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8.距离音箱10米处声压级≥75dB。</w:t>
            </w:r>
          </w:p>
          <w:p w14:paraId="24C53982">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9.具备≥1路电源开关、1路LINE IN、1路USB 接口。USB接口可外接U盘设备对音箱固件进行升级。</w:t>
            </w:r>
          </w:p>
          <w:p w14:paraId="32A880BA">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10.支持无线麦克风扩音接收，采用Wi-Fi射频2.4GHz与 5GHz双频段传输，有效避免环境中运营商U段（700MHz）的信号干扰。</w:t>
            </w:r>
          </w:p>
          <w:p w14:paraId="2347D178">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11.采用红外对码方式，避免连接到其他教室音箱。可快速完成与教学扩声麦克风对码，无需</w:t>
            </w:r>
            <w:r>
              <w:rPr>
                <w:rFonts w:hint="eastAsia" w:ascii="宋体" w:hAnsi="宋体" w:eastAsia="宋体" w:cs="宋体"/>
                <w:color w:val="auto"/>
                <w:kern w:val="0"/>
                <w:sz w:val="21"/>
                <w:szCs w:val="21"/>
                <w:highlight w:val="none"/>
                <w:lang w:eastAsia="zh-CN" w:bidi="ar"/>
              </w:rPr>
              <w:t>烦琐</w:t>
            </w:r>
            <w:r>
              <w:rPr>
                <w:rFonts w:hint="eastAsia" w:ascii="宋体" w:hAnsi="宋体" w:eastAsia="宋体" w:cs="宋体"/>
                <w:color w:val="auto"/>
                <w:kern w:val="0"/>
                <w:sz w:val="21"/>
                <w:szCs w:val="21"/>
                <w:highlight w:val="none"/>
                <w:lang w:bidi="ar"/>
              </w:rPr>
              <w:t>操作。</w:t>
            </w:r>
          </w:p>
          <w:p w14:paraId="654B82E0">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12.配置独立音频数字信号处理芯片，支持啸叫抑制功能。</w:t>
            </w:r>
          </w:p>
          <w:p w14:paraId="5E2DCA1D">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13.支持蓝牙无线接收，可分享移动设备上的音频。支持密码模式，防止学生连接。</w:t>
            </w:r>
          </w:p>
          <w:p w14:paraId="7AB67EE2">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14.支持安卓手机通过蓝牙无线连接音箱，实现控制有源音箱的音量、设置蓝牙名称、设置蓝牙密码等功能，方便教师对音箱的管控。</w:t>
            </w:r>
          </w:p>
          <w:p w14:paraId="66BEB107">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15.支持交互智能平板显示设备通过蓝牙无线连接音箱，实现控制有源音箱的音量的功能。</w:t>
            </w:r>
          </w:p>
          <w:p w14:paraId="628B456C">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16.主音箱与副音箱采用有线连接，音箱采用木质材质，保证声音还原度。</w:t>
            </w:r>
          </w:p>
          <w:p w14:paraId="51038151">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无线麦克风：</w:t>
            </w:r>
          </w:p>
          <w:p w14:paraId="169A2BEF">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1.无线麦克风集音频发射处理器、天线、电池、拾音麦克风于一体，配合一体化有源音箱，无需任何外接辅助设备即可实现本地扩声功能。</w:t>
            </w:r>
          </w:p>
          <w:p w14:paraId="24F2D31A">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2.采样率≥48KHz，16bit；扩音增益≥15dB；声频响100Hz-16kHz，底噪≤100uVrms，声信噪比≥60dB；配合一体化有源音箱，扩音延时≤35ms。</w:t>
            </w:r>
          </w:p>
          <w:p w14:paraId="56B63EE5">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▲3.用Wi-Fi射频频段传输，有效避免环境中运营商U段（700MHz）信号干扰。</w:t>
            </w:r>
          </w:p>
          <w:p w14:paraId="4575C04F">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▲4.支持2.4GHz与5G双频段工作，信道数量≥26个。</w:t>
            </w:r>
          </w:p>
          <w:p w14:paraId="3B348F81">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5.电续航时间≥5小时，满电状态可满足一天内7节课（45分钟/一节课）的高频授课，充电10分钟满足一节课（45分钟/一节课）授课时间。</w:t>
            </w:r>
          </w:p>
          <w:p w14:paraId="3A33F185">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6.采用红外对码方式连接，避免连接到其他教室音箱。可在5S内快速完成与教学扩声音箱对码，无需烦琐操作。</w:t>
            </w:r>
          </w:p>
          <w:p w14:paraId="78FCC9C7">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7.支持两个无线麦克风同时配对一个一体化有源音箱使用，实现两个麦克风混音输出进行扩音。</w:t>
            </w:r>
          </w:p>
          <w:p w14:paraId="36122BF7">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▲8.具备Type-c外置麦克风接口，与充电接口复用。可搭配Type-C接口的麦克风进行使用，比如头戴式、挂耳式的外置麦克风。</w:t>
            </w:r>
          </w:p>
          <w:p w14:paraId="6DBD7EC2">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9.空旷无干扰的环境，无线传输有效距离≥15 米。</w:t>
            </w:r>
          </w:p>
          <w:p w14:paraId="078D3DAC">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10.一体化领夹设计，无需额外配件便可实现麦克风的领夹式使用。</w:t>
            </w:r>
          </w:p>
          <w:p w14:paraId="2FAA981E">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11.外壳防火等级≥V1。</w:t>
            </w:r>
          </w:p>
        </w:tc>
      </w:tr>
      <w:tr w14:paraId="6B8A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119B0DF0">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017" w:type="dxa"/>
            <w:tcBorders>
              <w:top w:val="single" w:color="auto" w:sz="4" w:space="0"/>
            </w:tcBorders>
            <w:shd w:val="clear" w:color="auto" w:fill="auto"/>
            <w:vAlign w:val="center"/>
          </w:tcPr>
          <w:p w14:paraId="57DB2A4D">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48口交换机</w:t>
            </w:r>
          </w:p>
          <w:p w14:paraId="0F62BEFD">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可网管</w:t>
            </w:r>
            <w:r>
              <w:rPr>
                <w:rFonts w:hint="eastAsia" w:ascii="宋体" w:hAnsi="宋体" w:eastAsia="宋体" w:cs="宋体"/>
                <w:color w:val="auto"/>
                <w:sz w:val="21"/>
                <w:szCs w:val="21"/>
                <w:highlight w:val="none"/>
                <w:lang w:eastAsia="zh-CN"/>
              </w:rPr>
              <w:t>）</w:t>
            </w:r>
          </w:p>
        </w:tc>
        <w:tc>
          <w:tcPr>
            <w:tcW w:w="633" w:type="dxa"/>
            <w:gridSpan w:val="2"/>
            <w:tcBorders>
              <w:top w:val="single" w:color="auto" w:sz="4" w:space="0"/>
            </w:tcBorders>
            <w:shd w:val="clear" w:color="auto" w:fill="FFFFFF"/>
            <w:vAlign w:val="center"/>
          </w:tcPr>
          <w:p w14:paraId="05A026F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631" w:type="dxa"/>
            <w:tcBorders>
              <w:top w:val="single" w:color="auto" w:sz="4" w:space="0"/>
            </w:tcBorders>
            <w:shd w:val="clear" w:color="auto" w:fill="auto"/>
            <w:vAlign w:val="center"/>
          </w:tcPr>
          <w:p w14:paraId="6DB38B8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个</w:t>
            </w:r>
          </w:p>
        </w:tc>
        <w:tc>
          <w:tcPr>
            <w:tcW w:w="7344" w:type="dxa"/>
            <w:tcBorders>
              <w:top w:val="single" w:color="auto" w:sz="4" w:space="0"/>
            </w:tcBorders>
            <w:shd w:val="clear" w:color="auto" w:fill="auto"/>
            <w:vAlign w:val="center"/>
          </w:tcPr>
          <w:p w14:paraId="4CBF5F3B">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1.交换容量≥396Gbps，包转发率≥144Mpps</w:t>
            </w:r>
            <w:r>
              <w:rPr>
                <w:rFonts w:hint="eastAsia" w:ascii="宋体" w:hAnsi="宋体" w:eastAsia="宋体" w:cs="宋体"/>
                <w:color w:val="auto"/>
                <w:sz w:val="21"/>
                <w:szCs w:val="21"/>
                <w:highlight w:val="none"/>
                <w:lang w:eastAsia="zh-CN"/>
              </w:rPr>
              <w:t>。</w:t>
            </w:r>
          </w:p>
          <w:p w14:paraId="096D44F8">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2.端口类型≥48个10/100/1000Base-T电口，≥4个1000Base-X SFP光口</w:t>
            </w:r>
            <w:r>
              <w:rPr>
                <w:rFonts w:hint="eastAsia" w:ascii="宋体" w:hAnsi="宋体" w:eastAsia="宋体" w:cs="宋体"/>
                <w:color w:val="auto"/>
                <w:sz w:val="21"/>
                <w:szCs w:val="21"/>
                <w:highlight w:val="none"/>
                <w:lang w:eastAsia="zh-CN"/>
              </w:rPr>
              <w:t>。</w:t>
            </w:r>
          </w:p>
          <w:p w14:paraId="254F0EA8">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3.支持组播VLAN，可实现同一组数据在不同用户VLAN间的复制和转发</w:t>
            </w:r>
            <w:r>
              <w:rPr>
                <w:rFonts w:hint="eastAsia" w:ascii="宋体" w:hAnsi="宋体" w:eastAsia="宋体" w:cs="宋体"/>
                <w:color w:val="auto"/>
                <w:sz w:val="21"/>
                <w:szCs w:val="21"/>
                <w:highlight w:val="none"/>
                <w:lang w:eastAsia="zh-CN"/>
              </w:rPr>
              <w:t>。</w:t>
            </w:r>
          </w:p>
          <w:p w14:paraId="1D85891E">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4.支持端口自环检测，可防止数据环路引起广播风暴</w:t>
            </w:r>
            <w:r>
              <w:rPr>
                <w:rFonts w:hint="eastAsia" w:ascii="宋体" w:hAnsi="宋体" w:eastAsia="宋体" w:cs="宋体"/>
                <w:color w:val="auto"/>
                <w:sz w:val="21"/>
                <w:szCs w:val="21"/>
                <w:highlight w:val="none"/>
                <w:lang w:eastAsia="zh-CN"/>
              </w:rPr>
              <w:t>。</w:t>
            </w:r>
          </w:p>
          <w:p w14:paraId="3E04D17F">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5.支持端口限速以及流限速功能，防止恶意侵占网络带宽，提供多种精细化管理手段</w:t>
            </w:r>
            <w:r>
              <w:rPr>
                <w:rFonts w:hint="eastAsia" w:ascii="宋体" w:hAnsi="宋体" w:eastAsia="宋体" w:cs="宋体"/>
                <w:color w:val="auto"/>
                <w:sz w:val="21"/>
                <w:szCs w:val="21"/>
                <w:highlight w:val="none"/>
                <w:lang w:eastAsia="zh-CN"/>
              </w:rPr>
              <w:t>。</w:t>
            </w:r>
          </w:p>
          <w:p w14:paraId="6A960EE6">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6.支持SNMPV2/3、TELNET、SSH等多种管理方式</w:t>
            </w:r>
            <w:r>
              <w:rPr>
                <w:rFonts w:hint="eastAsia" w:ascii="宋体" w:hAnsi="宋体" w:eastAsia="宋体" w:cs="宋体"/>
                <w:color w:val="auto"/>
                <w:sz w:val="21"/>
                <w:szCs w:val="21"/>
                <w:highlight w:val="none"/>
                <w:lang w:eastAsia="zh-CN"/>
              </w:rPr>
              <w:t>。</w:t>
            </w:r>
          </w:p>
          <w:p w14:paraId="6D5D2B96">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7.支持防私接DHCP Snooping，避免上网终端从非法DHCP服务器分配IP地址，保障网络安全。</w:t>
            </w:r>
          </w:p>
          <w:p w14:paraId="72066103">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8.支持802.1X和MAC认证，支持客户端软件版本检测、Guest VLAN等功能</w:t>
            </w:r>
            <w:r>
              <w:rPr>
                <w:rFonts w:hint="eastAsia" w:ascii="宋体" w:hAnsi="宋体" w:eastAsia="宋体" w:cs="宋体"/>
                <w:color w:val="auto"/>
                <w:sz w:val="21"/>
                <w:szCs w:val="21"/>
                <w:highlight w:val="none"/>
                <w:lang w:eastAsia="zh-CN"/>
              </w:rPr>
              <w:t>。</w:t>
            </w:r>
          </w:p>
          <w:p w14:paraId="22A94FD2">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9.可console管理，支持命令行调试</w:t>
            </w:r>
            <w:r>
              <w:rPr>
                <w:rFonts w:hint="eastAsia" w:ascii="宋体" w:hAnsi="宋体" w:eastAsia="宋体" w:cs="宋体"/>
                <w:color w:val="auto"/>
                <w:sz w:val="21"/>
                <w:szCs w:val="21"/>
                <w:highlight w:val="none"/>
                <w:lang w:eastAsia="zh-CN"/>
              </w:rPr>
              <w:t>。</w:t>
            </w:r>
          </w:p>
          <w:p w14:paraId="593894C7">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10.支持sflow流量统计分析功能。</w:t>
            </w:r>
          </w:p>
          <w:p w14:paraId="54951ED7">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11.支持广播风暴抑制</w:t>
            </w:r>
            <w:r>
              <w:rPr>
                <w:rFonts w:hint="eastAsia" w:ascii="宋体" w:hAnsi="宋体" w:eastAsia="宋体" w:cs="宋体"/>
                <w:color w:val="auto"/>
                <w:sz w:val="21"/>
                <w:szCs w:val="21"/>
                <w:highlight w:val="none"/>
                <w:lang w:eastAsia="zh-CN"/>
              </w:rPr>
              <w:t>。</w:t>
            </w:r>
          </w:p>
          <w:p w14:paraId="43597035">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12.支持STP/RSTP/MSTP多种生成树协议，提高容错能力，提升网络稳定性</w:t>
            </w:r>
            <w:r>
              <w:rPr>
                <w:rFonts w:hint="eastAsia" w:ascii="宋体" w:hAnsi="宋体" w:eastAsia="宋体" w:cs="宋体"/>
                <w:color w:val="auto"/>
                <w:sz w:val="21"/>
                <w:szCs w:val="21"/>
                <w:highlight w:val="none"/>
                <w:lang w:eastAsia="zh-CN"/>
              </w:rPr>
              <w:t>。</w:t>
            </w:r>
          </w:p>
          <w:p w14:paraId="0F021138">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13.支持丰富的IPV6业务特性及多种IPv6管理手段</w:t>
            </w:r>
            <w:r>
              <w:rPr>
                <w:rFonts w:hint="eastAsia" w:ascii="宋体" w:hAnsi="宋体" w:eastAsia="宋体" w:cs="宋体"/>
                <w:color w:val="auto"/>
                <w:sz w:val="21"/>
                <w:szCs w:val="21"/>
                <w:highlight w:val="none"/>
                <w:lang w:eastAsia="zh-CN"/>
              </w:rPr>
              <w:t>。</w:t>
            </w:r>
          </w:p>
        </w:tc>
      </w:tr>
      <w:tr w14:paraId="6FEA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6FA66C65">
            <w:pPr>
              <w:keepNext w:val="0"/>
              <w:keepLines w:val="0"/>
              <w:pageBreakBefore w:val="0"/>
              <w:kinsoku/>
              <w:wordWrap/>
              <w:overflowPunct/>
              <w:topLinePunct w:val="0"/>
              <w:autoSpaceDE/>
              <w:autoSpaceDN/>
              <w:bidi w:val="0"/>
              <w:adjustRightInd/>
              <w:spacing w:line="400" w:lineRule="exact"/>
              <w:jc w:val="center"/>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snapToGrid/>
                <w:color w:val="auto"/>
                <w:spacing w:val="0"/>
                <w:kern w:val="2"/>
                <w:sz w:val="21"/>
                <w:szCs w:val="21"/>
                <w:highlight w:val="none"/>
                <w:lang w:val="en-US" w:eastAsia="zh-CN" w:bidi="ar-SA"/>
              </w:rPr>
              <w:t>4</w:t>
            </w:r>
          </w:p>
        </w:tc>
        <w:tc>
          <w:tcPr>
            <w:tcW w:w="1017" w:type="dxa"/>
            <w:tcBorders>
              <w:top w:val="single" w:color="auto" w:sz="4" w:space="0"/>
            </w:tcBorders>
            <w:shd w:val="clear" w:color="auto" w:fill="auto"/>
            <w:vAlign w:val="center"/>
          </w:tcPr>
          <w:p w14:paraId="188C8AAA">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rPr>
              <w:t>8口交换机</w:t>
            </w:r>
          </w:p>
        </w:tc>
        <w:tc>
          <w:tcPr>
            <w:tcW w:w="633" w:type="dxa"/>
            <w:gridSpan w:val="2"/>
            <w:tcBorders>
              <w:top w:val="single" w:color="auto" w:sz="4" w:space="0"/>
            </w:tcBorders>
            <w:shd w:val="clear" w:color="auto" w:fill="FFFFFF"/>
            <w:vAlign w:val="center"/>
          </w:tcPr>
          <w:p w14:paraId="798F3C3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631" w:type="dxa"/>
            <w:tcBorders>
              <w:top w:val="single" w:color="auto" w:sz="4" w:space="0"/>
            </w:tcBorders>
            <w:shd w:val="clear" w:color="auto" w:fill="auto"/>
            <w:vAlign w:val="center"/>
          </w:tcPr>
          <w:p w14:paraId="40DC5A4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7344" w:type="dxa"/>
            <w:tcBorders>
              <w:top w:val="single" w:color="auto" w:sz="4" w:space="0"/>
            </w:tcBorders>
            <w:shd w:val="clear" w:color="auto" w:fill="auto"/>
            <w:vAlign w:val="top"/>
          </w:tcPr>
          <w:p w14:paraId="658CF03E">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交换容量≥20Gbps，包转发率≥14.9Mpps；</w:t>
            </w:r>
          </w:p>
          <w:p w14:paraId="38392067">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端口类型≥8个10/100/1000Base-T电口，2个1000Base-X SFP端口（uplink口）；</w:t>
            </w:r>
          </w:p>
          <w:p w14:paraId="6DB83351">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MAC地址容量≥4K，包缓存≥2Mbit；</w:t>
            </w:r>
          </w:p>
          <w:p w14:paraId="7BC74343">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采用100V～240V AC电源供电，电源更易适配；</w:t>
            </w:r>
          </w:p>
          <w:p w14:paraId="44B74F92">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无风扇设计，自然散热。</w:t>
            </w:r>
          </w:p>
        </w:tc>
      </w:tr>
      <w:tr w14:paraId="00D3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7CEEA2AB">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017" w:type="dxa"/>
            <w:tcBorders>
              <w:top w:val="single" w:color="auto" w:sz="4" w:space="0"/>
            </w:tcBorders>
            <w:shd w:val="clear" w:color="auto" w:fill="auto"/>
            <w:vAlign w:val="center"/>
          </w:tcPr>
          <w:p w14:paraId="44C69713">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路由器</w:t>
            </w:r>
          </w:p>
        </w:tc>
        <w:tc>
          <w:tcPr>
            <w:tcW w:w="633" w:type="dxa"/>
            <w:gridSpan w:val="2"/>
            <w:tcBorders>
              <w:top w:val="single" w:color="auto" w:sz="4" w:space="0"/>
            </w:tcBorders>
            <w:shd w:val="clear" w:color="auto" w:fill="FFFFFF"/>
            <w:vAlign w:val="center"/>
          </w:tcPr>
          <w:p w14:paraId="4766DA8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631" w:type="dxa"/>
            <w:tcBorders>
              <w:top w:val="single" w:color="auto" w:sz="4" w:space="0"/>
            </w:tcBorders>
            <w:shd w:val="clear" w:color="auto" w:fill="auto"/>
            <w:vAlign w:val="center"/>
          </w:tcPr>
          <w:p w14:paraId="0E38E44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7344" w:type="dxa"/>
            <w:tcBorders>
              <w:top w:val="single" w:color="auto" w:sz="4" w:space="0"/>
            </w:tcBorders>
            <w:shd w:val="clear" w:color="auto" w:fill="auto"/>
            <w:vAlign w:val="center"/>
          </w:tcPr>
          <w:p w14:paraId="573305FD">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eastAsia="zh-CN" w:bidi="ar"/>
              </w:rPr>
              <w:t>设备支持WAN口≥2×GE，LAN口≥8×GE，LAN/WAN≥2×GE。</w:t>
            </w:r>
          </w:p>
          <w:p w14:paraId="18897767">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2.带机量≥300。</w:t>
            </w:r>
          </w:p>
          <w:p w14:paraId="3A1DB0EE">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3.适用带宽≥1Gbps，整机功耗≤12W。</w:t>
            </w:r>
          </w:p>
          <w:p w14:paraId="42E9FC55">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4</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eastAsia="zh-CN" w:bidi="ar"/>
              </w:rPr>
              <w:t>内存≥256MB。</w:t>
            </w:r>
          </w:p>
          <w:p w14:paraId="291254FB">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5</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eastAsia="zh-CN" w:bidi="ar"/>
              </w:rPr>
              <w:t>NAT会话数≥8万。</w:t>
            </w:r>
          </w:p>
          <w:p w14:paraId="4DAEA619">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6.工作温度：0℃～45℃。</w:t>
            </w:r>
          </w:p>
          <w:p w14:paraId="69EBC523">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7.内置无线控制器功能，支持管理AP，最大支持管理200个AP。</w:t>
            </w:r>
          </w:p>
          <w:p w14:paraId="1F108990">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8.支持IPSec VPN，吞吐可达200Mbps，支持隧道数≥100。</w:t>
            </w:r>
          </w:p>
          <w:p w14:paraId="69B6F301">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9.支持固定IP地址、DHCP自动获取地址、PPPoE拨号等多种方式，支持链路状态检测功能，支持ICMP、DNS、NTP等检测方式，支持静态路由和策略路由。</w:t>
            </w:r>
          </w:p>
          <w:p w14:paraId="480382F2">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10.支持端口划分VLAN，中小场景节省交换机成本。</w:t>
            </w:r>
          </w:p>
          <w:p w14:paraId="60FDEAF1">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11.支持MAC地址学习、广播风暴抑制、流量镜像功能。</w:t>
            </w:r>
          </w:p>
          <w:p w14:paraId="4B6BEC1B">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12.支持精细化流控，支持每IP限制流量、支持基于用户组限制流量、支持绿色通道功能</w:t>
            </w:r>
          </w:p>
          <w:p w14:paraId="09A2AEA7">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13.支持MAC地址过滤功能，支持MAC地址黑白名单。</w:t>
            </w:r>
          </w:p>
          <w:p w14:paraId="77661A54">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14.支持多WAN负载均衡，支持基于运营商目的地址负载分担、支持基于链路带宽负载分担、支持基于用户（IP地址）负载分担、支持策略路由指定线路转发、支持端到端链路检测与备份功能。</w:t>
            </w:r>
          </w:p>
          <w:p w14:paraId="4F5C8F67">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15.支持基于源目的地址、端口定义防火墙过滤策略、URL过滤，网站黑白名单，关键字模糊匹配、支持HTTP下载文件过滤功能、支持ARP扫描、ARP检测、ARP防护等功能、支持互联网常见应用识别和控制、支持IP地址流量统计和排名、支持异常主机流量防护功能、</w:t>
            </w:r>
          </w:p>
          <w:p w14:paraId="2223ECEF">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16.支持短信、微信公众号、账号等多种接入认证方式。</w:t>
            </w:r>
          </w:p>
          <w:p w14:paraId="10C3C32A">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17.支持多种防攻击功能，支持DDoS攻击防范和统计、防止WAN口的Ping、防止TCP syn扫描、防止TCP Stealth FIN扫描、防止TCP Xmas Tree扫描、防止TCP Null扫描、防止UDP扫描功能、防止Land 攻击功能、防止Smurf攻击功能、防止WinNuke攻击功能、防止Ping of Death攻击、防止SYN Flood攻击功能、防止UDP Flood攻击功能、防止ICMP Flood攻击功能、防止IP Spoofing功能、防止碎片包攻击、防止TearDrop攻击、防止Fraggle攻击功能。</w:t>
            </w:r>
          </w:p>
          <w:p w14:paraId="47495464">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eastAsia="zh-CN" w:bidi="ar"/>
              </w:rPr>
              <w:t>18.支持DHCP Server、支持NTP Client、支持DDNS（花生壳和3322.org）、支持UPnP等网络特性、支持IPTV。</w:t>
            </w:r>
          </w:p>
        </w:tc>
      </w:tr>
      <w:tr w14:paraId="6EE1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60185048">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017" w:type="dxa"/>
            <w:tcBorders>
              <w:top w:val="single" w:color="auto" w:sz="4" w:space="0"/>
            </w:tcBorders>
            <w:shd w:val="clear" w:color="auto" w:fill="auto"/>
            <w:vAlign w:val="center"/>
          </w:tcPr>
          <w:p w14:paraId="29A00DAC">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三维创意设计软件</w:t>
            </w:r>
          </w:p>
        </w:tc>
        <w:tc>
          <w:tcPr>
            <w:tcW w:w="633" w:type="dxa"/>
            <w:gridSpan w:val="2"/>
            <w:tcBorders>
              <w:top w:val="single" w:color="auto" w:sz="4" w:space="0"/>
            </w:tcBorders>
            <w:shd w:val="clear" w:color="auto" w:fill="FFFFFF"/>
            <w:vAlign w:val="center"/>
          </w:tcPr>
          <w:p w14:paraId="763AE78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631" w:type="dxa"/>
            <w:tcBorders>
              <w:top w:val="single" w:color="auto" w:sz="4" w:space="0"/>
            </w:tcBorders>
            <w:shd w:val="clear" w:color="auto" w:fill="auto"/>
            <w:vAlign w:val="center"/>
          </w:tcPr>
          <w:p w14:paraId="6AE6E8E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节点</w:t>
            </w:r>
          </w:p>
        </w:tc>
        <w:tc>
          <w:tcPr>
            <w:tcW w:w="7344" w:type="dxa"/>
            <w:tcBorders>
              <w:top w:val="single" w:color="auto" w:sz="4" w:space="0"/>
            </w:tcBorders>
            <w:shd w:val="clear" w:color="auto" w:fill="auto"/>
            <w:vAlign w:val="center"/>
          </w:tcPr>
          <w:p w14:paraId="46510E4C">
            <w:pPr>
              <w:keepNext w:val="0"/>
              <w:keepLines w:val="0"/>
              <w:pageBreakBefore w:val="0"/>
              <w:widowControl/>
              <w:numPr>
                <w:ilvl w:val="0"/>
                <w:numId w:val="3"/>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软件应支持导入*.dwg、*.igs、*.bmp、*.png、*.stl等格式文件，支持输出*.amf、*.igs、*.stp、*.dwg、*.obj、*.stl、*.tif等格式文件。</w:t>
            </w:r>
          </w:p>
          <w:p w14:paraId="5CBC7850">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sz w:val="21"/>
                <w:szCs w:val="21"/>
                <w:highlight w:val="none"/>
                <w:lang w:eastAsia="zh-CN"/>
              </w:rPr>
              <w:t>◆</w:t>
            </w:r>
            <w:r>
              <w:rPr>
                <w:rFonts w:hint="eastAsia" w:ascii="宋体" w:hAnsi="宋体" w:eastAsia="宋体" w:cs="宋体"/>
                <w:color w:val="auto"/>
                <w:sz w:val="21"/>
                <w:szCs w:val="21"/>
                <w:highlight w:val="none"/>
                <w:lang w:val="en-US" w:eastAsia="zh-CN"/>
              </w:rPr>
              <w:t>2.软件应具备基本实体创建、草图绘制、空间曲线绘制等基础实体创建功能。</w:t>
            </w:r>
          </w:p>
          <w:p w14:paraId="13243D20">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3.软件应具备拉伸、旋转、扫掠、放样、圆角、拔模、抽壳、扭曲、实体分割等基本实体编辑功能。</w:t>
            </w:r>
          </w:p>
          <w:p w14:paraId="1A5EB338">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4.软件应支持将*.jpg、*.png、*.bmp、*.tif等格式图片转换成三维立体的浮雕造型。</w:t>
            </w:r>
          </w:p>
          <w:p w14:paraId="09EE6AC8">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eastAsia="zh-CN"/>
              </w:rPr>
              <w:t>◆</w:t>
            </w:r>
            <w:r>
              <w:rPr>
                <w:rFonts w:hint="eastAsia" w:ascii="宋体" w:hAnsi="宋体" w:eastAsia="宋体" w:cs="宋体"/>
                <w:sz w:val="21"/>
                <w:szCs w:val="21"/>
                <w:highlight w:val="none"/>
                <w:lang w:val="en-US" w:eastAsia="zh-CN"/>
              </w:rPr>
              <w:t>5.软件应具备加运算、减运算、交运算的组S合编辑功能。</w:t>
            </w:r>
          </w:p>
          <w:p w14:paraId="5AC742C0">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6.软件须支持对stl、obj等格式的三维模型进行雕刻。具有扭转、平滑、捏塑、皱褶等创作方式。</w:t>
            </w:r>
          </w:p>
          <w:p w14:paraId="073E8CB2">
            <w:pPr>
              <w:keepNext w:val="0"/>
              <w:keepLines w:val="0"/>
              <w:pageBreakBefore w:val="0"/>
              <w:widowControl/>
              <w:numPr>
                <w:ilvl w:val="-1"/>
                <w:numId w:val="0"/>
              </w:numPr>
              <w:kinsoku/>
              <w:wordWrap/>
              <w:overflowPunct/>
              <w:topLinePunct w:val="0"/>
              <w:bidi w:val="0"/>
              <w:adjustRightInd/>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val="en-US" w:eastAsia="zh-CN"/>
              </w:rPr>
              <w:t>7.</w:t>
            </w:r>
            <w:r>
              <w:rPr>
                <w:rFonts w:hint="eastAsia" w:ascii="宋体" w:hAnsi="宋体" w:eastAsia="宋体" w:cs="宋体"/>
                <w:color w:val="000000"/>
                <w:sz w:val="21"/>
                <w:szCs w:val="21"/>
                <w:highlight w:val="none"/>
              </w:rPr>
              <w:t>软件</w:t>
            </w:r>
            <w:r>
              <w:rPr>
                <w:rFonts w:hint="eastAsia" w:ascii="宋体" w:hAnsi="宋体" w:eastAsia="宋体" w:cs="宋体"/>
                <w:color w:val="000000"/>
                <w:sz w:val="21"/>
                <w:szCs w:val="21"/>
                <w:highlight w:val="none"/>
                <w:lang w:val="en-US" w:eastAsia="zh-CN"/>
              </w:rPr>
              <w:t>应</w:t>
            </w:r>
            <w:r>
              <w:rPr>
                <w:rFonts w:hint="eastAsia" w:ascii="宋体" w:hAnsi="宋体" w:eastAsia="宋体" w:cs="宋体"/>
                <w:color w:val="000000"/>
                <w:sz w:val="21"/>
                <w:szCs w:val="21"/>
                <w:highlight w:val="none"/>
              </w:rPr>
              <w:t>内置不少于8家硬件厂商模型库，电子件模型数量</w:t>
            </w:r>
            <w:r>
              <w:rPr>
                <w:rFonts w:hint="eastAsia" w:ascii="宋体" w:hAnsi="宋体" w:eastAsia="宋体" w:cs="宋体"/>
                <w:color w:val="000000"/>
                <w:sz w:val="21"/>
                <w:szCs w:val="21"/>
                <w:highlight w:val="none"/>
                <w:lang w:val="en-US" w:eastAsia="zh-CN"/>
              </w:rPr>
              <w:t>应</w:t>
            </w:r>
            <w:r>
              <w:rPr>
                <w:rFonts w:hint="eastAsia" w:ascii="宋体" w:hAnsi="宋体" w:eastAsia="宋体" w:cs="宋体"/>
                <w:color w:val="000000"/>
                <w:sz w:val="21"/>
                <w:szCs w:val="21"/>
                <w:highlight w:val="none"/>
              </w:rPr>
              <w:t>不少于400个</w:t>
            </w:r>
            <w:r>
              <w:rPr>
                <w:rFonts w:hint="eastAsia" w:ascii="宋体" w:hAnsi="宋体" w:eastAsia="宋体" w:cs="宋体"/>
                <w:color w:val="000000"/>
                <w:sz w:val="21"/>
                <w:szCs w:val="21"/>
                <w:highlight w:val="none"/>
                <w:lang w:eastAsia="zh-CN"/>
              </w:rPr>
              <w:t>。</w:t>
            </w:r>
            <w:r>
              <w:rPr>
                <w:rFonts w:hint="eastAsia" w:ascii="宋体" w:hAnsi="宋体" w:eastAsia="宋体" w:cs="宋体"/>
                <w:b/>
                <w:bCs/>
                <w:sz w:val="21"/>
                <w:szCs w:val="21"/>
                <w:highlight w:val="none"/>
                <w:lang w:eastAsia="zh-CN"/>
              </w:rPr>
              <w:t>◆</w:t>
            </w:r>
            <w:r>
              <w:rPr>
                <w:rFonts w:hint="eastAsia" w:ascii="宋体" w:hAnsi="宋体" w:eastAsia="宋体" w:cs="宋体"/>
                <w:color w:val="auto"/>
                <w:sz w:val="21"/>
                <w:szCs w:val="21"/>
                <w:highlight w:val="none"/>
                <w:lang w:val="en-US" w:eastAsia="zh-CN"/>
              </w:rPr>
              <w:t>8.可以通过选择实体的点、线、面手动勾勒出三视图。按照标准视图布局成主视图、俯视图、左视图、轴测图4个视窗。</w:t>
            </w:r>
          </w:p>
          <w:p w14:paraId="6D79B807">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sz w:val="21"/>
                <w:szCs w:val="21"/>
                <w:highlight w:val="none"/>
                <w:lang w:eastAsia="zh-CN"/>
              </w:rPr>
              <w:t>◆</w:t>
            </w:r>
            <w:r>
              <w:rPr>
                <w:rFonts w:hint="eastAsia" w:ascii="宋体" w:hAnsi="宋体" w:eastAsia="宋体" w:cs="宋体"/>
                <w:color w:val="auto"/>
                <w:sz w:val="21"/>
                <w:szCs w:val="21"/>
                <w:highlight w:val="none"/>
                <w:lang w:val="en-US" w:eastAsia="zh-CN"/>
              </w:rPr>
              <w:t>9.软件在三视图教学过程中，应具备</w:t>
            </w:r>
            <w:r>
              <w:rPr>
                <w:rFonts w:hint="eastAsia" w:ascii="宋体" w:hAnsi="宋体" w:eastAsia="宋体" w:cs="宋体"/>
                <w:sz w:val="21"/>
                <w:szCs w:val="21"/>
                <w:highlight w:val="none"/>
                <w:lang w:val="en-US" w:eastAsia="zh-CN"/>
              </w:rPr>
              <w:t>剖面视图功能</w:t>
            </w:r>
            <w:r>
              <w:rPr>
                <w:rFonts w:hint="eastAsia" w:ascii="宋体" w:hAnsi="宋体" w:eastAsia="宋体" w:cs="宋体"/>
                <w:color w:val="auto"/>
                <w:sz w:val="21"/>
                <w:szCs w:val="21"/>
                <w:highlight w:val="none"/>
                <w:lang w:val="en-US" w:eastAsia="zh-CN"/>
              </w:rPr>
              <w:t>，剖切结果可以在主视图、俯视图、左视图以及轴测图上</w:t>
            </w:r>
            <w:r>
              <w:rPr>
                <w:rFonts w:hint="eastAsia" w:ascii="宋体" w:hAnsi="宋体" w:eastAsia="宋体" w:cs="宋体"/>
                <w:sz w:val="21"/>
                <w:szCs w:val="21"/>
                <w:highlight w:val="none"/>
                <w:lang w:val="en-US" w:eastAsia="zh-CN"/>
              </w:rPr>
              <w:t>同时</w:t>
            </w:r>
            <w:r>
              <w:rPr>
                <w:rFonts w:hint="eastAsia" w:ascii="宋体" w:hAnsi="宋体" w:eastAsia="宋体" w:cs="宋体"/>
                <w:color w:val="auto"/>
                <w:sz w:val="21"/>
                <w:szCs w:val="21"/>
                <w:highlight w:val="none"/>
                <w:lang w:val="en-US" w:eastAsia="zh-CN"/>
              </w:rPr>
              <w:t>显示，剖切面形式应包含线框平面剖切面、单一剖切面、三个相交的剖切面在内的三种剖切面形式。</w:t>
            </w:r>
          </w:p>
          <w:p w14:paraId="1991F4C9">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10.软件需要支持从三维模型生成二维工程图。包括装配图和工程图。支持标注、BOM表生成和测量等功能，并能够将工程图转换为主流的DWG文件格式。</w:t>
            </w:r>
          </w:p>
          <w:p w14:paraId="59777DFF">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11.软件可直接对接云资源，无需登录网页即可获取云平台上的课件、视频、3D模型等学习资源；可以在软件上直接管理作品、接收和好友互动的消息通知。</w:t>
            </w:r>
          </w:p>
          <w:p w14:paraId="2E0FE3BB">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12.软件需要内置不少于4家的国内外3D打印设备厂商切片软件的接口，提供“3D打印”功能按钮。</w:t>
            </w:r>
          </w:p>
          <w:p w14:paraId="561243C5">
            <w:pPr>
              <w:keepNext w:val="0"/>
              <w:keepLines w:val="0"/>
              <w:pageBreakBefore w:val="0"/>
              <w:widowControl/>
              <w:numPr>
                <w:ilvl w:val="0"/>
                <w:numId w:val="0"/>
              </w:numPr>
              <w:kinsoku/>
              <w:wordWrap/>
              <w:overflowPunct/>
              <w:topLinePunct w:val="0"/>
              <w:bidi w:val="0"/>
              <w:adjustRightInd/>
              <w:spacing w:line="400" w:lineRule="exact"/>
              <w:ind w:left="0" w:leftChars="0" w:firstLine="0" w:firstLineChars="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sz w:val="21"/>
                <w:szCs w:val="21"/>
                <w:highlight w:val="none"/>
                <w:lang w:val="en-US" w:eastAsia="zh-CN"/>
              </w:rPr>
              <w:t>▲13.软件应具备杆状扫掠功能，须支持设置杆状体连接、圆角半径。</w:t>
            </w:r>
          </w:p>
        </w:tc>
      </w:tr>
      <w:tr w14:paraId="6649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2B1A5DB7">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017" w:type="dxa"/>
            <w:tcBorders>
              <w:top w:val="single" w:color="auto" w:sz="4" w:space="0"/>
            </w:tcBorders>
            <w:shd w:val="clear" w:color="auto" w:fill="auto"/>
            <w:vAlign w:val="center"/>
          </w:tcPr>
          <w:p w14:paraId="3FFC511E">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机械识图软件</w:t>
            </w:r>
          </w:p>
        </w:tc>
        <w:tc>
          <w:tcPr>
            <w:tcW w:w="633" w:type="dxa"/>
            <w:gridSpan w:val="2"/>
            <w:tcBorders>
              <w:top w:val="single" w:color="auto" w:sz="4" w:space="0"/>
            </w:tcBorders>
            <w:shd w:val="clear" w:color="auto" w:fill="FFFFFF"/>
            <w:vAlign w:val="center"/>
          </w:tcPr>
          <w:p w14:paraId="3480098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631" w:type="dxa"/>
            <w:tcBorders>
              <w:top w:val="single" w:color="auto" w:sz="4" w:space="0"/>
            </w:tcBorders>
            <w:shd w:val="clear" w:color="auto" w:fill="auto"/>
            <w:vAlign w:val="center"/>
          </w:tcPr>
          <w:p w14:paraId="343A33C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套</w:t>
            </w:r>
          </w:p>
        </w:tc>
        <w:tc>
          <w:tcPr>
            <w:tcW w:w="7344" w:type="dxa"/>
            <w:tcBorders>
              <w:top w:val="single" w:color="auto" w:sz="4" w:space="0"/>
            </w:tcBorders>
            <w:shd w:val="clear" w:color="auto" w:fill="auto"/>
            <w:vAlign w:val="center"/>
          </w:tcPr>
          <w:p w14:paraId="15B54ADB">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kern w:val="0"/>
                <w:sz w:val="21"/>
                <w:szCs w:val="21"/>
                <w:highlight w:val="none"/>
                <w:lang w:bidi="ar"/>
              </w:rPr>
              <w:t>软件应采用B/S架构，须支持集中式部署方式。</w:t>
            </w:r>
          </w:p>
          <w:p w14:paraId="6CED0E22">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管理员端须可新建院/系和班级，须支持添加用户和批量导入用户，须可设置账号到期时间；须可查看软件所含题目；须可根据用户需要添加题目。</w:t>
            </w:r>
          </w:p>
          <w:p w14:paraId="56C1C112">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bidi="ar"/>
              </w:rPr>
              <w:t>在教师端，须可查看系统自带题目和自定义的题目，须包含题目搜索功能；同时在教师端，须支持查看积分排行和数据统计。</w:t>
            </w:r>
          </w:p>
          <w:p w14:paraId="10914460">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bidi="ar"/>
              </w:rPr>
              <w:t>软件内须可发起能力评价进行考试；须支持随机和手动两种抽题模式，组卷策略须可保存，且可根据得分率抽取得分率低的题目；零件图识图能力和装配图识图能力题型须包含单选和多选两种题型以供选用，多选题须支持两种评分方式：“部分对给一半分”和“只有全对才给分”；能力评价须可快速复用，试卷须支持分享；评价后须可导出成绩。</w:t>
            </w:r>
          </w:p>
          <w:p w14:paraId="67A6B075">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bidi="ar"/>
              </w:rPr>
              <w:t>系统自带题目须包含专项识图、零件图识图能力、装配图识图能力三类；专项识图须包含基础制图能力、投影基础识读能力、图样基础识读能力、标准件与常用件识读能力；零件图识图能力须包含轴套类、轮盘盖类、箱体类、叉架类、其他类；装配图识图能力须包含阀类、泵类、减速器类、功能部件类；总题目数量须不少于4000道。</w:t>
            </w:r>
          </w:p>
          <w:p w14:paraId="06CAD060">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bidi="ar"/>
              </w:rPr>
              <w:t>零件图识图过程中，须能够点击零件图图名打开从属装配图；装配图识图过程中，须能够点击装配图明细表中高亮零件名称打开相应零件图。</w:t>
            </w:r>
          </w:p>
          <w:p w14:paraId="5AE66687">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bidi="ar"/>
              </w:rPr>
              <w:t>零件图识图能力题目与装配图识图能力题目中，须支持查看3D资源；3D资源须可放大、缩小、旋转和剖切。</w:t>
            </w:r>
          </w:p>
          <w:p w14:paraId="34060821">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软件须支持查看班级统计、学生统计；班级统计中，须包含评价情况和各分类题目统计；学生统计中，须可查看实训次数和学生学习报告。</w:t>
            </w:r>
          </w:p>
          <w:p w14:paraId="2C097DA8">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bidi="ar"/>
              </w:rPr>
              <w:t>在软件内，须支持至少三种能力实训方式：自由实训、计时实训和标准能力实训；其中自由实训过程中须支持收藏题目和显示答案的功能；计时实训和标准能力实训完成后</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可查看成绩，须支持错题重做和题目收藏的功能。</w:t>
            </w:r>
          </w:p>
          <w:p w14:paraId="47793A0E">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10.</w:t>
            </w:r>
            <w:r>
              <w:rPr>
                <w:rFonts w:hint="eastAsia" w:ascii="宋体" w:hAnsi="宋体" w:eastAsia="宋体" w:cs="宋体"/>
                <w:color w:val="auto"/>
                <w:kern w:val="0"/>
                <w:sz w:val="21"/>
                <w:szCs w:val="21"/>
                <w:highlight w:val="none"/>
                <w:lang w:bidi="ar"/>
              </w:rPr>
              <w:t>在学生端，须支持打开教师端发布的能力评价并作答的功能；须满足答题中途关闭软件界面再次进入后，依然可以继续答题的功能</w:t>
            </w:r>
            <w:r>
              <w:rPr>
                <w:rFonts w:hint="eastAsia" w:ascii="宋体" w:hAnsi="宋体" w:eastAsia="宋体" w:cs="宋体"/>
                <w:color w:val="auto"/>
                <w:kern w:val="0"/>
                <w:sz w:val="21"/>
                <w:szCs w:val="21"/>
                <w:highlight w:val="none"/>
                <w:lang w:eastAsia="zh-CN" w:bidi="ar"/>
              </w:rPr>
              <w:t>；在</w:t>
            </w:r>
            <w:r>
              <w:rPr>
                <w:rFonts w:hint="eastAsia" w:ascii="宋体" w:hAnsi="宋体" w:eastAsia="宋体" w:cs="宋体"/>
                <w:color w:val="auto"/>
                <w:kern w:val="0"/>
                <w:sz w:val="21"/>
                <w:szCs w:val="21"/>
                <w:highlight w:val="none"/>
                <w:lang w:bidi="ar"/>
              </w:rPr>
              <w:t>能力评价后，须支持以二维码的形式分享成绩，须支持仅显示错题和收藏题目的功能。</w:t>
            </w:r>
          </w:p>
          <w:p w14:paraId="1C23A320">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val="en-US" w:eastAsia="zh-CN" w:bidi="ar"/>
              </w:rPr>
              <w:t>11.提供操作说明，保证3名及以上教师会操作软件，并在实训现场录制完整的实训操作视频。</w:t>
            </w:r>
          </w:p>
        </w:tc>
      </w:tr>
      <w:tr w14:paraId="0F73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58BEB212">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1017" w:type="dxa"/>
            <w:tcBorders>
              <w:top w:val="single" w:color="auto" w:sz="4" w:space="0"/>
            </w:tcBorders>
            <w:shd w:val="clear" w:color="auto" w:fill="auto"/>
            <w:vAlign w:val="center"/>
          </w:tcPr>
          <w:p w14:paraId="291F2263">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移动机械硬盘</w:t>
            </w:r>
          </w:p>
        </w:tc>
        <w:tc>
          <w:tcPr>
            <w:tcW w:w="633" w:type="dxa"/>
            <w:gridSpan w:val="2"/>
            <w:tcBorders>
              <w:top w:val="single" w:color="auto" w:sz="4" w:space="0"/>
            </w:tcBorders>
            <w:shd w:val="clear" w:color="auto" w:fill="FFFFFF"/>
            <w:vAlign w:val="center"/>
          </w:tcPr>
          <w:p w14:paraId="65B9C9D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631" w:type="dxa"/>
            <w:tcBorders>
              <w:top w:val="single" w:color="auto" w:sz="4" w:space="0"/>
            </w:tcBorders>
            <w:shd w:val="clear" w:color="auto" w:fill="auto"/>
            <w:vAlign w:val="center"/>
          </w:tcPr>
          <w:p w14:paraId="46964D3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7344" w:type="dxa"/>
            <w:tcBorders>
              <w:top w:val="single" w:color="auto" w:sz="4" w:space="0"/>
            </w:tcBorders>
            <w:shd w:val="clear" w:color="auto" w:fill="auto"/>
            <w:vAlign w:val="center"/>
          </w:tcPr>
          <w:p w14:paraId="21B8F755">
            <w:pPr>
              <w:keepNext w:val="0"/>
              <w:keepLines w:val="0"/>
              <w:pageBreakBefore w:val="0"/>
              <w:widowControl/>
              <w:numPr>
                <w:ilvl w:val="-1"/>
                <w:numId w:val="0"/>
              </w:numPr>
              <w:kinsoku/>
              <w:wordWrap/>
              <w:overflowPunct/>
              <w:topLinePunct w:val="0"/>
              <w:bidi w:val="0"/>
              <w:adjustRightInd/>
              <w:spacing w:line="400" w:lineRule="exact"/>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1.容量≥1TB。</w:t>
            </w:r>
          </w:p>
          <w:p w14:paraId="25B97B7A">
            <w:pPr>
              <w:keepNext w:val="0"/>
              <w:keepLines w:val="0"/>
              <w:pageBreakBefore w:val="0"/>
              <w:widowControl/>
              <w:numPr>
                <w:ilvl w:val="-1"/>
                <w:numId w:val="0"/>
              </w:numPr>
              <w:kinsoku/>
              <w:wordWrap/>
              <w:overflowPunct/>
              <w:topLinePunct w:val="0"/>
              <w:bidi w:val="0"/>
              <w:adjustRightInd/>
              <w:spacing w:line="400" w:lineRule="exact"/>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2.存储介质磁盘。</w:t>
            </w:r>
          </w:p>
          <w:p w14:paraId="7470C8A3">
            <w:pPr>
              <w:keepNext w:val="0"/>
              <w:keepLines w:val="0"/>
              <w:pageBreakBefore w:val="0"/>
              <w:widowControl/>
              <w:numPr>
                <w:ilvl w:val="-1"/>
                <w:numId w:val="0"/>
              </w:numPr>
              <w:kinsoku/>
              <w:wordWrap/>
              <w:overflowPunct/>
              <w:topLinePunct w:val="0"/>
              <w:bidi w:val="0"/>
              <w:adjustRightInd/>
              <w:spacing w:line="400" w:lineRule="exact"/>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3.传输速度≥100MB/s。</w:t>
            </w:r>
          </w:p>
          <w:p w14:paraId="3AECD4B0">
            <w:pPr>
              <w:keepNext w:val="0"/>
              <w:keepLines w:val="0"/>
              <w:pageBreakBefore w:val="0"/>
              <w:widowControl/>
              <w:numPr>
                <w:ilvl w:val="-1"/>
                <w:numId w:val="0"/>
              </w:numPr>
              <w:kinsoku/>
              <w:wordWrap/>
              <w:overflowPunct/>
              <w:topLinePunct w:val="0"/>
              <w:bidi w:val="0"/>
              <w:adjustRightInd/>
              <w:spacing w:line="400" w:lineRule="exact"/>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4.转速≥</w:t>
            </w:r>
            <w:r>
              <w:rPr>
                <w:rFonts w:hint="eastAsia" w:ascii="宋体" w:hAnsi="宋体" w:eastAsia="宋体" w:cs="宋体"/>
                <w:sz w:val="21"/>
                <w:szCs w:val="21"/>
                <w:highlight w:val="none"/>
                <w:lang w:val="en-US" w:eastAsia="zh-CN"/>
              </w:rPr>
              <w:t>5400rpm。</w:t>
            </w:r>
          </w:p>
          <w:p w14:paraId="23AF3ADD">
            <w:pPr>
              <w:keepNext w:val="0"/>
              <w:keepLines w:val="0"/>
              <w:pageBreakBefore w:val="0"/>
              <w:widowControl/>
              <w:numPr>
                <w:ilvl w:val="-1"/>
                <w:numId w:val="0"/>
              </w:numPr>
              <w:kinsoku/>
              <w:wordWrap/>
              <w:overflowPunct/>
              <w:topLinePunct w:val="0"/>
              <w:bidi w:val="0"/>
              <w:adjustRightInd/>
              <w:spacing w:line="400" w:lineRule="exact"/>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5.接口类型USB3.0。</w:t>
            </w:r>
          </w:p>
          <w:p w14:paraId="18989E1B">
            <w:pPr>
              <w:keepNext w:val="0"/>
              <w:keepLines w:val="0"/>
              <w:pageBreakBefore w:val="0"/>
              <w:widowControl/>
              <w:numPr>
                <w:ilvl w:val="-1"/>
                <w:numId w:val="0"/>
              </w:numPr>
              <w:kinsoku/>
              <w:wordWrap/>
              <w:overflowPunct/>
              <w:topLinePunct w:val="0"/>
              <w:bidi w:val="0"/>
              <w:adjustRightInd/>
              <w:spacing w:line="400" w:lineRule="exact"/>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6.外壳材质金属。</w:t>
            </w:r>
          </w:p>
          <w:p w14:paraId="79EF9EF8">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7.尺寸≥2.5英寸。</w:t>
            </w:r>
          </w:p>
          <w:p w14:paraId="79B98F52">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SA"/>
              </w:rPr>
              <w:t>8.保修：提供不少于3年的原厂质保服务。</w:t>
            </w:r>
          </w:p>
        </w:tc>
      </w:tr>
      <w:tr w14:paraId="7514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25BDE433">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9</w:t>
            </w:r>
          </w:p>
        </w:tc>
        <w:tc>
          <w:tcPr>
            <w:tcW w:w="1017" w:type="dxa"/>
            <w:tcBorders>
              <w:top w:val="single" w:color="auto" w:sz="4" w:space="0"/>
            </w:tcBorders>
            <w:shd w:val="clear" w:color="auto" w:fill="auto"/>
            <w:vAlign w:val="center"/>
          </w:tcPr>
          <w:p w14:paraId="40DBC70F">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实训室配套设备</w:t>
            </w:r>
          </w:p>
        </w:tc>
        <w:tc>
          <w:tcPr>
            <w:tcW w:w="633" w:type="dxa"/>
            <w:gridSpan w:val="2"/>
            <w:tcBorders>
              <w:top w:val="single" w:color="auto" w:sz="4" w:space="0"/>
            </w:tcBorders>
            <w:shd w:val="clear" w:color="auto" w:fill="FFFFFF"/>
            <w:vAlign w:val="center"/>
          </w:tcPr>
          <w:p w14:paraId="77520FD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631" w:type="dxa"/>
            <w:tcBorders>
              <w:top w:val="single" w:color="auto" w:sz="4" w:space="0"/>
            </w:tcBorders>
            <w:shd w:val="clear" w:color="auto" w:fill="auto"/>
            <w:vAlign w:val="center"/>
          </w:tcPr>
          <w:p w14:paraId="5EE9684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项</w:t>
            </w:r>
          </w:p>
        </w:tc>
        <w:tc>
          <w:tcPr>
            <w:tcW w:w="7344" w:type="dxa"/>
            <w:tcBorders>
              <w:top w:val="single" w:color="auto" w:sz="4" w:space="0"/>
            </w:tcBorders>
            <w:shd w:val="clear" w:color="auto" w:fill="auto"/>
            <w:vAlign w:val="center"/>
          </w:tcPr>
          <w:p w14:paraId="40FAD67E">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1.电脑工位弱电，六类无氧铜国标网线，墙上线槽铺设，地面开槽铺设，不锈钢盖板恢复，网线1200米左右</w:t>
            </w:r>
            <w:r>
              <w:rPr>
                <w:rFonts w:hint="eastAsia" w:ascii="宋体" w:hAnsi="宋体" w:eastAsia="宋体" w:cs="宋体"/>
                <w:color w:val="auto"/>
                <w:sz w:val="21"/>
                <w:szCs w:val="21"/>
                <w:highlight w:val="none"/>
                <w:lang w:eastAsia="zh-CN"/>
              </w:rPr>
              <w:t>。</w:t>
            </w:r>
          </w:p>
          <w:p w14:paraId="2A45B543">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2.电脑工位强电，主线6平方，墙上线槽铺设，地面开槽铺设，不锈钢盖板恢复，主线六平方单股铜线，分支1.5平方单股铜线</w:t>
            </w:r>
            <w:r>
              <w:rPr>
                <w:rFonts w:hint="eastAsia" w:ascii="宋体" w:hAnsi="宋体" w:eastAsia="宋体" w:cs="宋体"/>
                <w:color w:val="auto"/>
                <w:sz w:val="21"/>
                <w:szCs w:val="21"/>
                <w:highlight w:val="none"/>
                <w:lang w:eastAsia="zh-CN"/>
              </w:rPr>
              <w:t>。</w:t>
            </w:r>
          </w:p>
          <w:p w14:paraId="0BD938E6">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r>
              <w:rPr>
                <w:rFonts w:hint="eastAsia" w:ascii="宋体" w:hAnsi="宋体" w:eastAsia="宋体" w:cs="宋体"/>
                <w:color w:val="auto"/>
                <w:sz w:val="21"/>
                <w:szCs w:val="21"/>
                <w:highlight w:val="none"/>
              </w:rPr>
              <w:t>配备一键启动电箱：尺寸约25cm×30cm，含1个220V 100A断路器、6个2P 32A空开，2个1P16A空开；配置总电源开关/按钮，支持一键控制实训室所有工位电源通断；具备紧急停止按钮（红色蘑菇头），支持应急状态下快速切断电源；符合国家、地区及行业强制性要求。</w:t>
            </w:r>
          </w:p>
        </w:tc>
      </w:tr>
      <w:tr w14:paraId="5ABF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411C2AA4">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lang w:val="en-US" w:eastAsia="zh-CN" w:bidi="ar"/>
              </w:rPr>
              <w:t>10</w:t>
            </w:r>
          </w:p>
        </w:tc>
        <w:tc>
          <w:tcPr>
            <w:tcW w:w="1017" w:type="dxa"/>
            <w:tcBorders>
              <w:top w:val="single" w:color="auto" w:sz="4" w:space="0"/>
            </w:tcBorders>
            <w:shd w:val="clear" w:color="auto" w:fill="auto"/>
            <w:vAlign w:val="center"/>
          </w:tcPr>
          <w:p w14:paraId="16B15FB8">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rPr>
              <w:t>可移动电视</w:t>
            </w:r>
          </w:p>
        </w:tc>
        <w:tc>
          <w:tcPr>
            <w:tcW w:w="633" w:type="dxa"/>
            <w:gridSpan w:val="2"/>
            <w:tcBorders>
              <w:top w:val="single" w:color="auto" w:sz="4" w:space="0"/>
            </w:tcBorders>
            <w:shd w:val="clear" w:color="auto" w:fill="FFFFFF"/>
            <w:vAlign w:val="center"/>
          </w:tcPr>
          <w:p w14:paraId="7D00576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631" w:type="dxa"/>
            <w:tcBorders>
              <w:top w:val="single" w:color="auto" w:sz="4" w:space="0"/>
            </w:tcBorders>
            <w:shd w:val="clear" w:color="auto" w:fill="auto"/>
            <w:vAlign w:val="center"/>
          </w:tcPr>
          <w:p w14:paraId="4D9FEEC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7344" w:type="dxa"/>
            <w:tcBorders>
              <w:top w:val="single" w:color="auto" w:sz="4" w:space="0"/>
            </w:tcBorders>
            <w:shd w:val="clear" w:color="auto" w:fill="auto"/>
            <w:vAlign w:val="center"/>
          </w:tcPr>
          <w:p w14:paraId="5EA4506F">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1.显示类型：LCD。</w:t>
            </w:r>
          </w:p>
          <w:p w14:paraId="653920EC">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kern w:val="0"/>
                <w:sz w:val="21"/>
                <w:szCs w:val="21"/>
                <w:highlight w:val="none"/>
                <w:lang w:bidi="ar"/>
              </w:rPr>
              <w:t>2.屏幕尺寸：≥32寸。</w:t>
            </w:r>
          </w:p>
          <w:p w14:paraId="4534E8A8">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3.屏幕分辨率：≥</w:t>
            </w:r>
            <w:r>
              <w:rPr>
                <w:rFonts w:hint="eastAsia" w:ascii="宋体" w:hAnsi="宋体" w:eastAsia="宋体" w:cs="宋体"/>
                <w:sz w:val="21"/>
                <w:szCs w:val="21"/>
                <w:highlight w:val="none"/>
                <w:lang w:val="en-US" w:eastAsia="zh-CN"/>
              </w:rPr>
              <w:t>1920×1080</w:t>
            </w:r>
            <w:r>
              <w:rPr>
                <w:rFonts w:hint="eastAsia" w:ascii="宋体" w:hAnsi="宋体" w:eastAsia="宋体" w:cs="宋体"/>
                <w:kern w:val="0"/>
                <w:sz w:val="21"/>
                <w:szCs w:val="21"/>
                <w:highlight w:val="none"/>
                <w:lang w:bidi="ar"/>
              </w:rPr>
              <w:t>。</w:t>
            </w:r>
          </w:p>
          <w:p w14:paraId="4383F883">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4.亮度：300-400尼特。</w:t>
            </w:r>
          </w:p>
          <w:p w14:paraId="4A3C4C02">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5.运行内存：≥1GB；</w:t>
            </w:r>
          </w:p>
          <w:p w14:paraId="0A17D2B5">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6.背光方式：直下式/DLED。</w:t>
            </w:r>
          </w:p>
          <w:p w14:paraId="5554C22D">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kern w:val="0"/>
                <w:sz w:val="21"/>
                <w:szCs w:val="21"/>
                <w:highlight w:val="none"/>
                <w:lang w:eastAsia="zh-CN" w:bidi="ar"/>
              </w:rPr>
            </w:pPr>
            <w:r>
              <w:rPr>
                <w:rFonts w:hint="eastAsia" w:ascii="宋体" w:hAnsi="宋体" w:eastAsia="宋体" w:cs="宋体"/>
                <w:kern w:val="0"/>
                <w:sz w:val="21"/>
                <w:szCs w:val="21"/>
                <w:highlight w:val="none"/>
                <w:lang w:bidi="ar"/>
              </w:rPr>
              <w:t>7.刷屏率：60HZ</w:t>
            </w:r>
            <w:r>
              <w:rPr>
                <w:rFonts w:hint="eastAsia" w:ascii="宋体" w:hAnsi="宋体" w:eastAsia="宋体" w:cs="宋体"/>
                <w:kern w:val="0"/>
                <w:sz w:val="21"/>
                <w:szCs w:val="21"/>
                <w:highlight w:val="none"/>
                <w:lang w:eastAsia="zh-CN" w:bidi="ar"/>
              </w:rPr>
              <w:t>。</w:t>
            </w:r>
          </w:p>
          <w:p w14:paraId="4DDE1AAA">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kern w:val="0"/>
                <w:sz w:val="21"/>
                <w:szCs w:val="21"/>
                <w:highlight w:val="none"/>
                <w:lang w:eastAsia="zh-CN" w:bidi="ar"/>
              </w:rPr>
            </w:pPr>
            <w:r>
              <w:rPr>
                <w:rFonts w:hint="eastAsia" w:ascii="宋体" w:hAnsi="宋体" w:eastAsia="宋体" w:cs="宋体"/>
                <w:kern w:val="0"/>
                <w:sz w:val="21"/>
                <w:szCs w:val="21"/>
                <w:highlight w:val="none"/>
                <w:lang w:bidi="ar"/>
              </w:rPr>
              <w:t>8.组套类型：屏幕+移动支架</w:t>
            </w:r>
            <w:r>
              <w:rPr>
                <w:rFonts w:hint="eastAsia" w:ascii="宋体" w:hAnsi="宋体" w:eastAsia="宋体" w:cs="宋体"/>
                <w:kern w:val="0"/>
                <w:sz w:val="21"/>
                <w:szCs w:val="21"/>
                <w:highlight w:val="none"/>
                <w:lang w:eastAsia="zh-CN" w:bidi="ar"/>
              </w:rPr>
              <w:t>。</w:t>
            </w:r>
          </w:p>
          <w:p w14:paraId="1E77ECAF">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kern w:val="0"/>
                <w:sz w:val="21"/>
                <w:szCs w:val="21"/>
                <w:highlight w:val="none"/>
                <w:lang w:val="en-US" w:eastAsia="zh-CN" w:bidi="ar"/>
              </w:rPr>
              <w:t>9.投标文件中提供有效的中国国家强制性产品认证证书（CCC认证）（或中国国家强制性产品认证证书（CCC认证）备案查询页面截图）及节能产品认证证书复印件（或有效能效标识备案查询截图）并加盖投标人公章。</w:t>
            </w:r>
          </w:p>
        </w:tc>
      </w:tr>
      <w:tr w14:paraId="4063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22CB0ED0">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auto"/>
                <w:sz w:val="21"/>
                <w:szCs w:val="21"/>
                <w:highlight w:val="none"/>
                <w:lang w:val="en-US" w:eastAsia="zh-CN"/>
              </w:rPr>
              <w:t>11</w:t>
            </w:r>
          </w:p>
        </w:tc>
        <w:tc>
          <w:tcPr>
            <w:tcW w:w="1017" w:type="dxa"/>
            <w:tcBorders>
              <w:top w:val="single" w:color="auto" w:sz="4" w:space="0"/>
            </w:tcBorders>
            <w:shd w:val="clear" w:color="auto" w:fill="auto"/>
            <w:vAlign w:val="center"/>
          </w:tcPr>
          <w:p w14:paraId="16243BC0">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auto"/>
                <w:sz w:val="21"/>
                <w:szCs w:val="21"/>
                <w:highlight w:val="none"/>
              </w:rPr>
              <w:t>机械CAD教育版软件</w:t>
            </w:r>
          </w:p>
        </w:tc>
        <w:tc>
          <w:tcPr>
            <w:tcW w:w="633" w:type="dxa"/>
            <w:gridSpan w:val="2"/>
            <w:tcBorders>
              <w:top w:val="single" w:color="auto" w:sz="4" w:space="0"/>
            </w:tcBorders>
            <w:shd w:val="clear" w:color="auto" w:fill="FFFFFF"/>
            <w:vAlign w:val="center"/>
          </w:tcPr>
          <w:p w14:paraId="5C3531E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54</w:t>
            </w:r>
          </w:p>
        </w:tc>
        <w:tc>
          <w:tcPr>
            <w:tcW w:w="631" w:type="dxa"/>
            <w:tcBorders>
              <w:top w:val="single" w:color="auto" w:sz="4" w:space="0"/>
            </w:tcBorders>
            <w:shd w:val="clear" w:color="auto" w:fill="auto"/>
            <w:vAlign w:val="center"/>
          </w:tcPr>
          <w:p w14:paraId="3DC7688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节点</w:t>
            </w:r>
          </w:p>
        </w:tc>
        <w:tc>
          <w:tcPr>
            <w:tcW w:w="7344" w:type="dxa"/>
            <w:tcBorders>
              <w:top w:val="single" w:color="auto" w:sz="4" w:space="0"/>
            </w:tcBorders>
            <w:shd w:val="clear" w:color="auto" w:fill="auto"/>
            <w:vAlign w:val="center"/>
          </w:tcPr>
          <w:p w14:paraId="79687F22">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软件图幅设置须提供包括GB、ISO、ANSI、DIN、JIS、BSI、CSN、GOST在内的8种样式。</w:t>
            </w:r>
          </w:p>
          <w:p w14:paraId="119E34D6">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软件须有螺纹</w:t>
            </w:r>
            <w:r>
              <w:rPr>
                <w:rFonts w:hint="eastAsia" w:ascii="宋体" w:hAnsi="宋体" w:eastAsia="宋体" w:cs="宋体"/>
                <w:color w:val="auto"/>
                <w:sz w:val="21"/>
                <w:szCs w:val="21"/>
                <w:highlight w:val="none"/>
                <w:lang w:eastAsia="zh-CN"/>
              </w:rPr>
              <w:t>连接功能</w:t>
            </w:r>
            <w:r>
              <w:rPr>
                <w:rFonts w:hint="eastAsia" w:ascii="宋体" w:hAnsi="宋体" w:eastAsia="宋体" w:cs="宋体"/>
                <w:color w:val="auto"/>
                <w:sz w:val="21"/>
                <w:szCs w:val="21"/>
                <w:highlight w:val="none"/>
              </w:rPr>
              <w:t>。模板列表须至少包含螺栓螺帽</w:t>
            </w:r>
            <w:r>
              <w:rPr>
                <w:rFonts w:hint="eastAsia" w:ascii="宋体" w:hAnsi="宋体" w:eastAsia="宋体" w:cs="宋体"/>
                <w:color w:val="auto"/>
                <w:sz w:val="21"/>
                <w:szCs w:val="21"/>
                <w:highlight w:val="none"/>
                <w:lang w:eastAsia="zh-CN"/>
              </w:rPr>
              <w:t>连接、螺栓盲孔连接</w:t>
            </w:r>
            <w:r>
              <w:rPr>
                <w:rFonts w:hint="eastAsia" w:ascii="宋体" w:hAnsi="宋体" w:eastAsia="宋体" w:cs="宋体"/>
                <w:color w:val="auto"/>
                <w:sz w:val="21"/>
                <w:szCs w:val="21"/>
                <w:highlight w:val="none"/>
              </w:rPr>
              <w:t>、螺栓通孔</w:t>
            </w:r>
            <w:r>
              <w:rPr>
                <w:rFonts w:hint="eastAsia" w:ascii="宋体" w:hAnsi="宋体" w:eastAsia="宋体" w:cs="宋体"/>
                <w:color w:val="auto"/>
                <w:sz w:val="21"/>
                <w:szCs w:val="21"/>
                <w:highlight w:val="none"/>
                <w:lang w:eastAsia="zh-CN"/>
              </w:rPr>
              <w:t>连接、沉头螺栓螺帽连接</w:t>
            </w:r>
            <w:r>
              <w:rPr>
                <w:rFonts w:hint="eastAsia" w:ascii="宋体" w:hAnsi="宋体" w:eastAsia="宋体" w:cs="宋体"/>
                <w:color w:val="auto"/>
                <w:sz w:val="21"/>
                <w:szCs w:val="21"/>
                <w:highlight w:val="none"/>
              </w:rPr>
              <w:t>、沉头螺栓通孔</w:t>
            </w:r>
            <w:r>
              <w:rPr>
                <w:rFonts w:hint="eastAsia" w:ascii="宋体" w:hAnsi="宋体" w:eastAsia="宋体" w:cs="宋体"/>
                <w:color w:val="auto"/>
                <w:sz w:val="21"/>
                <w:szCs w:val="21"/>
                <w:highlight w:val="none"/>
                <w:lang w:eastAsia="zh-CN"/>
              </w:rPr>
              <w:t>连接、沉头螺栓盲孔连接</w:t>
            </w:r>
            <w:r>
              <w:rPr>
                <w:rFonts w:hint="eastAsia" w:ascii="宋体" w:hAnsi="宋体" w:eastAsia="宋体" w:cs="宋体"/>
                <w:color w:val="auto"/>
                <w:sz w:val="21"/>
                <w:szCs w:val="21"/>
                <w:highlight w:val="none"/>
              </w:rPr>
              <w:t>、螺柱</w:t>
            </w:r>
            <w:r>
              <w:rPr>
                <w:rFonts w:hint="eastAsia" w:ascii="宋体" w:hAnsi="宋体" w:eastAsia="宋体" w:cs="宋体"/>
                <w:color w:val="auto"/>
                <w:sz w:val="21"/>
                <w:szCs w:val="21"/>
                <w:highlight w:val="none"/>
                <w:lang w:eastAsia="zh-CN"/>
              </w:rPr>
              <w:t>连接。螺纹连接</w:t>
            </w:r>
            <w:r>
              <w:rPr>
                <w:rFonts w:hint="eastAsia" w:ascii="宋体" w:hAnsi="宋体" w:eastAsia="宋体" w:cs="宋体"/>
                <w:color w:val="auto"/>
                <w:sz w:val="21"/>
                <w:szCs w:val="21"/>
                <w:highlight w:val="none"/>
              </w:rPr>
              <w:t>设置须包含消隐设置与螺栓长度设置。</w:t>
            </w:r>
          </w:p>
          <w:p w14:paraId="236D76AE">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软件须有产品结构管理功能，产品结构管理须至少包含项目整理、打开零部件图纸、零部件</w:t>
            </w:r>
            <w:r>
              <w:rPr>
                <w:rFonts w:hint="eastAsia" w:ascii="宋体" w:hAnsi="宋体" w:eastAsia="宋体" w:cs="宋体"/>
                <w:color w:val="auto"/>
                <w:sz w:val="21"/>
                <w:szCs w:val="21"/>
                <w:highlight w:val="none"/>
                <w:lang w:eastAsia="zh-CN"/>
              </w:rPr>
              <w:t>重新制定</w:t>
            </w:r>
            <w:r>
              <w:rPr>
                <w:rFonts w:hint="eastAsia" w:ascii="宋体" w:hAnsi="宋体" w:eastAsia="宋体" w:cs="宋体"/>
                <w:color w:val="auto"/>
                <w:sz w:val="21"/>
                <w:szCs w:val="21"/>
                <w:highlight w:val="none"/>
              </w:rPr>
              <w:t>图纸</w:t>
            </w:r>
            <w:r>
              <w:rPr>
                <w:rFonts w:hint="eastAsia" w:ascii="宋体" w:hAnsi="宋体" w:eastAsia="宋体" w:cs="宋体"/>
                <w:color w:val="auto"/>
                <w:sz w:val="21"/>
                <w:szCs w:val="21"/>
                <w:highlight w:val="none"/>
                <w:lang w:eastAsia="zh-CN"/>
              </w:rPr>
              <w:t>功能。</w:t>
            </w:r>
          </w:p>
          <w:p w14:paraId="03B4C299">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软件须具备化工装备设计模块，模块须至少包含主体件、换热器、钣金展开等功能。其中主体件功能须支持卧式容器、支座的绘制且支持参数选择；换热器功能须至少包含换热器布管、膨胀节、防松支耳，其中膨胀节的参数设定须包含ZX薄型、ZD厚型、</w:t>
            </w:r>
            <w:r>
              <w:rPr>
                <w:rFonts w:hint="eastAsia" w:ascii="宋体" w:hAnsi="宋体" w:eastAsia="宋体" w:cs="宋体"/>
                <w:color w:val="auto"/>
                <w:sz w:val="21"/>
                <w:szCs w:val="21"/>
                <w:highlight w:val="none"/>
                <w:lang w:eastAsia="zh-CN"/>
              </w:rPr>
              <w:t>Hz</w:t>
            </w:r>
            <w:r>
              <w:rPr>
                <w:rFonts w:hint="eastAsia" w:ascii="宋体" w:hAnsi="宋体" w:eastAsia="宋体" w:cs="宋体"/>
                <w:color w:val="auto"/>
                <w:sz w:val="21"/>
                <w:szCs w:val="21"/>
                <w:highlight w:val="none"/>
              </w:rPr>
              <w:t>焊接三种类型；钣金展开功能须具有折边锥体、斜锥体、偏心锥体</w:t>
            </w:r>
            <w:r>
              <w:rPr>
                <w:rFonts w:hint="eastAsia" w:ascii="宋体" w:hAnsi="宋体" w:eastAsia="宋体" w:cs="宋体"/>
                <w:color w:val="auto"/>
                <w:sz w:val="21"/>
                <w:szCs w:val="21"/>
                <w:highlight w:val="none"/>
                <w:lang w:eastAsia="zh-CN"/>
              </w:rPr>
              <w:t>等。</w:t>
            </w:r>
          </w:p>
          <w:p w14:paraId="773CCCB0">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软件须有创建视图功能，创建视图须至少包含局部详图、剖切线、区域缩放、自动创建视口。</w:t>
            </w:r>
          </w:p>
          <w:p w14:paraId="62D7C428">
            <w:pPr>
              <w:pStyle w:val="17"/>
              <w:keepNext w:val="0"/>
              <w:keepLines w:val="0"/>
              <w:pageBreakBefore w:val="0"/>
              <w:kinsoku/>
              <w:wordWrap/>
              <w:overflowPunct/>
              <w:topLinePunct w:val="0"/>
              <w:bidi w:val="0"/>
              <w:adjustRightIn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软件的超级符号库中须包括机构运动符号、液压气动符号库、电气符号库、金属结构件</w:t>
            </w:r>
            <w:r>
              <w:rPr>
                <w:rFonts w:hint="eastAsia" w:ascii="宋体" w:hAnsi="宋体" w:eastAsia="宋体" w:cs="宋体"/>
                <w:color w:val="auto"/>
                <w:sz w:val="21"/>
                <w:szCs w:val="21"/>
                <w:highlight w:val="none"/>
                <w:lang w:eastAsia="zh-CN"/>
              </w:rPr>
              <w:t>符号。</w:t>
            </w:r>
          </w:p>
          <w:p w14:paraId="68C260FE">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软件须有链轮和皮带轮功能。绘制链轮时可以选择与之匹配的链条标准来生成链轮图形，链条标准须</w:t>
            </w:r>
            <w:r>
              <w:rPr>
                <w:rFonts w:hint="eastAsia" w:ascii="宋体" w:hAnsi="宋体" w:eastAsia="宋体" w:cs="宋体"/>
                <w:color w:val="auto"/>
                <w:sz w:val="21"/>
                <w:szCs w:val="21"/>
                <w:highlight w:val="none"/>
                <w:lang w:val="en-US" w:eastAsia="zh-CN"/>
              </w:rPr>
              <w:t>至少</w:t>
            </w:r>
            <w:r>
              <w:rPr>
                <w:rFonts w:hint="eastAsia" w:ascii="宋体" w:hAnsi="宋体" w:eastAsia="宋体" w:cs="宋体"/>
                <w:color w:val="auto"/>
                <w:sz w:val="21"/>
                <w:szCs w:val="21"/>
                <w:highlight w:val="none"/>
              </w:rPr>
              <w:t>包含ISO_606、ISO_606K、GB/T_1243、ASME/ANSI</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4种标准；绘制皮带轮时可以选择与之匹配的皮带标准来生成皮带轮图形，皮带标准须</w:t>
            </w:r>
            <w:r>
              <w:rPr>
                <w:rFonts w:hint="eastAsia" w:ascii="宋体" w:hAnsi="宋体" w:eastAsia="宋体" w:cs="宋体"/>
                <w:color w:val="auto"/>
                <w:sz w:val="21"/>
                <w:szCs w:val="21"/>
                <w:highlight w:val="none"/>
                <w:lang w:val="en-US" w:eastAsia="zh-CN"/>
              </w:rPr>
              <w:t>至少</w:t>
            </w:r>
            <w:r>
              <w:rPr>
                <w:rFonts w:hint="eastAsia" w:ascii="宋体" w:hAnsi="宋体" w:eastAsia="宋体" w:cs="宋体"/>
                <w:color w:val="auto"/>
                <w:sz w:val="21"/>
                <w:szCs w:val="21"/>
                <w:highlight w:val="none"/>
              </w:rPr>
              <w:t>包含ISO_5294、GB</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2种标准。</w:t>
            </w:r>
          </w:p>
          <w:p w14:paraId="4F60DD1D">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8.配置5套及以上不同阶段案例培训（实训内容需与采购人沟通），保证3名及以上教师会操作软件，并在实训现场录制完整的实训操作视频。</w:t>
            </w:r>
          </w:p>
          <w:p w14:paraId="65B76A67">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9.提供某智能农机设备的不同零部件的二维零件图纸20份，</w:t>
            </w:r>
            <w:r>
              <w:rPr>
                <w:rFonts w:hint="eastAsia" w:ascii="宋体" w:hAnsi="宋体" w:eastAsia="宋体" w:cs="宋体"/>
                <w:i w:val="0"/>
                <w:iCs w:val="0"/>
                <w:caps w:val="0"/>
                <w:color w:val="0F1115"/>
                <w:spacing w:val="0"/>
                <w:sz w:val="21"/>
                <w:szCs w:val="21"/>
                <w:highlight w:val="none"/>
                <w:shd w:val="clear" w:fill="FFFFFF"/>
              </w:rPr>
              <w:t>要求为.dwg格式</w:t>
            </w:r>
            <w:r>
              <w:rPr>
                <w:rFonts w:hint="eastAsia" w:ascii="宋体" w:hAnsi="宋体" w:eastAsia="宋体" w:cs="宋体"/>
                <w:color w:val="auto"/>
                <w:sz w:val="21"/>
                <w:szCs w:val="21"/>
                <w:highlight w:val="none"/>
                <w:lang w:val="en-US" w:eastAsia="zh-CN"/>
              </w:rPr>
              <w:t>，零件图纸内容需符合机械制图绘图规则。</w:t>
            </w:r>
          </w:p>
          <w:p w14:paraId="2EE6E05C">
            <w:pPr>
              <w:keepNext w:val="0"/>
              <w:keepLines w:val="0"/>
              <w:pageBreakBefore w:val="0"/>
              <w:widowControl/>
              <w:numPr>
                <w:ilvl w:val="0"/>
                <w:numId w:val="0"/>
              </w:numPr>
              <w:kinsoku/>
              <w:wordWrap/>
              <w:overflowPunct/>
              <w:topLinePunct w:val="0"/>
              <w:bidi w:val="0"/>
              <w:adjustRightInd/>
              <w:spacing w:line="400" w:lineRule="exact"/>
              <w:ind w:left="0" w:leftChars="0" w:firstLine="0" w:firstLineChars="0"/>
              <w:jc w:val="left"/>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auto"/>
                <w:sz w:val="21"/>
                <w:szCs w:val="21"/>
                <w:highlight w:val="none"/>
                <w:lang w:val="en-US" w:eastAsia="zh-CN"/>
              </w:rPr>
              <w:t>10.提供三年内软件无条件升级服务（自验收合格之日起算）。</w:t>
            </w:r>
          </w:p>
        </w:tc>
      </w:tr>
      <w:tr w14:paraId="5397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6EE9CED4">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auto"/>
                <w:sz w:val="21"/>
                <w:szCs w:val="21"/>
                <w:highlight w:val="none"/>
                <w:lang w:val="en-US" w:eastAsia="zh-CN"/>
              </w:rPr>
              <w:t>12</w:t>
            </w:r>
          </w:p>
        </w:tc>
        <w:tc>
          <w:tcPr>
            <w:tcW w:w="1017" w:type="dxa"/>
            <w:tcBorders>
              <w:top w:val="single" w:color="auto" w:sz="4" w:space="0"/>
            </w:tcBorders>
            <w:shd w:val="clear" w:color="auto" w:fill="auto"/>
            <w:vAlign w:val="center"/>
          </w:tcPr>
          <w:p w14:paraId="32313BD3">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auto"/>
                <w:sz w:val="21"/>
                <w:szCs w:val="21"/>
                <w:highlight w:val="none"/>
              </w:rPr>
              <w:t>3D平台设计教育版软件</w:t>
            </w:r>
          </w:p>
        </w:tc>
        <w:tc>
          <w:tcPr>
            <w:tcW w:w="633" w:type="dxa"/>
            <w:gridSpan w:val="2"/>
            <w:tcBorders>
              <w:top w:val="single" w:color="auto" w:sz="4" w:space="0"/>
            </w:tcBorders>
            <w:shd w:val="clear" w:color="auto" w:fill="FFFFFF"/>
            <w:vAlign w:val="center"/>
          </w:tcPr>
          <w:p w14:paraId="1D561F5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54</w:t>
            </w:r>
          </w:p>
        </w:tc>
        <w:tc>
          <w:tcPr>
            <w:tcW w:w="631" w:type="dxa"/>
            <w:tcBorders>
              <w:top w:val="single" w:color="auto" w:sz="4" w:space="0"/>
            </w:tcBorders>
            <w:shd w:val="clear" w:color="auto" w:fill="auto"/>
            <w:vAlign w:val="center"/>
          </w:tcPr>
          <w:p w14:paraId="33187E9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节点</w:t>
            </w:r>
          </w:p>
        </w:tc>
        <w:tc>
          <w:tcPr>
            <w:tcW w:w="7344" w:type="dxa"/>
            <w:tcBorders>
              <w:top w:val="single" w:color="auto" w:sz="4" w:space="0"/>
            </w:tcBorders>
            <w:shd w:val="clear" w:color="auto" w:fill="auto"/>
            <w:vAlign w:val="center"/>
          </w:tcPr>
          <w:p w14:paraId="02C24736">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软件须支持实体与曲面的混合建模方式，具体表现为平面片体和曲面片体的布尔运算，支持实体与曲面进行布尔运算操作。</w:t>
            </w:r>
          </w:p>
          <w:p w14:paraId="1077AA87">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软件须支持创建草图、基本几何体（六面体、圆柱体、圆锥体、球体）、拉伸、旋转等基础造型功能；须支持创建圆角、倒角、拔模、孔、螺纹等工程特征功能；</w:t>
            </w:r>
            <w:r>
              <w:rPr>
                <w:rFonts w:hint="eastAsia" w:ascii="宋体" w:hAnsi="宋体" w:eastAsia="宋体" w:cs="宋体"/>
                <w:color w:val="auto"/>
                <w:sz w:val="21"/>
                <w:szCs w:val="21"/>
                <w:highlight w:val="none"/>
                <w:lang w:val="en-US" w:eastAsia="zh-CN"/>
              </w:rPr>
              <w:t>须</w:t>
            </w:r>
            <w:r>
              <w:rPr>
                <w:rFonts w:hint="eastAsia" w:ascii="宋体" w:hAnsi="宋体" w:eastAsia="宋体" w:cs="宋体"/>
                <w:color w:val="auto"/>
                <w:sz w:val="21"/>
                <w:szCs w:val="21"/>
                <w:highlight w:val="none"/>
              </w:rPr>
              <w:t>支持创建</w:t>
            </w:r>
            <w:r>
              <w:rPr>
                <w:rFonts w:hint="eastAsia" w:ascii="宋体" w:hAnsi="宋体" w:eastAsia="宋体" w:cs="宋体"/>
                <w:color w:val="auto"/>
                <w:sz w:val="21"/>
                <w:szCs w:val="21"/>
                <w:highlight w:val="none"/>
                <w:lang w:val="en-US" w:eastAsia="zh-CN"/>
              </w:rPr>
              <w:t>圆柱齿轮、圆锥齿轮、蜗轮</w:t>
            </w:r>
            <w:r>
              <w:rPr>
                <w:rFonts w:hint="eastAsia" w:ascii="宋体" w:hAnsi="宋体" w:eastAsia="宋体" w:cs="宋体"/>
                <w:color w:val="auto"/>
                <w:sz w:val="21"/>
                <w:szCs w:val="21"/>
                <w:highlight w:val="none"/>
              </w:rPr>
              <w:t>等。</w:t>
            </w:r>
          </w:p>
          <w:p w14:paraId="6C9BF4B4">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软件须满足数据交流的要求，须支持通用格式如STEP、IGES、DWG、DXF等文件的导入。以上格式数据导入到软件后，要求保留原有数据中的装配信息、层信息和颜色信息。</w:t>
            </w:r>
          </w:p>
          <w:p w14:paraId="642BC76D">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软件须支持一个模型文档中包含多个格式文档的数据管理方式，提供文件管理器，包括零件、装配格式在内的文档均显示在管理器内。</w:t>
            </w:r>
          </w:p>
          <w:p w14:paraId="5BE41F38">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5.软件须</w:t>
            </w:r>
            <w:r>
              <w:rPr>
                <w:rFonts w:hint="eastAsia" w:ascii="宋体" w:hAnsi="宋体" w:eastAsia="宋体" w:cs="宋体"/>
                <w:color w:val="auto"/>
                <w:sz w:val="21"/>
                <w:szCs w:val="21"/>
                <w:highlight w:val="none"/>
              </w:rPr>
              <w:t>提供不少于3种角色配置，根据使用者能力的不同，自行选择适合的角色。为满足教学多样化</w:t>
            </w:r>
            <w:r>
              <w:rPr>
                <w:rFonts w:hint="eastAsia" w:ascii="宋体" w:hAnsi="宋体" w:eastAsia="宋体" w:cs="宋体"/>
                <w:color w:val="auto"/>
                <w:sz w:val="21"/>
                <w:szCs w:val="21"/>
                <w:highlight w:val="none"/>
                <w:lang w:val="en-US" w:eastAsia="zh-CN"/>
              </w:rPr>
              <w:t>需求</w:t>
            </w:r>
            <w:r>
              <w:rPr>
                <w:rFonts w:hint="eastAsia" w:ascii="宋体" w:hAnsi="宋体" w:eastAsia="宋体" w:cs="宋体"/>
                <w:color w:val="auto"/>
                <w:sz w:val="21"/>
                <w:szCs w:val="21"/>
                <w:highlight w:val="none"/>
              </w:rPr>
              <w:t>，还须支持自行创建角色。</w:t>
            </w:r>
          </w:p>
          <w:p w14:paraId="016CED29">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软件须支持一键导入和复制/粘贴CAD图形中的二维轮廓到三维软件的草图或工程图中，并可以直接使用该轮廓进行编辑及建模操作。</w:t>
            </w:r>
          </w:p>
          <w:p w14:paraId="614423FF">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软件须支持将jpg、png格式图片转换成图线，可以使用该图线进行编辑和建模操作。</w:t>
            </w:r>
          </w:p>
          <w:p w14:paraId="3B733E33">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软件须包含钣金模块，支持全凸缘、轮廓凸缘、褶弯凸缘、放样凸缘、扫掠凸缘、沿线</w:t>
            </w:r>
            <w:r>
              <w:rPr>
                <w:rFonts w:hint="eastAsia" w:ascii="宋体" w:hAnsi="宋体" w:eastAsia="宋体" w:cs="宋体"/>
                <w:color w:val="auto"/>
                <w:sz w:val="21"/>
                <w:szCs w:val="21"/>
                <w:highlight w:val="none"/>
                <w:lang w:val="en-US" w:eastAsia="zh-CN"/>
              </w:rPr>
              <w:t>折弯</w:t>
            </w:r>
            <w:r>
              <w:rPr>
                <w:rFonts w:hint="eastAsia" w:ascii="宋体" w:hAnsi="宋体" w:eastAsia="宋体" w:cs="宋体"/>
                <w:color w:val="auto"/>
                <w:sz w:val="21"/>
                <w:szCs w:val="21"/>
                <w:highlight w:val="none"/>
              </w:rPr>
              <w:t>、转折等钣金特征创建的功能。支持创建凹陷、百叶窗等，可以对钣金零件展开或折叠。</w:t>
            </w:r>
          </w:p>
          <w:p w14:paraId="306D3150">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软件须具有运动模块，运动模块须具有运动体、</w:t>
            </w:r>
            <w:r>
              <w:rPr>
                <w:rFonts w:hint="eastAsia" w:ascii="宋体" w:hAnsi="宋体" w:eastAsia="宋体" w:cs="宋体"/>
                <w:color w:val="auto"/>
                <w:sz w:val="21"/>
                <w:szCs w:val="21"/>
                <w:highlight w:val="none"/>
                <w:lang w:val="en-US" w:eastAsia="zh-CN"/>
              </w:rPr>
              <w:t>基础</w:t>
            </w:r>
            <w:r>
              <w:rPr>
                <w:rFonts w:hint="eastAsia" w:ascii="宋体" w:hAnsi="宋体" w:eastAsia="宋体" w:cs="宋体"/>
                <w:color w:val="auto"/>
                <w:sz w:val="21"/>
                <w:szCs w:val="21"/>
                <w:highlight w:val="none"/>
              </w:rPr>
              <w:t>副、驱动和传感器，在动画功能中可以提供干涉检查、运动轨迹、区域分析。</w:t>
            </w:r>
          </w:p>
          <w:p w14:paraId="34F88C9F">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软件须提供模具项目管理模块，可根据产品结构区分型芯与型腔区域，生成不同的颜色标记；可以通过参数化设计流道、浇口、滑块头、斜顶、虎口的结构；须具有模具标准件库，须包含模架、顶针、司筒、定位环、螺钉等各种标准件。</w:t>
            </w:r>
          </w:p>
          <w:p w14:paraId="4F32EBAF">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同一个软件内须具有三维造型标注（PMI）和二维工程图标注，二维工程图标注可以继承PMI标注的内容，例如：长度、直径等尺寸可以直接继承到二维工程图中，用户</w:t>
            </w:r>
            <w:r>
              <w:rPr>
                <w:rFonts w:hint="eastAsia" w:ascii="宋体" w:hAnsi="宋体" w:eastAsia="宋体" w:cs="宋体"/>
                <w:color w:val="auto"/>
                <w:sz w:val="21"/>
                <w:szCs w:val="21"/>
                <w:highlight w:val="none"/>
                <w:lang w:eastAsia="zh-CN"/>
              </w:rPr>
              <w:t>无需</w:t>
            </w:r>
            <w:r>
              <w:rPr>
                <w:rFonts w:hint="eastAsia" w:ascii="宋体" w:hAnsi="宋体" w:eastAsia="宋体" w:cs="宋体"/>
                <w:color w:val="auto"/>
                <w:sz w:val="21"/>
                <w:szCs w:val="21"/>
                <w:highlight w:val="none"/>
              </w:rPr>
              <w:t>进行二次标注。</w:t>
            </w:r>
          </w:p>
          <w:p w14:paraId="0CD17390">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软件须支持</w:t>
            </w:r>
            <w:r>
              <w:rPr>
                <w:rFonts w:hint="eastAsia" w:ascii="宋体" w:hAnsi="宋体" w:eastAsia="宋体" w:cs="宋体"/>
                <w:color w:val="auto"/>
                <w:sz w:val="21"/>
                <w:szCs w:val="21"/>
                <w:highlight w:val="none"/>
                <w:lang w:val="en-US" w:eastAsia="zh-CN"/>
              </w:rPr>
              <w:t>导入</w:t>
            </w:r>
            <w:r>
              <w:rPr>
                <w:rFonts w:hint="eastAsia" w:ascii="宋体" w:hAnsi="宋体" w:eastAsia="宋体" w:cs="宋体"/>
                <w:color w:val="auto"/>
                <w:sz w:val="21"/>
                <w:szCs w:val="21"/>
                <w:highlight w:val="none"/>
              </w:rPr>
              <w:t>STL</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输入OBJ点云数据格式，同时还能满足对txt、asc、csv、dat、exp、pts、xyz格式的</w:t>
            </w:r>
            <w:r>
              <w:rPr>
                <w:rFonts w:hint="eastAsia" w:ascii="宋体" w:hAnsi="宋体" w:eastAsia="宋体" w:cs="宋体"/>
                <w:color w:val="auto"/>
                <w:sz w:val="21"/>
                <w:szCs w:val="21"/>
                <w:highlight w:val="none"/>
                <w:lang w:val="en-US" w:eastAsia="zh-CN"/>
              </w:rPr>
              <w:t>文件导入</w:t>
            </w:r>
            <w:r>
              <w:rPr>
                <w:rFonts w:hint="eastAsia" w:ascii="宋体" w:hAnsi="宋体" w:eastAsia="宋体" w:cs="宋体"/>
                <w:color w:val="auto"/>
                <w:sz w:val="21"/>
                <w:szCs w:val="21"/>
                <w:highlight w:val="none"/>
              </w:rPr>
              <w:t>；支持网格化功能，能够实现添加面、删除面、反转面；须支持通过截面线、跟踪区域、测地线路径、追踪尖锐边、追踪轮廓方式创建曲线。</w:t>
            </w:r>
          </w:p>
          <w:p w14:paraId="73237344">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软件须具有对零件、装配模型的旋转功能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并提供快捷图标供用户选择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旋转功能须包含智能旋转中心、绕视图原点、绕包络框中心、绕鼠标位置这四种</w:t>
            </w:r>
            <w:r>
              <w:rPr>
                <w:rFonts w:hint="eastAsia" w:ascii="宋体" w:hAnsi="宋体" w:eastAsia="宋体" w:cs="宋体"/>
                <w:color w:val="auto"/>
                <w:sz w:val="21"/>
                <w:szCs w:val="21"/>
                <w:highlight w:val="none"/>
                <w:lang w:val="en-US" w:eastAsia="zh-CN"/>
              </w:rPr>
              <w:t>模式</w:t>
            </w:r>
            <w:r>
              <w:rPr>
                <w:rFonts w:hint="eastAsia" w:ascii="宋体" w:hAnsi="宋体" w:eastAsia="宋体" w:cs="宋体"/>
                <w:color w:val="auto"/>
                <w:sz w:val="21"/>
                <w:szCs w:val="21"/>
                <w:highlight w:val="none"/>
              </w:rPr>
              <w:t>供用户选择。</w:t>
            </w:r>
          </w:p>
          <w:p w14:paraId="1FD910BD">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软件须支持边学边用的功能，具体为在一个软件界面内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使用者可以一边查看教学指引一边操作学习，提示区域和绘图区域一体化；须具有边学边用编辑器，方便使用者操作边学边用。</w:t>
            </w:r>
          </w:p>
          <w:p w14:paraId="0DE04848">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软件须支持钻孔、2轴、3轴策略铣削和Volumill加工方式，根据加工策略，自行选择相应的刀具类型，保证合理的切削工艺，计算出加工轨迹。</w:t>
            </w:r>
          </w:p>
          <w:p w14:paraId="6A74A84C">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软件须支持</w:t>
            </w:r>
            <w:r>
              <w:rPr>
                <w:rFonts w:hint="eastAsia" w:ascii="宋体" w:hAnsi="宋体" w:eastAsia="宋体" w:cs="宋体"/>
                <w:color w:val="auto"/>
                <w:sz w:val="21"/>
                <w:szCs w:val="21"/>
                <w:highlight w:val="none"/>
                <w:lang w:val="en-US" w:eastAsia="zh-CN"/>
              </w:rPr>
              <w:t>车削模块</w:t>
            </w:r>
            <w:r>
              <w:rPr>
                <w:rFonts w:hint="eastAsia" w:ascii="宋体" w:hAnsi="宋体" w:eastAsia="宋体" w:cs="宋体"/>
                <w:color w:val="auto"/>
                <w:sz w:val="21"/>
                <w:szCs w:val="21"/>
                <w:highlight w:val="none"/>
              </w:rPr>
              <w:t>，能够使用三维实体造型进行编程加工，须包含钻孔、端面、粗车、螺纹、精车、槽加工以及截断功能</w:t>
            </w:r>
            <w:r>
              <w:rPr>
                <w:rFonts w:hint="eastAsia" w:ascii="宋体" w:hAnsi="宋体" w:eastAsia="宋体" w:cs="宋体"/>
                <w:color w:val="auto"/>
                <w:sz w:val="21"/>
                <w:szCs w:val="21"/>
                <w:highlight w:val="none"/>
                <w:lang w:eastAsia="zh-CN"/>
              </w:rPr>
              <w:t>。</w:t>
            </w:r>
          </w:p>
          <w:p w14:paraId="397085B4">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软件须支持5轴</w:t>
            </w:r>
            <w:r>
              <w:rPr>
                <w:rFonts w:hint="eastAsia" w:ascii="宋体" w:hAnsi="宋体" w:eastAsia="宋体" w:cs="宋体"/>
                <w:color w:val="auto"/>
                <w:sz w:val="21"/>
                <w:szCs w:val="21"/>
                <w:highlight w:val="none"/>
                <w:lang w:val="en-US" w:eastAsia="zh-CN"/>
              </w:rPr>
              <w:t>铣削模块</w:t>
            </w:r>
            <w:r>
              <w:rPr>
                <w:rFonts w:hint="eastAsia" w:ascii="宋体" w:hAnsi="宋体" w:eastAsia="宋体" w:cs="宋体"/>
                <w:color w:val="auto"/>
                <w:sz w:val="21"/>
                <w:szCs w:val="21"/>
                <w:highlight w:val="none"/>
              </w:rPr>
              <w:t>，并提供平面、侧刃、驱动线切削、流线、分层、</w:t>
            </w:r>
            <w:r>
              <w:rPr>
                <w:rFonts w:hint="eastAsia" w:ascii="宋体" w:hAnsi="宋体" w:eastAsia="宋体" w:cs="宋体"/>
                <w:color w:val="auto"/>
                <w:sz w:val="21"/>
                <w:szCs w:val="21"/>
                <w:highlight w:val="none"/>
                <w:lang w:val="en-US" w:eastAsia="zh-CN"/>
              </w:rPr>
              <w:t>交互式切削</w:t>
            </w:r>
            <w:r>
              <w:rPr>
                <w:rFonts w:hint="eastAsia" w:ascii="宋体" w:hAnsi="宋体" w:eastAsia="宋体" w:cs="宋体"/>
                <w:color w:val="auto"/>
                <w:sz w:val="21"/>
                <w:szCs w:val="21"/>
                <w:highlight w:val="none"/>
              </w:rPr>
              <w:t>的加工方式。</w:t>
            </w:r>
          </w:p>
          <w:p w14:paraId="669AD641">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软件须自带常用的机床后处理文件，如GSK</w:t>
            </w:r>
            <w:r>
              <w:rPr>
                <w:rFonts w:hint="eastAsia" w:ascii="宋体" w:hAnsi="宋体" w:eastAsia="宋体" w:cs="宋体"/>
                <w:color w:val="auto"/>
                <w:sz w:val="21"/>
                <w:szCs w:val="21"/>
                <w:highlight w:val="none"/>
                <w:lang w:val="en-US" w:eastAsia="zh-CN"/>
              </w:rPr>
              <w:t>988TA</w:t>
            </w:r>
            <w:r>
              <w:rPr>
                <w:rFonts w:hint="eastAsia" w:ascii="宋体" w:hAnsi="宋体" w:eastAsia="宋体" w:cs="宋体"/>
                <w:color w:val="auto"/>
                <w:sz w:val="21"/>
                <w:szCs w:val="21"/>
                <w:highlight w:val="none"/>
              </w:rPr>
              <w:t>、HNC</w:t>
            </w:r>
            <w:r>
              <w:rPr>
                <w:rFonts w:hint="eastAsia" w:ascii="宋体" w:hAnsi="宋体" w:eastAsia="宋体" w:cs="宋体"/>
                <w:color w:val="auto"/>
                <w:sz w:val="21"/>
                <w:szCs w:val="21"/>
                <w:highlight w:val="none"/>
                <w:lang w:val="en-US" w:eastAsia="zh-CN"/>
              </w:rPr>
              <w:t>-818A</w:t>
            </w:r>
            <w:r>
              <w:rPr>
                <w:rFonts w:hint="eastAsia" w:ascii="宋体" w:hAnsi="宋体" w:eastAsia="宋体" w:cs="宋体"/>
                <w:color w:val="auto"/>
                <w:sz w:val="21"/>
                <w:szCs w:val="21"/>
                <w:highlight w:val="none"/>
              </w:rPr>
              <w:t>、FANUC</w:t>
            </w:r>
            <w:r>
              <w:rPr>
                <w:rFonts w:hint="eastAsia" w:ascii="宋体" w:hAnsi="宋体" w:eastAsia="宋体" w:cs="宋体"/>
                <w:color w:val="auto"/>
                <w:sz w:val="21"/>
                <w:szCs w:val="21"/>
                <w:highlight w:val="none"/>
                <w:lang w:val="en-US" w:eastAsia="zh-CN"/>
              </w:rPr>
              <w:t xml:space="preserve"> Oi TF</w:t>
            </w:r>
            <w:r>
              <w:rPr>
                <w:rFonts w:hint="eastAsia" w:ascii="宋体" w:hAnsi="宋体" w:eastAsia="宋体" w:cs="宋体"/>
                <w:color w:val="auto"/>
                <w:sz w:val="21"/>
                <w:szCs w:val="21"/>
                <w:highlight w:val="none"/>
              </w:rPr>
              <w:t>、KND</w:t>
            </w:r>
            <w:r>
              <w:rPr>
                <w:rFonts w:hint="eastAsia" w:ascii="宋体" w:hAnsi="宋体" w:eastAsia="宋体" w:cs="宋体"/>
                <w:color w:val="auto"/>
                <w:sz w:val="21"/>
                <w:szCs w:val="21"/>
                <w:highlight w:val="none"/>
                <w:lang w:val="en-US" w:eastAsia="zh-CN"/>
              </w:rPr>
              <w:t>-2000MC</w:t>
            </w:r>
            <w:r>
              <w:rPr>
                <w:rFonts w:hint="eastAsia" w:ascii="宋体" w:hAnsi="宋体" w:eastAsia="宋体" w:cs="宋体"/>
                <w:color w:val="auto"/>
                <w:sz w:val="21"/>
                <w:szCs w:val="21"/>
                <w:highlight w:val="none"/>
              </w:rPr>
              <w:t>等。</w:t>
            </w:r>
          </w:p>
          <w:p w14:paraId="73F0D4D9">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软件须</w:t>
            </w:r>
            <w:r>
              <w:rPr>
                <w:rFonts w:hint="eastAsia" w:ascii="宋体" w:hAnsi="宋体" w:eastAsia="宋体" w:cs="宋体"/>
                <w:color w:val="auto"/>
                <w:sz w:val="21"/>
                <w:szCs w:val="21"/>
                <w:highlight w:val="none"/>
                <w:lang w:val="en-US" w:eastAsia="zh-CN"/>
              </w:rPr>
              <w:t>支持对外观进行修改，具体为具有表面处理功能</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表面处理应包含金属光感、拉丝、哑光、铸造、抛光、棋盘格、铬、花岗石纹理和大理石；</w:t>
            </w:r>
            <w:r>
              <w:rPr>
                <w:rFonts w:hint="eastAsia" w:ascii="宋体" w:hAnsi="宋体" w:eastAsia="宋体" w:cs="宋体"/>
                <w:color w:val="auto"/>
                <w:sz w:val="21"/>
                <w:szCs w:val="21"/>
                <w:highlight w:val="none"/>
              </w:rPr>
              <w:t>可以修改周围环境属性，例如：光源的添加、修改、删除。</w:t>
            </w:r>
          </w:p>
          <w:p w14:paraId="62F4709F">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软件须支持实时查看实际加工的仿真效果，须提供全机床仿真、实体仿真、刀轨仿真的仿真模式，须模拟机床实际加工过程；仿真可以支持对于零件、夹具、坯料、工作台、夹持、刀架等加工附件的</w:t>
            </w:r>
            <w:r>
              <w:rPr>
                <w:rFonts w:hint="eastAsia" w:ascii="宋体" w:hAnsi="宋体" w:eastAsia="宋体" w:cs="宋体"/>
                <w:color w:val="auto"/>
                <w:sz w:val="21"/>
                <w:szCs w:val="21"/>
                <w:highlight w:val="none"/>
                <w:lang w:val="en-US" w:eastAsia="zh-CN"/>
              </w:rPr>
              <w:t>仿真设置</w:t>
            </w:r>
            <w:r>
              <w:rPr>
                <w:rFonts w:hint="eastAsia" w:ascii="宋体" w:hAnsi="宋体" w:eastAsia="宋体" w:cs="宋体"/>
                <w:color w:val="auto"/>
                <w:sz w:val="21"/>
                <w:szCs w:val="21"/>
                <w:highlight w:val="none"/>
              </w:rPr>
              <w:t>。</w:t>
            </w:r>
          </w:p>
          <w:p w14:paraId="13685DC2">
            <w:pPr>
              <w:keepNext w:val="0"/>
              <w:keepLines w:val="0"/>
              <w:pageBreakBefore w:val="0"/>
              <w:widowControl/>
              <w:numPr>
                <w:ilvl w:val="0"/>
                <w:numId w:val="0"/>
              </w:numPr>
              <w:kinsoku/>
              <w:wordWrap/>
              <w:overflowPunct/>
              <w:topLinePunct w:val="0"/>
              <w:bidi w:val="0"/>
              <w:adjustRightInd/>
              <w:spacing w:line="400" w:lineRule="exact"/>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21.配置5套及以上不同阶段案例培训（实训内容需与采购人沟通），保证3名及以上教师会操作软件，并在实训现场录制完整的实训操作视频。</w:t>
            </w:r>
          </w:p>
          <w:p w14:paraId="0B816340">
            <w:pPr>
              <w:keepNext w:val="0"/>
              <w:keepLines w:val="0"/>
              <w:pageBreakBefore w:val="0"/>
              <w:widowControl/>
              <w:numPr>
                <w:ilvl w:val="0"/>
                <w:numId w:val="0"/>
              </w:numPr>
              <w:kinsoku/>
              <w:wordWrap/>
              <w:overflowPunct/>
              <w:topLinePunct w:val="0"/>
              <w:bidi w:val="0"/>
              <w:adjustRightInd/>
              <w:spacing w:line="400" w:lineRule="exact"/>
              <w:ind w:left="0" w:leftChars="0" w:firstLine="0" w:firstLineChars="0"/>
              <w:jc w:val="both"/>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auto"/>
                <w:sz w:val="21"/>
                <w:szCs w:val="21"/>
                <w:highlight w:val="none"/>
                <w:lang w:val="en-US" w:eastAsia="zh-CN"/>
              </w:rPr>
              <w:t>22.提供三年内软件无条件升级服务（自验收合格之日起算）；</w:t>
            </w:r>
          </w:p>
        </w:tc>
      </w:tr>
      <w:tr w14:paraId="04BA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tcBorders>
              <w:top w:val="single" w:color="auto" w:sz="4" w:space="0"/>
            </w:tcBorders>
            <w:shd w:val="clear" w:color="auto" w:fill="auto"/>
            <w:vAlign w:val="center"/>
          </w:tcPr>
          <w:p w14:paraId="0F2AC65B">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auto"/>
                <w:sz w:val="21"/>
                <w:szCs w:val="21"/>
                <w:highlight w:val="none"/>
                <w:lang w:val="en-US" w:eastAsia="zh-CN"/>
              </w:rPr>
              <w:t>13</w:t>
            </w:r>
          </w:p>
        </w:tc>
        <w:tc>
          <w:tcPr>
            <w:tcW w:w="1017" w:type="dxa"/>
            <w:tcBorders>
              <w:top w:val="single" w:color="auto" w:sz="4" w:space="0"/>
            </w:tcBorders>
            <w:shd w:val="clear" w:color="auto" w:fill="auto"/>
            <w:vAlign w:val="center"/>
          </w:tcPr>
          <w:p w14:paraId="02600D4D">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auto"/>
                <w:sz w:val="21"/>
                <w:szCs w:val="21"/>
                <w:highlight w:val="none"/>
              </w:rPr>
              <w:t>三视图考评软件</w:t>
            </w:r>
          </w:p>
        </w:tc>
        <w:tc>
          <w:tcPr>
            <w:tcW w:w="633" w:type="dxa"/>
            <w:gridSpan w:val="2"/>
            <w:tcBorders>
              <w:top w:val="single" w:color="auto" w:sz="4" w:space="0"/>
            </w:tcBorders>
            <w:shd w:val="clear" w:color="auto" w:fill="FFFFFF"/>
            <w:vAlign w:val="center"/>
          </w:tcPr>
          <w:p w14:paraId="7496B5C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631" w:type="dxa"/>
            <w:tcBorders>
              <w:top w:val="single" w:color="auto" w:sz="4" w:space="0"/>
            </w:tcBorders>
            <w:shd w:val="clear" w:color="auto" w:fill="auto"/>
            <w:vAlign w:val="center"/>
          </w:tcPr>
          <w:p w14:paraId="3D59E1E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套</w:t>
            </w:r>
          </w:p>
        </w:tc>
        <w:tc>
          <w:tcPr>
            <w:tcW w:w="7344" w:type="dxa"/>
            <w:tcBorders>
              <w:top w:val="single" w:color="auto" w:sz="4" w:space="0"/>
            </w:tcBorders>
            <w:shd w:val="clear" w:color="auto" w:fill="auto"/>
            <w:vAlign w:val="center"/>
          </w:tcPr>
          <w:p w14:paraId="0BF8E866">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软件须具备管理员、教师、学生三种角色，可根据不同角色的账号登录软件。</w:t>
            </w:r>
          </w:p>
          <w:p w14:paraId="78844C84">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管理员端须支持添加院/系和班级，须支持单个添加用户和批量导入用户；须支持查看软件中的资源；须支持备份用户数据、导入本地数据。</w:t>
            </w:r>
          </w:p>
          <w:p w14:paraId="49405705">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系统题库须不少于500道题目，题目类型包括投影的基础知识、简单几何体的投影、立体表面的交线、组合体、剖视图。其中，几何体的投影相关题目配套3D模型。系统题库中的题目区分难中易三个难度等级。</w:t>
            </w:r>
          </w:p>
          <w:p w14:paraId="42D2B5EB">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管理员端和教师端须支持添加题目的功能。可在线绘制直线、圆弧、圆、样条曲线等图元，具有网格捕捉、正交、清屏和多步撤销等辅助绘图功能，具有平移、复制、旋转、镜像、裁剪、倒角等修改功能，支持多种标注功能：文字标签、剖面线填充功能，满足绘制三视图需求。</w:t>
            </w:r>
          </w:p>
          <w:p w14:paraId="7AAB2161">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教师端须支持发起评价，可以自由设置评价时长、题目。</w:t>
            </w:r>
          </w:p>
          <w:p w14:paraId="771945B6">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软件须具备随机抽题和手动选题两种模式，随机抽题支持优先抽取得分率低的题，满足不同教师对出题方式的不同要求。</w:t>
            </w:r>
          </w:p>
          <w:p w14:paraId="45F05E1D">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软件须具备学生绘图练习功能，支持学生自行从题库中选取所需题目进行不限时间的训练，并实时反馈答题情况。</w:t>
            </w:r>
          </w:p>
          <w:p w14:paraId="57ED6694">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软件须支持自动评分功能，对实线、虚线进行对比</w:t>
            </w:r>
            <w:r>
              <w:rPr>
                <w:rFonts w:hint="eastAsia" w:ascii="宋体" w:hAnsi="宋体" w:eastAsia="宋体" w:cs="宋体"/>
                <w:color w:val="auto"/>
                <w:sz w:val="21"/>
                <w:szCs w:val="21"/>
                <w:highlight w:val="none"/>
                <w:lang w:val="en-US" w:eastAsia="zh-CN"/>
              </w:rPr>
              <w:t>打分</w:t>
            </w:r>
            <w:r>
              <w:rPr>
                <w:rFonts w:hint="eastAsia" w:ascii="宋体" w:hAnsi="宋体" w:eastAsia="宋体" w:cs="宋体"/>
                <w:color w:val="auto"/>
                <w:sz w:val="21"/>
                <w:szCs w:val="21"/>
                <w:highlight w:val="none"/>
              </w:rPr>
              <w:t>，并可标注出错误。</w:t>
            </w:r>
          </w:p>
          <w:p w14:paraId="5B3F5E61">
            <w:pPr>
              <w:keepNext w:val="0"/>
              <w:keepLines w:val="0"/>
              <w:pageBreakBefore w:val="0"/>
              <w:widowControl/>
              <w:numPr>
                <w:ilvl w:val="0"/>
                <w:numId w:val="0"/>
              </w:numPr>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软件须支持试卷批注功能，教师可以对学生试卷添加图文形式的批注，并可将批</w:t>
            </w: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进行存储，便于快速调用。</w:t>
            </w:r>
          </w:p>
          <w:p w14:paraId="3054B16E">
            <w:pPr>
              <w:keepNext w:val="0"/>
              <w:keepLines w:val="0"/>
              <w:pageBreakBefore w:val="0"/>
              <w:widowControl/>
              <w:numPr>
                <w:ilvl w:val="0"/>
                <w:numId w:val="0"/>
              </w:numPr>
              <w:kinsoku/>
              <w:wordWrap/>
              <w:overflowPunct/>
              <w:topLinePunct w:val="0"/>
              <w:bidi w:val="0"/>
              <w:adjustRightInd/>
              <w:spacing w:line="400" w:lineRule="exact"/>
              <w:ind w:left="0" w:leftChars="0" w:firstLine="0" w:firstLineChars="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auto"/>
                <w:sz w:val="21"/>
                <w:szCs w:val="21"/>
                <w:highlight w:val="none"/>
                <w:lang w:val="en-US" w:eastAsia="zh-CN"/>
              </w:rPr>
              <w:t>10.配置5套及以上不同阶段的案例培训（实训内容需与采购人沟通），保证3名及以上教师会操作该软件，并在实训现场录制完整的实训操作视频。</w:t>
            </w:r>
          </w:p>
        </w:tc>
      </w:tr>
      <w:tr w14:paraId="5580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shd w:val="clear" w:color="auto" w:fill="auto"/>
            <w:vAlign w:val="center"/>
          </w:tcPr>
          <w:p w14:paraId="77B0C97E">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auto"/>
                <w:sz w:val="21"/>
                <w:szCs w:val="21"/>
                <w:highlight w:val="none"/>
                <w:lang w:val="en-US" w:eastAsia="zh-CN"/>
              </w:rPr>
              <w:t>14</w:t>
            </w:r>
          </w:p>
        </w:tc>
        <w:tc>
          <w:tcPr>
            <w:tcW w:w="1017" w:type="dxa"/>
            <w:shd w:val="clear" w:color="auto" w:fill="auto"/>
            <w:vAlign w:val="center"/>
          </w:tcPr>
          <w:p w14:paraId="67C8B59A">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auto"/>
                <w:sz w:val="21"/>
                <w:szCs w:val="21"/>
                <w:highlight w:val="none"/>
              </w:rPr>
              <w:t>机械拆装教学系统</w:t>
            </w:r>
          </w:p>
        </w:tc>
        <w:tc>
          <w:tcPr>
            <w:tcW w:w="633" w:type="dxa"/>
            <w:gridSpan w:val="2"/>
            <w:shd w:val="clear" w:color="auto" w:fill="FFFFFF"/>
            <w:vAlign w:val="center"/>
          </w:tcPr>
          <w:p w14:paraId="2E3DAFD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25</w:t>
            </w:r>
          </w:p>
        </w:tc>
        <w:tc>
          <w:tcPr>
            <w:tcW w:w="631" w:type="dxa"/>
            <w:shd w:val="clear" w:color="auto" w:fill="auto"/>
            <w:vAlign w:val="center"/>
          </w:tcPr>
          <w:p w14:paraId="169BDD7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节点</w:t>
            </w:r>
          </w:p>
        </w:tc>
        <w:tc>
          <w:tcPr>
            <w:tcW w:w="7344" w:type="dxa"/>
            <w:shd w:val="clear" w:color="auto" w:fill="auto"/>
            <w:vAlign w:val="center"/>
          </w:tcPr>
          <w:p w14:paraId="18D71C15">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1.软件须支持窗口和全屏两种模式，并支持高亮颜色设置，窗口模式下须支持分辨率切换。</w:t>
            </w:r>
          </w:p>
          <w:p w14:paraId="259C2AAA">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sz w:val="21"/>
                <w:szCs w:val="21"/>
                <w:highlight w:val="none"/>
              </w:rPr>
              <w:t>2.软件应至少包含阀类、泵类、减速器类和功能部件类这四大类机械装配体，且总数量不少于20个。</w:t>
            </w:r>
          </w:p>
          <w:p w14:paraId="17A424F7">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sz w:val="21"/>
                <w:szCs w:val="21"/>
                <w:highlight w:val="none"/>
              </w:rPr>
              <w:t>3.装配体的显示须为二维图纸和三维模型同屏显示，二维图纸和三维模型之间须相互关联，点击零件按钮时，二维图纸和三维模型中对应零件可同步高亮显示；点击三维模型零件，对应零件按钮和二维图纸中对应零件可同步高亮显示。</w:t>
            </w:r>
          </w:p>
          <w:p w14:paraId="6DD27D94">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.三维模型须可拖曳、旋转、放大和缩小。</w:t>
            </w:r>
          </w:p>
          <w:p w14:paraId="1A2B49B1">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.二维图纸的显示窗口可放大缩小且二维图纸须可进行缩放与平移。</w:t>
            </w:r>
          </w:p>
          <w:p w14:paraId="18E9258A">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z w:val="21"/>
                <w:szCs w:val="21"/>
                <w:highlight w:val="none"/>
                <w:lang w:val="en-US"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.装配体三维模型须可演示其原理动画；原理动画演示过程须可调整观察视角且具有暂停和播放功能，须可一次性隐藏非运动部件。</w:t>
            </w:r>
          </w:p>
        </w:tc>
      </w:tr>
      <w:tr w14:paraId="442A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shd w:val="clear" w:color="auto" w:fill="auto"/>
            <w:vAlign w:val="center"/>
          </w:tcPr>
          <w:p w14:paraId="2BD3AD64">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1017" w:type="dxa"/>
            <w:shd w:val="clear" w:color="auto" w:fill="auto"/>
            <w:vAlign w:val="center"/>
          </w:tcPr>
          <w:p w14:paraId="273948C2">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软件增值服务</w:t>
            </w:r>
          </w:p>
        </w:tc>
        <w:tc>
          <w:tcPr>
            <w:tcW w:w="633" w:type="dxa"/>
            <w:gridSpan w:val="2"/>
            <w:shd w:val="clear" w:color="auto" w:fill="FFFFFF"/>
            <w:vAlign w:val="center"/>
          </w:tcPr>
          <w:p w14:paraId="566CBF0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631" w:type="dxa"/>
            <w:shd w:val="clear" w:color="auto" w:fill="auto"/>
            <w:vAlign w:val="center"/>
          </w:tcPr>
          <w:p w14:paraId="1BCC99C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项</w:t>
            </w:r>
          </w:p>
        </w:tc>
        <w:tc>
          <w:tcPr>
            <w:tcW w:w="7344" w:type="dxa"/>
            <w:shd w:val="clear" w:color="auto" w:fill="auto"/>
            <w:vAlign w:val="center"/>
          </w:tcPr>
          <w:p w14:paraId="2FEF27DF">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机械CAD教育版软件</w:t>
            </w:r>
            <w:r>
              <w:rPr>
                <w:rFonts w:hint="eastAsia" w:ascii="宋体" w:hAnsi="宋体" w:eastAsia="宋体" w:cs="宋体"/>
                <w:color w:val="auto"/>
                <w:sz w:val="21"/>
                <w:szCs w:val="21"/>
                <w:highlight w:val="none"/>
                <w:lang w:val="en-US" w:eastAsia="zh-CN"/>
              </w:rPr>
              <w:t>》配置5套及以上不同阶段案例培训（实训内容需与采购人沟通），保证3名及以上教师会操作软件，并在实训现场录制完整的实训操作视频。</w:t>
            </w:r>
          </w:p>
          <w:p w14:paraId="7ECB42E3">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3D平台设计教育版软件</w:t>
            </w:r>
            <w:r>
              <w:rPr>
                <w:rFonts w:hint="eastAsia" w:ascii="宋体" w:hAnsi="宋体" w:eastAsia="宋体" w:cs="宋体"/>
                <w:color w:val="auto"/>
                <w:sz w:val="21"/>
                <w:szCs w:val="21"/>
                <w:highlight w:val="none"/>
                <w:lang w:val="en-US" w:eastAsia="zh-CN"/>
              </w:rPr>
              <w:t>》配置5套及以上不同阶段案例培训（实训内容需与采购人沟通），保证3名及以上教师会操作软件，并在实训现场录制完整的实训操作视频。</w:t>
            </w:r>
          </w:p>
          <w:p w14:paraId="3E755C17">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eastAsia="宋体" w:cs="宋体"/>
                <w:bCs/>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三视图考评软件</w:t>
            </w:r>
            <w:r>
              <w:rPr>
                <w:rFonts w:hint="eastAsia" w:ascii="宋体" w:hAnsi="宋体" w:eastAsia="宋体" w:cs="宋体"/>
                <w:color w:val="auto"/>
                <w:sz w:val="21"/>
                <w:szCs w:val="21"/>
                <w:highlight w:val="none"/>
                <w:lang w:val="en-US" w:eastAsia="zh-CN"/>
              </w:rPr>
              <w:t>》配置5套及以上不同阶段的案例培训（实训内容需与采购人沟通），保证3名及以上教师会操作该软件，并在实训现场录制完整的实训操作视频。</w:t>
            </w:r>
          </w:p>
        </w:tc>
      </w:tr>
      <w:tr w14:paraId="6EF9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3" w:type="dxa"/>
            <w:shd w:val="clear" w:color="auto" w:fill="auto"/>
            <w:vAlign w:val="center"/>
          </w:tcPr>
          <w:p w14:paraId="4B2CD9D1">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auto"/>
                <w:sz w:val="21"/>
                <w:szCs w:val="21"/>
                <w:highlight w:val="none"/>
                <w:lang w:val="en-US" w:eastAsia="zh-CN"/>
              </w:rPr>
              <w:t>16</w:t>
            </w:r>
          </w:p>
        </w:tc>
        <w:tc>
          <w:tcPr>
            <w:tcW w:w="1017" w:type="dxa"/>
            <w:shd w:val="clear" w:color="auto" w:fill="auto"/>
            <w:vAlign w:val="center"/>
          </w:tcPr>
          <w:p w14:paraId="11139563">
            <w:pPr>
              <w:keepNext w:val="0"/>
              <w:keepLines w:val="0"/>
              <w:pageBreakBefore w:val="0"/>
              <w:widowControl/>
              <w:kinsoku/>
              <w:wordWrap/>
              <w:overflowPunct/>
              <w:topLinePunct w:val="0"/>
              <w:bidi w:val="0"/>
              <w:adjustRightIn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auto"/>
                <w:sz w:val="21"/>
                <w:szCs w:val="21"/>
                <w:highlight w:val="none"/>
                <w:lang w:eastAsia="zh-CN"/>
              </w:rPr>
              <w:t>实训室基础改造建设</w:t>
            </w:r>
          </w:p>
        </w:tc>
        <w:tc>
          <w:tcPr>
            <w:tcW w:w="633" w:type="dxa"/>
            <w:gridSpan w:val="2"/>
            <w:shd w:val="clear" w:color="auto" w:fill="FFFFFF"/>
            <w:vAlign w:val="center"/>
          </w:tcPr>
          <w:p w14:paraId="0C898D2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631" w:type="dxa"/>
            <w:shd w:val="clear" w:color="auto" w:fill="auto"/>
            <w:vAlign w:val="center"/>
          </w:tcPr>
          <w:p w14:paraId="09AA77B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项</w:t>
            </w:r>
          </w:p>
        </w:tc>
        <w:tc>
          <w:tcPr>
            <w:tcW w:w="7344" w:type="dxa"/>
            <w:shd w:val="clear" w:color="auto" w:fill="auto"/>
            <w:vAlign w:val="center"/>
          </w:tcPr>
          <w:p w14:paraId="1721921D">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配套本项目的实训室基础改造建设内容，包括但不限于完成本项目所须的：</w:t>
            </w:r>
          </w:p>
          <w:p w14:paraId="3ABEF0EC">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瓷砖面开槽与恢复不锈钢盖板：盖板厚度≥0.8mm；弱电线路应独立敷设，强弱电平行敷设间距、交叉处垂直间距符合国家、地区及行业规范，交叉部位采用金属屏蔽管或锡箔包裹；禁止强弱电同管敷设；管槽铺设整齐集中，横平竖直；过墙、板打眼穿管后采用阻燃材料封堵墙洞并恢复墙面整洁。</w:t>
            </w:r>
          </w:p>
          <w:p w14:paraId="22E558C0">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.空调处强电成端：对原有空调设备做线路整改，引入一键启动电箱，确保空调设备安全运行。</w:t>
            </w:r>
          </w:p>
          <w:p w14:paraId="38DAB1A0">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.教室音响安装以及系统调试：对原有音响设备做线路整改，引入一键启动电箱；系统调试应符合国家、地区及行业规范、标准，确保声音清晰无啸叫</w:t>
            </w:r>
            <w:r>
              <w:rPr>
                <w:rFonts w:hint="eastAsia" w:ascii="宋体" w:hAnsi="宋体" w:eastAsia="宋体" w:cs="宋体"/>
                <w:color w:val="auto"/>
                <w:sz w:val="21"/>
                <w:szCs w:val="21"/>
                <w:highlight w:val="none"/>
                <w:lang w:eastAsia="zh-CN"/>
              </w:rPr>
              <w:t>。</w:t>
            </w:r>
          </w:p>
          <w:p w14:paraId="21265342">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工位取电插座：每个电脑工位配置独立电源插座模块（带安全保护门）；插座阻燃外壳（阻燃等级V0级）；插座模块安装于工位桌面下方或侧方专用线槽盒内，走线隐蔽，不外露杂乱线缆；插座数量与工位电脑及显示器数量匹配（每工位不少于2个三孔插座+1个二孔插座）。预计电路分6路，利用1.5平方铜线并入6平方主线。</w:t>
            </w:r>
          </w:p>
          <w:p w14:paraId="39DD0A11">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.文化墙建设主要包括：</w:t>
            </w:r>
          </w:p>
          <w:p w14:paraId="3A99E8E9">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 四周墙壁的整体设计与布置：侧墙靠窗建设2块文化墙（共约2.1平方米），靠走廊建设2块文化墙（共约1.9平方米），教室后墙约11.25平方米。</w:t>
            </w:r>
          </w:p>
          <w:p w14:paraId="075F3652">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 实训室相关管理标准的制作与上墙安装：制作并安装实训室管理制度、安全操作规程、设备使用规范、应急预案等标牌，标牌材质采用双面亚克力材质，单张尺寸≥800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600mm；数量不少于6张。含安装所需五金配件，采用膨胀螺栓或不锈钢广告钉固定，安装位置以采购人确认为准。</w:t>
            </w:r>
          </w:p>
          <w:p w14:paraId="46884BCE">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 其他实训室配套内涵建设。</w:t>
            </w:r>
          </w:p>
          <w:p w14:paraId="0E8020EA">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④最终制作方案均须经采购人确认后方可实施。</w:t>
            </w:r>
          </w:p>
          <w:p w14:paraId="4C1C3B55">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.提供并安装施工辅材（包含但不限于）：线管（PVC/金属）、线槽、底盒、面板、标签标识、扎带等辅材，规格与主材匹配；</w:t>
            </w:r>
          </w:p>
          <w:p w14:paraId="27FB111D">
            <w:pPr>
              <w:keepNext w:val="0"/>
              <w:keepLines w:val="0"/>
              <w:pageBreakBefore w:val="0"/>
              <w:widowControl/>
              <w:kinsoku/>
              <w:wordWrap/>
              <w:overflowPunct/>
              <w:topLinePunct w:val="0"/>
              <w:bidi w:val="0"/>
              <w:adjustRightIn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.竣工资料要求：施工完成后须提交竣工图纸（DWG格式及PDF格式，标注管线路由和点位）、设备清单、产品合格证、测试报告（网线Fluke测试、强电绝缘测试等）。</w:t>
            </w:r>
          </w:p>
        </w:tc>
      </w:tr>
      <w:tr w14:paraId="1C8A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08" w:type="dxa"/>
            <w:gridSpan w:val="6"/>
            <w:tcBorders>
              <w:top w:val="single" w:color="auto" w:sz="4" w:space="0"/>
              <w:bottom w:val="single" w:color="auto" w:sz="4" w:space="0"/>
            </w:tcBorders>
            <w:shd w:val="clear" w:color="auto" w:fill="auto"/>
            <w:vAlign w:val="center"/>
          </w:tcPr>
          <w:p w14:paraId="3DDAB0C4">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一、</w:t>
            </w:r>
            <w:r>
              <w:rPr>
                <w:rFonts w:hint="eastAsia" w:ascii="宋体" w:hAnsi="宋体" w:eastAsia="宋体" w:cs="宋体"/>
                <w:b/>
                <w:bCs/>
                <w:color w:val="000000" w:themeColor="text1"/>
                <w:kern w:val="0"/>
                <w:sz w:val="21"/>
                <w:szCs w:val="21"/>
                <w:highlight w:val="none"/>
                <w:lang w:bidi="ar"/>
                <w14:textFill>
                  <w14:solidFill>
                    <w14:schemeClr w14:val="tx1"/>
                  </w14:solidFill>
                </w14:textFill>
              </w:rPr>
              <w:t xml:space="preserve">商务条款 </w:t>
            </w:r>
          </w:p>
        </w:tc>
      </w:tr>
      <w:tr w14:paraId="1F7A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shd w:val="clear" w:color="auto" w:fill="auto"/>
            <w:vAlign w:val="center"/>
          </w:tcPr>
          <w:p w14:paraId="616B96F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规范标准</w:t>
            </w:r>
          </w:p>
        </w:tc>
        <w:tc>
          <w:tcPr>
            <w:tcW w:w="8608" w:type="dxa"/>
            <w:gridSpan w:val="4"/>
            <w:tcBorders>
              <w:top w:val="single" w:color="auto" w:sz="4" w:space="0"/>
              <w:bottom w:val="single" w:color="auto" w:sz="4" w:space="0"/>
            </w:tcBorders>
            <w:shd w:val="clear" w:color="auto" w:fill="auto"/>
            <w:vAlign w:val="center"/>
          </w:tcPr>
          <w:p w14:paraId="6BB8174B">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z w:val="21"/>
                <w:szCs w:val="21"/>
                <w:highlight w:val="none"/>
              </w:rPr>
              <w:t>采购标的需执行的国家标准、行业标准、地方标准或者其他标准、规范。多项标准的，按最新标准或较高标准执行。</w:t>
            </w:r>
          </w:p>
        </w:tc>
      </w:tr>
      <w:tr w14:paraId="63CC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shd w:val="clear" w:color="auto" w:fill="auto"/>
            <w:vAlign w:val="top"/>
          </w:tcPr>
          <w:p w14:paraId="0C610F6D">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sz w:val="21"/>
                <w:szCs w:val="21"/>
                <w:highlight w:val="none"/>
              </w:rPr>
              <w:t>合同签订期</w:t>
            </w:r>
          </w:p>
        </w:tc>
        <w:tc>
          <w:tcPr>
            <w:tcW w:w="8608" w:type="dxa"/>
            <w:gridSpan w:val="4"/>
            <w:tcBorders>
              <w:top w:val="single" w:color="auto" w:sz="4" w:space="0"/>
              <w:bottom w:val="single" w:color="auto" w:sz="4" w:space="0"/>
            </w:tcBorders>
            <w:shd w:val="clear" w:color="auto" w:fill="auto"/>
            <w:vAlign w:val="top"/>
          </w:tcPr>
          <w:p w14:paraId="7AE60487">
            <w:pPr>
              <w:keepNext w:val="0"/>
              <w:keepLines w:val="0"/>
              <w:pageBreakBefore w:val="0"/>
              <w:kinsoku/>
              <w:wordWrap/>
              <w:overflowPunct/>
              <w:topLinePunct w:val="0"/>
              <w:autoSpaceDE w:val="0"/>
              <w:autoSpaceDN w:val="0"/>
              <w:bidi w:val="0"/>
              <w:adjustRightInd/>
              <w:snapToGrid/>
              <w:spacing w:line="400" w:lineRule="exac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z w:val="21"/>
                <w:szCs w:val="21"/>
                <w:highlight w:val="none"/>
              </w:rPr>
              <w:t>自成交通知书发出之日起 25日内中标人须与采购人签订好合同。</w:t>
            </w:r>
          </w:p>
        </w:tc>
      </w:tr>
      <w:tr w14:paraId="199C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shd w:val="clear" w:color="auto" w:fill="auto"/>
            <w:vAlign w:val="center"/>
          </w:tcPr>
          <w:p w14:paraId="1E486C1C">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交货时间及地点</w:t>
            </w:r>
          </w:p>
        </w:tc>
        <w:tc>
          <w:tcPr>
            <w:tcW w:w="8608" w:type="dxa"/>
            <w:gridSpan w:val="4"/>
            <w:tcBorders>
              <w:top w:val="single" w:color="auto" w:sz="4" w:space="0"/>
              <w:bottom w:val="single" w:color="auto" w:sz="4" w:space="0"/>
            </w:tcBorders>
            <w:shd w:val="clear" w:color="auto" w:fill="auto"/>
            <w:vAlign w:val="center"/>
          </w:tcPr>
          <w:p w14:paraId="5656E422">
            <w:pPr>
              <w:keepNext w:val="0"/>
              <w:keepLines w:val="0"/>
              <w:pageBreakBefore w:val="0"/>
              <w:kinsoku/>
              <w:wordWrap/>
              <w:overflowPunct/>
              <w:topLinePunct w:val="0"/>
              <w:autoSpaceDE w:val="0"/>
              <w:autoSpaceDN w:val="0"/>
              <w:bidi w:val="0"/>
              <w:adjustRightInd/>
              <w:snapToGrid/>
              <w:spacing w:line="400" w:lineRule="exact"/>
              <w:rPr>
                <w:rFonts w:hint="eastAsia" w:ascii="宋体" w:hAnsi="宋体" w:eastAsia="宋体" w:cs="宋体"/>
                <w:kern w:val="0"/>
                <w:sz w:val="21"/>
                <w:szCs w:val="21"/>
                <w:highlight w:val="none"/>
                <w:lang w:val="zh-CN"/>
              </w:rPr>
            </w:pPr>
            <w:r>
              <w:rPr>
                <w:rFonts w:hint="eastAsia" w:ascii="宋体" w:hAnsi="宋体" w:eastAsia="宋体" w:cs="宋体"/>
                <w:sz w:val="21"/>
                <w:szCs w:val="21"/>
                <w:highlight w:val="none"/>
              </w:rPr>
              <w:t>1.交货</w:t>
            </w:r>
            <w:r>
              <w:rPr>
                <w:rFonts w:hint="eastAsia" w:ascii="宋体" w:hAnsi="宋体" w:eastAsia="宋体" w:cs="宋体"/>
                <w:kern w:val="0"/>
                <w:sz w:val="21"/>
                <w:szCs w:val="21"/>
                <w:highlight w:val="none"/>
                <w:lang w:val="zh-CN"/>
              </w:rPr>
              <w:t>时间</w:t>
            </w:r>
            <w:r>
              <w:rPr>
                <w:rFonts w:hint="eastAsia" w:ascii="宋体" w:hAnsi="宋体" w:eastAsia="宋体" w:cs="宋体"/>
                <w:sz w:val="21"/>
                <w:szCs w:val="21"/>
                <w:highlight w:val="none"/>
              </w:rPr>
              <w:t>：自签订合同之日起</w:t>
            </w:r>
            <w:r>
              <w:rPr>
                <w:rFonts w:hint="eastAsia" w:ascii="宋体" w:hAnsi="宋体" w:eastAsia="宋体" w:cs="宋体"/>
                <w:sz w:val="21"/>
                <w:szCs w:val="21"/>
                <w:highlight w:val="none"/>
                <w:u w:val="single"/>
              </w:rPr>
              <w:t xml:space="preserve">  60  </w:t>
            </w:r>
            <w:r>
              <w:rPr>
                <w:rFonts w:hint="eastAsia" w:ascii="宋体" w:hAnsi="宋体" w:eastAsia="宋体" w:cs="宋体"/>
                <w:sz w:val="21"/>
                <w:szCs w:val="21"/>
                <w:highlight w:val="none"/>
              </w:rPr>
              <w:t>日内所有货物、成果交付完成，货物安装调试完毕并交付使用，同时经采购人验收合格</w:t>
            </w:r>
            <w:r>
              <w:rPr>
                <w:rFonts w:hint="eastAsia" w:ascii="宋体" w:hAnsi="宋体" w:eastAsia="宋体" w:cs="宋体"/>
                <w:kern w:val="0"/>
                <w:sz w:val="21"/>
                <w:szCs w:val="21"/>
                <w:highlight w:val="none"/>
              </w:rPr>
              <w:t>。</w:t>
            </w:r>
          </w:p>
          <w:p w14:paraId="76F15D30">
            <w:pPr>
              <w:keepNext w:val="0"/>
              <w:keepLines w:val="0"/>
              <w:pageBreakBefore w:val="0"/>
              <w:kinsoku/>
              <w:wordWrap/>
              <w:overflowPunct/>
              <w:topLinePunct w:val="0"/>
              <w:bidi w:val="0"/>
              <w:adjustRightInd/>
              <w:snapToGrid/>
              <w:spacing w:line="400" w:lineRule="exact"/>
              <w:rPr>
                <w:rFonts w:hint="eastAsia" w:ascii="宋体" w:hAnsi="宋体" w:eastAsia="宋体" w:cs="宋体"/>
                <w:kern w:val="0"/>
                <w:sz w:val="21"/>
                <w:szCs w:val="21"/>
                <w:highlight w:val="none"/>
              </w:rPr>
            </w:pPr>
            <w:r>
              <w:rPr>
                <w:rFonts w:hint="eastAsia" w:ascii="宋体" w:hAnsi="宋体" w:eastAsia="宋体" w:cs="宋体"/>
                <w:sz w:val="21"/>
                <w:szCs w:val="21"/>
                <w:highlight w:val="none"/>
              </w:rPr>
              <w:t>2.交货地点：</w:t>
            </w:r>
            <w:r>
              <w:rPr>
                <w:rFonts w:hint="eastAsia" w:ascii="宋体" w:hAnsi="宋体" w:eastAsia="宋体" w:cs="宋体"/>
                <w:kern w:val="0"/>
                <w:sz w:val="21"/>
                <w:szCs w:val="21"/>
                <w:highlight w:val="none"/>
              </w:rPr>
              <w:t>广西</w:t>
            </w:r>
            <w:r>
              <w:rPr>
                <w:rFonts w:hint="eastAsia" w:ascii="宋体" w:hAnsi="宋体" w:eastAsia="宋体" w:cs="宋体"/>
                <w:sz w:val="21"/>
                <w:szCs w:val="21"/>
                <w:highlight w:val="none"/>
              </w:rPr>
              <w:t>南宁市</w:t>
            </w:r>
            <w:r>
              <w:rPr>
                <w:rFonts w:hint="eastAsia" w:ascii="宋体" w:hAnsi="宋体" w:eastAsia="宋体" w:cs="宋体"/>
                <w:sz w:val="21"/>
                <w:szCs w:val="21"/>
                <w:highlight w:val="none"/>
                <w:u w:val="single"/>
              </w:rPr>
              <w:t>武鸣区（广西—东盟经济技术开发区）宝源南路29号广西制造工程职业技术学院校内</w:t>
            </w:r>
            <w:r>
              <w:rPr>
                <w:rFonts w:hint="eastAsia" w:ascii="宋体" w:hAnsi="宋体" w:eastAsia="宋体" w:cs="宋体"/>
                <w:sz w:val="21"/>
                <w:szCs w:val="21"/>
                <w:highlight w:val="none"/>
              </w:rPr>
              <w:t>（采购人指定地点）</w:t>
            </w:r>
            <w:r>
              <w:rPr>
                <w:rFonts w:hint="eastAsia" w:ascii="宋体" w:hAnsi="宋体" w:eastAsia="宋体" w:cs="宋体"/>
                <w:kern w:val="0"/>
                <w:sz w:val="21"/>
                <w:szCs w:val="21"/>
                <w:highlight w:val="none"/>
              </w:rPr>
              <w:t>。</w:t>
            </w:r>
          </w:p>
          <w:p w14:paraId="30B7E777">
            <w:pPr>
              <w:keepNext w:val="0"/>
              <w:keepLines w:val="0"/>
              <w:pageBreakBefore w:val="0"/>
              <w:kinsoku/>
              <w:wordWrap/>
              <w:overflowPunct/>
              <w:topLinePunct w:val="0"/>
              <w:bidi w:val="0"/>
              <w:adjustRightInd/>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rPr>
              <w:t>3.交货方式：现场交货。</w:t>
            </w:r>
          </w:p>
        </w:tc>
      </w:tr>
      <w:tr w14:paraId="6F90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shd w:val="clear" w:color="auto" w:fill="auto"/>
            <w:vAlign w:val="center"/>
          </w:tcPr>
          <w:p w14:paraId="1F2B2FA6">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质保期（保修期）</w:t>
            </w:r>
          </w:p>
        </w:tc>
        <w:tc>
          <w:tcPr>
            <w:tcW w:w="8608" w:type="dxa"/>
            <w:gridSpan w:val="4"/>
            <w:tcBorders>
              <w:top w:val="single" w:color="auto" w:sz="4" w:space="0"/>
              <w:bottom w:val="single" w:color="auto" w:sz="4" w:space="0"/>
            </w:tcBorders>
            <w:shd w:val="clear" w:color="auto" w:fill="auto"/>
            <w:vAlign w:val="center"/>
          </w:tcPr>
          <w:p w14:paraId="6D7A2AF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1.列表中“技术要求”另有要求的按要求执行；未有要求的，按国家有关产品“三包”规定执行“三包”，自项目验收合格之日起计算，产品质保期最短不少于</w:t>
            </w:r>
            <w:r>
              <w:rPr>
                <w:rFonts w:hint="eastAsia" w:ascii="宋体" w:hAnsi="宋体" w:eastAsia="宋体" w:cs="宋体"/>
                <w:sz w:val="21"/>
                <w:szCs w:val="21"/>
                <w:highlight w:val="none"/>
                <w:u w:val="single"/>
              </w:rPr>
              <w:t xml:space="preserve">  1  </w:t>
            </w:r>
            <w:r>
              <w:rPr>
                <w:rFonts w:hint="eastAsia" w:ascii="宋体" w:hAnsi="宋体" w:eastAsia="宋体" w:cs="宋体"/>
                <w:sz w:val="21"/>
                <w:szCs w:val="21"/>
                <w:highlight w:val="none"/>
              </w:rPr>
              <w:t>年(软件部分，质保期自交货并验收合格之日起计不少于三年，质保期内</w:t>
            </w:r>
            <w:r>
              <w:rPr>
                <w:rFonts w:hint="eastAsia" w:ascii="宋体" w:hAnsi="宋体" w:eastAsia="宋体" w:cs="宋体"/>
                <w:sz w:val="21"/>
                <w:szCs w:val="21"/>
                <w:highlight w:val="none"/>
                <w:lang w:eastAsia="zh-CN"/>
              </w:rPr>
              <w:t>无条件</w:t>
            </w:r>
            <w:r>
              <w:rPr>
                <w:rFonts w:hint="eastAsia" w:ascii="宋体" w:hAnsi="宋体" w:eastAsia="宋体" w:cs="宋体"/>
                <w:sz w:val="21"/>
                <w:szCs w:val="21"/>
                <w:highlight w:val="none"/>
              </w:rPr>
              <w:t>提供升级服务)。</w:t>
            </w:r>
            <w:r>
              <w:rPr>
                <w:rFonts w:hint="eastAsia" w:ascii="宋体" w:hAnsi="宋体" w:eastAsia="宋体" w:cs="宋体"/>
                <w:b w:val="0"/>
                <w:bCs w:val="0"/>
                <w:color w:val="auto"/>
                <w:sz w:val="21"/>
                <w:szCs w:val="21"/>
                <w:highlight w:val="none"/>
                <w:lang w:eastAsia="zh-CN"/>
              </w:rPr>
              <w:t>如</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具体说明、功能及技术参数要求</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》有特别要求的，应按照其要求执行</w:t>
            </w:r>
            <w:r>
              <w:rPr>
                <w:rFonts w:hint="eastAsia" w:ascii="宋体" w:hAnsi="宋体" w:eastAsia="宋体" w:cs="宋体"/>
                <w:b w:val="0"/>
                <w:bCs w:val="0"/>
                <w:color w:val="auto"/>
                <w:sz w:val="21"/>
                <w:szCs w:val="21"/>
                <w:highlight w:val="none"/>
              </w:rPr>
              <w:t>。</w:t>
            </w:r>
          </w:p>
          <w:p w14:paraId="0111C60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2.若产品质保期或产品生产厂家承诺的质保期超过本项目规定质保期限的，合同执行过程中按产品质保期限或厂家承诺期限执行；若</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承诺的质保期限优于产品质保期或产品生产厂家承诺的，以</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承诺执行。</w:t>
            </w:r>
          </w:p>
          <w:p w14:paraId="34E9826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sz w:val="21"/>
                <w:szCs w:val="21"/>
                <w:highlight w:val="none"/>
              </w:rPr>
              <w:t>3.质保期内负责上门服务、维修、更换配件，不得收取任何费用。质保期满后，终身维护，以不高于市场同类同期的价格优惠提供维修服务和备件更换，所更换备件须提供原厂备件。</w:t>
            </w:r>
          </w:p>
        </w:tc>
      </w:tr>
      <w:tr w14:paraId="7FC5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shd w:val="clear" w:color="auto" w:fill="auto"/>
            <w:vAlign w:val="center"/>
          </w:tcPr>
          <w:p w14:paraId="34B3996B">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售后服务要求</w:t>
            </w:r>
          </w:p>
        </w:tc>
        <w:tc>
          <w:tcPr>
            <w:tcW w:w="8608" w:type="dxa"/>
            <w:gridSpan w:val="4"/>
            <w:tcBorders>
              <w:top w:val="single" w:color="auto" w:sz="4" w:space="0"/>
              <w:bottom w:val="single" w:color="auto" w:sz="4" w:space="0"/>
            </w:tcBorders>
            <w:shd w:val="clear" w:color="auto" w:fill="auto"/>
            <w:vAlign w:val="center"/>
          </w:tcPr>
          <w:p w14:paraId="5F79B5D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列表中“技术要求”另有要求的按要求执行，其余货物售后服务要求如下：</w:t>
            </w:r>
          </w:p>
          <w:p w14:paraId="5A6CF20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按采购人指定的地点负责送货上门、安装、调试，负责培训使用人员和维护人员。</w:t>
            </w:r>
          </w:p>
          <w:p w14:paraId="10D7AF7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必须提供安装、配线以及软硬件的测试和调整服务。系统安装之前，应先对</w:t>
            </w:r>
            <w:r>
              <w:rPr>
                <w:rFonts w:hint="eastAsia" w:ascii="宋体" w:hAnsi="宋体" w:eastAsia="宋体" w:cs="宋体"/>
                <w:sz w:val="21"/>
                <w:szCs w:val="21"/>
                <w:highlight w:val="none"/>
                <w:lang w:eastAsia="zh-CN"/>
              </w:rPr>
              <w:t>采购人的技术</w:t>
            </w:r>
            <w:r>
              <w:rPr>
                <w:rFonts w:hint="eastAsia" w:ascii="宋体" w:hAnsi="宋体" w:eastAsia="宋体" w:cs="宋体"/>
                <w:sz w:val="21"/>
                <w:szCs w:val="21"/>
                <w:highlight w:val="none"/>
              </w:rPr>
              <w:t>人员进行现场培训。开始安装时，应让</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的硬软件和系统集成人员参与安装、检测和排除故障。</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在施工、安装、调试等全过程中接受采购人的监督。</w:t>
            </w:r>
          </w:p>
          <w:p w14:paraId="529BE77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3.在</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承诺的质保期内，设备保修所需要的配件均是原厂原装，不得使用兼容货物。</w:t>
            </w:r>
          </w:p>
          <w:p w14:paraId="287FCE7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在质量保证期内应当为采购人提供以下技术支持和服务：</w:t>
            </w:r>
          </w:p>
          <w:p w14:paraId="08D54A4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（1）电话咨询</w:t>
            </w:r>
          </w:p>
          <w:p w14:paraId="2CDA540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应当为采购人提供技术援助电话，解答采购人在使用中遇到的问题，及时为采购人提出解决问题的建议。</w:t>
            </w:r>
          </w:p>
          <w:p w14:paraId="43B581E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（2）质量问题响应时间：按国家及行业标准进行及时处理，出现质量问题时在</w:t>
            </w:r>
            <w:r>
              <w:rPr>
                <w:rFonts w:hint="eastAsia" w:ascii="宋体" w:hAnsi="宋体" w:eastAsia="宋体" w:cs="宋体"/>
                <w:kern w:val="0"/>
                <w:sz w:val="21"/>
                <w:szCs w:val="21"/>
                <w:highlight w:val="none"/>
                <w:u w:val="single"/>
              </w:rPr>
              <w:t xml:space="preserve">  4  </w:t>
            </w:r>
            <w:r>
              <w:rPr>
                <w:rFonts w:hint="eastAsia" w:ascii="宋体" w:hAnsi="宋体" w:eastAsia="宋体" w:cs="宋体"/>
                <w:sz w:val="21"/>
                <w:szCs w:val="21"/>
                <w:highlight w:val="none"/>
              </w:rPr>
              <w:t>小时内响应，</w:t>
            </w:r>
            <w:r>
              <w:rPr>
                <w:rFonts w:hint="eastAsia" w:ascii="宋体" w:hAnsi="宋体" w:eastAsia="宋体" w:cs="宋体"/>
                <w:kern w:val="0"/>
                <w:sz w:val="21"/>
                <w:szCs w:val="21"/>
                <w:highlight w:val="none"/>
                <w:u w:val="single"/>
              </w:rPr>
              <w:t xml:space="preserve">  24  </w:t>
            </w:r>
            <w:r>
              <w:rPr>
                <w:rFonts w:hint="eastAsia" w:ascii="宋体" w:hAnsi="宋体" w:eastAsia="宋体" w:cs="宋体"/>
                <w:sz w:val="21"/>
                <w:szCs w:val="21"/>
                <w:highlight w:val="none"/>
              </w:rPr>
              <w:t>小时内到达现场；</w:t>
            </w:r>
            <w:r>
              <w:rPr>
                <w:rFonts w:hint="eastAsia" w:ascii="宋体" w:hAnsi="宋体" w:eastAsia="宋体" w:cs="宋体"/>
                <w:kern w:val="0"/>
                <w:sz w:val="21"/>
                <w:szCs w:val="21"/>
                <w:highlight w:val="none"/>
                <w:u w:val="single"/>
              </w:rPr>
              <w:t xml:space="preserve"> 48  </w:t>
            </w:r>
            <w:r>
              <w:rPr>
                <w:rFonts w:hint="eastAsia" w:ascii="宋体" w:hAnsi="宋体" w:eastAsia="宋体" w:cs="宋体"/>
                <w:sz w:val="21"/>
                <w:szCs w:val="21"/>
                <w:highlight w:val="none"/>
              </w:rPr>
              <w:t>小时内解决问题，保证采购人正常使用，产生的一切费用由</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承担。如在规定时间内无法解决质量问题，需提供备用设备，终身提供技术支持。</w:t>
            </w:r>
          </w:p>
          <w:p w14:paraId="727B4E2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（3）技术升级</w:t>
            </w:r>
          </w:p>
          <w:p w14:paraId="77EE604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在质保期内，如果</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的产品或服务升级，</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应及时通知采购人，如采购人有相应要求，</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应对采购人购买的产品或服务进行升级。</w:t>
            </w:r>
          </w:p>
          <w:p w14:paraId="5C9CF32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5.质保期外服务要求</w:t>
            </w:r>
          </w:p>
          <w:p w14:paraId="53A20DC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质量保证期过后，采购人需要继续由原</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提供售后服务的，</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应提供电话咨询服务，并应承诺提供产品或服务上门维护，</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和制造商应以优惠价格提供售后服务。</w:t>
            </w:r>
          </w:p>
          <w:p w14:paraId="68E5CB0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6.备品备件及易损件</w:t>
            </w:r>
          </w:p>
          <w:p w14:paraId="7884E2D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售后服务中，维修使用的备品备件及易损件应为原厂配件，未经采购人同意不得使用非原厂配件。</w:t>
            </w:r>
          </w:p>
          <w:p w14:paraId="3EDC355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7.培训要求：</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对其提供产品或服务的使用和操作应尽培训义务。</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提供培训不少于2次，培训人次不少于30人。</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 xml:space="preserve">应提供对本项目的使用单位进行培训服务，涉及的相关费用应计算在项目报价内，并使使用人员能独立、熟练操作系统。 </w:t>
            </w:r>
          </w:p>
          <w:p w14:paraId="1B5F68E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8.备品备件及耗材等要求：有稳定的备件供应渠道，可以满足</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的设备在升级、扩充和保修服务配件及消耗品等多方面的需求，</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就相关备品备件及耗材价格与采购人友好协商，应以优惠价格提供相关服务。</w:t>
            </w:r>
          </w:p>
          <w:p w14:paraId="6CE17B5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9.提供设备必须是全新、未使用的原装产品，且在正常安装、使用和保养条件下，其使用寿命期内各项指标均达到质量要求。</w:t>
            </w:r>
          </w:p>
        </w:tc>
      </w:tr>
      <w:tr w14:paraId="5011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shd w:val="clear" w:color="auto" w:fill="auto"/>
            <w:vAlign w:val="center"/>
          </w:tcPr>
          <w:p w14:paraId="0EA7E7AF">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付款方式</w:t>
            </w:r>
          </w:p>
        </w:tc>
        <w:tc>
          <w:tcPr>
            <w:tcW w:w="8608" w:type="dxa"/>
            <w:gridSpan w:val="4"/>
            <w:tcBorders>
              <w:top w:val="single" w:color="auto" w:sz="4" w:space="0"/>
              <w:bottom w:val="single" w:color="auto" w:sz="4" w:space="0"/>
            </w:tcBorders>
            <w:shd w:val="clear" w:color="auto" w:fill="auto"/>
            <w:vAlign w:val="center"/>
          </w:tcPr>
          <w:p w14:paraId="5C0CDDF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1.在签订合同后10个工作日内，采购人向</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支付合同总金额的50%作为预付款；全部货物到货、安装调试及试运行完成，且经采购人验收合格后20个工作日内，采购人向</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支付合同总金额的50%余款。</w:t>
            </w:r>
          </w:p>
          <w:p w14:paraId="00898FAC">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2.采购人付款前，</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应向采购人开具等额有效的增值税普通发票，采购人未收到发票的，有权不予支付相应款项直至</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提供合格发票，并不承担延迟付款责任。发票认证通过是付款的必要前提之一。</w:t>
            </w:r>
          </w:p>
          <w:p w14:paraId="5059B200">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3.中标人应按照《广西壮族自治区财政厅关于在政府采购活动中推广使用电子保函的通知》（桂财采〔2023〕92 号）要求，在 “广西政府采购金融服务平台”申请预付款保函，于合同预付款支付前提供给采购人，预付款保函有效期至项目整体验收合格之日。</w:t>
            </w:r>
          </w:p>
        </w:tc>
      </w:tr>
      <w:tr w14:paraId="48A2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shd w:val="clear" w:color="auto" w:fill="auto"/>
            <w:vAlign w:val="center"/>
          </w:tcPr>
          <w:p w14:paraId="2BB1ED5E">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其他要求</w:t>
            </w:r>
          </w:p>
        </w:tc>
        <w:tc>
          <w:tcPr>
            <w:tcW w:w="8608" w:type="dxa"/>
            <w:gridSpan w:val="4"/>
            <w:tcBorders>
              <w:top w:val="single" w:color="auto" w:sz="4" w:space="0"/>
              <w:bottom w:val="single" w:color="auto" w:sz="4" w:space="0"/>
            </w:tcBorders>
            <w:shd w:val="clear" w:color="auto" w:fill="auto"/>
            <w:vAlign w:val="center"/>
          </w:tcPr>
          <w:p w14:paraId="3C8F51C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一、总体要求</w:t>
            </w:r>
          </w:p>
          <w:p w14:paraId="6DEF07F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1.报价要求：本次报价须为人民币报价，包括投标货物（包括备品备件、专用工具等）的价格，投标货物运输（含保险）、安装（如有）、调试、检验、技术服务、培训和</w:t>
            </w:r>
            <w:r>
              <w:rPr>
                <w:rFonts w:hint="eastAsia" w:ascii="宋体" w:hAnsi="宋体" w:eastAsia="宋体" w:cs="宋体"/>
                <w:bCs/>
                <w:color w:val="000000"/>
                <w:sz w:val="21"/>
                <w:szCs w:val="21"/>
                <w:highlight w:val="none"/>
                <w:lang w:eastAsia="zh-CN"/>
              </w:rPr>
              <w:t>招标</w:t>
            </w:r>
            <w:r>
              <w:rPr>
                <w:rFonts w:hint="eastAsia" w:ascii="宋体" w:hAnsi="宋体" w:eastAsia="宋体" w:cs="宋体"/>
                <w:sz w:val="21"/>
                <w:szCs w:val="21"/>
                <w:highlight w:val="none"/>
              </w:rPr>
              <w:t>文件要求提供的所有伴随服务、工程等费用和税费。对于本文件中未列明，而供应商认为必需的费用也需列入总报价。在合同实施时，采购人将不予支付</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没有列入的项目费用，并认为此项目的费用已包括在</w:t>
            </w:r>
            <w:r>
              <w:rPr>
                <w:rFonts w:hint="eastAsia" w:ascii="宋体" w:hAnsi="宋体" w:eastAsia="宋体" w:cs="宋体"/>
                <w:kern w:val="0"/>
                <w:sz w:val="21"/>
                <w:szCs w:val="21"/>
                <w:highlight w:val="none"/>
                <w:lang w:bidi="ar"/>
              </w:rPr>
              <w:t>投</w:t>
            </w:r>
            <w:r>
              <w:rPr>
                <w:rFonts w:hint="eastAsia" w:ascii="宋体" w:hAnsi="宋体" w:eastAsia="宋体" w:cs="宋体"/>
                <w:sz w:val="21"/>
                <w:szCs w:val="21"/>
                <w:highlight w:val="none"/>
              </w:rPr>
              <w:t>标总报价中。</w:t>
            </w:r>
          </w:p>
          <w:p w14:paraId="6F53CD1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不得将项目非法分包或转包给任何单位和个人，否则采购人</w:t>
            </w:r>
            <w:r>
              <w:rPr>
                <w:rFonts w:hint="eastAsia" w:ascii="宋体" w:hAnsi="宋体" w:eastAsia="宋体" w:cs="宋体"/>
                <w:sz w:val="21"/>
                <w:szCs w:val="21"/>
                <w:highlight w:val="none"/>
                <w:lang w:eastAsia="zh-CN"/>
              </w:rPr>
              <w:t>有权依法解除合同</w:t>
            </w:r>
            <w:r>
              <w:rPr>
                <w:rFonts w:hint="eastAsia" w:ascii="宋体" w:hAnsi="宋体" w:eastAsia="宋体" w:cs="宋体"/>
                <w:sz w:val="21"/>
                <w:szCs w:val="21"/>
                <w:highlight w:val="none"/>
              </w:rPr>
              <w:t>，并要求</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赔偿相应损失。</w:t>
            </w:r>
          </w:p>
          <w:p w14:paraId="4145E2E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应保证采购人在接受其提供的相关产品/服务时免受第三方提出侵犯其知识产权的起诉，由此引起的知识产权纠纷由</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负责。</w:t>
            </w:r>
          </w:p>
          <w:p w14:paraId="4B34BEF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4.保密要求：</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在项目实施过程中，可能需要了解或知悉采购人的相关业务信息，为确保采购人业务信息的安全，</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必须对本项目所有项目信息予以保密，未经采购</w:t>
            </w:r>
            <w:r>
              <w:rPr>
                <w:rFonts w:hint="eastAsia" w:ascii="宋体" w:hAnsi="宋体" w:eastAsia="宋体" w:cs="宋体"/>
                <w:sz w:val="21"/>
                <w:szCs w:val="21"/>
                <w:highlight w:val="none"/>
                <w:lang w:eastAsia="zh-CN"/>
              </w:rPr>
              <w:t>人</w:t>
            </w:r>
            <w:r>
              <w:rPr>
                <w:rFonts w:hint="eastAsia" w:ascii="宋体" w:hAnsi="宋体" w:eastAsia="宋体" w:cs="宋体"/>
                <w:sz w:val="21"/>
                <w:szCs w:val="21"/>
                <w:highlight w:val="none"/>
              </w:rPr>
              <w:t>书面许可，</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不得以任何形式向第三方透露本项目的任何内容。</w:t>
            </w:r>
          </w:p>
          <w:p w14:paraId="21504E9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二、采购标的验收标准</w:t>
            </w:r>
          </w:p>
          <w:p w14:paraId="6E614B5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采购人可以根据采购项目具体情况自行组织验收，或者委托第三方机构或部门开展采购项目履约验收工作，验收过程中所产生的一切费用均由中标人承担，履约验收服务费按照分标中标金额的≤0.9%收取，投标人在投标报价时应考虑相关费用。</w:t>
            </w:r>
          </w:p>
          <w:p w14:paraId="136D513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2.在验收过程中发现中标人有违约问题，可暂缓资金结算，待违约问题解决后，方可办理资金结算事宜。</w:t>
            </w:r>
          </w:p>
          <w:p w14:paraId="1D10DA0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3.验收依据：按合同要求及国家标准进行验收。</w:t>
            </w:r>
          </w:p>
          <w:p w14:paraId="326E6DE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4.验收标准</w:t>
            </w:r>
          </w:p>
          <w:p w14:paraId="10581E7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（1）所供产品的规格、数量、功能、材质、颜色等符合招标文件采购需求及采购合同约定的要求。</w:t>
            </w:r>
          </w:p>
          <w:p w14:paraId="088C041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（2）所供产品的外观完好，无严重碰撞、表皮脱落、五金件生锈等明显瑕疵。</w:t>
            </w:r>
          </w:p>
          <w:p w14:paraId="1F28489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（3）所供产品结构牢固，无安全隐患。</w:t>
            </w:r>
          </w:p>
          <w:p w14:paraId="2EC7BF8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（4）如有抽检要求的，检测结果符合招标文件采购需求及采购合同约定的要求。</w:t>
            </w:r>
          </w:p>
          <w:p w14:paraId="55E0C68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（5）所有产品均已运输至指定地点，并安装调试完毕。</w:t>
            </w:r>
          </w:p>
          <w:p w14:paraId="743400D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（6）招标文件采购需求及采购合同约定的附件、工具、技术资料等齐全；提供产品使用说明书、合格证。</w:t>
            </w:r>
          </w:p>
          <w:p w14:paraId="46F39D7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（7）货物技术参数应与投标文件中响应表或证明材料一致，性能或指标达到规定的标准。否则，以实际货物或服务技术参数与响应文件响应表参数或证明材料比较，按如下情况处理：</w:t>
            </w:r>
          </w:p>
          <w:p w14:paraId="018DE33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①供应商投标文件响应表或证明材料中满足或优于的技术参数，在验收时实际不满足技术参数要求的，视为</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违约，采购人</w:t>
            </w:r>
            <w:r>
              <w:rPr>
                <w:rFonts w:hint="eastAsia" w:ascii="宋体" w:hAnsi="宋体" w:eastAsia="宋体" w:cs="宋体"/>
                <w:sz w:val="21"/>
                <w:szCs w:val="21"/>
                <w:highlight w:val="none"/>
                <w:lang w:eastAsia="zh-CN"/>
              </w:rPr>
              <w:t>有权依法解除合同</w:t>
            </w:r>
            <w:r>
              <w:rPr>
                <w:rFonts w:hint="eastAsia" w:ascii="宋体" w:hAnsi="宋体" w:eastAsia="宋体" w:cs="宋体"/>
                <w:sz w:val="21"/>
                <w:szCs w:val="21"/>
                <w:highlight w:val="none"/>
              </w:rPr>
              <w:t>拒收货物，并追究供应商责任。</w:t>
            </w:r>
          </w:p>
          <w:p w14:paraId="12DC0D9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②供应商投标文件响应表或证明材料中优于的技术参数，在验收时实际仅满足并未优于技术参数要求的，视为</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违约，采购人</w:t>
            </w:r>
            <w:r>
              <w:rPr>
                <w:rFonts w:hint="eastAsia" w:ascii="宋体" w:hAnsi="宋体" w:eastAsia="宋体" w:cs="宋体"/>
                <w:sz w:val="21"/>
                <w:szCs w:val="21"/>
                <w:highlight w:val="none"/>
                <w:lang w:eastAsia="zh-CN"/>
              </w:rPr>
              <w:t>有权依法解除合同</w:t>
            </w:r>
            <w:r>
              <w:rPr>
                <w:rFonts w:hint="eastAsia" w:ascii="宋体" w:hAnsi="宋体" w:eastAsia="宋体" w:cs="宋体"/>
                <w:sz w:val="21"/>
                <w:szCs w:val="21"/>
                <w:highlight w:val="none"/>
              </w:rPr>
              <w:t>拒收货物，并追究供应商责任。</w:t>
            </w:r>
          </w:p>
          <w:p w14:paraId="72007C5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③供应商投标文件响应表或证明材料中不满足的技术参数，在验收时实际满足技术参数的要求，以满足技术参数的要求验收。 </w:t>
            </w:r>
          </w:p>
          <w:p w14:paraId="431148D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④供应商投标文件响应表或证明材料中满足的技术参数，在验收时实际优于技术参数的要求，以满足技术参数的要求验收。</w:t>
            </w:r>
          </w:p>
          <w:p w14:paraId="7759661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⑤供应商投标文件响应表或证明材料中优于的技术参数，在验收时实际也优于技术参数的要求，但没有达到响应表或证明材料中优于的程度，由采购人与供应商协商按是否满足要求验收。</w:t>
            </w:r>
          </w:p>
          <w:p w14:paraId="000C848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⑥实际货物与响应货物型号不一致的，验收时不论实际是优于还是满足技术参数的要求，采购人均</w:t>
            </w:r>
            <w:r>
              <w:rPr>
                <w:rFonts w:hint="eastAsia" w:ascii="宋体" w:hAnsi="宋体" w:eastAsia="宋体" w:cs="宋体"/>
                <w:sz w:val="21"/>
                <w:szCs w:val="21"/>
                <w:highlight w:val="none"/>
                <w:lang w:eastAsia="zh-CN"/>
              </w:rPr>
              <w:t>有权依法解除合同</w:t>
            </w:r>
            <w:r>
              <w:rPr>
                <w:rFonts w:hint="eastAsia" w:ascii="宋体" w:hAnsi="宋体" w:eastAsia="宋体" w:cs="宋体"/>
                <w:sz w:val="21"/>
                <w:szCs w:val="21"/>
                <w:highlight w:val="none"/>
              </w:rPr>
              <w:t>拒收货物，并追究供应商责任。</w:t>
            </w:r>
          </w:p>
          <w:p w14:paraId="3CCF503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5.验收要求</w:t>
            </w:r>
          </w:p>
          <w:p w14:paraId="05928CB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验收小组以项目</w:t>
            </w:r>
            <w:r>
              <w:rPr>
                <w:rFonts w:hint="eastAsia" w:ascii="宋体" w:hAnsi="宋体" w:eastAsia="宋体" w:cs="宋体"/>
                <w:bCs/>
                <w:color w:val="000000"/>
                <w:sz w:val="21"/>
                <w:szCs w:val="21"/>
                <w:highlight w:val="none"/>
                <w:lang w:eastAsia="zh-CN"/>
              </w:rPr>
              <w:t>招标</w:t>
            </w:r>
            <w:r>
              <w:rPr>
                <w:rFonts w:hint="eastAsia" w:ascii="宋体" w:hAnsi="宋体" w:eastAsia="宋体" w:cs="宋体"/>
                <w:sz w:val="21"/>
                <w:szCs w:val="21"/>
                <w:highlight w:val="none"/>
              </w:rPr>
              <w:t>文件及采购合同为验收依据，对供货产品技术参数核对检验，如不符合技术参数要求的，中标人承担所有责任和费用。采购人保留进一步追究责任的权利。</w:t>
            </w:r>
          </w:p>
          <w:p w14:paraId="0E57603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（1）中标人按时间</w:t>
            </w:r>
            <w:r>
              <w:rPr>
                <w:rFonts w:hint="eastAsia" w:ascii="宋体" w:hAnsi="宋体" w:eastAsia="宋体" w:cs="宋体"/>
                <w:sz w:val="21"/>
                <w:szCs w:val="21"/>
                <w:highlight w:val="none"/>
                <w:lang w:eastAsia="zh-CN"/>
              </w:rPr>
              <w:t>节点</w:t>
            </w:r>
            <w:r>
              <w:rPr>
                <w:rFonts w:hint="eastAsia" w:ascii="宋体" w:hAnsi="宋体" w:eastAsia="宋体" w:cs="宋体"/>
                <w:sz w:val="21"/>
                <w:szCs w:val="21"/>
                <w:highlight w:val="none"/>
              </w:rPr>
              <w:t>完成货物供货后，应及时整理技术资料并作出全面检查和整理，列出清单，作为采购人验收和使用的技术条件依据，清单应交给采购人；同时以书面形式通知采购人进行验收，采购人在收到通知后五个工作日内进行验收。</w:t>
            </w:r>
          </w:p>
          <w:p w14:paraId="7ECC385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（2）验收时中标人提供验收文档，包括但不限于：技术方案、实施方案、售后服务方案、培训方案、系统部署文档、测试文档、使用说明书、电子文档，以及对所有需要进行核查的原件等。</w:t>
            </w:r>
          </w:p>
          <w:p w14:paraId="14D5651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（3）如供货产品不合格或不符合技术参数要求的，由中标人按采购人（或者采购人委托的第三方机构或部门）要求整改，中标人不按要求整改或拒不整改的，采购人</w:t>
            </w:r>
            <w:r>
              <w:rPr>
                <w:rFonts w:hint="eastAsia" w:ascii="宋体" w:hAnsi="宋体" w:eastAsia="宋体" w:cs="宋体"/>
                <w:sz w:val="21"/>
                <w:szCs w:val="21"/>
                <w:highlight w:val="none"/>
                <w:lang w:eastAsia="zh-CN"/>
              </w:rPr>
              <w:t>有权依法解除合同</w:t>
            </w:r>
            <w:r>
              <w:rPr>
                <w:rFonts w:hint="eastAsia" w:ascii="宋体" w:hAnsi="宋体" w:eastAsia="宋体" w:cs="宋体"/>
                <w:sz w:val="21"/>
                <w:szCs w:val="21"/>
                <w:highlight w:val="none"/>
              </w:rPr>
              <w:t>，给采购人造成的损失等费用由中标人承担。</w:t>
            </w:r>
          </w:p>
          <w:p w14:paraId="05BFB97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（4）如中标人提供虚假材料的，除按相关规定做违约处理外，采购人依据相关法律规定追究中标人的责任，由此带来的一切责任及损失由中标人自行承担。</w:t>
            </w:r>
          </w:p>
          <w:p w14:paraId="1E4D2BD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（5）在项目验收过程中，如项目验收不合格，有关返工、再行验收产生相关成本费用，以及给采购人造成的损失等费用由中标人承担。连续两次项目验收不合格的，或弄虚作假的行为，采购</w:t>
            </w:r>
            <w:r>
              <w:rPr>
                <w:rFonts w:hint="eastAsia" w:ascii="宋体" w:hAnsi="宋体" w:eastAsia="宋体" w:cs="宋体"/>
                <w:sz w:val="21"/>
                <w:szCs w:val="21"/>
                <w:highlight w:val="none"/>
                <w:lang w:eastAsia="zh-CN"/>
              </w:rPr>
              <w:t>人</w:t>
            </w:r>
            <w:r>
              <w:rPr>
                <w:rFonts w:hint="eastAsia" w:ascii="宋体" w:hAnsi="宋体" w:eastAsia="宋体" w:cs="宋体"/>
                <w:sz w:val="21"/>
                <w:szCs w:val="21"/>
                <w:highlight w:val="none"/>
              </w:rPr>
              <w:t>将不予验收，采购人有权解除合同，并追究中标人的责任，由此带来的一切责任由中标人自行承担。</w:t>
            </w:r>
          </w:p>
          <w:p w14:paraId="2AE334F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（6）项目验收过程中，采购人需委托第三方检测机构介入的，费用由中标人另行承担。</w:t>
            </w:r>
          </w:p>
          <w:p w14:paraId="57D032E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6.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0B51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shd w:val="clear" w:color="auto" w:fill="auto"/>
            <w:vAlign w:val="center"/>
          </w:tcPr>
          <w:p w14:paraId="0905B9DB">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履约保证金</w:t>
            </w:r>
          </w:p>
        </w:tc>
        <w:tc>
          <w:tcPr>
            <w:tcW w:w="8608" w:type="dxa"/>
            <w:gridSpan w:val="4"/>
            <w:tcBorders>
              <w:top w:val="single" w:color="auto" w:sz="4" w:space="0"/>
              <w:bottom w:val="single" w:color="auto" w:sz="4" w:space="0"/>
            </w:tcBorders>
            <w:shd w:val="clear" w:color="auto" w:fill="auto"/>
            <w:vAlign w:val="center"/>
          </w:tcPr>
          <w:p w14:paraId="38715C3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1.履约保证金金额：中标金额的</w:t>
            </w:r>
            <w:r>
              <w:rPr>
                <w:rFonts w:hint="eastAsia" w:ascii="宋体" w:hAnsi="宋体" w:eastAsia="宋体" w:cs="宋体"/>
                <w:b w:val="0"/>
                <w:bCs w:val="0"/>
                <w:color w:val="auto"/>
                <w:sz w:val="21"/>
                <w:szCs w:val="21"/>
                <w:highlight w:val="none"/>
                <w:u w:val="single"/>
                <w:lang w:val="en-US" w:eastAsia="zh-CN"/>
              </w:rPr>
              <w:t>_5</w:t>
            </w:r>
            <w:r>
              <w:rPr>
                <w:rFonts w:hint="eastAsia" w:ascii="宋体" w:hAnsi="宋体" w:eastAsia="宋体" w:cs="宋体"/>
                <w:b w:val="0"/>
                <w:bCs w:val="0"/>
                <w:color w:val="auto"/>
                <w:sz w:val="21"/>
                <w:szCs w:val="21"/>
                <w:highlight w:val="none"/>
                <w:lang w:val="en-US" w:eastAsia="zh-CN"/>
              </w:rPr>
              <w:t>_%。（若中标人被评标委员会认定为中小企业的，履约保证金数额将按中标金额的2%收取）</w:t>
            </w:r>
          </w:p>
          <w:p w14:paraId="3CD23B4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2.履约保证金递交方式：转账或电汇等形式（支持支票、汇票、本票、保函等形式）</w:t>
            </w:r>
          </w:p>
          <w:p w14:paraId="6AD1E1CC">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3.履约保证金递交时间：签订合同后3个工作日内由中标人转入采购人指定保证金账户。</w:t>
            </w:r>
          </w:p>
          <w:p w14:paraId="0F1109EA">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4.履约保证金期限：验收合格之日起一年</w:t>
            </w:r>
          </w:p>
          <w:p w14:paraId="528F043F">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履约保证金退还：履约保证期满后中标人无违约行为，中标人提供《政府采购项目履约保证金退付意见书》及《政府采购项目合同验收报告》，向采购人提出书面申请退还，采购人在收到申请后5个工作日内按照履约保证金缴纳的具体方式，配合中标人办理无息退还事宜。保证金指定账户：</w:t>
            </w:r>
          </w:p>
          <w:p w14:paraId="6384664E">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开户名：广西制造工程职业技术学院</w:t>
            </w:r>
          </w:p>
          <w:p w14:paraId="6C8D5CA7">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开户行：农行南宁东盟经济园区支行</w:t>
            </w:r>
          </w:p>
          <w:p w14:paraId="7987F902">
            <w:pPr>
              <w:keepNext w:val="0"/>
              <w:keepLines w:val="0"/>
              <w:pageBreakBefore w:val="0"/>
              <w:kinsoku/>
              <w:wordWrap/>
              <w:overflowPunct/>
              <w:topLinePunct w:val="0"/>
              <w:autoSpaceDE w:val="0"/>
              <w:autoSpaceDN w:val="0"/>
              <w:bidi w:val="0"/>
              <w:adjustRightInd/>
              <w:snapToGrid/>
              <w:spacing w:line="400" w:lineRule="exact"/>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auto"/>
                <w:sz w:val="21"/>
                <w:szCs w:val="21"/>
                <w:highlight w:val="none"/>
                <w:lang w:val="en-US" w:eastAsia="zh-CN"/>
              </w:rPr>
              <w:t>账  号：20036501040014065</w:t>
            </w:r>
          </w:p>
        </w:tc>
      </w:tr>
      <w:tr w14:paraId="45AC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08" w:type="dxa"/>
            <w:gridSpan w:val="6"/>
            <w:tcBorders>
              <w:top w:val="single" w:color="auto" w:sz="4" w:space="0"/>
              <w:bottom w:val="single" w:color="auto" w:sz="4" w:space="0"/>
            </w:tcBorders>
            <w:shd w:val="clear" w:color="auto" w:fill="auto"/>
            <w:vAlign w:val="center"/>
          </w:tcPr>
          <w:p w14:paraId="0D12D58F">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二、与实现项目目标相关的其他要求</w:t>
            </w:r>
          </w:p>
        </w:tc>
      </w:tr>
      <w:tr w14:paraId="5E38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08" w:type="dxa"/>
            <w:gridSpan w:val="6"/>
            <w:tcBorders>
              <w:top w:val="single" w:color="auto" w:sz="4" w:space="0"/>
              <w:bottom w:val="single" w:color="auto" w:sz="4" w:space="0"/>
            </w:tcBorders>
            <w:shd w:val="clear" w:color="auto" w:fill="auto"/>
            <w:vAlign w:val="center"/>
          </w:tcPr>
          <w:p w14:paraId="1AA647D6">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（一）投标人的履约能力要求</w:t>
            </w:r>
          </w:p>
        </w:tc>
      </w:tr>
      <w:tr w14:paraId="4ADA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shd w:val="clear" w:color="auto" w:fill="auto"/>
            <w:vAlign w:val="center"/>
          </w:tcPr>
          <w:p w14:paraId="60FEB283">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质量管理、企业信用要求</w:t>
            </w:r>
          </w:p>
        </w:tc>
        <w:tc>
          <w:tcPr>
            <w:tcW w:w="8541" w:type="dxa"/>
            <w:gridSpan w:val="3"/>
            <w:tcBorders>
              <w:top w:val="single" w:color="auto" w:sz="4" w:space="0"/>
              <w:bottom w:val="single" w:color="auto" w:sz="4" w:space="0"/>
            </w:tcBorders>
            <w:shd w:val="clear" w:color="auto" w:fill="auto"/>
            <w:vAlign w:val="center"/>
          </w:tcPr>
          <w:p w14:paraId="6067621F">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如有，请结合本招标文件“评标办法及评分标准”在投标文件中自行提供。</w:t>
            </w:r>
          </w:p>
        </w:tc>
      </w:tr>
      <w:tr w14:paraId="11A1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shd w:val="clear" w:color="auto" w:fill="auto"/>
            <w:vAlign w:val="center"/>
          </w:tcPr>
          <w:p w14:paraId="170BD166">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能力或者业绩要求</w:t>
            </w:r>
          </w:p>
        </w:tc>
        <w:tc>
          <w:tcPr>
            <w:tcW w:w="8541" w:type="dxa"/>
            <w:gridSpan w:val="3"/>
            <w:tcBorders>
              <w:top w:val="single" w:color="auto" w:sz="4" w:space="0"/>
              <w:bottom w:val="single" w:color="auto" w:sz="4" w:space="0"/>
            </w:tcBorders>
            <w:shd w:val="clear" w:color="auto" w:fill="auto"/>
            <w:vAlign w:val="center"/>
          </w:tcPr>
          <w:p w14:paraId="6BB7DB36">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如有，请结合本招标文件“评标办法及评分标准”在投标文件中自行提供。</w:t>
            </w:r>
          </w:p>
        </w:tc>
      </w:tr>
      <w:tr w14:paraId="1237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08" w:type="dxa"/>
            <w:gridSpan w:val="6"/>
            <w:tcBorders>
              <w:top w:val="single" w:color="auto" w:sz="4" w:space="0"/>
              <w:bottom w:val="single" w:color="auto" w:sz="4" w:space="0"/>
            </w:tcBorders>
            <w:shd w:val="clear" w:color="auto" w:fill="auto"/>
            <w:vAlign w:val="center"/>
          </w:tcPr>
          <w:p w14:paraId="56512127">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（二）政策性加分条件</w:t>
            </w:r>
          </w:p>
        </w:tc>
      </w:tr>
      <w:tr w14:paraId="2DE1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08" w:type="dxa"/>
            <w:gridSpan w:val="6"/>
            <w:tcBorders>
              <w:top w:val="single" w:color="auto" w:sz="4" w:space="0"/>
              <w:bottom w:val="single" w:color="auto" w:sz="4" w:space="0"/>
            </w:tcBorders>
            <w:shd w:val="clear" w:color="auto" w:fill="auto"/>
            <w:vAlign w:val="center"/>
          </w:tcPr>
          <w:p w14:paraId="14FB0C20">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符合节能环保等国家政策要求。</w:t>
            </w:r>
          </w:p>
        </w:tc>
      </w:tr>
      <w:tr w14:paraId="066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08" w:type="dxa"/>
            <w:gridSpan w:val="6"/>
            <w:tcBorders>
              <w:top w:val="single" w:color="auto" w:sz="4" w:space="0"/>
              <w:bottom w:val="single" w:color="auto" w:sz="4" w:space="0"/>
            </w:tcBorders>
            <w:shd w:val="clear" w:color="auto" w:fill="auto"/>
            <w:vAlign w:val="center"/>
          </w:tcPr>
          <w:p w14:paraId="08615173">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（三）进口产品及核心产品说明</w:t>
            </w:r>
          </w:p>
        </w:tc>
      </w:tr>
      <w:tr w14:paraId="5B94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08" w:type="dxa"/>
            <w:gridSpan w:val="6"/>
            <w:tcBorders>
              <w:top w:val="single" w:color="auto" w:sz="4" w:space="0"/>
              <w:bottom w:val="single" w:color="auto" w:sz="4" w:space="0"/>
            </w:tcBorders>
            <w:shd w:val="clear" w:color="auto" w:fill="auto"/>
            <w:vAlign w:val="center"/>
          </w:tcPr>
          <w:p w14:paraId="26CDF936">
            <w:pPr>
              <w:keepNext w:val="0"/>
              <w:keepLines w:val="0"/>
              <w:pageBreakBefore w:val="0"/>
              <w:tabs>
                <w:tab w:val="left" w:pos="180"/>
                <w:tab w:val="left" w:pos="1620"/>
              </w:tabs>
              <w:kinsoku/>
              <w:wordWrap/>
              <w:overflowPunct/>
              <w:topLinePunct w:val="0"/>
              <w:autoSpaceDE/>
              <w:autoSpaceDN/>
              <w:bidi w:val="0"/>
              <w:adjustRightInd/>
              <w:snapToGrid/>
              <w:spacing w:line="400" w:lineRule="exact"/>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▲1.本</w:t>
            </w:r>
            <w:r>
              <w:rPr>
                <w:rFonts w:hint="eastAsia" w:ascii="宋体" w:hAnsi="宋体" w:eastAsia="宋体" w:cs="宋体"/>
                <w:color w:val="000000" w:themeColor="text1"/>
                <w:sz w:val="21"/>
                <w:szCs w:val="21"/>
                <w:highlight w:val="none"/>
                <w:lang w:eastAsia="zh-CN"/>
                <w14:textFill>
                  <w14:solidFill>
                    <w14:schemeClr w14:val="tx1"/>
                  </w14:solidFill>
                </w14:textFill>
              </w:rPr>
              <w:t>分标</w:t>
            </w:r>
            <w:r>
              <w:rPr>
                <w:rFonts w:hint="eastAsia" w:ascii="宋体" w:hAnsi="宋体" w:eastAsia="宋体" w:cs="宋体"/>
                <w:color w:val="000000" w:themeColor="text1"/>
                <w:sz w:val="21"/>
                <w:szCs w:val="21"/>
                <w:highlight w:val="none"/>
                <w14:textFill>
                  <w14:solidFill>
                    <w14:schemeClr w14:val="tx1"/>
                  </w14:solidFill>
                </w14:textFill>
              </w:rPr>
              <w:t>货物不接受进口产品（即通过中国海关报关验放进入中国境内且产自关境外的产品）参与投标，如有进口产品参与投标的作无效标处理。</w:t>
            </w:r>
          </w:p>
          <w:p w14:paraId="1A4B9857">
            <w:pPr>
              <w:keepNext w:val="0"/>
              <w:keepLines w:val="0"/>
              <w:pageBreakBefore w:val="0"/>
              <w:tabs>
                <w:tab w:val="left" w:pos="180"/>
                <w:tab w:val="left" w:pos="1620"/>
              </w:tabs>
              <w:kinsoku/>
              <w:wordWrap/>
              <w:overflowPunct/>
              <w:topLinePunct w:val="0"/>
              <w:autoSpaceDE/>
              <w:autoSpaceDN/>
              <w:bidi w:val="0"/>
              <w:adjustRightInd/>
              <w:snapToGrid/>
              <w:spacing w:line="400" w:lineRule="exact"/>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本分标第</w:t>
            </w:r>
            <w:r>
              <w:rPr>
                <w:rFonts w:hint="eastAsia" w:ascii="宋体" w:hAnsi="宋体" w:eastAsia="宋体" w:cs="宋体"/>
                <w:b/>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项产品“</w:t>
            </w:r>
            <w:r>
              <w:rPr>
                <w:rFonts w:hint="eastAsia" w:ascii="宋体" w:hAnsi="宋体" w:eastAsia="宋体" w:cs="宋体"/>
                <w:b/>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sz w:val="21"/>
                <w:szCs w:val="21"/>
                <w:highlight w:val="none"/>
                <w:u w:val="single"/>
              </w:rPr>
              <w:t>三维创意设计软件</w:t>
            </w:r>
            <w:r>
              <w:rPr>
                <w:rFonts w:hint="eastAsia" w:ascii="宋体" w:hAnsi="宋体" w:eastAsia="宋体" w:cs="宋体"/>
                <w:b/>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”为核心产品</w:t>
            </w:r>
            <w:r>
              <w:rPr>
                <w:rFonts w:hint="eastAsia" w:ascii="宋体" w:hAnsi="宋体" w:eastAsia="宋体" w:cs="宋体"/>
                <w:color w:val="000000" w:themeColor="text1"/>
                <w:sz w:val="21"/>
                <w:szCs w:val="21"/>
                <w:highlight w:val="none"/>
                <w14:textFill>
                  <w14:solidFill>
                    <w14:schemeClr w14:val="tx1"/>
                  </w14:solidFill>
                </w14:textFill>
              </w:rPr>
              <w:t>。多家投标人提供的核心产品品牌相同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04FD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08" w:type="dxa"/>
            <w:gridSpan w:val="6"/>
            <w:tcBorders>
              <w:top w:val="single" w:color="auto" w:sz="4" w:space="0"/>
              <w:bottom w:val="single" w:color="auto" w:sz="4" w:space="0"/>
            </w:tcBorders>
            <w:shd w:val="clear" w:color="auto" w:fill="auto"/>
            <w:vAlign w:val="center"/>
          </w:tcPr>
          <w:p w14:paraId="6D1F9BBB">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三、其他说明</w:t>
            </w:r>
          </w:p>
        </w:tc>
      </w:tr>
      <w:tr w14:paraId="4F44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shd w:val="clear" w:color="auto" w:fill="auto"/>
            <w:vAlign w:val="center"/>
          </w:tcPr>
          <w:p w14:paraId="281F7384">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▲最高限价</w:t>
            </w:r>
          </w:p>
        </w:tc>
        <w:tc>
          <w:tcPr>
            <w:tcW w:w="8541" w:type="dxa"/>
            <w:gridSpan w:val="3"/>
            <w:tcBorders>
              <w:top w:val="single" w:color="auto" w:sz="4" w:space="0"/>
              <w:bottom w:val="single" w:color="auto" w:sz="4" w:space="0"/>
            </w:tcBorders>
            <w:shd w:val="clear" w:color="auto" w:fill="auto"/>
            <w:vAlign w:val="center"/>
          </w:tcPr>
          <w:p w14:paraId="7714E6C1">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本项目评标时以本项目预算金额为最高限价，评标时以最高限价为评标依据，投标人投标报价超出最高限价的作无效投标处理。</w:t>
            </w:r>
          </w:p>
          <w:p w14:paraId="6987F5A1">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宋体" w:hAnsi="宋体" w:eastAsia="宋体" w:cs="宋体"/>
                <w:sz w:val="21"/>
                <w:szCs w:val="21"/>
                <w:highlight w:val="none"/>
                <w:lang w:val="en-US" w:eastAsia="zh-CN"/>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本分标序号1-10的货物报价合计不得超过人民币玖拾肆万叁仟捌佰元整（¥943800.00）；序号11-14的货物报价合计不得超过人民币壹佰零肆万元整（¥1040000.00）；序号15-16的货物报价合计不得超过人民币陆万元整（¥60000.00）；任一组报价超过对应最高限价的，投标无效。</w:t>
            </w:r>
          </w:p>
        </w:tc>
      </w:tr>
      <w:tr w14:paraId="0CC5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shd w:val="clear" w:color="auto" w:fill="auto"/>
            <w:vAlign w:val="center"/>
          </w:tcPr>
          <w:p w14:paraId="66E818E8">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供应商其他要求</w:t>
            </w:r>
          </w:p>
        </w:tc>
        <w:tc>
          <w:tcPr>
            <w:tcW w:w="8541" w:type="dxa"/>
            <w:gridSpan w:val="3"/>
            <w:tcBorders>
              <w:top w:val="single" w:color="auto" w:sz="4" w:space="0"/>
              <w:bottom w:val="single" w:color="auto" w:sz="4" w:space="0"/>
            </w:tcBorders>
            <w:shd w:val="clear" w:color="auto" w:fill="auto"/>
            <w:vAlign w:val="center"/>
          </w:tcPr>
          <w:p w14:paraId="3E996B62">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w:t>
            </w:r>
            <w:r>
              <w:rPr>
                <w:rFonts w:hint="eastAsia" w:ascii="宋体" w:hAnsi="宋体" w:eastAsia="宋体" w:cs="宋体"/>
                <w:color w:val="000000" w:themeColor="text1"/>
                <w:sz w:val="21"/>
                <w:szCs w:val="21"/>
                <w:highlight w:val="none"/>
                <w:lang w:eastAsia="zh-CN"/>
                <w14:textFill>
                  <w14:solidFill>
                    <w14:schemeClr w14:val="tx1"/>
                  </w14:solidFill>
                </w14:textFill>
              </w:rPr>
              <w:t>可</w:t>
            </w:r>
            <w:r>
              <w:rPr>
                <w:rFonts w:hint="eastAsia" w:ascii="宋体" w:hAnsi="宋体" w:eastAsia="宋体" w:cs="宋体"/>
                <w:color w:val="000000" w:themeColor="text1"/>
                <w:sz w:val="21"/>
                <w:szCs w:val="21"/>
                <w:highlight w:val="none"/>
                <w14:textFill>
                  <w14:solidFill>
                    <w14:schemeClr w14:val="tx1"/>
                  </w14:solidFill>
                </w14:textFill>
              </w:rPr>
              <w:t>根据项目要求，可在投标文件中提供包括：项目实施方案、售后服务方案、业绩等</w:t>
            </w:r>
            <w:r>
              <w:rPr>
                <w:rFonts w:hint="eastAsia" w:ascii="宋体" w:hAnsi="宋体" w:eastAsia="宋体" w:cs="宋体"/>
                <w:color w:val="000000" w:themeColor="text1"/>
                <w:sz w:val="21"/>
                <w:szCs w:val="21"/>
                <w:highlight w:val="none"/>
                <w:lang w:eastAsia="zh-CN"/>
                <w14:textFill>
                  <w14:solidFill>
                    <w14:schemeClr w14:val="tx1"/>
                  </w14:solidFill>
                </w14:textFill>
              </w:rPr>
              <w:t>与履约有关的材料</w:t>
            </w:r>
            <w:r>
              <w:rPr>
                <w:rFonts w:hint="eastAsia" w:ascii="宋体" w:hAnsi="宋体" w:eastAsia="宋体" w:cs="宋体"/>
                <w:color w:val="000000" w:themeColor="text1"/>
                <w:sz w:val="21"/>
                <w:szCs w:val="21"/>
                <w:highlight w:val="none"/>
                <w14:textFill>
                  <w14:solidFill>
                    <w14:schemeClr w14:val="tx1"/>
                  </w14:solidFill>
                </w14:textFill>
              </w:rPr>
              <w:t>。</w:t>
            </w:r>
          </w:p>
        </w:tc>
      </w:tr>
      <w:tr w14:paraId="7286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shd w:val="clear" w:color="auto" w:fill="auto"/>
            <w:vAlign w:val="center"/>
          </w:tcPr>
          <w:p w14:paraId="4C2ECA22">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sz w:val="21"/>
                <w:szCs w:val="21"/>
                <w:highlight w:val="none"/>
              </w:rPr>
              <w:t>演示要求</w:t>
            </w:r>
          </w:p>
        </w:tc>
        <w:tc>
          <w:tcPr>
            <w:tcW w:w="8541" w:type="dxa"/>
            <w:gridSpan w:val="3"/>
            <w:tcBorders>
              <w:top w:val="single" w:color="auto" w:sz="4" w:space="0"/>
              <w:bottom w:val="single" w:color="auto" w:sz="4" w:space="0"/>
            </w:tcBorders>
            <w:shd w:val="clear" w:color="auto" w:fill="auto"/>
            <w:vAlign w:val="center"/>
          </w:tcPr>
          <w:p w14:paraId="79AAE150">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lang w:val="en-US" w:eastAsia="zh-CN"/>
              </w:rPr>
              <w:t>投标人需在评审时（具体时间由采购代理机构通知）对《具体说明、功能及技术参数要求》中标注“◆”功能通过广西政府采购云平台进行在线详细讲解和阐述。供应商自行准备线上演示所需的摄像头、话筒等设备，每家供应商线上演示时间均不超过25分钟，演示的过程作为评审的重要依据，不演示不得分，具体内容详见《评标方法及评标标准》。</w:t>
            </w:r>
          </w:p>
        </w:tc>
      </w:tr>
      <w:tr w14:paraId="2903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shd w:val="clear" w:color="auto" w:fill="auto"/>
            <w:vAlign w:val="center"/>
          </w:tcPr>
          <w:p w14:paraId="6612BAD9">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现场考察</w:t>
            </w:r>
          </w:p>
        </w:tc>
        <w:tc>
          <w:tcPr>
            <w:tcW w:w="8541" w:type="dxa"/>
            <w:gridSpan w:val="3"/>
            <w:tcBorders>
              <w:top w:val="single" w:color="auto" w:sz="4" w:space="0"/>
              <w:bottom w:val="single" w:color="auto" w:sz="4" w:space="0"/>
            </w:tcBorders>
            <w:shd w:val="clear" w:color="auto" w:fill="auto"/>
            <w:vAlign w:val="center"/>
          </w:tcPr>
          <w:p w14:paraId="60BC77BD">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鉴于本项目需要根据现场情况综合评估成本，投标人可在招标截止前自行到现场考察（交通工具、费用由各供应商自行负责），以便供应商了解真实的现场情况和项目实际需求，保证项目按时按质按量完成。供应商需自行承担参与现场考察的所有责任和风险。</w:t>
            </w:r>
          </w:p>
          <w:p w14:paraId="4CB58C73">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2.现场考察携带的资料：前往人员的身份证复印件（不能体现投标人单位名称和加盖公章等，以防泄露供应商信息，造成的后果由供应商自行承担）。</w:t>
            </w:r>
          </w:p>
          <w:p w14:paraId="5F29A42E">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3.现场考察时间：2026年</w:t>
            </w:r>
            <w:r>
              <w:rPr>
                <w:rFonts w:hint="default" w:ascii="宋体" w:hAnsi="宋体" w:cs="宋体"/>
                <w:b w:val="0"/>
                <w:bCs w:val="0"/>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月</w:t>
            </w:r>
            <w:r>
              <w:rPr>
                <w:rFonts w:hint="default" w:ascii="宋体" w:hAnsi="宋体" w:cs="宋体"/>
                <w:b w:val="0"/>
                <w:bCs w:val="0"/>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日上午10:00至11:30逾时不予接待，未在规定时间到场考察的投标人将视为自动放弃现场考察的权利。</w:t>
            </w:r>
          </w:p>
          <w:p w14:paraId="06236732">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4.现场踏勘联系人：苏老师，</w:t>
            </w:r>
            <w:r>
              <w:rPr>
                <w:rFonts w:hint="eastAsia" w:ascii="宋体" w:hAnsi="宋体" w:eastAsia="宋体" w:cs="宋体"/>
                <w:color w:val="000000" w:themeColor="text1"/>
                <w:sz w:val="21"/>
                <w:szCs w:val="21"/>
                <w:highlight w:val="none"/>
                <w14:textFill>
                  <w14:solidFill>
                    <w14:schemeClr w14:val="tx1"/>
                  </w14:solidFill>
                </w14:textFill>
              </w:rPr>
              <w:t>联系电话：</w:t>
            </w:r>
            <w:r>
              <w:rPr>
                <w:rFonts w:hint="eastAsia" w:ascii="宋体" w:hAnsi="宋体" w:eastAsia="宋体" w:cs="宋体"/>
                <w:color w:val="000000" w:themeColor="text1"/>
                <w:sz w:val="21"/>
                <w:szCs w:val="21"/>
                <w:highlight w:val="none"/>
                <w:lang w:val="en-US" w:eastAsia="zh-CN"/>
                <w14:textFill>
                  <w14:solidFill>
                    <w14:schemeClr w14:val="tx1"/>
                  </w14:solidFill>
                </w14:textFill>
              </w:rPr>
              <w:t>18172667317</w:t>
            </w:r>
            <w:r>
              <w:rPr>
                <w:rFonts w:hint="eastAsia" w:ascii="宋体" w:hAnsi="宋体" w:eastAsia="宋体" w:cs="宋体"/>
                <w:color w:val="000000" w:themeColor="text1"/>
                <w:sz w:val="21"/>
                <w:szCs w:val="21"/>
                <w:highlight w:val="none"/>
                <w14:textFill>
                  <w14:solidFill>
                    <w14:schemeClr w14:val="tx1"/>
                  </w14:solidFill>
                </w14:textFill>
              </w:rPr>
              <w:t>。</w:t>
            </w:r>
          </w:p>
          <w:p w14:paraId="4C9F3E87">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5.其他：供应商自行负责在踏勘现场中所发生的人员伤亡和财产损失。</w:t>
            </w:r>
          </w:p>
        </w:tc>
      </w:tr>
    </w:tbl>
    <w:p w14:paraId="1770FC1B">
      <w:pPr>
        <w:rPr>
          <w:highlight w:val="none"/>
        </w:rPr>
      </w:pPr>
      <w:r>
        <w:rPr>
          <w:highlight w:val="none"/>
        </w:rPr>
        <w:br w:type="page"/>
      </w:r>
    </w:p>
    <w:tbl>
      <w:tblPr>
        <w:tblStyle w:val="48"/>
        <w:tblW w:w="10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017"/>
        <w:gridCol w:w="67"/>
        <w:gridCol w:w="566"/>
        <w:gridCol w:w="631"/>
        <w:gridCol w:w="7467"/>
      </w:tblGrid>
      <w:tr w14:paraId="74BB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1" w:type="dxa"/>
            <w:gridSpan w:val="6"/>
            <w:tcBorders>
              <w:bottom w:val="single" w:color="auto" w:sz="4" w:space="0"/>
            </w:tcBorders>
            <w:vAlign w:val="center"/>
          </w:tcPr>
          <w:p w14:paraId="7031B529">
            <w:pPr>
              <w:keepNext w:val="0"/>
              <w:keepLines w:val="0"/>
              <w:pageBreakBefore w:val="0"/>
              <w:kinsoku/>
              <w:wordWrap/>
              <w:overflowPunct/>
              <w:topLinePunct w:val="0"/>
              <w:bidi w:val="0"/>
              <w:adjustRightInd/>
              <w:snapToGrid/>
              <w:spacing w:line="400" w:lineRule="exact"/>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分标3：机械制造及自动化专业群资源库项目</w:t>
            </w:r>
          </w:p>
        </w:tc>
      </w:tr>
      <w:tr w14:paraId="2EB9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tcBorders>
              <w:bottom w:val="single" w:color="auto" w:sz="4" w:space="0"/>
            </w:tcBorders>
            <w:vAlign w:val="center"/>
          </w:tcPr>
          <w:p w14:paraId="4AC762EF">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1017" w:type="dxa"/>
            <w:tcBorders>
              <w:bottom w:val="single" w:color="auto" w:sz="4" w:space="0"/>
            </w:tcBorders>
            <w:vAlign w:val="center"/>
          </w:tcPr>
          <w:p w14:paraId="2CC5A1BE">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标的名称</w:t>
            </w:r>
          </w:p>
        </w:tc>
        <w:tc>
          <w:tcPr>
            <w:tcW w:w="633" w:type="dxa"/>
            <w:gridSpan w:val="2"/>
            <w:tcBorders>
              <w:bottom w:val="single" w:color="auto" w:sz="4" w:space="0"/>
            </w:tcBorders>
            <w:shd w:val="clear" w:color="auto" w:fill="FFFFFF"/>
            <w:vAlign w:val="center"/>
          </w:tcPr>
          <w:p w14:paraId="415AB762">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数量</w:t>
            </w:r>
          </w:p>
        </w:tc>
        <w:tc>
          <w:tcPr>
            <w:tcW w:w="631" w:type="dxa"/>
            <w:tcBorders>
              <w:bottom w:val="single" w:color="auto" w:sz="4" w:space="0"/>
            </w:tcBorders>
            <w:vAlign w:val="center"/>
          </w:tcPr>
          <w:p w14:paraId="2017B925">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单位</w:t>
            </w:r>
          </w:p>
        </w:tc>
        <w:tc>
          <w:tcPr>
            <w:tcW w:w="7467" w:type="dxa"/>
            <w:tcBorders>
              <w:bottom w:val="single" w:color="auto" w:sz="4" w:space="0"/>
            </w:tcBorders>
            <w:noWrap/>
            <w:vAlign w:val="center"/>
          </w:tcPr>
          <w:p w14:paraId="32B7878B">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具体说明、功能及技术参数要求</w:t>
            </w:r>
          </w:p>
        </w:tc>
      </w:tr>
      <w:tr w14:paraId="1F79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4" w:hRule="atLeast"/>
          <w:jc w:val="center"/>
        </w:trPr>
        <w:tc>
          <w:tcPr>
            <w:tcW w:w="483" w:type="dxa"/>
            <w:tcBorders>
              <w:top w:val="single" w:color="auto" w:sz="4" w:space="0"/>
            </w:tcBorders>
            <w:vAlign w:val="center"/>
          </w:tcPr>
          <w:p w14:paraId="663A3668">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w:t>
            </w:r>
          </w:p>
        </w:tc>
        <w:tc>
          <w:tcPr>
            <w:tcW w:w="1017" w:type="dxa"/>
            <w:tcBorders>
              <w:top w:val="single" w:color="auto" w:sz="4" w:space="0"/>
            </w:tcBorders>
            <w:vAlign w:val="center"/>
          </w:tcPr>
          <w:p w14:paraId="62F18518">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课程导学</w:t>
            </w:r>
          </w:p>
        </w:tc>
        <w:tc>
          <w:tcPr>
            <w:tcW w:w="633" w:type="dxa"/>
            <w:gridSpan w:val="2"/>
            <w:tcBorders>
              <w:top w:val="single" w:color="auto" w:sz="4" w:space="0"/>
            </w:tcBorders>
            <w:shd w:val="clear" w:color="auto" w:fill="FFFFFF"/>
            <w:vAlign w:val="center"/>
          </w:tcPr>
          <w:p w14:paraId="5AB27099">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631" w:type="dxa"/>
            <w:tcBorders>
              <w:top w:val="single" w:color="auto" w:sz="4" w:space="0"/>
            </w:tcBorders>
            <w:vAlign w:val="center"/>
          </w:tcPr>
          <w:p w14:paraId="06D1A8DC">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tcBorders>
              <w:top w:val="single" w:color="auto" w:sz="4" w:space="0"/>
            </w:tcBorders>
            <w:vAlign w:val="center"/>
          </w:tcPr>
          <w:p w14:paraId="0F2DF16A">
            <w:pPr>
              <w:pStyle w:val="2"/>
              <w:keepNext w:val="0"/>
              <w:keepLines w:val="0"/>
              <w:pageBreakBefore w:val="0"/>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rPr>
            </w:pPr>
            <w:bookmarkStart w:id="45" w:name="_Toc29296"/>
            <w:r>
              <w:rPr>
                <w:rFonts w:hint="eastAsia" w:ascii="宋体" w:hAnsi="宋体" w:eastAsia="宋体" w:cs="宋体"/>
                <w:b w:val="0"/>
                <w:bCs w:val="0"/>
                <w:sz w:val="21"/>
                <w:szCs w:val="21"/>
                <w:highlight w:val="none"/>
              </w:rPr>
              <w:t>完成《数控多轴加工技术》《逆向工程与测量技术》《工业机器人工作站系统集成》《电机与电气控制技术》《液压与气压传动技术》5门课程的课程导学制作，具体要求为：</w:t>
            </w:r>
            <w:bookmarkEnd w:id="45"/>
          </w:p>
          <w:p w14:paraId="4806AB68">
            <w:pPr>
              <w:pStyle w:val="2"/>
              <w:keepNext w:val="0"/>
              <w:keepLines w:val="0"/>
              <w:pageBreakBefore w:val="0"/>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rPr>
            </w:pPr>
            <w:bookmarkStart w:id="46" w:name="_Toc8335"/>
            <w:r>
              <w:rPr>
                <w:rFonts w:hint="eastAsia" w:ascii="宋体" w:hAnsi="宋体" w:eastAsia="宋体" w:cs="宋体"/>
                <w:b w:val="0"/>
                <w:bCs w:val="0"/>
                <w:sz w:val="21"/>
                <w:szCs w:val="21"/>
                <w:highlight w:val="none"/>
              </w:rPr>
              <w:t>（一）课程导学制作，5个</w:t>
            </w:r>
            <w:bookmarkEnd w:id="46"/>
          </w:p>
          <w:p w14:paraId="1D900B2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1.制作内容：课程导学制作5个，每个时长5-10分钟。</w:t>
            </w:r>
          </w:p>
          <w:p w14:paraId="37F6FFA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2.以视频为主要载体，体现学校及学院名称、课程主题、团队成员、课程特点等内容，加动画效果和配乐包装；</w:t>
            </w:r>
          </w:p>
          <w:p w14:paraId="551FB4E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3.课程导学内容需突出课程所涵盖的四新核心亮点，明确说明课程中新技术、新工艺、新规范、新标准的融入模块和学习目标。</w:t>
            </w:r>
          </w:p>
          <w:p w14:paraId="1ABF5AA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4.导学视频中需融入不少于1个智能制造领域四新应用实景片段或案例介绍，直观展示四新在行业岗位中的实际应用价值。</w:t>
            </w:r>
          </w:p>
          <w:p w14:paraId="19CFDF2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导学内容需明确课程与最新职业技能等级标准、行业岗位四新要求的衔接关系，让学习者清晰知晓课程学习对掌握四新技能的作用。导学视频的脚本由供应商编写，必须通过校方审核，需清晰展示‘课程结构图’或‘知识图谱’的动画演绎，让学生在看片后能清晰了解本门课程的知识脉络、核心技能点及对应的岗位。</w:t>
            </w:r>
          </w:p>
          <w:p w14:paraId="119C648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6.课程导学中可采用虚拟录播、二维动画、实景拍摄等多种制作形式，全片使用特效软件针对相关图片、数据、图表、标题等进行精细特效包装，表现出生动活泼的视频呈现效果，从而吸引观看者的注意力；</w:t>
            </w:r>
          </w:p>
          <w:p w14:paraId="2E05A46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7.使用专业的视频拍摄设备，配备足够录音设备，视频色彩鲜明、曝光合理；</w:t>
            </w:r>
          </w:p>
          <w:p w14:paraId="52C4F36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8.人物抠像部分可以在校方微课录制室拍摄，配置专业灯光，提供提词器以及配备编导人员作为拍摄现场指导；</w:t>
            </w:r>
          </w:p>
          <w:p w14:paraId="27CF664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9.实景拍摄在符合专业特性的场地，配置专业灯光设备和实现1-2机位拍摄，配备编导人员作为拍摄现场指导，场地由校方提供；</w:t>
            </w:r>
          </w:p>
          <w:p w14:paraId="2A08AD5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10.不含航拍、高空拍摄、潜拍等特殊拍摄方式；</w:t>
            </w:r>
          </w:p>
          <w:p w14:paraId="6A79EAA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11.校方老师或学生配音，也可以采用专业配音员配音，配适合背景音乐；</w:t>
            </w:r>
          </w:p>
          <w:p w14:paraId="2985B90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根据课程导学脚本设计对拍摄的视频素材进行剪辑，对相关课程资料图片文件等素材以突出课程特点为方向使用特效软件进行包装加工美化，配合辅助文字、辅助线和重点提示等条充分展示课程知识点内容。结合处理好的老师抠像、配音按照脚本设计制作成课程宣传片；</w:t>
            </w:r>
          </w:p>
          <w:p w14:paraId="51F9E70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字幕要使用符合国家标准的规范字，不出现繁体字、异体字(国家规定的除外)、错别字；字幕的字体、大小、色彩搭配、摆放位置、停留时间、出入屏方式力求与其他要素（画面、解说词、音乐）配合适当，不能破坏原有画面；</w:t>
            </w:r>
          </w:p>
          <w:p w14:paraId="1CBD3D8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14.根据课程内容提供片头、片尾，时长不少于3秒；</w:t>
            </w:r>
          </w:p>
          <w:p w14:paraId="4C0025C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15.存储格式采用mp4存储格式；</w:t>
            </w:r>
          </w:p>
          <w:p w14:paraId="3E7D593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16.采用H.264/AVC（MPEG-4 Part10）编码格式压缩；分辨率不低于1920x1080（16:9），音频采用AAC（MPEG4 Part3）格式压缩。</w:t>
            </w:r>
          </w:p>
          <w:p w14:paraId="1D3BBC4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17.交付成片须包含字幕嵌入版和无字幕版两个版本，便于学校后期用于国际交流或翻译。</w:t>
            </w:r>
          </w:p>
          <w:p w14:paraId="34A9EEA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18.供应商负责资源上传智慧职教及超星教学平台。</w:t>
            </w:r>
          </w:p>
          <w:p w14:paraId="1E885CF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19.文件提交要求</w:t>
            </w:r>
          </w:p>
          <w:p w14:paraId="335386E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视频压缩采用H.264编码，MP4格式，分辨率不低于1080P，按以下要求提交：</w:t>
            </w:r>
          </w:p>
          <w:p w14:paraId="48B07B0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19.1项目源文件：提交制作工程文件及用到的所有素材文件一份（素材要求详见商务要求），以便售后期满后采购人继续修改；</w:t>
            </w:r>
          </w:p>
          <w:p w14:paraId="309AF6C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19.2高质量成品文件：</w:t>
            </w:r>
          </w:p>
          <w:p w14:paraId="435D50A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19.2.1外挂字幕高质量视频文件（视频码率为5-8Mbps）1份，包含SRT格式的外挂字幕文件；</w:t>
            </w:r>
          </w:p>
          <w:p w14:paraId="4CD8BDC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19.2.2内嵌字幕中质量视频文件（视频码率为2-3Mbps）1份；</w:t>
            </w:r>
          </w:p>
          <w:p w14:paraId="33722E4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19.3颗粒化资源文件：</w:t>
            </w:r>
          </w:p>
          <w:p w14:paraId="3CEDD89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19.3.1外挂字幕高质量视频文件（视频码率为5-8Mbps）1份，包含SRT格式的外挂字幕文件；</w:t>
            </w:r>
          </w:p>
          <w:p w14:paraId="647A238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19.3.2内嵌字幕中质量视频文件（视频码率为2-3Mbps）1份；</w:t>
            </w:r>
          </w:p>
          <w:p w14:paraId="15E3D21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sz w:val="21"/>
                <w:szCs w:val="21"/>
                <w:highlight w:val="none"/>
              </w:rPr>
              <w:t>上述要求用U盘或者移动硬盘等存储设备存储，须提交一式三份给采购人。</w:t>
            </w:r>
          </w:p>
        </w:tc>
      </w:tr>
      <w:tr w14:paraId="0CD1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tcBorders>
              <w:top w:val="single" w:color="auto" w:sz="4" w:space="0"/>
            </w:tcBorders>
            <w:vAlign w:val="center"/>
          </w:tcPr>
          <w:p w14:paraId="157060B9">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2</w:t>
            </w:r>
          </w:p>
        </w:tc>
        <w:tc>
          <w:tcPr>
            <w:tcW w:w="1017" w:type="dxa"/>
            <w:tcBorders>
              <w:top w:val="single" w:color="auto" w:sz="4" w:space="0"/>
            </w:tcBorders>
            <w:vAlign w:val="center"/>
          </w:tcPr>
          <w:p w14:paraId="32569B21">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微课</w:t>
            </w:r>
          </w:p>
        </w:tc>
        <w:tc>
          <w:tcPr>
            <w:tcW w:w="633" w:type="dxa"/>
            <w:gridSpan w:val="2"/>
            <w:tcBorders>
              <w:top w:val="single" w:color="auto" w:sz="4" w:space="0"/>
            </w:tcBorders>
            <w:shd w:val="clear" w:color="auto" w:fill="FFFFFF"/>
            <w:vAlign w:val="center"/>
          </w:tcPr>
          <w:p w14:paraId="6096F1BA">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184</w:t>
            </w:r>
          </w:p>
        </w:tc>
        <w:tc>
          <w:tcPr>
            <w:tcW w:w="631" w:type="dxa"/>
            <w:tcBorders>
              <w:top w:val="single" w:color="auto" w:sz="4" w:space="0"/>
            </w:tcBorders>
            <w:vAlign w:val="center"/>
          </w:tcPr>
          <w:p w14:paraId="7E6107FA">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tcBorders>
              <w:top w:val="single" w:color="auto" w:sz="4" w:space="0"/>
            </w:tcBorders>
            <w:vAlign w:val="center"/>
          </w:tcPr>
          <w:p w14:paraId="213359D2">
            <w:pPr>
              <w:pStyle w:val="2"/>
              <w:keepNext w:val="0"/>
              <w:keepLines w:val="0"/>
              <w:pageBreakBefore w:val="0"/>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rPr>
            </w:pPr>
            <w:bookmarkStart w:id="47" w:name="_Toc32526"/>
            <w:r>
              <w:rPr>
                <w:rFonts w:hint="eastAsia" w:ascii="宋体" w:hAnsi="宋体" w:eastAsia="宋体" w:cs="宋体"/>
                <w:b w:val="0"/>
                <w:bCs w:val="0"/>
                <w:sz w:val="21"/>
                <w:szCs w:val="21"/>
                <w:highlight w:val="none"/>
              </w:rPr>
              <w:t>完成184 个微课制作，并以此为核心教学资源，建成专业教学资源库 1 个、精品在线课程 5 门（《数控多轴加工技术》《逆向工程与测量技术》《工业机器人工作站系统集成》《电机与电气控制技术》《液压与气压传动技术》），5门课程建成后供应商需负责上线至智慧职教及超星教学平台，实现资源库与在线课程同步上线运行，同时依托优质教学资源开展赛事指导服务。具体内容为：</w:t>
            </w:r>
            <w:bookmarkEnd w:id="47"/>
          </w:p>
          <w:p w14:paraId="4BA43AF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（一）微课制作184个</w:t>
            </w:r>
          </w:p>
          <w:p w14:paraId="0AC35A5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 微课</w:t>
            </w:r>
          </w:p>
          <w:p w14:paraId="59127F5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 制作内容：微课程视频制作184个，每个时长5-10分钟，总时长不少于1700分钟。</w:t>
            </w:r>
          </w:p>
          <w:p w14:paraId="6503DE2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微课内容应符合我国法律法规，尊重各民族的风俗习惯，版权不存在争议。拍摄前，供应商需协助教师完成详细的视频拍摄脚本编写。脚本格式需统一，包含：镜头编号、景别、画面内容、解说词、字幕、预计时长、对应PPT页码。每个微课视频必须包含‘情境导入-知识讲解/技能演示-归纳小结-思考练习’四个环节</w:t>
            </w:r>
          </w:p>
          <w:p w14:paraId="7B41D0C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微课内容需结合企业实际应用场景，采用“原理讲解+实操演示+标准对照”的形式，讲解四新内容时需引用最新的行业标准和企业案例。涉及新技术、新工艺的讲解，必须穿插不少于15秒的企业现场实拍画面（由供应商负责采集或校方提供）。涉及新规范、新标准的内容，视频画面中必须以‘图文卡片’或‘标准条文高亮’的形式展示具体的标准编号和关键条款，停留时间不少于5秒。</w:t>
            </w:r>
          </w:p>
          <w:p w14:paraId="132CECB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实操类微课需严格按照新工艺操作流程和新规范要求拍摄，确保操作动作、流程符合行业最新标准。实操类微课拍摄前，供应商需组织教师、企业技术人员共同审核。成片中，关键操作步骤（如参数输入、刀具装夹、安全确认）必须使用‘画中画特写’或‘动态箭头标注’进行强调，确保每一步操作清晰可见、无歧义</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1.5 微课程要求以视频为主要载体，围绕某个知识点内容展开、基于教学设计的学习资源。含片头、片尾、教师出镜拍摄、教师录制配音、PPT穿插、使用添加PPT内置动画效果包装，使用添加PPT内置平滑切换效果包装，制作所用的软件版本Microsoft Office 2016或同等及以上档次；</w:t>
            </w:r>
          </w:p>
          <w:p w14:paraId="5498A4D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1.6使用专业的影视拍摄设备，配备广播级专业录音设备，视频画质高清、色彩鲜明、曝光合理、音质清晰；</w:t>
            </w:r>
          </w:p>
          <w:p w14:paraId="7942951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 实操场景拍摄，在符合专业特性的室内场地，配置专业灯光设备和实现1-2机位拍摄，配备编导人员作为拍摄现场指导，场地由校方提供；</w:t>
            </w:r>
          </w:p>
          <w:p w14:paraId="181E48C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 不含航拍、高空拍摄、潜拍等特殊拍摄方式；后期包装不含二维动画、三维动画制作。</w:t>
            </w:r>
          </w:p>
          <w:p w14:paraId="12508C8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1.9 教师AI数字人出镜，应用AI技术完成微课建设，数字人数量由采购人根据实际建设需求决定，具体参数要求：</w:t>
            </w:r>
          </w:p>
          <w:p w14:paraId="0DC020B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1.9.1数字人形象定制：结合课程专业特色与教学需求，定制适配的数字人形象，支持形象动作、表情、口型的自然联动，贴合真人教学表达习惯；</w:t>
            </w:r>
          </w:p>
          <w:p w14:paraId="624C764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1.9.2数字人授课制作：将课程核心知识点、微课内容转化为数字人授课视频，数字人授课口型与语音精准同步，动作、表情自然流畅，授课节奏适配学习需求；</w:t>
            </w:r>
          </w:p>
          <w:p w14:paraId="6758C05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1.9.3课程内容融合：数字人课程涵盖课程导学、知识点讲解、实训指导等模块，与课程现有微课、课件、题库等资源深度融合，形成完整教学体系；</w:t>
            </w:r>
          </w:p>
          <w:p w14:paraId="5AEC096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1.9.4制作技术标准：数字人授课视频采用mp4格式，H.264/AVC编码，分辨率≥1920x1080（16:9），帧率≥25fps，音频AAC格式，音画同步，无噪点、失真；</w:t>
            </w:r>
          </w:p>
          <w:p w14:paraId="08E4522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1.9.5版权与修改：数字人课程资源产权归校方所有，供应商支持对数字人形象、授课内容进行简单修改与优化，适配课程内容更新需求；</w:t>
            </w:r>
          </w:p>
          <w:p w14:paraId="5B17EB8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1.10模板应用：在老师提供PPT初稿的基础上重新进行符合课程内容特点的PPT美化设计，包含不同板块的背景、教师出镜背景、人名条、章节页、画中画框、关键字美化框等元素。模板朴素、大方，颜色适宜，便于长时间观看；在模板的适当位置标明课程名称、模块（章或节）序号与模块（章或节）的名称，多个页面均有的相同元素。课程中使用到的课程专业图片由教师提供且无版权争议；</w:t>
            </w:r>
          </w:p>
          <w:p w14:paraId="36C23D8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1.11视频采用MP4格式封装。</w:t>
            </w:r>
          </w:p>
          <w:p w14:paraId="411B8B6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1.12字幕要使用符合国家标准的规范字，不出现繁体字、异体字(国家规定的除外)、错别字；字幕的字体、大小、色彩搭配、摆放位置、停留时间、出入屏方式力求与其他要素（画面、解说词、音乐）配合适当，不能破坏原有画面</w:t>
            </w:r>
          </w:p>
          <w:p w14:paraId="360A44D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1.13 视频要求图像清晰，声音和画面同步，播放时没有明显的噪点，播放流畅；</w:t>
            </w:r>
          </w:p>
          <w:p w14:paraId="4E6592F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1.14 将微课视频的音频转化成音频文件。要求配音配乐声音清晰、稳定、噪音低，回响小，无失真，采用mp3格式，音频的采样频率≥22.05 kHz，码率≥128Kbps。</w:t>
            </w:r>
          </w:p>
          <w:p w14:paraId="764937B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1.15供应商负责资源上传智慧职教及超星教学平台。</w:t>
            </w:r>
          </w:p>
          <w:p w14:paraId="0D91CA2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1.16文件提交要求</w:t>
            </w:r>
          </w:p>
          <w:p w14:paraId="59C1C9B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视频压缩采用H.264编码，MP4格式，分辨率不低于1080P，按以下要求提交：</w:t>
            </w:r>
          </w:p>
          <w:p w14:paraId="58E6821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1.16.1项目源文件：提交制作工程文件及用到的所有素材文件一份（素材要求详见商务要求），以便售后期满后采购人继续修改；</w:t>
            </w:r>
          </w:p>
          <w:p w14:paraId="7D35513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1.16.2高质量成品文件：</w:t>
            </w:r>
          </w:p>
          <w:p w14:paraId="68D3148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1.16.2.1外挂字幕高质量视频文件（视频码率为5-8Mbps）1份，包含SRT格式的外挂字幕文件；</w:t>
            </w:r>
          </w:p>
          <w:p w14:paraId="50169F6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1.16.2.2内嵌字幕中质量视频文件（视频码率为2-3Mbps）1份；</w:t>
            </w:r>
          </w:p>
          <w:p w14:paraId="403D4AD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1.16.3颗粒化资源文件：</w:t>
            </w:r>
          </w:p>
          <w:p w14:paraId="630560B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1.16.3.1外挂字幕高质量视频文件（视频码率为5-8Mbps）1份，包含SRT格式的外挂字幕文件；</w:t>
            </w:r>
          </w:p>
          <w:p w14:paraId="56CDCAE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1.16.3.2内嵌字幕中质量视频文件（视频码率为2-3Mbps）1份；</w:t>
            </w:r>
          </w:p>
          <w:p w14:paraId="64D0BC5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上述要求用U盘或者移动硬盘等存储设备存储，须提交一式三份给采购人。</w:t>
            </w:r>
          </w:p>
          <w:p w14:paraId="34E92CA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 课件PPT美化</w:t>
            </w:r>
          </w:p>
          <w:p w14:paraId="545EF23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 完成微课程视频课件PPT美化184个，单个不少于25个页面，单个总页面根据采购人提供初稿定。</w:t>
            </w:r>
          </w:p>
          <w:p w14:paraId="3B332DE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 软件版本：文件制作所用的软件版本Microsoft Office 2016或同等及以上档次；</w:t>
            </w:r>
          </w:p>
          <w:p w14:paraId="2506468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 模板应用：在老师提供PPT初稿的基础上重新进行符合课程内容特点的PPT美化设计，包含不同板块的背景、教师出镜背景、人名条、章节页、画中画框、关键字美化框等元素。模板朴素、大方，颜色适宜，便于长时间观看；在模板的适当位置标明课程名称、模块（章或节）序号与模块（章或节）的名称，多个页面均有的相同元素，如背景、按钮、标题、页码等，可以使用幻灯片母版来实现；</w:t>
            </w:r>
          </w:p>
          <w:p w14:paraId="573CD65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2.4 版式设计：每页版面的字数不宜太多；正文字号应不小于 24 磅字，使用 Windows 系统默认字体不要使用仿宋、细圆等过细字体，不使用特殊字体。如有特殊字体，应转化为图形文件，文字要醒目，避免使用与背景色相近的字体颜色，页面行距建议为 1.2 倍，可适当增大，左右边距均匀、适当，页面设计的原则是版面内容的分布美观大方，恰当使用组合：某些插图中位置相对固定的文本框、数学公式以及图片等应采用组合方式，避免产生相对位移，尽量避免不必要的组合，不同对象、文本的动作需要同时出现时，可确定彼此之间的时间间隔为 0 秒，各级标题采用不同的字体和颜色，一张幻灯片上文字颜色限定在 4 种以内，注意文字与背景色的反差；</w:t>
            </w:r>
          </w:p>
          <w:p w14:paraId="5006929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2.5 对PPT初稿中的图片进行美化，包含优化图片亮度、对比度、饱和度、照片的比例、形状和水平等，使每个元素尽量可视化，易于学习观看；如原图过于模糊而达不到课程教学要求，将对图片进行二次绘制加工，使其达到课程使用要求；</w:t>
            </w:r>
          </w:p>
          <w:p w14:paraId="47D7703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2.6 优化PPT中的思维导图，使其与美化后的PPT风格一致，并符合线上观看学习特点；</w:t>
            </w:r>
          </w:p>
          <w:p w14:paraId="10F82B8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2.7 PPT内置动画方案：根据课程讲述的顺序给PPT里对应的图文元素添加PPT内置动态效果，重难点的地方添加强调效果，使其符合线上循序渐进的学习特点，降低学习成本；不宜出现不必要的PPT内置动画效果，不使用随机效果，PPT内置动画要求连续，节奏合适；</w:t>
            </w:r>
          </w:p>
          <w:p w14:paraId="56B93F0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2.8 画幅宽高比统一调整为16：9；</w:t>
            </w:r>
          </w:p>
          <w:p w14:paraId="3C4213F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2.9 格式要求：.ppt、.pptx。</w:t>
            </w:r>
          </w:p>
          <w:p w14:paraId="50FEC26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2.10供应商负责资源上传智慧职教及超星教学平台。</w:t>
            </w:r>
          </w:p>
          <w:p w14:paraId="04ECDD2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3课程标准</w:t>
            </w:r>
          </w:p>
          <w:p w14:paraId="122B3E3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依据国家职业教育课程建设规范、学科教学指导纲要及校方专业人才培养方案，编制《数控多轴加工技术》《逆向工程与测量技术》《工业机器人工作站系统集成》《电机与电气控制技术》《液压与气压传动技术》五门课程符合专业特色的课程标准，共5套；</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3.2内容完整、结构规范，包含课程定位、课程目标（知识/能力/素质/思政）、学时分配、课程内容与教学要求、教学方法与手段、考核评价方式、教学资源要求、实施建议等核心模块；</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3.3课程目标与专业人才培养目标衔接，内容贴合行业岗位需求，学时分配科学，考核评价采用过程性与终结性评价相结合；</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3.4符合广西职业教育课程建设相关要求，具备可操作性、科学性、前瞻性，可直接指导教学实施；</w:t>
            </w:r>
          </w:p>
          <w:p w14:paraId="3C18D44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3.5课程标准的课程目标需将四新素养纳入知识、能力、素质目标，明确学生需掌握的本专业领域核心新技术、新工艺操作能力，以及新规范、新标准执行能力。</w:t>
            </w:r>
          </w:p>
          <w:p w14:paraId="3AC5FB9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3.6课程内容与教学要求模块需按四新要求重构教学内容，增设四新专题教学单元，明确四新内容的学时分配。</w:t>
            </w:r>
          </w:p>
          <w:p w14:paraId="79AEA18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3.7教学方法与手段需适配四新内容教学，要求采用“企业实景教学 + 仿真操作+项目化实践”等方式，强化四新技能的实操训练。</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3.8每套课程标准交付WORD可编辑版及PDF正式版各1份，格式规范、排版整洁、无文字及逻辑错误。</w:t>
            </w:r>
          </w:p>
          <w:p w14:paraId="2850459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3.9课程标准与教学标准在‘教学内容与教学实施’的对应关系上需通过对照表形式体现一致性，但在具体描述上不得大面积雷同。</w:t>
            </w:r>
          </w:p>
          <w:p w14:paraId="0E5E2AA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3.10需经两名以上与课程专业相符的校外职业教育专家（高职或本科学校教师，具有教授职称）书面审阅并签署意见，方可验收。</w:t>
            </w:r>
          </w:p>
          <w:p w14:paraId="7AF5E1F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4教学标准</w:t>
            </w:r>
          </w:p>
          <w:p w14:paraId="6E29358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4.1结合校方专业建设规划、行业职业标准及国家职业教育教学要求，编制《数控多轴加工技术》《逆向工程与测量技术》《工业机器人工作站系统集成》《电机与电气控制技术》《液压与气压传动技术》五门课程对应课程标准配套的教学标准，共5套；</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4.2结构完整、内容详实，包含教学定位、教学总目标、教学模块与单元设计、教学实施条件（师资/场地/设备/资源）、教学过程管理、教学质量评价体系、教学改革与创新建议等核心内容；</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4.3教学模块设计贴合实际教学场景，明确师资、场地设备配置标准，教学质量评价指标量化可考核；</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4.4符合广西职业院校教学建设相关规范，具备科学性、实用性、针对性；</w:t>
            </w:r>
          </w:p>
          <w:p w14:paraId="23BFB9E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4.5教学模块与单元设计需按四新要求拆解教学单元，每个核心教学模块需融入对应的新技术、新工艺、新规范、新标准，且单独设置四新综合实践教学单元。</w:t>
            </w:r>
          </w:p>
          <w:p w14:paraId="2B477C9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4.6教学质量评价体系需制定四新技能考核量化指标，对学生四新知识掌握、工艺操作、规范执行、标准应用能力进行分项评价。</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4.7每套教学标准交付WORD可编辑版及PDF正式版各1份，格式规范、排版整洁、无文字及逻辑错误。</w:t>
            </w:r>
          </w:p>
          <w:p w14:paraId="5A8807E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4.8课程标准与教学标准在‘教学内容与教学实施’的对应关系上需通过对照表形式体现一致性，但在具体描述上不得大面积雷同。</w:t>
            </w:r>
          </w:p>
          <w:p w14:paraId="68F605F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4.9需经两名以上与课程专业相符的校外职业教育专家（高职或本科学校教师，具有教授职称）书面审阅并签署意见，方可验收。</w:t>
            </w:r>
          </w:p>
          <w:p w14:paraId="4CA79C8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（二）专业教学资源库1个</w:t>
            </w:r>
          </w:p>
          <w:p w14:paraId="1D48873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根据项目建设的微课等数字化资源，建成1个符合自治区专业教学资源库建设规范的资源库；资源库内资源总量不少于1000条，涵盖课程标准、课件、微课、实训指导、题库等类型，资源格式符合专业教学资源库平台上传要求，可直接服务日常教学。</w:t>
            </w:r>
          </w:p>
          <w:p w14:paraId="3D7239B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1.专业教学资源库建设1个</w:t>
            </w:r>
          </w:p>
          <w:p w14:paraId="7D4DBE2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根据采购人需求完成专业群教学资源库平台建设，完善平台栏目设置，完整展示专业资源库。建成1个符合自治区建设规范的专业教学资源库，入选校级及以上认定名单；资源总量超800GB，资源条目不少于1000条；校内年使用人次≥6000人，社会培训年服务≥1200人次（含东盟跨境培训≥300人次）；资源可直接服务日常教学、社会培训及东盟跨境教学。主要功能包括：</w:t>
            </w:r>
          </w:p>
          <w:p w14:paraId="3DDED55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1.1资源库前台</w:t>
            </w:r>
          </w:p>
          <w:p w14:paraId="058508A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1.1.1 资源库门户支持对学校BANNER、LOGO后台自定义编辑。</w:t>
            </w:r>
          </w:p>
          <w:p w14:paraId="229BB69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1.1.2 资源库首页宣传轮播图展示。</w:t>
            </w:r>
          </w:p>
          <w:p w14:paraId="042865D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1.1.3 支持资源库基本信息展示，包括专业介绍，联建单位信息。</w:t>
            </w:r>
          </w:p>
          <w:p w14:paraId="1F06D69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1.1.4 支持资源库基本统计信息，包括用户数，课程数，开课数，素材数等。</w:t>
            </w:r>
          </w:p>
          <w:p w14:paraId="7672B41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1.1.5 支持所有发布课程和上传素材的展示。</w:t>
            </w:r>
          </w:p>
          <w:p w14:paraId="5EEF6AD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1.1.6 支持资源库项目知识技能图谱展示。</w:t>
            </w:r>
          </w:p>
          <w:p w14:paraId="5AEA63E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1.2资源库管理空间</w:t>
            </w:r>
          </w:p>
          <w:p w14:paraId="68DEB2F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1.2.1 设定资源库的建设目标，学校可自主按照核心专业及多个服务专业的组织形式开展资源库建设。</w:t>
            </w:r>
          </w:p>
          <w:p w14:paraId="642CECB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1.2.2 支持本资源库负责人设置专业基础信息，包括资源库LOGO以及门户网站模板（选择门户建设方式，包括自行独立定制或选择示范模板）等。</w:t>
            </w:r>
          </w:p>
          <w:p w14:paraId="16A5365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1.2.3 支持本资源库项目负责人对平台成员进行管理，设置专业负责人、课程负责人和课程审核人，支持设置人员权限，并有权限管理本资源库所有成员的账号。</w:t>
            </w:r>
          </w:p>
          <w:p w14:paraId="7C1AA94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1.2.4 支持设置资源库的人才培养方案和专业建设标准，发挥资源库内协同育人的建设目标。</w:t>
            </w:r>
          </w:p>
          <w:p w14:paraId="5146A6A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1.2.5 支持规划和建设课程体系，支持从课程类型、课程层次、课程对应岗位及相关职业证书等多个维度进行课程分类；支持通过项目知识技能图谱的方式，构建课程与课程之间的联系，体现“结构化课程”的建设理念。</w:t>
            </w:r>
          </w:p>
          <w:p w14:paraId="58449BD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1.2.6 支持按类型将课程划分为学历课程和培训课程，在实现资源共建共享的基础上丰富资源库课程内容。学历课程支持按公共基础课、专业基础课、专业核心课、专业拓展课、实验实训课构建资源库的课程层次；培训课程支持按教师培训、职业培训、竞赛培训构建资源库的课程类型。</w:t>
            </w:r>
          </w:p>
          <w:p w14:paraId="3474209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1.2.7 支持资源库所建课程对应多专业，并与各专业职业面向就业岗位相关联，实现课程与国家职业标准体系对接，提高学生所学技能与岗位需求的匹配度。</w:t>
            </w:r>
          </w:p>
          <w:p w14:paraId="2BC7A15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1.2.8 支持资源库课程团队建设，并分别指定每门课程的课程建设人员和审核人员，保证课程内容质量，实现审核流程可记录、可追溯。</w:t>
            </w:r>
          </w:p>
          <w:p w14:paraId="1549F3A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1.2.9 支持展示资源库下所有的知识技能图谱、素材、题目和课程体系，汇聚成资源库资源空间，便于管理员整体把握资源库内容结构和建设进度、成果。</w:t>
            </w:r>
          </w:p>
          <w:p w14:paraId="40F48D3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1.3课程建设系统</w:t>
            </w:r>
          </w:p>
          <w:p w14:paraId="28FC946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1.3.1 平台通过知识技能图谱的形式构建课程，支持课程负责人新建知识技能点，并在章节结构下自主上传课程资源与内容。</w:t>
            </w:r>
          </w:p>
          <w:p w14:paraId="42E4AB5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1.3.2 如课程负责人已经参与了其他相关国家级/省级/校级资源库的建设，在原有资源库负责人赋权的前提下，该课程负责人可从原有资源库中导入其个人所建的资源、试题和课程，避免资源重复建设。</w:t>
            </w:r>
          </w:p>
          <w:p w14:paraId="6E74DE3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1.3.3 课程负责人可将其在与本资源库平台关联的SPOC平台或MOOC平台中原创的课程资源，导入本资源库中，完成课程设计。</w:t>
            </w:r>
          </w:p>
          <w:p w14:paraId="7B4559F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1.3.4 支持同一门课程开设多个使用周期，并支持对不同周期的课程进行内容优化提升，实现课程资源建设的全过程留存；同时，支持不同课程周期内的资源复制，实现资源共建共享。</w:t>
            </w:r>
          </w:p>
          <w:p w14:paraId="0B8B89D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1.3.5 支持将题库、素材与知识技能图谱对接。</w:t>
            </w:r>
          </w:p>
          <w:p w14:paraId="2DEFEC9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1.3.6 支持课程负责人创建课程团队，进行教学内容建设与管理。</w:t>
            </w:r>
          </w:p>
          <w:p w14:paraId="5388D0E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1.3.7 支持教师对不同开课周期设置不同的作业与考试，且支持对不同考试设置不同出卷规则，实现同一课程针对不同对象的差异化教学。</w:t>
            </w:r>
          </w:p>
          <w:p w14:paraId="5AD377F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1.3.8 支持课程负责人创建课程公告，设置课程基本信息、考核标准、参考教材，上传课程封面、课程简介视频等，支持教师根据课程教学需求自定义设置讨论区，完善课程介绍。</w:t>
            </w:r>
          </w:p>
          <w:p w14:paraId="118B885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1.3.9 支持教师在开课周期内设置考试开始时间、结束时间、考试时长、答案公布时间等。</w:t>
            </w:r>
          </w:p>
          <w:p w14:paraId="5724EB3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1.3.10 支持教师在开课周期内设置不同的作业类型，并可个性化设计作业结束时间，支持作业添加到课程内容指定的位置。</w:t>
            </w:r>
          </w:p>
          <w:p w14:paraId="70DCC86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1.3.11 支持课程负责人统计学生学习情况，包括作业统计，考试统计，随堂测验统计，视频资源统计，其他资源统计，讨论统计。</w:t>
            </w:r>
          </w:p>
          <w:p w14:paraId="719B2B2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1.3.12 支持一键开启SPOC教学，在资源库的建课中心，可以开启本课程的SPOC教学。即用同步或者新开的开课方式，把当前开课的课程设计、题库等内容同步到SPOC空间里。</w:t>
            </w:r>
          </w:p>
          <w:p w14:paraId="21A3E76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1.4课程审核系统</w:t>
            </w:r>
          </w:p>
          <w:p w14:paraId="5439A8E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1.4.1 支持课程建设完成后进行课程预览，并提交课程审核人进行内容审核。</w:t>
            </w:r>
          </w:p>
          <w:p w14:paraId="0C1189E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1.4.2 支持课程审核人对素材、题目等资源进行审核，支持批量审核与下架；素材审核包括素材名称、上传者、上传时间、媒体类型、应用类型、所属平台来源等属性；题库审核包括题干、题型、难易程度、上传者、上传时间等属性。</w:t>
            </w:r>
          </w:p>
          <w:p w14:paraId="7960B40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1.4.3 支持课程审核人对课程属性进行审核，包括课程名称、类型、所属专业、创建时间、课程层次，课程开课周期等属性。</w:t>
            </w:r>
          </w:p>
          <w:p w14:paraId="27D7A39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1.4.4 支持课程审核人对课程建设内容进行审核，填写审核意见，体现资源库的“一体化设计”要求，提高资源库建设质量。</w:t>
            </w:r>
          </w:p>
          <w:p w14:paraId="4AF6187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1.5资源建设系统</w:t>
            </w:r>
          </w:p>
          <w:p w14:paraId="24EE7FE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1.5.1 支持按课程构建资源库的课程知识树和课程技能图谱。</w:t>
            </w:r>
          </w:p>
          <w:p w14:paraId="0C39524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1.5.2 支持资源库项目团队成员加入项目对应智慧教研室，实现线上虚拟教研。</w:t>
            </w:r>
          </w:p>
          <w:p w14:paraId="64ABD33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1.5.3 支持汇聚资源库的素材、题库及课程建设内容，并支持智能搜索和推荐。</w:t>
            </w:r>
          </w:p>
          <w:p w14:paraId="3D6D24C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1.5.4 支持素材进行标签管理，支持将素材设置媒体类型、适用对象、素材语言、素材来源等，增强资源检索的便捷性。</w:t>
            </w:r>
          </w:p>
          <w:p w14:paraId="345EEFC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1.5.5 支持用户收藏资源库内的课程、素材等内容，提高资源使用效率。</w:t>
            </w:r>
          </w:p>
          <w:p w14:paraId="525CD47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1.5.6 文档格式，支持doc、docx、xls、xlsx、pdf、txt、ppt、pptx等主流格式，上传后自动转码，无需另行安装插件可直接在线阅读。</w:t>
            </w:r>
          </w:p>
          <w:p w14:paraId="10BE932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1.5.7 图片支持jpg、jpeg、png、bmp、gif等格式。</w:t>
            </w:r>
          </w:p>
          <w:p w14:paraId="554DDB0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1.5.8 压缩包支持上传7z、rar、tar、zip等格式。</w:t>
            </w:r>
          </w:p>
          <w:p w14:paraId="44830FC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1.5.9 支持包括各种文档、音频、视频、动画、图片的在线预览和播放。</w:t>
            </w:r>
          </w:p>
          <w:p w14:paraId="0F63CED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1.6知识技能图谱管理系统</w:t>
            </w:r>
          </w:p>
          <w:p w14:paraId="5FF6ABE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1.6.1 门户支持项目图谱和课程图谱的展示</w:t>
            </w:r>
          </w:p>
          <w:p w14:paraId="4AA4A6A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1.6.1.1在资源库门户显示资源库项目的专业技能图谱，课程页面显示该课程的图谱，并支持查看图谱关系结构；</w:t>
            </w:r>
          </w:p>
          <w:p w14:paraId="4C09448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1.6.1.2支持点击项目图谱内课程节点，并打开相应课程图谱；</w:t>
            </w:r>
          </w:p>
          <w:p w14:paraId="54EDEF2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1.6.1.3支持在项目图谱、课程图谱内点击查看资源；</w:t>
            </w:r>
          </w:p>
          <w:p w14:paraId="501C3C3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1.6.1.4支持项目图谱和课程图谱搜索节点名称，搜索查找该节点的图谱路径详情；</w:t>
            </w:r>
          </w:p>
          <w:p w14:paraId="68954AC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1.6.1.5课程图谱支持按开课周期筛选，每期开课显示每期开课不同课程图谱。</w:t>
            </w:r>
          </w:p>
          <w:p w14:paraId="6DEBCE5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1.6.2 资源库项目图谱管理</w:t>
            </w:r>
          </w:p>
          <w:p w14:paraId="7DD5BAD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1.6.2.1支持由资源库的项目知识技能树自动生成项目知识技能图谱，同步节点之间的包含关系。项目管理员管理项目图谱内各个课程之间的关系，支持查看、编辑图谱节点关系；</w:t>
            </w:r>
          </w:p>
          <w:p w14:paraId="6353E53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1.6.2.2支持对已创建的项目图谱进行查看、缩放、导出等操作，并支持快速展开图谱层级节点，搜索查找该节点的图谱路径详情；</w:t>
            </w:r>
          </w:p>
          <w:p w14:paraId="365A5AE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1.6.2.3可添加图谱内节点之间的先后、并列两种关系，添加关系快速搜索；</w:t>
            </w:r>
          </w:p>
          <w:p w14:paraId="7930C61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1.6.2.4支持查看当前节点下的全部素材、题库内容、类型、上传人等信息；</w:t>
            </w:r>
          </w:p>
          <w:p w14:paraId="2B1B3E4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1.6.2.5支持知识点答题情况查询，包括知识点下全部知识点学习情况，答题正确率，答题次数和具体答题学生；</w:t>
            </w:r>
          </w:p>
          <w:p w14:paraId="49AD1E5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1.6.2.6支持按学生搜索，查看某学生知识点学习情况。</w:t>
            </w:r>
          </w:p>
          <w:p w14:paraId="370C725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1.6.3 课程图谱管理</w:t>
            </w:r>
          </w:p>
          <w:p w14:paraId="479B87F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1.6.3.1课程负责人负责创建和管理课程知识技能图谱，可对课程图谱结构进行查看、编辑、导出等操作；</w:t>
            </w:r>
          </w:p>
          <w:p w14:paraId="2972673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1.6.3.2支持对已创建的项目图谱进行查看、缩放、线条、连接点、刷新的操作，并支持快速展开图谱层级节点，搜索查找该节点的图谱路径详情；</w:t>
            </w:r>
          </w:p>
          <w:p w14:paraId="3517F71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1.6.3.3支持新增、删除、编辑课程图谱节点，包括节点上传相应资源，填写属性，知识点目标描述，编辑技能点；</w:t>
            </w:r>
          </w:p>
          <w:p w14:paraId="5BB1476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1.6.3.4可添加图谱内节点之间的先后、并列两种关系；</w:t>
            </w:r>
          </w:p>
          <w:p w14:paraId="7598FF6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1.6.3.5支持查看资源、查看题目，可以查看当前节点下的全部素材、题库内容、类型、上传人等信息；</w:t>
            </w:r>
          </w:p>
          <w:p w14:paraId="0056BBE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1.6.3.6支持知识点答题情况查询，包括知识点下全部知识点学习情况，答题正确率，答题次数和具体答题学生；</w:t>
            </w:r>
          </w:p>
          <w:p w14:paraId="4341CB3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1.6.3.7支持按学生搜索，查看当前某学生全部知识点学习情况；</w:t>
            </w:r>
          </w:p>
          <w:p w14:paraId="7F3DC68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1.6.3.8支持添加概述、引言、案例、知识点等节点标签。</w:t>
            </w:r>
          </w:p>
          <w:p w14:paraId="62DDDB7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1.6.4 知识技能图谱学习</w:t>
            </w:r>
          </w:p>
          <w:p w14:paraId="650C69B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1.6.4.1支持按开课周期选择需要学习的课程图谱；</w:t>
            </w:r>
          </w:p>
          <w:p w14:paraId="7C9E015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1.6.4.2支持根据图谱节点点击查看资源、学习节点下的课件资源；</w:t>
            </w:r>
          </w:p>
          <w:p w14:paraId="7075374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1.6.4.3可查看学习图谱内作业、考试、测验内容，显示当前操作人的作业考试已完成、未完成、已结止、重做等状态；</w:t>
            </w:r>
          </w:p>
          <w:p w14:paraId="4706B64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1.6.4.4搜索节点名称，可显示图谱路径详情，快速查找。</w:t>
            </w:r>
          </w:p>
          <w:p w14:paraId="1D7BA9C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1.7学习中心</w:t>
            </w:r>
          </w:p>
          <w:p w14:paraId="3CA1DA9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1.7.1 我的课程，已经添加的课程展示，可以对在修课程和已修课程进行管理、学习。</w:t>
            </w:r>
          </w:p>
          <w:p w14:paraId="0D492E7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1.7.2 待答作业，学生可以对自己的作业进行作答、查看。</w:t>
            </w:r>
          </w:p>
          <w:p w14:paraId="2496728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1.7.3 待答考试，学生可以对自己的考试进行作答、查看。</w:t>
            </w:r>
          </w:p>
          <w:p w14:paraId="23C1E77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1.7.4 消息通知，查询消息通知详情、标记为全部已读。</w:t>
            </w:r>
          </w:p>
          <w:p w14:paraId="37B96CA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1.7.5 我的收藏，对收藏的课程和素材资源进行查看、删除的管理。</w:t>
            </w:r>
          </w:p>
          <w:p w14:paraId="46FE068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1.8虚拟智慧教研室</w:t>
            </w:r>
          </w:p>
          <w:p w14:paraId="549E568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1.8.1 资源库教研室管理员后台管理</w:t>
            </w:r>
          </w:p>
          <w:p w14:paraId="391C92E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1.8.1.1完善教研室信息，编辑修改教研室信息；</w:t>
            </w:r>
          </w:p>
          <w:p w14:paraId="12B96A2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1.8.1.2加入管理，设置加入方式、分享二维码生成、申请加入审核；</w:t>
            </w:r>
          </w:p>
          <w:p w14:paraId="3D9670C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1.8.1.3成员管理，批量用户权设置、成员设置管理权限、移除用户；</w:t>
            </w:r>
          </w:p>
          <w:p w14:paraId="119A25D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1.8.1.4通知公告，发布教研室通知公告，增、删、改、查、发布功能；</w:t>
            </w:r>
          </w:p>
          <w:p w14:paraId="1351631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1.8.1.5群发通知，新增、群发、预览、编辑、删除功能；</w:t>
            </w:r>
          </w:p>
          <w:p w14:paraId="0AD011A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1.8.1.6资源管理，资源审核、下载、预览、删除、查询功能；</w:t>
            </w:r>
          </w:p>
          <w:p w14:paraId="67E068E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1.8.1.7听评课管理，每天可以创建并发布听评课管理活动、设置打分区间一次，指定听评课专家不超过5人，查看评课人完成情况；</w:t>
            </w:r>
          </w:p>
          <w:p w14:paraId="1CE2BD9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1.8.1.8教研任务，支持周任务排期表、月任务排期表；同时进行3个任务的创建并发布通知、附件、资源等类型任务；任务查看详情管理；</w:t>
            </w:r>
          </w:p>
          <w:p w14:paraId="51F37D1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1.8.1.9教研室动态管理，对教研室发帖审核设置，审核、删除、搜索等操作；</w:t>
            </w:r>
          </w:p>
          <w:p w14:paraId="071B856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1.8.1.10评论管理，对教研室所有的已发布、未发布的评论回复数据进行审核删除等操作。</w:t>
            </w:r>
          </w:p>
          <w:p w14:paraId="20231FA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1.8.2 教研室普通成员</w:t>
            </w:r>
          </w:p>
          <w:p w14:paraId="7328953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1.8.2.1我的教研室，申请退出、查看详情、查询功能；</w:t>
            </w:r>
          </w:p>
          <w:p w14:paraId="1279AA4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1.8.2.2资源上传，新增资源，提交审核、编辑、删除、查询资源；</w:t>
            </w:r>
          </w:p>
          <w:p w14:paraId="21DF98D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1.8.2.3听评课管理，授课老师根据需求上传评课物料资源；听评课专家根据活动设定的评分规则，查阅授课老师上传资源并对资源进行打分，填写报告，提交报告；支持听评课专家查看授课老师上传课程资源进度；</w:t>
            </w:r>
          </w:p>
          <w:p w14:paraId="2540AD0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1.8.2.4任务管理，教研室成员可根据周历任务排期表、月历任务排期表查看需要自己完成的任务，可根据任务详情完成任务提交；</w:t>
            </w:r>
          </w:p>
          <w:p w14:paraId="554A63E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1.8.2.5我的动态管理，展示该教研室成员发布的全部动态信息，可按发布状态筛选、支持模糊搜索、删除等操作；</w:t>
            </w:r>
          </w:p>
          <w:p w14:paraId="07D8433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1.8.2.6评论回复管理，展示该教研室成员参与的全部评论可按状态筛选、支持模糊搜索、删除等操作；</w:t>
            </w:r>
          </w:p>
          <w:p w14:paraId="286EF51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1.8.2.7系统消息，查看消息详情、全部标为已读、删除、查询功能；</w:t>
            </w:r>
          </w:p>
          <w:p w14:paraId="1B8B1C3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1.8.2.8个人信息，完善个人信息，可与国家职业教育智慧教育平台智慧教研室频道进行账号对接。</w:t>
            </w:r>
          </w:p>
          <w:p w14:paraId="4EC32BA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2.教学资源库知识图谱2个</w:t>
            </w:r>
          </w:p>
          <w:p w14:paraId="0D78AC3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建设教学资源库专属知识图谱，并支持实时在资源库前端门户展示，图谱中所有技能点、知识点及实体的标注均由中标人完成操作，知识图谱建设完成后版权归学校所有。</w:t>
            </w:r>
          </w:p>
          <w:p w14:paraId="2C86A91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2.1知识图谱建设：</w:t>
            </w:r>
          </w:p>
          <w:p w14:paraId="5478833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2.1.1专业图谱能够以“专业—课程—课程关联信息—学习资源”的路径，在门户中以图谱形式展示该专业下课程信息；支持查看每门课程的岗位、比赛、证书、资源、知识关系、知识点、技能点数量；提供进入课程图谱的入口。</w:t>
            </w:r>
          </w:p>
          <w:p w14:paraId="287F84D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2.1.2课程图谱能够以“课程—课程内容—学习资源”的路径，在学习空间中以自由结构的图谱形式展示课程内容，支持学生以图谱形式学习课程的资源，提供图谱化的新型学习模式。</w:t>
            </w:r>
          </w:p>
          <w:p w14:paraId="0DF8D45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2.2自动生成能力</w:t>
            </w:r>
          </w:p>
          <w:p w14:paraId="414D644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2.2.1支持上传课程大纲，AI自动抽取专业、课程、章节、知识点。</w:t>
            </w:r>
          </w:p>
          <w:p w14:paraId="4C09FDE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2.2.2自动构建专业—课程—知识点三级知识图谱，支持父子关系、关联关系、包含关系。</w:t>
            </w:r>
          </w:p>
          <w:p w14:paraId="130DDF6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2.2.3支持人工编辑、增删节点、调整关系、批量审核。</w:t>
            </w:r>
          </w:p>
          <w:p w14:paraId="447FF6C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2.3首页可视化展示</w:t>
            </w:r>
          </w:p>
          <w:p w14:paraId="7E31116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2.3.1在资源库首页全局展示专业知识图谱，支持缩放、拖拽、缩略图导航。</w:t>
            </w:r>
          </w:p>
          <w:p w14:paraId="4006C5F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2.3.2节点按层级配色区分：专业层、课程层、知识点层清晰可见。</w:t>
            </w:r>
          </w:p>
          <w:p w14:paraId="210A3C8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2.3.3支持节点点击交互：点击展开下级、显示详情、关联资源、跳转课程。</w:t>
            </w:r>
          </w:p>
          <w:p w14:paraId="41DCAEE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2.4资源自动关联与挂载</w:t>
            </w:r>
          </w:p>
          <w:p w14:paraId="1460DEF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2.4.1自动匹配资源库内视频、课件、习题、虚拟仿真、案例、标准等资源。</w:t>
            </w:r>
          </w:p>
          <w:p w14:paraId="1AE3FA5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2.4.2支持手动挂载/解绑，支持批量关联。</w:t>
            </w:r>
          </w:p>
          <w:p w14:paraId="567F79E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2.4.3点击节点可直接打开对应学习资源。</w:t>
            </w:r>
          </w:p>
          <w:p w14:paraId="00BFD38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3.专业教学资源库建设系列化培训服务1项</w:t>
            </w:r>
          </w:p>
          <w:p w14:paraId="7E05433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围绕国家级/自治区级职业教育专业教学资源库建设、申报、应用、验收与运维全流程，提供标准化、体系化、可落地的培训与指导服务，帮助院校精准对接广西职业教育政策要求与评审标准，规范建设流程、提升资源质量、强化应用成效、确保顺利通过立项与验收。完成专项培训不少于10场，总时长不少于20课时。具体培训内容包括但不限于：</w:t>
            </w:r>
          </w:p>
          <w:p w14:paraId="753E5D9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3.1政策标准与申报规划培训</w:t>
            </w:r>
          </w:p>
          <w:p w14:paraId="482B5F8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3.2顶层设计与专业重构培训</w:t>
            </w:r>
          </w:p>
          <w:p w14:paraId="32ACFFB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3.3课程与资源建设标准培训</w:t>
            </w:r>
          </w:p>
          <w:p w14:paraId="1D0837E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3.4资源制作技术实操培训</w:t>
            </w:r>
          </w:p>
          <w:p w14:paraId="5649152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3.5平台操作与应用实施培训</w:t>
            </w:r>
          </w:p>
          <w:p w14:paraId="409C540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3.6团队建设与过程管理培训</w:t>
            </w:r>
          </w:p>
          <w:p w14:paraId="1A42196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3.7应用推广与教学创新培训</w:t>
            </w:r>
          </w:p>
          <w:p w14:paraId="65085E8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3.8验收筹备与材料汇编培训</w:t>
            </w:r>
          </w:p>
          <w:p w14:paraId="3D03FE4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3.9持续运维与升级优化培训</w:t>
            </w:r>
          </w:p>
          <w:p w14:paraId="68F7B42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3.10专项定制与一对一指导</w:t>
            </w:r>
          </w:p>
          <w:p w14:paraId="7310090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（三）精品在线开放课程建设服务</w:t>
            </w:r>
          </w:p>
          <w:p w14:paraId="6FD4F39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根据项目建设的微课等数字化资源，按国家级精品在线开放课程建设标准打造2 门精品在线课程，按自治区级精品在线开放课程建设标准打造3 门精品在线课程；并配套提供精品在线开放课程建设服务系列化培训1 项、课程上线公共运行平台服务1 项，以及自治区级以上课程成果申报服务不少于 5 项，全面完成课程建设、平台上线、培训指导与成果申报全流程服务。具体建设数量如下：</w:t>
            </w:r>
          </w:p>
          <w:p w14:paraId="23EB43EF">
            <w:pPr>
              <w:keepNext w:val="0"/>
              <w:keepLines w:val="0"/>
              <w:pageBreakBefore w:val="0"/>
              <w:numPr>
                <w:ilvl w:val="0"/>
                <w:numId w:val="4"/>
              </w:numPr>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国家级精品在线课程 2 门</w:t>
            </w:r>
          </w:p>
          <w:p w14:paraId="0D7AB81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《数控多轴加工技术》《逆向工程与测量技术》</w:t>
            </w:r>
          </w:p>
          <w:p w14:paraId="3CC5790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 课程标准、教学设计各1份；</w:t>
            </w:r>
          </w:p>
          <w:p w14:paraId="4BFDAC0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 每门分配微课43个（单条5-10分钟，每门总时长不少于400分钟）；</w:t>
            </w:r>
          </w:p>
          <w:p w14:paraId="21FDDE2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 每门分配课件PPT43个（单个不少于25个页面，单个总页面根据采购人提供初稿定。</w:t>
            </w:r>
          </w:p>
          <w:p w14:paraId="1A8013C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w:t>
            </w:r>
          </w:p>
          <w:p w14:paraId="01E7394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2.区级精品在线课程3门</w:t>
            </w:r>
          </w:p>
          <w:p w14:paraId="51022CF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《工业机器人工作站系统集成》《电机与电气控制技术》《液压与气压传动技术》：</w:t>
            </w:r>
          </w:p>
          <w:p w14:paraId="386816B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 课程标准、教学设计各1份；</w:t>
            </w:r>
          </w:p>
          <w:p w14:paraId="1682A0C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 微课98个（单条5-10分钟，总时长不少于900分钟）；</w:t>
            </w:r>
          </w:p>
          <w:p w14:paraId="5152431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 课件PPT98个（单个不少于25个页面，单个总页面根据采购人提供初稿定。）；</w:t>
            </w:r>
          </w:p>
          <w:p w14:paraId="41DA215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3.精品在线开放课程建设系列化培训服务1项</w:t>
            </w:r>
          </w:p>
          <w:p w14:paraId="0317A10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围绕国家级、自治区级在线开放课程及双语国际化课程的建设、设计、制作、申报、上线运维全流程开展系列化培训，具体包括：政策标准解读、课程整体设计、资源制作实操（微课/动画/实训视频）、PPT美化技巧、双语资源开发、平台操作应用、申报材料撰写、课程成果推广等模块，提供线下授课、线上指导、一对一答疑等多种形式，适配校方教师教学需求，提升教师数字课程建设与申报能力。完成专项培训不少于10场，总时长不少于30课时。</w:t>
            </w:r>
          </w:p>
          <w:p w14:paraId="3877A8E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供应商邀请省级及以上在线精品课程评审专家、省级微课竞赛一等奖获得者，或区内知名行业专家，通过线下方式，为采购人教师团队提供不少于2次的微课设计专项指导与培训，总时长不少于5课时。</w:t>
            </w:r>
          </w:p>
          <w:p w14:paraId="1FD6FBB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4.精品在线开放课程上线公共运行平台服务1项</w:t>
            </w:r>
          </w:p>
          <w:p w14:paraId="73E3DD7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本项目要求为建设的标准化课程提供课程运行所需的公共运行平台服务；该平台须符合教育部2023年发布的《国家专业教学资源库职业教建设指南》中公布的职业教育专业教学资源库运行平台技术要求，资源库标准化课程公共运行平台需主动配合采购人资源库的建设工作和运行监测，不对库内资源设置使用权限和用于商业目的；在资源库公共运行平台上能运行专业教学资源库，供教师开展SPOC教学，支持建设精品在线开放课程。</w:t>
            </w:r>
          </w:p>
          <w:p w14:paraId="11A5555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5.自治区级以上课程成果申报服务不少于5项</w:t>
            </w:r>
          </w:p>
          <w:p w14:paraId="5D096B7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为校方提供自治区级、国家级精品在线开放课程、国际化职业教育资源等不少于5项课程成果的申报服务，包括申报政策解读、申报材料撰写与打磨、佐证材料整理、申报系统填报等；</w:t>
            </w:r>
          </w:p>
          <w:p w14:paraId="04F40A1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组建专业申报指导团队，结合课程建设实际情况，对标申报评审标准优化申报材料，突出课程特色与建设成果；</w:t>
            </w:r>
          </w:p>
          <w:p w14:paraId="3D2B3C5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提供申报答辩指导，包括答辩PPT制作、答辩思路梳理、问题模拟解答等；全程跟进申报流程，及时反馈申报进度，协助校方完成申报材料的修改与补充。</w:t>
            </w:r>
          </w:p>
          <w:p w14:paraId="4A98A46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（四）赛事指导服务</w:t>
            </w:r>
          </w:p>
          <w:p w14:paraId="5AE084F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根据采购人需要完成教师教学技能大赛、教育教学数字化大赛赛事指导服务，获得区级及以上奖项≥4项（两项赛事各获区级奖项≥2项，含一、二、三等奖）；培养具备数字素养与国际化教学能力的双师型骨干教师≥5名；建成一支专业的赛事指导与课程建设师资队伍。具体要求包括：</w:t>
            </w:r>
          </w:p>
          <w:p w14:paraId="6F1A111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1.广西职业院校教师教学技能大赛指导1项；</w:t>
            </w:r>
          </w:p>
          <w:p w14:paraId="5D3FD20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组建专属指导团队，由具备广西该赛事多年指导经验、熟悉赛制及评分标准的专家（比赛省级评委、省级教学名师等）组成，含赛事解读、教学设计、课件指导、现场展示指导专家，完成专项培训不少于5场，总时长不少于15课时；</w:t>
            </w:r>
          </w:p>
          <w:p w14:paraId="2A87E22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1.2提供全流程指导，覆盖备赛全周期：解读最新赛制及评分标准、指导参赛选题、优化教学设计方案、指导课件/素材制作、开展模拟授课/答辩专项指导、审核所有申报及展示资料；</w:t>
            </w:r>
          </w:p>
          <w:p w14:paraId="337102C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1.3采用线上+线下结合的指导方式，全程跟进备赛进度，及时响应需求，针对性修改优化至符合参赛标准；</w:t>
            </w:r>
          </w:p>
          <w:p w14:paraId="718EDE9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1.4助力参赛教师提升教学技能及赛事展示能力，力争取得优异成绩。</w:t>
            </w:r>
          </w:p>
          <w:p w14:paraId="19AA8DC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2.广西高校教育教学数字化大赛1项；</w:t>
            </w:r>
          </w:p>
          <w:p w14:paraId="41E7988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组建专属指导团队，由具备广西赛事指导经验、精通数字化教学及赛事规则的专家（比赛省级评委、省级教学名师等）组成，含赛事解读、数字化教学设计、数字资源制作、现场答辩指导专家；完成专项培训不少于5场，总时长不少于15课时；</w:t>
            </w:r>
          </w:p>
          <w:p w14:paraId="3524C29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提供全流程专业化指导，覆盖备赛全周期：解读最新赛制及数字化核心评分点、指导参赛方向及课题选择、优化数字化教学设计方案、指导数字教学资源制作与优化、开展展示/答辩专项模拟指导、审核所有申报资料及数字化资源；</w:t>
            </w:r>
          </w:p>
          <w:p w14:paraId="339423F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2.3采用线上+线下结合的指导方式，全程跟进备赛进度，提供数字化教学资源参考，针对性修改优化至符合参赛标准；</w:t>
            </w:r>
          </w:p>
          <w:p w14:paraId="4A23698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sz w:val="21"/>
                <w:szCs w:val="21"/>
                <w:highlight w:val="none"/>
              </w:rPr>
              <w:t>2.4助力参赛教师提升数字化教学设计与实施能力，打造高质量参赛作品，力争取得优异成绩。</w:t>
            </w:r>
          </w:p>
        </w:tc>
      </w:tr>
      <w:tr w14:paraId="637A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tcBorders>
              <w:top w:val="single" w:color="auto" w:sz="4" w:space="0"/>
            </w:tcBorders>
            <w:vAlign w:val="center"/>
          </w:tcPr>
          <w:p w14:paraId="19D64968">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3</w:t>
            </w:r>
          </w:p>
        </w:tc>
        <w:tc>
          <w:tcPr>
            <w:tcW w:w="1017" w:type="dxa"/>
            <w:tcBorders>
              <w:top w:val="single" w:color="auto" w:sz="4" w:space="0"/>
            </w:tcBorders>
            <w:vAlign w:val="center"/>
          </w:tcPr>
          <w:p w14:paraId="4CC4CDB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二维动画</w:t>
            </w:r>
          </w:p>
        </w:tc>
        <w:tc>
          <w:tcPr>
            <w:tcW w:w="633" w:type="dxa"/>
            <w:gridSpan w:val="2"/>
            <w:tcBorders>
              <w:top w:val="single" w:color="auto" w:sz="4" w:space="0"/>
            </w:tcBorders>
            <w:shd w:val="clear" w:color="auto" w:fill="FFFFFF"/>
            <w:vAlign w:val="center"/>
          </w:tcPr>
          <w:p w14:paraId="1E1A59B2">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tcBorders>
              <w:top w:val="single" w:color="auto" w:sz="4" w:space="0"/>
            </w:tcBorders>
            <w:vAlign w:val="center"/>
          </w:tcPr>
          <w:p w14:paraId="228F9F76">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7467" w:type="dxa"/>
            <w:tcBorders>
              <w:top w:val="single" w:color="auto" w:sz="4" w:space="0"/>
            </w:tcBorders>
            <w:vAlign w:val="center"/>
          </w:tcPr>
          <w:p w14:paraId="27CB908B">
            <w:pPr>
              <w:pStyle w:val="2"/>
              <w:keepNext w:val="0"/>
              <w:keepLines w:val="0"/>
              <w:pageBreakBefore w:val="0"/>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rPr>
            </w:pPr>
            <w:bookmarkStart w:id="48" w:name="_Toc11756"/>
            <w:r>
              <w:rPr>
                <w:rFonts w:hint="eastAsia" w:ascii="宋体" w:hAnsi="宋体" w:eastAsia="宋体" w:cs="宋体"/>
                <w:b w:val="0"/>
                <w:bCs w:val="0"/>
                <w:sz w:val="21"/>
                <w:szCs w:val="21"/>
                <w:highlight w:val="none"/>
              </w:rPr>
              <w:t>完成二维动画《数控多轴加工技术》不少于10分钟，《逆向工程与测量技术》不少于6分钟，《工业机器人工作站系统集成》不少于3分钟，《电机与电气控制技术》不少于3分钟，《液压与气压传动技术》不少于3分钟，总时长不少于25分钟，具体内容为：</w:t>
            </w:r>
            <w:bookmarkEnd w:id="48"/>
          </w:p>
          <w:p w14:paraId="2E528D46">
            <w:pPr>
              <w:pStyle w:val="2"/>
              <w:keepNext w:val="0"/>
              <w:keepLines w:val="0"/>
              <w:pageBreakBefore w:val="0"/>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rPr>
            </w:pPr>
            <w:bookmarkStart w:id="49" w:name="_Toc29554"/>
            <w:r>
              <w:rPr>
                <w:rFonts w:hint="eastAsia" w:ascii="宋体" w:hAnsi="宋体" w:eastAsia="宋体" w:cs="宋体"/>
                <w:b w:val="0"/>
                <w:bCs w:val="0"/>
                <w:sz w:val="21"/>
                <w:szCs w:val="21"/>
                <w:highlight w:val="none"/>
              </w:rPr>
              <w:t>（一）二维动画制作总时长不少于25分钟</w:t>
            </w:r>
            <w:bookmarkEnd w:id="49"/>
          </w:p>
          <w:p w14:paraId="229A6D3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 制作内容：二维动画制作总时长不少于25分钟，数量不少于60个，按脚本适配时长。</w:t>
            </w:r>
          </w:p>
          <w:p w14:paraId="40A60CD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 动画内容应符合我国法律法规，尊重各民族的风俗习惯，版权不存在争议；</w:t>
            </w:r>
          </w:p>
          <w:p w14:paraId="0AF94DD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 动画既可以作为微课程插入素材，又可以作为独立素材呈现；</w:t>
            </w:r>
          </w:p>
          <w:p w14:paraId="1342EEA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 动画要求画面简洁清晰，界面友好，动画演播过程流畅，节奏合适；</w:t>
            </w:r>
          </w:p>
          <w:p w14:paraId="61BF1E0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 文件格式</w:t>
            </w:r>
          </w:p>
          <w:p w14:paraId="4EAAD6D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5.1 媒体类型：动画；</w:t>
            </w:r>
          </w:p>
          <w:p w14:paraId="217B9E3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5.2 扩展名： *.mp4；</w:t>
            </w:r>
          </w:p>
          <w:p w14:paraId="77B2FF8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5.3 说明：使用 mp4 格式。</w:t>
            </w:r>
          </w:p>
          <w:p w14:paraId="07EA493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 动画主要技术标准要求</w:t>
            </w:r>
          </w:p>
          <w:p w14:paraId="5A01B42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6.1 品质要求：动画的开始要有醒目的标题，标题要能够体现动画所表现的内容；动画中如果有文字，文字要醒目，文字的字体、字号与内容协调，字体颜色避免与背景色相近；动画色彩造型应和谐，要求画面简洁清晰，界面友好；动画连续，节奏合适，帧和帧之间的关联性强；如果有解说，教师录制配音，配音应标准，无噪音，声音悦耳，音量适当，快慢适度；动画如果有背景音乐，背景音乐音量不宜过大，音乐与内容相符；动画演播过程要流畅，静止画面时间不超过 5 秒钟；转化为视频的动画，视频压缩采用 H.264(MPEG-4 Part10：profile=main, level=1.0)编码方式，码流率3Mbps以上，帧率不低于 25 fps，分辨率不低于1920×1080（16:9）声音和画面要求同步，无交流声或其他杂音等缺陷，无明显失真、放音过冲、过弱；</w:t>
            </w:r>
          </w:p>
          <w:p w14:paraId="33B1E0B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6.2 内容要求：动画内容符合我国现行法律法规，尊重各民族的风俗习惯，版权不存在争议；若其中包含少数民族或外国语言文字信息，应遵循其原内容完整性，使用原语言进行处理；有明确的版权标识信息，所呈现或使用素材不涉及版权问题；</w:t>
            </w:r>
          </w:p>
          <w:p w14:paraId="516D5FD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6.3 存储格式：采用mp4 存储格式；</w:t>
            </w:r>
          </w:p>
          <w:p w14:paraId="116A095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6.4供应商负责资源上传智慧职教及超星教学平台。</w:t>
            </w:r>
          </w:p>
          <w:p w14:paraId="5724785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6.5文件提交要求</w:t>
            </w:r>
          </w:p>
          <w:p w14:paraId="337146F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视频压缩采用H.264编码，MP4格式，分辨率不低于1080P，按以下要求提交：</w:t>
            </w:r>
          </w:p>
          <w:p w14:paraId="4E615C6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6.5.1项目源文件：提交制作工程文件及用到的所有素材文件一份（素材要求详见商务要求），以便售后期满后采购人继续修改；</w:t>
            </w:r>
          </w:p>
          <w:p w14:paraId="76F83D6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6.5.2高质量成品文件：</w:t>
            </w:r>
          </w:p>
          <w:p w14:paraId="42F7C71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6.5.2.1外挂字幕高质量视频文件（视频码率为5-8Mbps）1份，包含SRT格式的外挂字幕文件；</w:t>
            </w:r>
          </w:p>
          <w:p w14:paraId="1B6224D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6.5.2.2内嵌字幕中质量视频文件（视频码率为2-3Mbps）1份；</w:t>
            </w:r>
          </w:p>
          <w:p w14:paraId="580510E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6.5.3颗粒化资源文件：</w:t>
            </w:r>
          </w:p>
          <w:p w14:paraId="279D1B5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6.5.3.1外挂字幕高质量视频文件（视频码率为5-8Mbps）1份，包含SRT格式的外挂字幕文件；</w:t>
            </w:r>
          </w:p>
          <w:p w14:paraId="567E1A3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6.5.3.2内嵌字幕中质量视频文件（视频码率为2-3Mbps）1份；</w:t>
            </w:r>
          </w:p>
          <w:p w14:paraId="616EECC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上述要求用U盘或者移动硬盘等存储设备存储，须提交一式三份给采购人。</w:t>
            </w:r>
          </w:p>
        </w:tc>
      </w:tr>
      <w:tr w14:paraId="6B37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6277429E">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4</w:t>
            </w:r>
          </w:p>
        </w:tc>
        <w:tc>
          <w:tcPr>
            <w:tcW w:w="1017" w:type="dxa"/>
            <w:vAlign w:val="center"/>
          </w:tcPr>
          <w:p w14:paraId="1D814D27">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三维动画</w:t>
            </w:r>
          </w:p>
        </w:tc>
        <w:tc>
          <w:tcPr>
            <w:tcW w:w="633" w:type="dxa"/>
            <w:gridSpan w:val="2"/>
            <w:shd w:val="clear" w:color="auto" w:fill="FFFFFF"/>
            <w:vAlign w:val="center"/>
          </w:tcPr>
          <w:p w14:paraId="1741BC0B">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71946599">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7467" w:type="dxa"/>
            <w:vAlign w:val="center"/>
          </w:tcPr>
          <w:p w14:paraId="1589CAAD">
            <w:pPr>
              <w:keepNext w:val="0"/>
              <w:keepLines w:val="0"/>
              <w:pageBreakBefore w:val="0"/>
              <w:kinsoku/>
              <w:wordWrap/>
              <w:overflowPunct/>
              <w:topLinePunct w:val="0"/>
              <w:bidi w:val="0"/>
              <w:adjustRightInd/>
              <w:snapToGrid/>
              <w:spacing w:line="400" w:lineRule="exact"/>
              <w:rPr>
                <w:rFonts w:hint="eastAsia" w:ascii="宋体" w:hAnsi="宋体" w:eastAsia="宋体" w:cs="宋体"/>
                <w:kern w:val="44"/>
                <w:sz w:val="21"/>
                <w:szCs w:val="21"/>
                <w:highlight w:val="none"/>
                <w:lang w:bidi="ar"/>
              </w:rPr>
            </w:pPr>
            <w:r>
              <w:rPr>
                <w:rFonts w:hint="eastAsia" w:ascii="宋体" w:hAnsi="宋体" w:eastAsia="宋体" w:cs="宋体"/>
                <w:kern w:val="44"/>
                <w:sz w:val="21"/>
                <w:szCs w:val="21"/>
                <w:highlight w:val="none"/>
                <w:lang w:bidi="ar"/>
              </w:rPr>
              <w:t>完成三维动画《数控多轴加工技术》不少于6分钟，《逆向工程与测量技术》不少于4分钟，总时长不少于10分钟，具体内容为：</w:t>
            </w:r>
          </w:p>
          <w:p w14:paraId="081491A3">
            <w:pPr>
              <w:pStyle w:val="2"/>
              <w:keepNext w:val="0"/>
              <w:keepLines w:val="0"/>
              <w:pageBreakBefore w:val="0"/>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rPr>
            </w:pPr>
            <w:bookmarkStart w:id="50" w:name="_Toc22766"/>
            <w:r>
              <w:rPr>
                <w:rFonts w:hint="eastAsia" w:ascii="宋体" w:hAnsi="宋体" w:eastAsia="宋体" w:cs="宋体"/>
                <w:b w:val="0"/>
                <w:bCs w:val="0"/>
                <w:sz w:val="21"/>
                <w:szCs w:val="21"/>
                <w:highlight w:val="none"/>
              </w:rPr>
              <w:t>（一）三维动画制作总时长不少于10分钟</w:t>
            </w:r>
            <w:bookmarkEnd w:id="50"/>
          </w:p>
          <w:p w14:paraId="503CDC2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 制作内容：三维动画制作总时长不少于10分钟，数量不少于25个，按脚本适配时长。</w:t>
            </w:r>
          </w:p>
          <w:p w14:paraId="0679C5E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 动画内容应符合我国法律法规，尊重各民族的风俗习惯，版权不存在争议；</w:t>
            </w:r>
          </w:p>
          <w:p w14:paraId="2376CB3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 动画既可以作为微课程插入素材，又可以作为独立素材呈现；</w:t>
            </w:r>
          </w:p>
          <w:p w14:paraId="11F7B5F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 使用3D maya、C4D等三维动画软件制作，采用常见存储格式1920×1080（16:9）的mp4格式、mov格式。</w:t>
            </w:r>
          </w:p>
          <w:p w14:paraId="124E627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 动画色彩造型应和谐，画面流畅，动画节奏连续，节奏合适，帧和帧之间的关联性要强。</w:t>
            </w:r>
          </w:p>
          <w:p w14:paraId="0B07DEC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 动画如果有背景音乐，背景音乐音量不宜过大，音乐与内容相符。</w:t>
            </w:r>
          </w:p>
          <w:p w14:paraId="3835D07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 动画演播过程要流畅，静止画面时间不超过5秒钟。动画内容版权不存在争议，有明确的版权标识信息。</w:t>
            </w:r>
          </w:p>
          <w:p w14:paraId="2738041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 动画的开始要有醒目的标题，标题要能够体现动画所表现的内容。</w:t>
            </w:r>
          </w:p>
          <w:p w14:paraId="02F1C7E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 如果有解说，教师录制配音，配音应标准，无噪音，声音悦耳，音量适当，快慢适度。</w:t>
            </w:r>
          </w:p>
          <w:p w14:paraId="5BA3884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 动画演播过程要流畅，静止画面时间不超过5秒钟，视频压缩采用H.264(MPEG-4 Part10：profile=main, level=1.0)编码方式，码流率3Mbps以上，帧率不低于25fps，分辨率不低于1920×1080（16:9）声音和画面要求同步，无交流声或其他杂音等缺陷，无明显失真、放音过冲、过弱。</w:t>
            </w:r>
          </w:p>
          <w:p w14:paraId="7C3F759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 动画内容符合我国法律法规，尊重各民族的风俗习惯，版权不存在争议。若其中包含少数民族或外国语言文字信息，应遵循其原内容完整性，使用原语言进行处理。有明确的版权标识信息，版权不得存在争议。</w:t>
            </w:r>
          </w:p>
          <w:p w14:paraId="3AB56A4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 存储格式采用mp4存储格式。</w:t>
            </w:r>
          </w:p>
          <w:p w14:paraId="346AE8D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 渲染输出规格不低于1920×1080（16:9）。</w:t>
            </w:r>
          </w:p>
          <w:p w14:paraId="2513C06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 课程资源建设过程中的素材及课程产品产权属于校方。</w:t>
            </w:r>
          </w:p>
          <w:p w14:paraId="1736069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15.供应商负责资源上传智慧职教及超星教学平台。</w:t>
            </w:r>
          </w:p>
          <w:p w14:paraId="5336662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16.文件提交要求</w:t>
            </w:r>
          </w:p>
          <w:p w14:paraId="5308F8E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视频压缩采用H.264编码，MP4格式，分辨率不低于1080P，按以下要求提交：</w:t>
            </w:r>
          </w:p>
          <w:p w14:paraId="41DBCBA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16.1项目源文件：提交制作工程文件及用到的所有素材文件一份（素材要求详见商务要求），以便售后期满后采购人继续修改；</w:t>
            </w:r>
          </w:p>
          <w:p w14:paraId="2AEF869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16.2高质量成品文件：</w:t>
            </w:r>
          </w:p>
          <w:p w14:paraId="2E387CE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16.2.1外挂字幕高质量视频文件（视频码率为5-8Mbps）1份，包含SRT格式的外挂字幕文件；</w:t>
            </w:r>
          </w:p>
          <w:p w14:paraId="24A7B78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16.2.2内嵌字幕中质量视频文件（视频码率为2-3Mbps）1份；</w:t>
            </w:r>
          </w:p>
          <w:p w14:paraId="59A679E6">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16.3颗粒化资源文件：</w:t>
            </w:r>
          </w:p>
          <w:p w14:paraId="4059B85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16.3.1外挂字幕高质量视频文件（视频码率为5-8Mbps）1份，包含SRT格式的外挂字幕文件；</w:t>
            </w:r>
          </w:p>
          <w:p w14:paraId="6FC4870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16.3.2内嵌字幕中质量视频文件（视频码率为2-3Mbps）1份；</w:t>
            </w:r>
          </w:p>
          <w:p w14:paraId="6F988C5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trike/>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上述要求用U盘或者移动硬盘等存储设备存储，须提交一式三份给采购人。</w:t>
            </w:r>
          </w:p>
        </w:tc>
      </w:tr>
      <w:tr w14:paraId="0C3A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83" w:type="dxa"/>
            <w:vAlign w:val="center"/>
          </w:tcPr>
          <w:p w14:paraId="20D10FA5">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5</w:t>
            </w:r>
          </w:p>
        </w:tc>
        <w:tc>
          <w:tcPr>
            <w:tcW w:w="1017" w:type="dxa"/>
            <w:vAlign w:val="center"/>
          </w:tcPr>
          <w:p w14:paraId="75CBE15F">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重点技能实训</w:t>
            </w:r>
          </w:p>
        </w:tc>
        <w:tc>
          <w:tcPr>
            <w:tcW w:w="633" w:type="dxa"/>
            <w:gridSpan w:val="2"/>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E6ACB7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290F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vAlign w:val="center"/>
          </w:tcPr>
          <w:p w14:paraId="5DCE539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kern w:val="44"/>
                <w:sz w:val="21"/>
                <w:szCs w:val="21"/>
                <w:highlight w:val="none"/>
                <w:lang w:bidi="ar"/>
              </w:rPr>
              <w:t>完成重点技能实训《数控多轴加工技术》6个，《逆向工程与测量技术》6个，共12个，具体内容为：</w:t>
            </w:r>
          </w:p>
          <w:p w14:paraId="2264EF98">
            <w:pPr>
              <w:pStyle w:val="2"/>
              <w:keepNext w:val="0"/>
              <w:keepLines w:val="0"/>
              <w:pageBreakBefore w:val="0"/>
              <w:numPr>
                <w:ilvl w:val="0"/>
                <w:numId w:val="5"/>
              </w:numPr>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rPr>
            </w:pPr>
            <w:bookmarkStart w:id="51" w:name="_Toc16639"/>
            <w:r>
              <w:rPr>
                <w:rFonts w:hint="eastAsia" w:ascii="宋体" w:hAnsi="宋体" w:eastAsia="宋体" w:cs="宋体"/>
                <w:b w:val="0"/>
                <w:bCs w:val="0"/>
                <w:sz w:val="21"/>
                <w:szCs w:val="21"/>
                <w:highlight w:val="none"/>
              </w:rPr>
              <w:t>重点技能实训12个</w:t>
            </w:r>
            <w:bookmarkEnd w:id="51"/>
          </w:p>
          <w:p w14:paraId="656397C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 制作内容：重点技能实训制作12个，单个3-5分钟，总时长不少于44分钟。</w:t>
            </w:r>
          </w:p>
          <w:p w14:paraId="299F200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2.围绕上述拟开发的课程，设计重点技能训练项目，作为课程的组课资源，也可以作为内容系统、完整的一个技能训练模块。</w:t>
            </w:r>
          </w:p>
          <w:p w14:paraId="0B01F02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3.脚本、样片等资源内容应符合我国法律法规，尊重各民族的风俗习惯，版权不存在争议，文字内容的使用应符合规范，符合国家标准；</w:t>
            </w:r>
          </w:p>
          <w:p w14:paraId="2230D77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4.实景拍摄在符合专业特性的场地，配置专业灯光设备和实现1-2机位拍摄，配备编导人员作为拍摄现场指导，场地由校方提供；</w:t>
            </w:r>
          </w:p>
          <w:p w14:paraId="527FC38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5.要求视频图像清晰，声音和画面同步，播放时没有明显的噪点，播放流畅;</w:t>
            </w:r>
          </w:p>
          <w:p w14:paraId="7BF70AE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6.根据课程内容需要，可使用升格、降格拍摄技术实现对操作画面慢动作或快动作的效果。</w:t>
            </w:r>
          </w:p>
          <w:p w14:paraId="70483EE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7.不含航拍、高空拍摄、潜拍等特殊拍摄方式；</w:t>
            </w:r>
          </w:p>
          <w:p w14:paraId="744EB6A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8.实景拍摄画面包装以突出课程特点为方向使用特效软件进行包装加工美化，配合辅助文字、辅助线和重点提示等条充分展示课程知识点内容。</w:t>
            </w:r>
          </w:p>
          <w:p w14:paraId="1C3E9C2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9.视频压缩采用H.264(MPEG-4 Part10：profile=main, level=1.0)编码方式，码流率3Mbps以上，帧率≥25fps，分辨率≥1920×1080（16:9）声音和画面要求同步，无交流声或其他杂音等缺陷，无明显失真、放音过冲、过弱。</w:t>
            </w:r>
          </w:p>
          <w:p w14:paraId="3BDDEEE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10.存储格式采用mp4存储格式。</w:t>
            </w:r>
          </w:p>
          <w:p w14:paraId="5E55304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11.供应商负责资源上传智慧职教及超星教学平台。</w:t>
            </w:r>
          </w:p>
          <w:p w14:paraId="16FCB2C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12.文件提交要求</w:t>
            </w:r>
          </w:p>
          <w:p w14:paraId="42F09DB1">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视频压缩采用H.264编码，MP4格式，分辨率不低于1080P，按以下要求提交：</w:t>
            </w:r>
          </w:p>
          <w:p w14:paraId="2A00B96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12.1项目源文件：提交制作工程文件及用到的所有素材文件一份（素材要求详见商务要求），以便售后期满后采购人继续修改；</w:t>
            </w:r>
          </w:p>
          <w:p w14:paraId="551758E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12.2高质量成品文件：</w:t>
            </w:r>
          </w:p>
          <w:p w14:paraId="45B6E43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12.2.1外挂字幕高质量视频文件（视频码率为5-8Mbps）1份，包含SRT格式的外挂字幕文件；</w:t>
            </w:r>
          </w:p>
          <w:p w14:paraId="3167869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12.2.2内嵌字幕中质量视频文件（视频码率为2-3Mbps）1份；</w:t>
            </w:r>
          </w:p>
          <w:p w14:paraId="724B389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12.3颗粒化资源文件：</w:t>
            </w:r>
          </w:p>
          <w:p w14:paraId="771FD6C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12.3.1外挂字幕高质量视频文件（视频码率为5-8Mbps）1份，包含SRT格式的外挂字幕文件；</w:t>
            </w:r>
          </w:p>
          <w:p w14:paraId="6380A68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12.3.2内嵌字幕中质量视频文件（视频码率为2-3Mbps）1份；</w:t>
            </w:r>
          </w:p>
          <w:p w14:paraId="4514FFE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上述要求用U盘或者移动硬盘等存储设备存储，须提交一式三份给采购人。</w:t>
            </w:r>
          </w:p>
        </w:tc>
      </w:tr>
      <w:tr w14:paraId="2436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1F084F68">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6</w:t>
            </w:r>
          </w:p>
        </w:tc>
        <w:tc>
          <w:tcPr>
            <w:tcW w:w="1017" w:type="dxa"/>
            <w:vAlign w:val="center"/>
          </w:tcPr>
          <w:p w14:paraId="20D9EA56">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企业案例</w:t>
            </w:r>
          </w:p>
        </w:tc>
        <w:tc>
          <w:tcPr>
            <w:tcW w:w="633" w:type="dxa"/>
            <w:gridSpan w:val="2"/>
            <w:shd w:val="clear" w:color="auto" w:fill="FFFFFF"/>
            <w:vAlign w:val="center"/>
          </w:tcPr>
          <w:p w14:paraId="18E357E7">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631" w:type="dxa"/>
            <w:vAlign w:val="center"/>
          </w:tcPr>
          <w:p w14:paraId="54C27445">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vAlign w:val="center"/>
          </w:tcPr>
          <w:p w14:paraId="2B51036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kern w:val="44"/>
                <w:sz w:val="21"/>
                <w:szCs w:val="21"/>
                <w:highlight w:val="none"/>
                <w:lang w:bidi="ar"/>
              </w:rPr>
              <w:t>完成企业案例《数控多轴加工技术》5个，《逆向工程与测量技术》5个，共10个，具体内容为：</w:t>
            </w:r>
          </w:p>
          <w:p w14:paraId="42A29D20">
            <w:pPr>
              <w:pStyle w:val="2"/>
              <w:keepNext w:val="0"/>
              <w:keepLines w:val="0"/>
              <w:pageBreakBefore w:val="0"/>
              <w:numPr>
                <w:ilvl w:val="0"/>
                <w:numId w:val="6"/>
              </w:numPr>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rPr>
            </w:pPr>
            <w:bookmarkStart w:id="52" w:name="_Toc20274"/>
            <w:r>
              <w:rPr>
                <w:rFonts w:hint="eastAsia" w:ascii="宋体" w:hAnsi="宋体" w:eastAsia="宋体" w:cs="宋体"/>
                <w:b w:val="0"/>
                <w:bCs w:val="0"/>
                <w:sz w:val="21"/>
                <w:szCs w:val="21"/>
                <w:highlight w:val="none"/>
              </w:rPr>
              <w:t>企业案例10个</w:t>
            </w:r>
            <w:bookmarkEnd w:id="52"/>
          </w:p>
          <w:p w14:paraId="3157056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1.制作内容：企业案例制作10个，单个3-5分钟，总时长不少于40分钟。</w:t>
            </w:r>
          </w:p>
          <w:p w14:paraId="4704373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2.企业案例内容应符合我国法律法规，尊重各民族的风俗习惯，版权不存在争议。</w:t>
            </w:r>
          </w:p>
          <w:p w14:paraId="2E78439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企业案例要求以视频为主要载体，为围绕某个知识点/行业发展关注点展开、基于教学设计的学习资源。含片头、片尾、教师出镜拍摄、教师录制配音、PPT穿插、适量添加PPT内置动画效果包装、实景拍摄、后期剪辑合成。</w:t>
            </w:r>
          </w:p>
          <w:p w14:paraId="3755B73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根据课程需要，协助教学团队完成多种拍摄场地的教学场景设计及布景。根据课程性质，课程制作团队与教师一起确定课程最合理的拍摄方式。提供以下4种的拍摄模式供老师选择，特殊课程可根据老师课程框架设计更多拍摄模式，一门课程可以采用多种拍摄模式：</w:t>
            </w:r>
          </w:p>
          <w:p w14:paraId="4B3B5A6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4.1 抠像+PPT 模式 ：在摄影棚内拍摄教师出镜和配音，全程 PPT 演示。</w:t>
            </w:r>
          </w:p>
          <w:p w14:paraId="731B054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4.2 场景实操模式 ：根据老师课程需求，选择在特定拍摄场地，多机位拍摄。</w:t>
            </w:r>
          </w:p>
          <w:p w14:paraId="317EE8B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4.3 随堂拍摄模式：随堂拍摄，多机位拍摄，记录老师讲课现场风采。</w:t>
            </w:r>
          </w:p>
          <w:p w14:paraId="327D494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4.4 访谈式：在摄影棚内或与课程风格贴近的实景场地拍摄，根据访谈人数，设定机位数 一般 2 机位，教学过程由多位老师交流讨论完成。适合启发性的、思维拓展和发散的学科课程。</w:t>
            </w:r>
          </w:p>
          <w:p w14:paraId="6CCEBB5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模板应用：在老师提供PPT初稿的基础上重新进行符合课程内容特点的PPT美化设计，包含不同板块的背景、教师出镜背景、人名条、章节页、画中画框、关键字美化框等元素。模板朴素、大方，颜色适宜，便于长时间观看；在模板的适当位置标明课程名称、模块（章或节）序号与模块（章或节）的名称，多个页面均有的相同元素，如背景、按钮、标题、页码等，可以使用幻灯片母版来实现。课程中使用到的课程专业图片由教师提供且无版权争议；</w:t>
            </w:r>
          </w:p>
          <w:p w14:paraId="27BA4F9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 视频采用MP4格式封装。</w:t>
            </w:r>
          </w:p>
          <w:p w14:paraId="102EB95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7.使用专业的影视拍摄设备，配备广播级专业录音设备，视频画质高清、色彩鲜明、曝光合理、音质清晰；</w:t>
            </w:r>
          </w:p>
          <w:p w14:paraId="789273A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8.实操场景拍摄，在符合专业特性的场地，配置专业灯光设备和实现1-2机位拍摄，配备编导人员作为拍摄现场指导，场地由校方提供；</w:t>
            </w:r>
          </w:p>
          <w:p w14:paraId="6705BC1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9.不含航拍、高空拍摄、潜拍等特殊拍摄方式；后期包装不含二维动画、三维动画制作。</w:t>
            </w:r>
          </w:p>
          <w:p w14:paraId="1A4D419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字幕要使用符合国家标准的规范字，不出现繁体字、异体字(国家规定的除外)、错别字；字幕的字体、大小、色彩搭配、摆放位置、停留时间、出入屏方式力求与其他要素（画面、解说词、音乐）配合适当，不能破坏原有画面。</w:t>
            </w:r>
          </w:p>
          <w:p w14:paraId="1A1605D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11.视频要求图像清晰，声音和画面同步，播放时没有明显的噪点，播放流畅；</w:t>
            </w:r>
          </w:p>
          <w:p w14:paraId="4C2ADD4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12.根据课程内容提供片头、片尾，时长不少于3秒；</w:t>
            </w:r>
          </w:p>
          <w:p w14:paraId="58092AB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13.采用H.264/AVC（MPEG-4 Part10）编码格式压缩；分辨率不低于1920x1080（16:9），音频采用AAC（MPEG4 Part3）格式压缩；</w:t>
            </w:r>
          </w:p>
          <w:p w14:paraId="0A47DDA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14.供应商负责资源上传智慧职教及超星教学平台。</w:t>
            </w:r>
          </w:p>
          <w:p w14:paraId="5E4E89E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15.文件提交要求</w:t>
            </w:r>
          </w:p>
          <w:p w14:paraId="48A2EF7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视频压缩采用H.264编码，MP4格式，分辨率不低于1080P，按以下要求提交：</w:t>
            </w:r>
          </w:p>
          <w:p w14:paraId="59E99E0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15.1项目源文件：提交制作工程文件及用到的所有素材文件一份（素材要求详见商务要求），以便售后期满后采购人继续修改；</w:t>
            </w:r>
          </w:p>
          <w:p w14:paraId="7945CFE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15.2高质量成品文件：</w:t>
            </w:r>
          </w:p>
          <w:p w14:paraId="000FE0D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15.2.1外挂字幕高质量视频文件（视频码率为5-8Mbps）1份，包含SRT格式的外挂字幕文件；</w:t>
            </w:r>
          </w:p>
          <w:p w14:paraId="42C647F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15.2.2内嵌字幕中质量视频文件（视频码率为2-3Mbps）1份；</w:t>
            </w:r>
          </w:p>
          <w:p w14:paraId="2F543E3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15.3颗粒化资源文件：</w:t>
            </w:r>
          </w:p>
          <w:p w14:paraId="64D008E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15.3.1外挂字幕高质量视频文件（视频码率为5-8Mbps）1份，包含SRT格式的外挂字幕文件；</w:t>
            </w:r>
          </w:p>
          <w:p w14:paraId="7E78F7A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15.3.2内嵌字幕中质量视频文件（视频码率为2-3Mbps）1份；</w:t>
            </w:r>
          </w:p>
          <w:p w14:paraId="0DF47D4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dstrike/>
                <w:color w:val="000000" w:themeColor="text1"/>
                <w:kern w:val="0"/>
                <w:sz w:val="21"/>
                <w:szCs w:val="21"/>
                <w:highlight w:val="none"/>
                <w:lang w:bidi="ar"/>
                <w14:textFill>
                  <w14:solidFill>
                    <w14:schemeClr w14:val="tx1"/>
                  </w14:solidFill>
                </w14:textFill>
              </w:rPr>
            </w:pPr>
            <w:r>
              <w:rPr>
                <w:rFonts w:hint="eastAsia" w:ascii="宋体" w:hAnsi="宋体" w:eastAsia="宋体" w:cs="宋体"/>
                <w:sz w:val="21"/>
                <w:szCs w:val="21"/>
                <w:highlight w:val="none"/>
              </w:rPr>
              <w:t>上述要求用U盘或者移动硬盘等存储设备存储，须提交一式三份给采购人。</w:t>
            </w:r>
          </w:p>
        </w:tc>
      </w:tr>
      <w:tr w14:paraId="308A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5978FFD4">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7</w:t>
            </w:r>
          </w:p>
        </w:tc>
        <w:tc>
          <w:tcPr>
            <w:tcW w:w="1017" w:type="dxa"/>
            <w:vAlign w:val="center"/>
          </w:tcPr>
          <w:p w14:paraId="7F156445">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课程思政案例</w:t>
            </w:r>
          </w:p>
        </w:tc>
        <w:tc>
          <w:tcPr>
            <w:tcW w:w="633" w:type="dxa"/>
            <w:gridSpan w:val="2"/>
            <w:shd w:val="clear" w:color="auto" w:fill="FFFFFF"/>
            <w:vAlign w:val="center"/>
          </w:tcPr>
          <w:p w14:paraId="400A406F">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631" w:type="dxa"/>
            <w:vAlign w:val="center"/>
          </w:tcPr>
          <w:p w14:paraId="320F2245">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tcPr>
          <w:p w14:paraId="037CD00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kern w:val="44"/>
                <w:sz w:val="21"/>
                <w:szCs w:val="21"/>
                <w:highlight w:val="none"/>
                <w:lang w:bidi="ar"/>
              </w:rPr>
              <w:t>完成课程思政案例《数控多轴加工技术》6个，《逆向工程与测量技术》6个，共12个，具体内容为：</w:t>
            </w:r>
          </w:p>
          <w:p w14:paraId="6CAA017F">
            <w:pPr>
              <w:pStyle w:val="2"/>
              <w:keepNext w:val="0"/>
              <w:keepLines w:val="0"/>
              <w:pageBreakBefore w:val="0"/>
              <w:numPr>
                <w:ilvl w:val="0"/>
                <w:numId w:val="7"/>
              </w:numPr>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rPr>
            </w:pPr>
            <w:bookmarkStart w:id="53" w:name="_Toc24981"/>
            <w:r>
              <w:rPr>
                <w:rFonts w:hint="eastAsia" w:ascii="宋体" w:hAnsi="宋体" w:eastAsia="宋体" w:cs="宋体"/>
                <w:b w:val="0"/>
                <w:bCs w:val="0"/>
                <w:sz w:val="21"/>
                <w:szCs w:val="21"/>
                <w:highlight w:val="none"/>
              </w:rPr>
              <w:t>课程思政案例12个</w:t>
            </w:r>
            <w:bookmarkEnd w:id="53"/>
          </w:p>
          <w:p w14:paraId="100DA83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1.制作内容：课程思政案例制作12个，单个3-5分钟，总时长不少于40分钟。</w:t>
            </w:r>
          </w:p>
          <w:p w14:paraId="70D769B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2.思政案例内容应符合我国法律法规，尊重各民族的风俗习惯，版权不存在争议。</w:t>
            </w:r>
          </w:p>
          <w:p w14:paraId="354BCB8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思政案例要求以视频为主要载体，为围绕某个知识点/行业发展关注点展开、基于教学设计的学习资源。含片头、片尾、教师出镜拍摄、教师录制配音、PPT穿插、适量添加PPT内置动画效果包装、实景拍摄、后期剪辑合成。课程思政案例视频脚本由供应商编写，必须通过校方审核。</w:t>
            </w:r>
          </w:p>
          <w:p w14:paraId="1CE3FF9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根据课程需要，协助教学团队完成多种拍摄场地的教学场景设计及布景。根据课程性质，课程制作团队与教师一起确定课程最合理的拍摄方式。提供以下4种的拍摄模式供老师选择，特殊课程可根据老师课程框架设计更多拍摄模式，一门课程可以采用多种拍摄模式：</w:t>
            </w:r>
          </w:p>
          <w:p w14:paraId="00AC2A4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4.1 抠像+PPT 模式 ：在摄影棚内拍摄教师出镜和配音，全程 PPT 演示。</w:t>
            </w:r>
          </w:p>
          <w:p w14:paraId="338C705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4.2 场景实操模式 ：根据老师课程需求，选择在特定拍摄场地，多机位拍摄。</w:t>
            </w:r>
          </w:p>
          <w:p w14:paraId="2544BEA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4.3 随堂拍摄模式：随堂拍摄，多机位拍摄，记录老师讲课现场风采。</w:t>
            </w:r>
          </w:p>
          <w:p w14:paraId="5A65BB6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4.4 访谈式：在摄影棚内或与课程风格贴近的实景场地拍摄，根据访谈人数，设定机位数 一般 2 机位，教学过程由多位老师交流讨论完成。适合启发性的、思维拓展和发散的学科课程。</w:t>
            </w:r>
          </w:p>
          <w:p w14:paraId="6935718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模板应用：在老师提供PPT初稿的基础上重新进行符合课程内容特点的PPT美化设计，包含不同板块的背景、教师出镜背景、人名条、章节页、画中画框、关键字美化框等元素。模板朴素、大方，颜色适宜，便于长时间观看；在模板的适当位置标明课程名称、模块（章或节）序号与模块（章或节）的名称，多个页面均有的相同元素，如背景、按钮、标题、页码等，可以使用幻灯片母版来实现。课程中使用到的课程专业图片由教师提供且无版权争议；</w:t>
            </w:r>
          </w:p>
          <w:p w14:paraId="72989ED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 视频采用MP4格式封装。</w:t>
            </w:r>
          </w:p>
          <w:p w14:paraId="245C83C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7.使用专业的影视拍摄设备，配备广播级专业录音设备，视频画质高清、色彩鲜明、曝光合理、音质清晰；</w:t>
            </w:r>
          </w:p>
          <w:p w14:paraId="51F6C18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8.实操场景拍摄，在符合专业特性的场地，配置专业灯光设备和实现1-2机位拍摄，配备编导人员作为拍摄现场指导，场地由校方提供；</w:t>
            </w:r>
          </w:p>
          <w:p w14:paraId="4EBC7CB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9.不含航拍、高空拍摄、潜拍等特殊拍摄方式；后期包装不含二维动画、三维动画制作。</w:t>
            </w:r>
          </w:p>
          <w:p w14:paraId="282EE19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字幕要使用符合国家标准的规范字，不出现繁体字、异体字(国家规定的除外)、错别字；字幕的字体、大小、色彩搭配、摆放位置、停留时间、出入屏方式力求与其他要素（画面、解说词、音乐）配合适当，不能破坏原有画面。</w:t>
            </w:r>
          </w:p>
          <w:p w14:paraId="3256D0C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11.视频要求图像清晰，声音和画面同步，播放时没有明显的噪点，播放流畅；</w:t>
            </w:r>
          </w:p>
          <w:p w14:paraId="416A1C0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12.根据课程内容提供片头、片尾，时长不少于3秒；</w:t>
            </w:r>
          </w:p>
          <w:p w14:paraId="7DBB39E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13.采用H.264/AVC（MPEG-4 Part10）编码格式压缩；分辨率不低于1920x1080（16:9），音频采用AAC（MPEG4 Part3）格式压缩；</w:t>
            </w:r>
          </w:p>
          <w:p w14:paraId="4DD5133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14.供应商负责资源上传智慧职教及超星教学平台。</w:t>
            </w:r>
          </w:p>
          <w:p w14:paraId="3D5DC2C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15.文件提交要求</w:t>
            </w:r>
          </w:p>
          <w:p w14:paraId="1D540C0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视频压缩采用H.264编码，MP4格式，分辨率不低于1080P，按以下要求提交：</w:t>
            </w:r>
          </w:p>
          <w:p w14:paraId="067ECC2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15.1项目源文件：提交制作工程文件及用到的所有素材文件一份（素材要求详见商务要求），以便售后期满后采购人继续修改；</w:t>
            </w:r>
          </w:p>
          <w:p w14:paraId="7304735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15.2高质量成品文件：</w:t>
            </w:r>
          </w:p>
          <w:p w14:paraId="0589C3D9">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15.2.1外挂字幕高质量视频文件（视频码率为5-8Mbps）1份，包含SRT格式的外挂字幕文件；</w:t>
            </w:r>
          </w:p>
          <w:p w14:paraId="69FEF3C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15.2.2内嵌字幕中质量视频文件（视频码率为2-3Mbps）1份；</w:t>
            </w:r>
          </w:p>
          <w:p w14:paraId="772C04B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15.3颗粒化资源文件：</w:t>
            </w:r>
          </w:p>
          <w:p w14:paraId="3FCCB3B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15.3.1外挂字幕高质量视频文件（视频码率为5-8Mbps）1份，包含SRT格式的外挂字幕文件；</w:t>
            </w:r>
          </w:p>
          <w:p w14:paraId="3735A9F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15.3.2内嵌字幕中质量视频文件（视频码率为2-3Mbps）1份；</w:t>
            </w:r>
          </w:p>
          <w:p w14:paraId="7475D505">
            <w:pPr>
              <w:keepNext w:val="0"/>
              <w:keepLines w:val="0"/>
              <w:pageBreakBefore w:val="0"/>
              <w:widowControl/>
              <w:numPr>
                <w:ilvl w:val="255"/>
                <w:numId w:val="0"/>
              </w:numPr>
              <w:kinsoku/>
              <w:wordWrap/>
              <w:overflowPunct/>
              <w:topLinePunct w:val="0"/>
              <w:bidi w:val="0"/>
              <w:adjustRightInd/>
              <w:snapToGrid/>
              <w:spacing w:line="400" w:lineRule="exact"/>
              <w:jc w:val="left"/>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上述要求用U盘或者移动硬盘等存储设备存储，须提交一式三份给采购人。</w:t>
            </w:r>
          </w:p>
        </w:tc>
      </w:tr>
      <w:tr w14:paraId="3487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52D693F1">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8</w:t>
            </w:r>
          </w:p>
        </w:tc>
        <w:tc>
          <w:tcPr>
            <w:tcW w:w="1017" w:type="dxa"/>
            <w:vAlign w:val="center"/>
          </w:tcPr>
          <w:p w14:paraId="492F3D3C">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题库</w:t>
            </w:r>
          </w:p>
        </w:tc>
        <w:tc>
          <w:tcPr>
            <w:tcW w:w="633" w:type="dxa"/>
            <w:gridSpan w:val="2"/>
            <w:shd w:val="clear" w:color="auto" w:fill="FFFFFF"/>
            <w:vAlign w:val="center"/>
          </w:tcPr>
          <w:p w14:paraId="1074B1C2">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631" w:type="dxa"/>
            <w:vAlign w:val="center"/>
          </w:tcPr>
          <w:p w14:paraId="2906699E">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467" w:type="dxa"/>
            <w:vAlign w:val="center"/>
          </w:tcPr>
          <w:p w14:paraId="39E4AA69">
            <w:pPr>
              <w:pStyle w:val="2"/>
              <w:keepNext w:val="0"/>
              <w:keepLines w:val="0"/>
              <w:pageBreakBefore w:val="0"/>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rPr>
            </w:pPr>
            <w:bookmarkStart w:id="54" w:name="_Toc742"/>
            <w:r>
              <w:rPr>
                <w:rFonts w:hint="eastAsia" w:ascii="宋体" w:hAnsi="宋体" w:eastAsia="宋体" w:cs="宋体"/>
                <w:b w:val="0"/>
                <w:bCs w:val="0"/>
                <w:sz w:val="21"/>
                <w:szCs w:val="21"/>
                <w:highlight w:val="none"/>
              </w:rPr>
              <w:t>完成《数控多轴加工技术》《逆向工程与测量技术》《工业机器人工作站系统集成》《电机与电气控制技术》《液压与气压传动技术》5门课程的题库建设，每门一套，具体要求为：</w:t>
            </w:r>
            <w:bookmarkEnd w:id="54"/>
          </w:p>
          <w:p w14:paraId="2050E44B">
            <w:pPr>
              <w:keepNext w:val="0"/>
              <w:keepLines w:val="0"/>
              <w:pageBreakBefore w:val="0"/>
              <w:kinsoku/>
              <w:wordWrap/>
              <w:overflowPunct/>
              <w:topLinePunct w:val="0"/>
              <w:bidi w:val="0"/>
              <w:adjustRightInd/>
              <w:snapToGrid/>
              <w:spacing w:line="400" w:lineRule="exact"/>
              <w:rPr>
                <w:rFonts w:hint="eastAsia" w:ascii="宋体" w:hAnsi="宋体" w:eastAsia="宋体" w:cs="宋体"/>
                <w:kern w:val="44"/>
                <w:sz w:val="21"/>
                <w:szCs w:val="21"/>
                <w:highlight w:val="none"/>
                <w:lang w:bidi="ar"/>
              </w:rPr>
            </w:pPr>
            <w:r>
              <w:rPr>
                <w:rFonts w:hint="eastAsia" w:ascii="宋体" w:hAnsi="宋体" w:eastAsia="宋体" w:cs="宋体"/>
                <w:kern w:val="44"/>
                <w:sz w:val="21"/>
                <w:szCs w:val="21"/>
                <w:highlight w:val="none"/>
                <w:lang w:bidi="ar"/>
              </w:rPr>
              <w:t>（一）题库5套</w:t>
            </w:r>
          </w:p>
          <w:p w14:paraId="68AE5D8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 题库5套，每套不少于500道试题。</w:t>
            </w:r>
          </w:p>
          <w:p w14:paraId="68A2DBA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贴合标准：用于学生练习或教师检测学生对相关教学单元知识内容的掌握情况，按照课程标准及典型工作任务，融入企业真实操作规程、新技术与规范的题型，课程试题分为填空题不少于150道、选择题不少于200道、问答题（简答题、分析题）不少于150道五种题型，负责编辑、录入、设计、制作，制作过程或制作完成后可由学校专业教师审核修订。</w:t>
            </w:r>
          </w:p>
          <w:p w14:paraId="092B00C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3.每一章配套一套习题，习题主要考核课程对应的重难点知识点。</w:t>
            </w:r>
          </w:p>
          <w:p w14:paraId="2CBC8AB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4.题型包括但不限于单选、多选、简答、论述、案例分析等多种类型，其中每章节课后习题 5-15 题，至少包含案例分析 1 题、讨论题 1 题。</w:t>
            </w:r>
          </w:p>
          <w:p w14:paraId="775B9E0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 客观题应配有相应的答案，主观题配备答题思路或参考答案。</w:t>
            </w:r>
          </w:p>
          <w:p w14:paraId="4248881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6.每门课程不少于 3 套考核试题。</w:t>
            </w:r>
          </w:p>
          <w:p w14:paraId="4024CFF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7.每套题库交付WORD可编辑版及PDF正式版各1份，格式规范、排版整洁、无文字及逻辑错误，并负责上传至教学云平台。</w:t>
            </w:r>
          </w:p>
        </w:tc>
      </w:tr>
      <w:tr w14:paraId="2B96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483" w:type="dxa"/>
            <w:vAlign w:val="center"/>
          </w:tcPr>
          <w:p w14:paraId="5D6DACE7">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9</w:t>
            </w:r>
          </w:p>
        </w:tc>
        <w:tc>
          <w:tcPr>
            <w:tcW w:w="1017" w:type="dxa"/>
            <w:vAlign w:val="center"/>
          </w:tcPr>
          <w:p w14:paraId="675F9FF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数字教材</w:t>
            </w:r>
          </w:p>
        </w:tc>
        <w:tc>
          <w:tcPr>
            <w:tcW w:w="633" w:type="dxa"/>
            <w:gridSpan w:val="2"/>
            <w:shd w:val="clear" w:color="auto" w:fill="FFFFFF"/>
            <w:vAlign w:val="center"/>
          </w:tcPr>
          <w:p w14:paraId="7BC2B249">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631" w:type="dxa"/>
            <w:vAlign w:val="center"/>
          </w:tcPr>
          <w:p w14:paraId="6B400BA7">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w:t>
            </w:r>
          </w:p>
        </w:tc>
        <w:tc>
          <w:tcPr>
            <w:tcW w:w="7467" w:type="dxa"/>
            <w:vAlign w:val="center"/>
          </w:tcPr>
          <w:p w14:paraId="7AB92E3C">
            <w:pPr>
              <w:keepNext w:val="0"/>
              <w:keepLines w:val="0"/>
              <w:pageBreakBefore w:val="0"/>
              <w:widowControl/>
              <w:kinsoku/>
              <w:wordWrap/>
              <w:overflowPunct/>
              <w:topLinePunct w:val="0"/>
              <w:bidi w:val="0"/>
              <w:adjustRightInd/>
              <w:snapToGrid/>
              <w:spacing w:line="400" w:lineRule="exact"/>
              <w:textAlignment w:val="center"/>
              <w:rPr>
                <w:rFonts w:hint="eastAsia" w:ascii="宋体" w:hAnsi="宋体" w:eastAsia="宋体" w:cs="宋体"/>
                <w:kern w:val="44"/>
                <w:sz w:val="21"/>
                <w:szCs w:val="21"/>
                <w:highlight w:val="none"/>
                <w:lang w:bidi="ar"/>
              </w:rPr>
            </w:pPr>
            <w:r>
              <w:rPr>
                <w:rFonts w:hint="eastAsia" w:ascii="宋体" w:hAnsi="宋体" w:eastAsia="宋体" w:cs="宋体"/>
                <w:kern w:val="44"/>
                <w:sz w:val="21"/>
                <w:szCs w:val="21"/>
                <w:highlight w:val="none"/>
                <w:lang w:bidi="ar"/>
              </w:rPr>
              <w:t>完成《数控多轴加工技术》《数控加工工艺与编程》2数字教材建设；择机申报区级“十五五”规划教材1本、国家级“十五五”规划教材1本。具体要求包括：</w:t>
            </w:r>
          </w:p>
          <w:p w14:paraId="45C7FEAA">
            <w:pPr>
              <w:pStyle w:val="2"/>
              <w:keepNext w:val="0"/>
              <w:keepLines w:val="0"/>
              <w:pageBreakBefore w:val="0"/>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lang w:bidi="ar"/>
              </w:rPr>
            </w:pPr>
            <w:bookmarkStart w:id="55" w:name="_Toc10041"/>
            <w:r>
              <w:rPr>
                <w:rFonts w:hint="eastAsia" w:ascii="宋体" w:hAnsi="宋体" w:eastAsia="宋体" w:cs="宋体"/>
                <w:b w:val="0"/>
                <w:bCs w:val="0"/>
                <w:sz w:val="21"/>
                <w:szCs w:val="21"/>
                <w:highlight w:val="none"/>
                <w:lang w:bidi="ar"/>
              </w:rPr>
              <w:t>（一）数字教材出版2本</w:t>
            </w:r>
            <w:bookmarkEnd w:id="55"/>
          </w:p>
          <w:p w14:paraId="48AC710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根据课程标准和课程大纲，协助指导教师完成教材大纲梳理和样章编写，协助指导教师完成教材初稿撰写、排版、加工。每本教材字数不低于25万字。</w:t>
            </w:r>
          </w:p>
          <w:p w14:paraId="31A5FFC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1.数字教材审校出版</w:t>
            </w:r>
          </w:p>
          <w:p w14:paraId="57AD412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1.1供应商严格落实国家新闻出版署规定的三审三校制度和责任编辑制度，保证数字教材成品质量符合出版质量管理规定。</w:t>
            </w:r>
          </w:p>
          <w:p w14:paraId="0E841F5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1.2供应商须为数字教材申请正规电子出版物号，电子出版物号在国家版本数据中心可查询。</w:t>
            </w:r>
          </w:p>
          <w:p w14:paraId="1A3F2AA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1.3书稿严格执行初审、复审、终审的三审流程，对教材的政治倾向、思想水平、学术或艺术价值、科学性、知识性、文字规范性等进行全面把关。</w:t>
            </w:r>
          </w:p>
          <w:p w14:paraId="4112571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1.4数字教材严格执行三校流程，以减少最终出版的差错率，每次校对统计校对出来的异同和是非问题的数量，并留存相应的校样备查。</w:t>
            </w:r>
          </w:p>
          <w:p w14:paraId="1F1C482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供应商负责采购人提供的数字教材相关数字资源的审核，对数字资源落实三审制度，确保所有资源符合教学需求、对应教学内容，无政治性、敏感性、知识性、逻辑性错误；可正常浏览、播放，图片、画质、声音清晰流畅，格式符合数字教材平台要求。</w:t>
            </w:r>
          </w:p>
          <w:p w14:paraId="0681402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供应商应对教材中的文字、表格、图片等修改内容进行排版、整理和重新绘图，结合教材类型进行封面设计，以保证教材出版的内容准确性和美观性。数字教材封面应符合教材特点并体现一定的艺术性，包含书名、作者和编著方式、出版单位、出版物号及条码等关键信息。</w:t>
            </w:r>
          </w:p>
          <w:p w14:paraId="11ED514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1.7第一年建设期完成教材初稿，并获得正规出版书号，两年内完成出版并上线教材平台。</w:t>
            </w:r>
          </w:p>
          <w:p w14:paraId="5D8BBDF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2.数字教材平台运维及应用支持</w:t>
            </w:r>
          </w:p>
          <w:p w14:paraId="65E9865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◆2.1数字教材出版后，在数字教材平台有专页可进行该数字教材的展示，包括但不限于封面、书名、出版物号、主编及简介、主编院校、内容摘要、目录等信息。</w:t>
            </w:r>
          </w:p>
          <w:p w14:paraId="36306AF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2.2数字教材平台采用B/S架构，采购人无需在PC下载客户端可直接使用，支持Windows及主流移动操作系统，能够实现跨平台随时随地应用。</w:t>
            </w:r>
          </w:p>
          <w:p w14:paraId="14CF59B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具有富媒体阅读器，不仅能够正确读取并显示数字教材内容，还应支持音/视频、动图、画廊（组图）、AR/VR资源、拓展阅读材料、词条标注等多种媒体形式直接播放或阅览。用户可根据阅读习惯自主调节字号大小、放大图片、多倍速播放视频等。</w:t>
            </w:r>
          </w:p>
          <w:p w14:paraId="7071FB4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2.4学生可在数字教材平台自主学习或完成各项学习任务。自主学习时可进行文字高亮、做笔记、词条搜索、添加书签等；可完成的各项学习任务包括教材内容学习、拓展资料学习、课堂讨论、实训、作业练习、参加考试等，满足各类教学场景的应用需求。</w:t>
            </w:r>
          </w:p>
          <w:p w14:paraId="13D9F35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◆2.5数字教材平台应支持线上线下混合式教学，教师可按照实际教学班级数量和成员设置班级，并对班级学生进行管理，在线批阅学生的作业和考试，查看学生的任务完成情况，从而有效支持学生的考核评价。</w:t>
            </w:r>
          </w:p>
          <w:p w14:paraId="271025B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2.6提供教师专属网络空间，支持个性化资源上传和教学设计。教师可为每个班级设计不同的教学方案，添加文档、视频、压缩包等教学资源，添加教材和资源阅读、实训、讨论、作业、考试等学习任务，对作业、考试等任务设置分数和提交期限，并对各项任务有选择地发布到班级。教师可在不同班级间复制教学设计方案，提高备课效率。</w:t>
            </w:r>
          </w:p>
          <w:p w14:paraId="597C325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◆2.7能够对资源、笔记、讨论、实训、作业、考试进行集中管理，在管理页面查看详情。每位用户可查看自己的学习报告，包括学习进度和任务完成情况。</w:t>
            </w:r>
          </w:p>
          <w:p w14:paraId="09ED108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2.8具有富媒体编辑器，不仅可直接导入Word等主要文档内容，还应支持手动文字录入、公式录入、音/视频插入、图片插入、画廊（组图）插入、动图插入、词条标注等。可设置标题层次，生成目录结构，可在编辑器内对前台显示效果进行预览。</w:t>
            </w:r>
          </w:p>
          <w:p w14:paraId="00054F2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▲2.9供应商具备为采购人进行专属数字教材平台部署的能力，平台页面可呈现学校名称、Logo等标识，域名可体现学校缩写。可由采购人指定一名管理员对专属平台的数字教材进行管理。</w:t>
            </w:r>
          </w:p>
          <w:p w14:paraId="5D09507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2.10供应商须具备教材申报的专业能力及实操经验，负责协助采购人组织开展区级及国家级规划教材的申报与落地工作，并提供申报全流程配套服务。</w:t>
            </w:r>
          </w:p>
          <w:p w14:paraId="3CC97D6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（二）教材建设系列化培训服务1项；</w:t>
            </w:r>
          </w:p>
          <w:p w14:paraId="77E250D0">
            <w:pPr>
              <w:keepNext w:val="0"/>
              <w:keepLines w:val="0"/>
              <w:pageBreakBefore w:val="0"/>
              <w:widowControl/>
              <w:kinsoku/>
              <w:wordWrap/>
              <w:overflowPunct/>
              <w:topLinePunct w:val="0"/>
              <w:bidi w:val="0"/>
              <w:adjustRightInd/>
              <w:snapToGrid/>
              <w:spacing w:line="400" w:lineRule="exact"/>
              <w:ind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围绕数字教材的编写、设计、出版、运维、申报全流程开展系列化培训服务，具体包括：数字教材编写规范、产业新技术融入技巧、配套数字资源开发、三审三校流程解读、电子出版物申报、数字教材平台操作、教材成果申报等模块；培训形式结合线上线下，提供实操指导与一对一答疑，提升校方教师数字教材编写与出版能力，保障教材建设质量与申报成效。完成专项培训不少于5场，总时长不少于15课时。</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 xml:space="preserve">    供应商应邀请省级及以上规划教材编写专家，或知名出版社具备副编审及以上职称的编辑，通过线上或线下方式提供不少于2次的专业指导。</w:t>
            </w:r>
          </w:p>
        </w:tc>
      </w:tr>
      <w:tr w14:paraId="251F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49FD8AC2">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10</w:t>
            </w:r>
          </w:p>
        </w:tc>
        <w:tc>
          <w:tcPr>
            <w:tcW w:w="1017" w:type="dxa"/>
            <w:vAlign w:val="center"/>
          </w:tcPr>
          <w:p w14:paraId="43D56B19">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AI优课</w:t>
            </w:r>
          </w:p>
        </w:tc>
        <w:tc>
          <w:tcPr>
            <w:tcW w:w="633" w:type="dxa"/>
            <w:gridSpan w:val="2"/>
            <w:shd w:val="clear" w:color="auto" w:fill="FFFFFF"/>
            <w:vAlign w:val="center"/>
          </w:tcPr>
          <w:p w14:paraId="73D709C8">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631" w:type="dxa"/>
            <w:vAlign w:val="center"/>
          </w:tcPr>
          <w:p w14:paraId="5CCBBE8A">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门</w:t>
            </w:r>
          </w:p>
        </w:tc>
        <w:tc>
          <w:tcPr>
            <w:tcW w:w="7467" w:type="dxa"/>
            <w:vAlign w:val="center"/>
          </w:tcPr>
          <w:p w14:paraId="0EBEB8F5">
            <w:pPr>
              <w:keepNext w:val="0"/>
              <w:keepLines w:val="0"/>
              <w:pageBreakBefore w:val="0"/>
              <w:kinsoku/>
              <w:wordWrap/>
              <w:overflowPunct/>
              <w:topLinePunct w:val="0"/>
              <w:bidi w:val="0"/>
              <w:adjustRightInd/>
              <w:snapToGrid/>
              <w:spacing w:line="400" w:lineRule="exact"/>
              <w:rPr>
                <w:rFonts w:hint="eastAsia" w:ascii="宋体" w:hAnsi="宋体" w:eastAsia="宋体" w:cs="宋体"/>
                <w:kern w:val="44"/>
                <w:sz w:val="21"/>
                <w:szCs w:val="21"/>
                <w:highlight w:val="none"/>
                <w:lang w:bidi="ar"/>
              </w:rPr>
            </w:pPr>
            <w:r>
              <w:rPr>
                <w:rFonts w:hint="eastAsia" w:ascii="宋体" w:hAnsi="宋体" w:eastAsia="宋体" w:cs="宋体"/>
                <w:kern w:val="44"/>
                <w:sz w:val="21"/>
                <w:szCs w:val="21"/>
                <w:highlight w:val="none"/>
                <w:lang w:bidi="ar"/>
              </w:rPr>
              <w:t>完成《数控多轴加工技术》、《逆向工程与测量技术》2门AI智能化课程建设，形成可复制、可推广的人工智能+职教融合教学模式案例。具体要求包括：</w:t>
            </w:r>
          </w:p>
          <w:p w14:paraId="14430538">
            <w:pPr>
              <w:pStyle w:val="2"/>
              <w:keepNext w:val="0"/>
              <w:keepLines w:val="0"/>
              <w:pageBreakBefore w:val="0"/>
              <w:kinsoku/>
              <w:wordWrap/>
              <w:overflowPunct/>
              <w:topLinePunct w:val="0"/>
              <w:bidi w:val="0"/>
              <w:adjustRightInd/>
              <w:snapToGrid/>
              <w:spacing w:before="0" w:after="0" w:line="400" w:lineRule="exact"/>
              <w:rPr>
                <w:rFonts w:hint="eastAsia" w:ascii="宋体" w:hAnsi="宋体" w:eastAsia="宋体" w:cs="宋体"/>
                <w:b w:val="0"/>
                <w:bCs w:val="0"/>
                <w:sz w:val="21"/>
                <w:szCs w:val="21"/>
                <w:highlight w:val="none"/>
              </w:rPr>
            </w:pPr>
            <w:bookmarkStart w:id="56" w:name="_Toc11358"/>
            <w:r>
              <w:rPr>
                <w:rFonts w:hint="eastAsia" w:ascii="宋体" w:hAnsi="宋体" w:eastAsia="宋体" w:cs="宋体"/>
                <w:b w:val="0"/>
                <w:bCs w:val="0"/>
                <w:sz w:val="21"/>
                <w:szCs w:val="21"/>
                <w:highlight w:val="none"/>
              </w:rPr>
              <w:t>（一）智能化课程2门</w:t>
            </w:r>
            <w:bookmarkEnd w:id="56"/>
          </w:p>
          <w:p w14:paraId="5AA3507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智慧课程建设功能使用1年，建成资源版权归学校所有。</w:t>
            </w:r>
          </w:p>
          <w:p w14:paraId="0F07DA6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智慧课程服务期限为课程上线运行之日起1年，服务期限届满后，供应商需为采购人保留长期访问权限：</w:t>
            </w:r>
          </w:p>
          <w:p w14:paraId="65B5F98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采购人授权用户可正常登录平台，查看、下载服务期内产生或上传的全部内容，包括但不限于课程资源、教学数据、互动记录、统计报表等。</w:t>
            </w:r>
          </w:p>
          <w:p w14:paraId="74D610D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该权限仅含“查看、下载”功能，不含新增、修改、删除、发布等操作权限，不享受服务期内的技术升级、故障应急处理等配套服务（基础访问保障除外）。</w:t>
            </w:r>
          </w:p>
          <w:p w14:paraId="414E4EC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供应商需保障到期后只读权限的稳定性，不得无故关闭访问通道，需提供必要的基础技术支持（如账号找回、访问故障排查），确保采购人合法获取历史数据。</w:t>
            </w:r>
          </w:p>
          <w:p w14:paraId="15B199F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智慧课程服务期限届满后，供应商提供课程迁移服务，服务期内智慧课程中创建的全部课程内容，包括但不限于课程资源（课件、视频、文档）、教学结构（章节设置、考核规则）等需迁移至在线课程运行平台，确保课程可正常开课运行。</w:t>
            </w:r>
          </w:p>
          <w:p w14:paraId="2D4F89A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 教师建课空间</w:t>
            </w:r>
          </w:p>
          <w:p w14:paraId="726C3DD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 课程内容及建设成果展示：</w:t>
            </w:r>
          </w:p>
          <w:p w14:paraId="183E8FF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1.1.1 课程内容同步</w:t>
            </w:r>
          </w:p>
          <w:p w14:paraId="0715921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支持将现有运行在在线课程平台或资源库平台中的教师课程资源，同步至AI优课平台。</w:t>
            </w:r>
          </w:p>
          <w:p w14:paraId="3AA71A1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1.1.2 课程内容建设与调整</w:t>
            </w:r>
          </w:p>
          <w:p w14:paraId="3E63781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支持对章、节、讲名称进行编辑，并可排序、删除等重组，可在课程设计添加作业、测验、考试。</w:t>
            </w:r>
          </w:p>
          <w:p w14:paraId="62B2D93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1.1.3 支持对导入的课程信息再次编辑包括：课程名称、封面、介绍视频，简介、关键词、教材等其他信息。</w:t>
            </w:r>
          </w:p>
          <w:p w14:paraId="40C027A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 教学团队及学员管理</w:t>
            </w:r>
          </w:p>
          <w:p w14:paraId="545FC91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1.2.1 教学团队维护</w:t>
            </w:r>
          </w:p>
          <w:p w14:paraId="49380D7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支持添加、删除教学团队成员，实现教师团队成员的展示。</w:t>
            </w:r>
          </w:p>
          <w:p w14:paraId="3717E28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支持教学团队成员修改简介等个人信息。</w:t>
            </w:r>
          </w:p>
          <w:p w14:paraId="3E3A06C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1.2.2 学员管理</w:t>
            </w:r>
          </w:p>
          <w:p w14:paraId="723412D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支持对学员的详细信息进行查询，对学员进行管理等。</w:t>
            </w:r>
          </w:p>
          <w:p w14:paraId="6A42F56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1.2.3 课程公告管理</w:t>
            </w:r>
          </w:p>
          <w:p w14:paraId="3BA6762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支持公告展示、添加、编辑、删除等内容。</w:t>
            </w:r>
          </w:p>
          <w:p w14:paraId="70A5BBA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1.2.4 课程讨论</w:t>
            </w:r>
          </w:p>
          <w:p w14:paraId="266320B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支持话题讨论、话题管理、回复、评论等内容。</w:t>
            </w:r>
          </w:p>
          <w:p w14:paraId="53905A9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1.2.5 课程答疑</w:t>
            </w:r>
          </w:p>
          <w:p w14:paraId="64F8C9E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支持针对学生答疑，进行回复与解答。</w:t>
            </w:r>
          </w:p>
          <w:p w14:paraId="3BD52DC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1.2.6 课程评价</w:t>
            </w:r>
          </w:p>
          <w:p w14:paraId="454008B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支持教师对课程评价内容进行置顶、删除、回复等。</w:t>
            </w:r>
          </w:p>
          <w:p w14:paraId="5ACC6A3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 成果统计</w:t>
            </w:r>
          </w:p>
          <w:p w14:paraId="76F6B66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对课程数据进行展示及分析，包括累计开课总数、累计选课人数、学员所属单位、累计互动次数、累计日志总数、教学团队统计、知识图谱建设数据展示、教学资源统计、教学活动统计等，并根据课程内容变化实时更新。</w:t>
            </w:r>
          </w:p>
          <w:p w14:paraId="1F66599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 教学大屏</w:t>
            </w:r>
          </w:p>
          <w:p w14:paraId="1EAB4C6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包括学习数据统计展示、教学活动数据统计展示、成绩统计展示，并提供课程大数据分析，包括学习人次、人均进度、合格率趋势、学习行为统计、人均掌握度分析等内容。</w:t>
            </w:r>
          </w:p>
          <w:p w14:paraId="72879E2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 消息通知</w:t>
            </w:r>
          </w:p>
          <w:p w14:paraId="4412556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支持查看发送的信息及收到的信息。</w:t>
            </w:r>
          </w:p>
          <w:p w14:paraId="2EDB9A0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 收藏夹</w:t>
            </w:r>
          </w:p>
          <w:p w14:paraId="5AD8D15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1.6.1 支持教师个性化课程资源收藏。</w:t>
            </w:r>
          </w:p>
          <w:p w14:paraId="3ECEEE7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1.6.2 支持教师查看收藏的课程和收藏的资源等内容。</w:t>
            </w:r>
          </w:p>
          <w:p w14:paraId="4100890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 AI工具</w:t>
            </w:r>
          </w:p>
          <w:p w14:paraId="074514A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 AI批阅</w:t>
            </w:r>
          </w:p>
          <w:p w14:paraId="1C40E04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2.1.1 支持作业、考试智能批阅，可提供总结性评价，智能批阅，产出评语、评分等。</w:t>
            </w:r>
          </w:p>
          <w:p w14:paraId="79CBE92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2.1.2 针对答题内容提供细致评价，提供更为细致的智能批阅结果，如逐句评价等。</w:t>
            </w:r>
          </w:p>
          <w:p w14:paraId="3198375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2.1.3 提供其他维度评阅结果，如针对某道题目产出其在学习态度、认知能力、表达能力等方面的评价。</w:t>
            </w:r>
          </w:p>
          <w:p w14:paraId="5719E05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2.1.4 题目生成反馈与优化，支持教师针对智能生成结果进行反馈，不断优化之后生成的题目质量。</w:t>
            </w:r>
          </w:p>
          <w:p w14:paraId="20DC96F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 AI课程教学报告</w:t>
            </w:r>
          </w:p>
          <w:p w14:paraId="4B6AFA4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针对课程中产生的教学行为过程数据，提供课程教学报告，报告在提供基础教学数据的基础上，推出更为新颖的评价指标和维度。</w:t>
            </w:r>
          </w:p>
          <w:p w14:paraId="3E989A2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2.2.1 根据学习用户量、成绩分布、进度分布、课程建设内容等指标形成课程的归纳总结。</w:t>
            </w:r>
          </w:p>
          <w:p w14:paraId="6034EC3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2.2.2 总结课程最需要关注的数据，包括表现最突出的学生、最受欢迎的资源、整体分数最好的一场考试、最需要关注的知识点等。</w:t>
            </w:r>
          </w:p>
          <w:p w14:paraId="505D439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2.2.3 生成AI课程教学评价，包括知识点掌握程度评价、知识点掌握程度、学生能力排行榜、个人能力分析等。</w:t>
            </w:r>
          </w:p>
          <w:p w14:paraId="2C1DDD9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 AI学习助手（课程学习）</w:t>
            </w:r>
          </w:p>
          <w:p w14:paraId="52827BE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配套展示在对应课程学习的页面，支持学生随时调用，进行基于课程内容学习的过程性问答。</w:t>
            </w:r>
          </w:p>
          <w:p w14:paraId="5F693F1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2.4 AI学习助手（讨论支持）</w:t>
            </w:r>
          </w:p>
          <w:p w14:paraId="51C5227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在讨论区自动解答学生发起的讨论问题，并把数据回传给教师，教师可对数据进行调优。</w:t>
            </w:r>
          </w:p>
          <w:p w14:paraId="4201A1B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2.5 AI学习助手（答疑支持）</w:t>
            </w:r>
          </w:p>
          <w:p w14:paraId="75A0D31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在答疑区自动解答学生发起的讨论问题，并把数据回传给教师，教师可对数据进行调优。</w:t>
            </w:r>
          </w:p>
          <w:p w14:paraId="0346814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2.6 AI视频理解</w:t>
            </w:r>
          </w:p>
          <w:p w14:paraId="364036A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◆2.6.1 AI视频速览，使用多模态技术对视频进行切片，梳理视频资源的知识点，并可根据知识点跳转对应视频片段。</w:t>
            </w:r>
          </w:p>
          <w:p w14:paraId="6B6525A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2.6.2 AI视频字幕及实时翻译，自动生成视频字幕，支持中英双语。</w:t>
            </w:r>
          </w:p>
          <w:p w14:paraId="74E7927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◆2.6.3 AI视频总结，基于视频内容自动提取生成视频概要总结。</w:t>
            </w:r>
          </w:p>
          <w:p w14:paraId="3E1C5B0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2.6.4 AI热词解析，自动生成热词词云，点击词云，即可支持基于词云的对话。</w:t>
            </w:r>
          </w:p>
          <w:p w14:paraId="14DAD32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2.6.5 基于视频内容的对话，基于视频内容解答学生知识性问题，并可做好问题内容安全审核及无法回答问题等的处理。</w:t>
            </w:r>
          </w:p>
          <w:p w14:paraId="623E5EA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2.7 AI文档解析</w:t>
            </w:r>
          </w:p>
          <w:p w14:paraId="3E3F6D8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2.7.1 支持多种文档格式上传，并可基于文档进行问答对话，并可反馈不满意回答后重新生成回复。</w:t>
            </w:r>
          </w:p>
          <w:p w14:paraId="269F727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2.7.2 支持基于文档的分层级总结，并可对重点内容特殊标记。</w:t>
            </w:r>
          </w:p>
          <w:p w14:paraId="1FA746B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2.8 AI错题解析</w:t>
            </w:r>
          </w:p>
          <w:p w14:paraId="14C341F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2.8.1 支持调用课程AI学习助手，针对错题内容深度讲解分析。</w:t>
            </w:r>
          </w:p>
          <w:p w14:paraId="10FA75D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2.8.2 支持调用课程AI学习助手分析行为习惯，给出错因分析，提供课程资源中与该相关联的资源链接。</w:t>
            </w:r>
          </w:p>
          <w:p w14:paraId="509D34D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2.9 AI学习报告</w:t>
            </w:r>
          </w:p>
          <w:p w14:paraId="1682E04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根据学生参与度、成绩、学习风格和偏好、学习路径和薄弱点知识点分析生成AI学习报告。</w:t>
            </w:r>
          </w:p>
          <w:p w14:paraId="258993A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2.9.1 根据登录频率、学习时长、课程资源内容学习情况、讨论答疑数据、测验和作业完成情况分析学生的参与度，将数据给到大模型，生成总结性评语。</w:t>
            </w:r>
          </w:p>
          <w:p w14:paraId="50D5833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2.9.2 将学习材料类型偏好、学习时间分布散点图、学习成绩趋势、难点掌握情况数据给到大模型，生成学生的学习习惯类型，提升学生学习内驱力。</w:t>
            </w:r>
          </w:p>
          <w:p w14:paraId="159B59E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 个性化学习空间</w:t>
            </w:r>
          </w:p>
          <w:p w14:paraId="032927C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 内容学习：</w:t>
            </w:r>
          </w:p>
          <w:p w14:paraId="1C80286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支持学习课程资源内容，包括视频、图片、文档、富媒体、音频等课程资源的在线学习，并记录学习过程数据。</w:t>
            </w:r>
          </w:p>
          <w:p w14:paraId="3EAFB56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3.2 课程公告查看：</w:t>
            </w:r>
          </w:p>
          <w:p w14:paraId="7324617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支持展示并可教师发布的课程公告。</w:t>
            </w:r>
          </w:p>
          <w:p w14:paraId="3E100D9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3.3 作业、测验、考试：</w:t>
            </w:r>
          </w:p>
          <w:p w14:paraId="3061E641">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支持学生进行课程中的作业、测验、考试等活动作答，实现在线完成答题、提交、查看等功能。</w:t>
            </w:r>
          </w:p>
          <w:p w14:paraId="4CCB159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3.4 基础学习数据大屏：</w:t>
            </w:r>
          </w:p>
          <w:p w14:paraId="6D74B70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包括个人基本信息，综合成绩展示，讨论的发帖数、回帖数，课程访问量、观看视频时长、学习进度，测验、作业、考试的完成情况。</w:t>
            </w:r>
          </w:p>
          <w:p w14:paraId="41BBB74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3.5 课程讨论：</w:t>
            </w:r>
          </w:p>
          <w:p w14:paraId="49D9722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支持学生参与课程讨论，包括话题评论、回复、点赞等功能。</w:t>
            </w:r>
          </w:p>
          <w:p w14:paraId="397D0F8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3.6 课程答疑：</w:t>
            </w:r>
          </w:p>
          <w:p w14:paraId="14780CA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支持学生在答疑区发起问题，教师可对问题进行解答。</w:t>
            </w:r>
          </w:p>
          <w:p w14:paraId="1C55D75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3.7 消息通知</w:t>
            </w:r>
          </w:p>
          <w:p w14:paraId="146E5ED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支持学生查看发送的信息及收到的信息，并可进行回复。</w:t>
            </w:r>
          </w:p>
          <w:p w14:paraId="47E4B9E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3.8 收藏夹</w:t>
            </w:r>
          </w:p>
          <w:p w14:paraId="6D44F3A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支持学生查看收藏的课程和收藏的资源等内容。</w:t>
            </w:r>
          </w:p>
          <w:p w14:paraId="2DC77BF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3.9 学习计划</w:t>
            </w:r>
          </w:p>
          <w:p w14:paraId="5072398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支持学生制定学习计划，系统根据学生制定的学习计划进行消息提示与督促，实时更新展示学习计划的完成程度。</w:t>
            </w:r>
          </w:p>
          <w:p w14:paraId="25430D3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3.10 我的证书</w:t>
            </w:r>
          </w:p>
          <w:p w14:paraId="52F8FF0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支持申请已学习通过的课程证书，展示课程证书、下载课程证书。</w:t>
            </w:r>
          </w:p>
          <w:p w14:paraId="450CF5B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3.10.1 基于知识图谱的个性化学习</w:t>
            </w:r>
          </w:p>
          <w:p w14:paraId="70403D3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3.10.2 支持根据学生的目标、兴趣等信息，匹配适合的学习规划。</w:t>
            </w:r>
          </w:p>
          <w:p w14:paraId="41850B3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3.10.3 支持根据学生的资源学习倾向、学习习惯等信息，制定专属学习路径。</w:t>
            </w:r>
          </w:p>
          <w:p w14:paraId="51FC698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3.10.4 支持学习者根据课程“岗课赛证”专项、学习进度、测评情况、薄弱知识点四类形态进行学习。</w:t>
            </w:r>
          </w:p>
          <w:p w14:paraId="46D2B8E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（二）课程知识图谱16个</w:t>
            </w:r>
          </w:p>
          <w:p w14:paraId="4E4D850D">
            <w:pPr>
              <w:keepNext w:val="0"/>
              <w:keepLines w:val="0"/>
              <w:pageBreakBefore w:val="0"/>
              <w:kinsoku/>
              <w:wordWrap/>
              <w:overflowPunct/>
              <w:topLinePunct w:val="0"/>
              <w:bidi w:val="0"/>
              <w:adjustRightInd/>
              <w:snapToGrid/>
              <w:spacing w:line="4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建设课程专属知识图谱，并支持实时在教师建课后台、前端门户展示，图谱中所有技能点、知识点及实体的标注均由中标人完成操作，课程知识图谱建设完成后版权归学校所有。</w:t>
            </w:r>
          </w:p>
          <w:p w14:paraId="07398B4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 知识图谱建设：</w:t>
            </w:r>
          </w:p>
          <w:p w14:paraId="29E3FB4C">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 知识点图谱能够以“课程—知识点—学习资源—作业—测验—考试”的路径，展示课程整体知识点体系、各知识点包含的学习资源、作业、测验与考试内容，支持点击跳转学习与测评。</w:t>
            </w:r>
          </w:p>
          <w:p w14:paraId="4B8E0E1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 技能点图谱能够以“课程—技能点”的路径，展示课程对应的工作任务、包含的技能模块及对应的颗粒化技能点；以图谱形式呈现课程技能点内容，支持查看并学习各技能点下的资源、作业、测验、考试，点击可跳转。</w:t>
            </w:r>
          </w:p>
          <w:p w14:paraId="541FE92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 进度图谱能够以“课程—学习节点—学习资源—完成状态—学习进度—学习记录”的路径，直观呈现课程及各节点学习进度、资源完成情况，支持查看资源列表与进度，点击弹窗资源即可学习。</w:t>
            </w:r>
          </w:p>
          <w:p w14:paraId="2ACABB0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 测评图谱能够以“课程—测评节点—作业—测验—考试—作答成绩”的路径，呈现课程各节点测评内容列表与考核结果，支持查看测评详情并进入试卷作答。</w:t>
            </w:r>
          </w:p>
          <w:p w14:paraId="60B8240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 薄弱知识点图谱能够以“课程—知识点—学习进度—测评得分—掌握程度—薄弱点”的路径，直观呈现课程各知识点掌握情况、学习进度与得分率，精准定位薄弱知识点。</w:t>
            </w:r>
          </w:p>
          <w:p w14:paraId="02E215B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 岗位图谱能够以“课程—行业—岗位群—岗位—工作任务—技能要—课程节点”的路径，展示专业群对应行业、岗位群、岗位、工作任务、技能要求与课程的关联关系，支持查看岗位、证书及关联资源。</w:t>
            </w:r>
          </w:p>
          <w:p w14:paraId="473BBFE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 比赛图谱能够以“课程—技能竞赛—赛项—赛点—技能要求—考核内容—课程节点”的路径，展示课程关联的技能比赛、赛项、赛点与课程内容的对应关系，支持查看岗位、证书及关联学习资源。</w:t>
            </w:r>
          </w:p>
          <w:p w14:paraId="2475EC4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 证书图谱能够以“课程—职业证书—证书模块—考点—考核要求—技能标准—课程节点”的路径，展示课程关联的证书、考点、考核要求与课程内容的对应关系，支持查看岗位、证书及关联学习资源。</w:t>
            </w:r>
          </w:p>
          <w:p w14:paraId="1F5AA84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 课程负责人对图谱进行创建：</w:t>
            </w:r>
          </w:p>
          <w:p w14:paraId="1343272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 支持教师手动创建图谱，同时支持依据图谱导入模板格式一键导入，自动生成图谱。</w:t>
            </w:r>
          </w:p>
          <w:p w14:paraId="1495613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 支持根据课程结构自动创建图谱，同时支持以知识技能树、知识图谱两种形式展示课程结构。</w:t>
            </w:r>
          </w:p>
          <w:p w14:paraId="267DFF6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 支持将图谱节点与该教师统一资源中心的资源相关联，建立课程知识点与资源的绑定关系。</w:t>
            </w:r>
          </w:p>
          <w:p w14:paraId="0DED537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2.4 支持对图谱结构进行编辑：包括添加节点、添加关系、描述节点、关联标签、搜索节点，同时支持切换图谱结构。</w:t>
            </w:r>
          </w:p>
          <w:p w14:paraId="73F63F1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 课程负责人对图谱进行管理：</w:t>
            </w:r>
          </w:p>
          <w:p w14:paraId="4E327E9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 课程负责人可添加创建图谱的团队成员。</w:t>
            </w:r>
          </w:p>
          <w:p w14:paraId="0309600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3.2 课程负责人支持给团队成员分配协作权限及协作节点。</w:t>
            </w:r>
          </w:p>
          <w:p w14:paraId="06AB89B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3.3 课程负责人可查看协作任务详情，修改任务分配人，修改任务截止时间，选择该项目任务负责人等。</w:t>
            </w:r>
          </w:p>
          <w:p w14:paraId="169D86DB">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3.4 支持团队成员编辑完成提交后到课程主持人进行审核。</w:t>
            </w:r>
          </w:p>
          <w:p w14:paraId="46A640A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 团队图谱协作：</w:t>
            </w:r>
          </w:p>
          <w:p w14:paraId="4D11BF6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4.1 支持添加创建图谱的团队成员。</w:t>
            </w:r>
          </w:p>
          <w:p w14:paraId="28FF3E9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4.2 支持给团队成员分配协作权限。</w:t>
            </w:r>
          </w:p>
          <w:p w14:paraId="674A4D0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4.3 支持团队成员编辑完成提交后到课程主持人进行审核。</w:t>
            </w:r>
          </w:p>
          <w:p w14:paraId="02DEF1F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（三）课程智能体2个；</w:t>
            </w:r>
          </w:p>
          <w:p w14:paraId="7090ABE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基于大模型核心能力，训练解析基于本课程的课程级智能体，提供课程级别的智能问答助手。</w:t>
            </w:r>
          </w:p>
          <w:p w14:paraId="5DBF7AD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 课程智能体负责人功能：</w:t>
            </w:r>
          </w:p>
          <w:p w14:paraId="0731D1F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 支持查看当前已被分配的智能体项目信息列表。</w:t>
            </w:r>
          </w:p>
          <w:p w14:paraId="6B91266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 支持为项目添加多个训练人员和审核人员。</w:t>
            </w:r>
          </w:p>
          <w:p w14:paraId="6088CDE7">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 支持对语料进行新增、修改、删除、审核及查看。</w:t>
            </w:r>
          </w:p>
          <w:p w14:paraId="45717EE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 支持查看已上传的全部语料资源信息。含资源名称、格式类型、资源容量、数据来源、上传时间、上传人、所属单位、审核人、状态、操作等信息，并可选择查看、审核、删除等功能操作。</w:t>
            </w:r>
          </w:p>
          <w:p w14:paraId="5202146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 支持对课程问答对管理，包括新增问答，可查看课程智能体中已提交的问答对列表，可对问答对进行新增、修改、删除、审核、查看。</w:t>
            </w:r>
          </w:p>
          <w:p w14:paraId="301D5D7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 训练人员功能：</w:t>
            </w:r>
          </w:p>
          <w:p w14:paraId="5B7C179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 支持查看课程智能体所有语料资源。</w:t>
            </w:r>
          </w:p>
          <w:p w14:paraId="083D10A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 支持新增、添加语料，查看语料资源的详情信息及状态。</w:t>
            </w:r>
          </w:p>
          <w:p w14:paraId="768F12DF">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 支持对问答对进行新增，可查看已提交、待审核、通过、未通过的问答对列表。</w:t>
            </w:r>
          </w:p>
          <w:p w14:paraId="2257C18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 审核人员功能：</w:t>
            </w:r>
          </w:p>
          <w:p w14:paraId="365D553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 支持查看待审核的语料资源、问答对，已审核语料和问答对。</w:t>
            </w:r>
          </w:p>
          <w:p w14:paraId="44A4F998">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3.2 支持查看语料资源的详情信息及状态，可对待审核语料资源进行审核。</w:t>
            </w:r>
          </w:p>
          <w:p w14:paraId="26F8A5D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3.3 支持对问答对详情数据进行查看及审核。</w:t>
            </w:r>
          </w:p>
          <w:p w14:paraId="14DFB43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 训练人员功能：</w:t>
            </w:r>
          </w:p>
          <w:p w14:paraId="2F42FA3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4.1 支持查看课程智能体所有语料资源。</w:t>
            </w:r>
          </w:p>
          <w:p w14:paraId="1DD9A0C0">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4.2 支持新增、添加语料，查看语料资源的详情信息及状态。</w:t>
            </w:r>
          </w:p>
          <w:p w14:paraId="23B3655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4.3 支持对问答对进行新增，可查看已提交、待审核、通过、未通过的问答对列表。</w:t>
            </w:r>
          </w:p>
          <w:p w14:paraId="5A591DA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 审核人员功能：</w:t>
            </w:r>
          </w:p>
          <w:p w14:paraId="4D9BE35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5.1 支持查看待审核的语料资源、问答对，已审核语料和问答对。</w:t>
            </w:r>
          </w:p>
          <w:p w14:paraId="2C190E5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5.2 支持查看语料资源的详情信息及状态，可对待审核语料资源进行审核。</w:t>
            </w:r>
          </w:p>
          <w:p w14:paraId="1A50D93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5.3 支持对问答对详情数据进行查看及审核。</w:t>
            </w:r>
          </w:p>
          <w:p w14:paraId="0A379D9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 课程智能体应用于讨论、答疑区功能</w:t>
            </w:r>
          </w:p>
          <w:p w14:paraId="5E648C2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sz w:val="21"/>
                <w:szCs w:val="21"/>
                <w:highlight w:val="none"/>
              </w:rPr>
              <w:t>在讨论区与答疑区接入课程智能体，智能自动解答学生发起的讨论与答疑，并把数据回传给教师，教师可对数据进行调优。</w:t>
            </w:r>
          </w:p>
        </w:tc>
      </w:tr>
      <w:tr w14:paraId="0466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20D4A4C8">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11</w:t>
            </w:r>
          </w:p>
        </w:tc>
        <w:tc>
          <w:tcPr>
            <w:tcW w:w="1017" w:type="dxa"/>
            <w:vAlign w:val="center"/>
          </w:tcPr>
          <w:p w14:paraId="163D6A7A">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在线课双语翻译</w:t>
            </w:r>
          </w:p>
        </w:tc>
        <w:tc>
          <w:tcPr>
            <w:tcW w:w="633" w:type="dxa"/>
            <w:gridSpan w:val="2"/>
            <w:shd w:val="clear" w:color="auto" w:fill="FFFFFF"/>
            <w:vAlign w:val="center"/>
          </w:tcPr>
          <w:p w14:paraId="01C1E7EA">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6F9576AF">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门</w:t>
            </w:r>
          </w:p>
        </w:tc>
        <w:tc>
          <w:tcPr>
            <w:tcW w:w="7467" w:type="dxa"/>
            <w:vAlign w:val="center"/>
          </w:tcPr>
          <w:p w14:paraId="044860BE">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kern w:val="44"/>
                <w:sz w:val="21"/>
                <w:szCs w:val="21"/>
                <w:highlight w:val="none"/>
                <w:lang w:bidi="ar"/>
              </w:rPr>
              <w:t>完成《数控多轴加工技术》</w:t>
            </w:r>
            <w:r>
              <w:rPr>
                <w:rFonts w:hint="eastAsia" w:ascii="宋体" w:hAnsi="宋体" w:eastAsia="宋体" w:cs="宋体"/>
                <w:sz w:val="21"/>
                <w:szCs w:val="21"/>
                <w:highlight w:val="none"/>
              </w:rPr>
              <w:t>在线课中文—英文、中文—越南语二种外语的双语翻译</w:t>
            </w:r>
            <w:r>
              <w:rPr>
                <w:rFonts w:hint="eastAsia" w:ascii="宋体" w:hAnsi="宋体" w:eastAsia="宋体" w:cs="宋体"/>
                <w:kern w:val="44"/>
                <w:sz w:val="21"/>
                <w:szCs w:val="21"/>
                <w:highlight w:val="none"/>
                <w:lang w:bidi="ar"/>
              </w:rPr>
              <w:t>。具体要求包括：</w:t>
            </w:r>
          </w:p>
          <w:p w14:paraId="69FCDC24">
            <w:pPr>
              <w:pStyle w:val="2"/>
              <w:keepNext w:val="0"/>
              <w:keepLines w:val="0"/>
              <w:pageBreakBefore w:val="0"/>
              <w:numPr>
                <w:ilvl w:val="0"/>
                <w:numId w:val="8"/>
              </w:numPr>
              <w:kinsoku/>
              <w:wordWrap/>
              <w:overflowPunct/>
              <w:topLinePunct w:val="0"/>
              <w:bidi w:val="0"/>
              <w:adjustRightInd/>
              <w:snapToGrid/>
              <w:spacing w:before="0" w:after="0" w:line="400" w:lineRule="exact"/>
              <w:rPr>
                <w:rFonts w:hint="eastAsia" w:ascii="宋体" w:hAnsi="宋体" w:eastAsia="宋体" w:cs="宋体"/>
                <w:b w:val="0"/>
                <w:bCs w:val="0"/>
                <w:kern w:val="2"/>
                <w:sz w:val="21"/>
                <w:szCs w:val="21"/>
                <w:highlight w:val="none"/>
              </w:rPr>
            </w:pPr>
            <w:bookmarkStart w:id="57" w:name="_Toc26052"/>
            <w:r>
              <w:rPr>
                <w:rFonts w:hint="eastAsia" w:ascii="宋体" w:hAnsi="宋体" w:eastAsia="宋体" w:cs="宋体"/>
                <w:b w:val="0"/>
                <w:bCs w:val="0"/>
                <w:kern w:val="2"/>
                <w:sz w:val="21"/>
                <w:szCs w:val="21"/>
                <w:highlight w:val="none"/>
              </w:rPr>
              <w:t>在线课双语翻译1门</w:t>
            </w:r>
            <w:bookmarkEnd w:id="57"/>
          </w:p>
          <w:p w14:paraId="421068B4">
            <w:pPr>
              <w:pStyle w:val="2"/>
              <w:keepNext w:val="0"/>
              <w:keepLines w:val="0"/>
              <w:pageBreakBefore w:val="0"/>
              <w:kinsoku/>
              <w:wordWrap/>
              <w:overflowPunct/>
              <w:topLinePunct w:val="0"/>
              <w:bidi w:val="0"/>
              <w:adjustRightInd/>
              <w:snapToGrid/>
              <w:spacing w:before="0" w:after="0" w:line="400" w:lineRule="exact"/>
              <w:rPr>
                <w:rFonts w:hint="eastAsia" w:ascii="宋体" w:hAnsi="宋体" w:eastAsia="宋体" w:cs="宋体"/>
                <w:b w:val="0"/>
                <w:bCs w:val="0"/>
                <w:kern w:val="2"/>
                <w:sz w:val="21"/>
                <w:szCs w:val="21"/>
                <w:highlight w:val="none"/>
              </w:rPr>
            </w:pPr>
            <w:bookmarkStart w:id="58" w:name="_Toc16767"/>
            <w:r>
              <w:rPr>
                <w:rFonts w:hint="eastAsia" w:ascii="宋体" w:hAnsi="宋体" w:eastAsia="宋体" w:cs="宋体"/>
                <w:b w:val="0"/>
                <w:bCs w:val="0"/>
                <w:kern w:val="2"/>
                <w:sz w:val="21"/>
                <w:szCs w:val="21"/>
                <w:highlight w:val="none"/>
              </w:rPr>
              <w:t>1.完成《数控多轴加工技术》在线课程按中文—英文、中文—越南语二种外语的双语翻译。</w:t>
            </w:r>
            <w:bookmarkEnd w:id="58"/>
          </w:p>
          <w:p w14:paraId="517E4075">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2.以自治区面向东盟国际化职业教育资源认定标准为依据，涵盖课程导学、微课、动画、课件、课程思政案例、重点技能实训、企业案例等核心资源的中外文双语适配；</w:t>
            </w:r>
          </w:p>
          <w:p w14:paraId="35435A3D">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3.双语资源需适配东盟国家职业教育学习需求，课程内容兼顾专业性与国际化，符合广西面向东盟职教出海建设要求，可实现中外文切换学习；</w:t>
            </w:r>
          </w:p>
          <w:p w14:paraId="406D7A69">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4.课程资源格式与专业教学资源库、公共运行平台兼容，支持线上自主学习与跨境教学共享。</w:t>
            </w:r>
          </w:p>
          <w:p w14:paraId="7FFB0EDA">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5.将该课程内的微课翻译成外文，具体内容包括：</w:t>
            </w:r>
          </w:p>
          <w:p w14:paraId="3AC6662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5.1微课唱词字幕中文翻译为外文服务；</w:t>
            </w:r>
          </w:p>
          <w:p w14:paraId="51F39A14">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5.2微课视频画面中出现的中文标题、中文内容、标注等翻译为外文。</w:t>
            </w:r>
          </w:p>
          <w:p w14:paraId="622320B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6.翻译要求：</w:t>
            </w:r>
          </w:p>
          <w:p w14:paraId="44C8C9A6">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6.1全文人工翻译，翻译内容自然流畅、语法准确；</w:t>
            </w:r>
          </w:p>
          <w:p w14:paraId="4CA8C4E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6.2专业词语需严谨，充分考虑语言结构特点和语言语境，确保外文翻译用词恰当、语法正确、语句通顺、翻译内容与中文内容一致；</w:t>
            </w:r>
          </w:p>
          <w:p w14:paraId="6C7E2F93">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6.3翻译时要站在正确的政治立场，表明正确观点，不可犯原则性错误，深刻理解原文中心思想及内容，准确表达原文意图，正确翻译专业词汇。</w:t>
            </w:r>
          </w:p>
          <w:p w14:paraId="2A073482">
            <w:pPr>
              <w:keepNext w:val="0"/>
              <w:keepLines w:val="0"/>
              <w:pageBreakBefore w:val="0"/>
              <w:kinsoku/>
              <w:wordWrap/>
              <w:overflowPunct/>
              <w:topLinePunct w:val="0"/>
              <w:bidi w:val="0"/>
              <w:adjustRightInd/>
              <w:snapToGrid/>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6.4翻译质量符合中国国家标准(GB/T 19363.1-2022 翻译服务 第1部分：笔译服务要求)</w:t>
            </w:r>
          </w:p>
          <w:p w14:paraId="629ECD7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6.5因翻译内容的专业性和复杂性，有具备要求相应外语二级笔译证书（中华人民共和国人力资源和社会保障部）</w:t>
            </w:r>
            <w:r>
              <w:rPr>
                <w:rFonts w:hint="eastAsia" w:ascii="宋体" w:hAnsi="宋体" w:eastAsia="宋体" w:cs="宋体"/>
                <w:kern w:val="0"/>
                <w:sz w:val="21"/>
                <w:szCs w:val="21"/>
                <w:highlight w:val="none"/>
                <w:lang w:val="en-US" w:eastAsia="zh-CN"/>
              </w:rPr>
              <w:t>或B级CATTI越语笔译证书</w:t>
            </w:r>
            <w:r>
              <w:rPr>
                <w:rFonts w:hint="eastAsia" w:ascii="宋体" w:hAnsi="宋体" w:eastAsia="宋体" w:cs="宋体"/>
                <w:sz w:val="21"/>
                <w:szCs w:val="21"/>
                <w:highlight w:val="none"/>
              </w:rPr>
              <w:t>的专业外语翻译人员全程参与到项目整个的翻译工作中。</w:t>
            </w:r>
          </w:p>
        </w:tc>
      </w:tr>
      <w:tr w14:paraId="41BF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2F0C5403">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12</w:t>
            </w:r>
          </w:p>
        </w:tc>
        <w:tc>
          <w:tcPr>
            <w:tcW w:w="1017" w:type="dxa"/>
            <w:vAlign w:val="center"/>
          </w:tcPr>
          <w:p w14:paraId="52C1392F">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移动固态硬盘</w:t>
            </w:r>
          </w:p>
        </w:tc>
        <w:tc>
          <w:tcPr>
            <w:tcW w:w="633" w:type="dxa"/>
            <w:gridSpan w:val="2"/>
            <w:shd w:val="clear" w:color="auto" w:fill="FFFFFF"/>
            <w:vAlign w:val="center"/>
          </w:tcPr>
          <w:p w14:paraId="2998C36A">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0A342EC6">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vAlign w:val="center"/>
          </w:tcPr>
          <w:p w14:paraId="4C2089E1">
            <w:pPr>
              <w:keepNext w:val="0"/>
              <w:keepLines w:val="0"/>
              <w:pageBreakBefore w:val="0"/>
              <w:widowControl/>
              <w:numPr>
                <w:ilvl w:val="255"/>
                <w:numId w:val="0"/>
              </w:numPr>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1.容量：≥2TB；</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2.读取速度：≥400MB/S；</w:t>
            </w:r>
          </w:p>
          <w:p w14:paraId="70BBDEA7">
            <w:pPr>
              <w:keepNext w:val="0"/>
              <w:keepLines w:val="0"/>
              <w:pageBreakBefore w:val="0"/>
              <w:widowControl/>
              <w:numPr>
                <w:ilvl w:val="255"/>
                <w:numId w:val="0"/>
              </w:numPr>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3.重量：≤45g；</w:t>
            </w:r>
          </w:p>
          <w:p w14:paraId="481960F7">
            <w:pPr>
              <w:keepNext w:val="0"/>
              <w:keepLines w:val="0"/>
              <w:pageBreakBefore w:val="0"/>
              <w:widowControl/>
              <w:numPr>
                <w:ilvl w:val="255"/>
                <w:numId w:val="0"/>
              </w:numPr>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4.接口：USB 3.0/Type-C；</w:t>
            </w:r>
          </w:p>
          <w:p w14:paraId="65D32230">
            <w:pPr>
              <w:keepNext w:val="0"/>
              <w:keepLines w:val="0"/>
              <w:pageBreakBefore w:val="0"/>
              <w:widowControl/>
              <w:numPr>
                <w:ilvl w:val="255"/>
                <w:numId w:val="0"/>
              </w:numPr>
              <w:kinsoku/>
              <w:wordWrap/>
              <w:overflowPunct/>
              <w:topLinePunct w:val="0"/>
              <w:bidi w:val="0"/>
              <w:adjustRightInd/>
              <w:snapToGrid/>
              <w:spacing w:line="400" w:lineRule="exact"/>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5.长×宽×高：64.5×64.5×8.7mm；</w:t>
            </w:r>
          </w:p>
          <w:p w14:paraId="2BB787E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6.兼容性：Windows/Mac。</w:t>
            </w:r>
          </w:p>
          <w:p w14:paraId="5B82274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7.保修：提供不少于3年的原厂质保服务。</w:t>
            </w:r>
          </w:p>
        </w:tc>
      </w:tr>
      <w:tr w14:paraId="70E9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2862D5AE">
            <w:pPr>
              <w:keepNext w:val="0"/>
              <w:keepLines w:val="0"/>
              <w:pageBreakBefore w:val="0"/>
              <w:widowControl/>
              <w:kinsoku/>
              <w:wordWrap/>
              <w:overflowPunct/>
              <w:topLinePunct w:val="0"/>
              <w:bidi w:val="0"/>
              <w:adjustRightInd/>
              <w:snapToGrid/>
              <w:spacing w:line="400" w:lineRule="exac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▲一、</w:t>
            </w:r>
            <w:r>
              <w:rPr>
                <w:rFonts w:hint="eastAsia" w:ascii="宋体" w:hAnsi="宋体" w:eastAsia="宋体" w:cs="宋体"/>
                <w:b/>
                <w:bCs/>
                <w:color w:val="000000" w:themeColor="text1"/>
                <w:kern w:val="0"/>
                <w:sz w:val="21"/>
                <w:szCs w:val="21"/>
                <w:highlight w:val="none"/>
                <w:lang w:bidi="ar"/>
                <w14:textFill>
                  <w14:solidFill>
                    <w14:schemeClr w14:val="tx1"/>
                  </w14:solidFill>
                </w14:textFill>
              </w:rPr>
              <w:t xml:space="preserve">商务条款 </w:t>
            </w:r>
          </w:p>
        </w:tc>
      </w:tr>
      <w:tr w14:paraId="3B9A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29C94181">
            <w:pPr>
              <w:keepNext w:val="0"/>
              <w:keepLines w:val="0"/>
              <w:pageBreakBefore w:val="0"/>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规范标准</w:t>
            </w:r>
          </w:p>
        </w:tc>
        <w:tc>
          <w:tcPr>
            <w:tcW w:w="8731" w:type="dxa"/>
            <w:gridSpan w:val="4"/>
            <w:tcBorders>
              <w:top w:val="single" w:color="auto" w:sz="4" w:space="0"/>
              <w:bottom w:val="single" w:color="auto" w:sz="4" w:space="0"/>
            </w:tcBorders>
            <w:vAlign w:val="center"/>
          </w:tcPr>
          <w:p w14:paraId="2A5E4808">
            <w:pPr>
              <w:keepNext w:val="0"/>
              <w:keepLines w:val="0"/>
              <w:pageBreakBefore w:val="0"/>
              <w:kinsoku/>
              <w:wordWrap/>
              <w:overflowPunct/>
              <w:topLinePunct w:val="0"/>
              <w:bidi w:val="0"/>
              <w:adjustRightInd/>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z w:val="21"/>
                <w:szCs w:val="21"/>
                <w:highlight w:val="none"/>
              </w:rPr>
              <w:t>采购标的需执行的国家标准、行业标准、地方标准或者其他标准、规范。多项标准的，按最新标准或较高标准执行。</w:t>
            </w:r>
          </w:p>
        </w:tc>
      </w:tr>
      <w:tr w14:paraId="2C0E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21734ED4">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合同签订期</w:t>
            </w:r>
          </w:p>
        </w:tc>
        <w:tc>
          <w:tcPr>
            <w:tcW w:w="8731" w:type="dxa"/>
            <w:gridSpan w:val="4"/>
            <w:tcBorders>
              <w:top w:val="single" w:color="auto" w:sz="4" w:space="0"/>
              <w:bottom w:val="single" w:color="auto" w:sz="4" w:space="0"/>
            </w:tcBorders>
            <w:vAlign w:val="center"/>
          </w:tcPr>
          <w:p w14:paraId="3F71645A">
            <w:pPr>
              <w:keepNext w:val="0"/>
              <w:keepLines w:val="0"/>
              <w:pageBreakBefore w:val="0"/>
              <w:kinsoku/>
              <w:wordWrap/>
              <w:overflowPunct/>
              <w:topLinePunct w:val="0"/>
              <w:autoSpaceDE w:val="0"/>
              <w:autoSpaceDN w:val="0"/>
              <w:bidi w:val="0"/>
              <w:adjustRightInd/>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自成交通知书发出之日起 25日内中标人须与采购人签订好合同。</w:t>
            </w:r>
          </w:p>
        </w:tc>
      </w:tr>
      <w:tr w14:paraId="3FC3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32EF7C1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服务时间及地点</w:t>
            </w:r>
          </w:p>
        </w:tc>
        <w:tc>
          <w:tcPr>
            <w:tcW w:w="8731" w:type="dxa"/>
            <w:gridSpan w:val="4"/>
            <w:tcBorders>
              <w:top w:val="single" w:color="auto" w:sz="4" w:space="0"/>
              <w:bottom w:val="single" w:color="auto" w:sz="4" w:space="0"/>
            </w:tcBorders>
            <w:vAlign w:val="center"/>
          </w:tcPr>
          <w:p w14:paraId="427A791E">
            <w:pPr>
              <w:keepNext w:val="0"/>
              <w:keepLines w:val="0"/>
              <w:pageBreakBefore w:val="0"/>
              <w:kinsoku/>
              <w:wordWrap/>
              <w:overflowPunct/>
              <w:topLinePunct w:val="0"/>
              <w:autoSpaceDE w:val="0"/>
              <w:autoSpaceDN w:val="0"/>
              <w:bidi w:val="0"/>
              <w:adjustRightInd/>
              <w:snapToGrid/>
              <w:spacing w:line="400" w:lineRule="exact"/>
              <w:rPr>
                <w:rFonts w:hint="eastAsia" w:ascii="宋体" w:hAnsi="宋体" w:eastAsia="宋体" w:cs="宋体"/>
                <w:kern w:val="0"/>
                <w:sz w:val="21"/>
                <w:szCs w:val="21"/>
                <w:highlight w:val="none"/>
                <w:lang w:val="zh-CN"/>
              </w:rPr>
            </w:pPr>
            <w:r>
              <w:rPr>
                <w:rFonts w:hint="eastAsia" w:ascii="宋体" w:hAnsi="宋体" w:eastAsia="宋体" w:cs="宋体"/>
                <w:sz w:val="21"/>
                <w:szCs w:val="21"/>
                <w:highlight w:val="none"/>
              </w:rPr>
              <w:t>1.服务</w:t>
            </w:r>
            <w:r>
              <w:rPr>
                <w:rFonts w:hint="eastAsia" w:ascii="宋体" w:hAnsi="宋体" w:eastAsia="宋体" w:cs="宋体"/>
                <w:kern w:val="0"/>
                <w:sz w:val="21"/>
                <w:szCs w:val="21"/>
                <w:highlight w:val="none"/>
                <w:lang w:val="zh-CN"/>
              </w:rPr>
              <w:t>时间</w:t>
            </w:r>
            <w:r>
              <w:rPr>
                <w:rFonts w:hint="eastAsia" w:ascii="宋体" w:hAnsi="宋体" w:eastAsia="宋体" w:cs="宋体"/>
                <w:sz w:val="21"/>
                <w:szCs w:val="21"/>
                <w:highlight w:val="none"/>
              </w:rPr>
              <w:t>：自签订合同之日起350日内所有成果交付完成并经采购人验收合格</w:t>
            </w:r>
            <w:r>
              <w:rPr>
                <w:rFonts w:hint="eastAsia" w:ascii="宋体" w:hAnsi="宋体" w:eastAsia="宋体" w:cs="宋体"/>
                <w:kern w:val="0"/>
                <w:sz w:val="21"/>
                <w:szCs w:val="21"/>
                <w:highlight w:val="none"/>
              </w:rPr>
              <w:t>。</w:t>
            </w:r>
          </w:p>
          <w:p w14:paraId="278157A7">
            <w:pPr>
              <w:keepNext w:val="0"/>
              <w:keepLines w:val="0"/>
              <w:pageBreakBefore w:val="0"/>
              <w:kinsoku/>
              <w:wordWrap/>
              <w:overflowPunct/>
              <w:topLinePunct w:val="0"/>
              <w:bidi w:val="0"/>
              <w:adjustRightInd/>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2.服务地点：</w:t>
            </w:r>
            <w:r>
              <w:rPr>
                <w:rFonts w:hint="eastAsia" w:ascii="宋体" w:hAnsi="宋体" w:eastAsia="宋体" w:cs="宋体"/>
                <w:kern w:val="0"/>
                <w:sz w:val="21"/>
                <w:szCs w:val="21"/>
                <w:highlight w:val="none"/>
              </w:rPr>
              <w:t>广西</w:t>
            </w:r>
            <w:r>
              <w:rPr>
                <w:rFonts w:hint="eastAsia" w:ascii="宋体" w:hAnsi="宋体" w:eastAsia="宋体" w:cs="宋体"/>
                <w:sz w:val="21"/>
                <w:szCs w:val="21"/>
                <w:highlight w:val="none"/>
              </w:rPr>
              <w:t>南宁市武鸣区（广西—东盟经济技术开发区）宝源南路29号广西制造工程职业技术学院校内（采购人指定地点）</w:t>
            </w:r>
            <w:r>
              <w:rPr>
                <w:rFonts w:hint="eastAsia" w:ascii="宋体" w:hAnsi="宋体" w:eastAsia="宋体" w:cs="宋体"/>
                <w:kern w:val="0"/>
                <w:sz w:val="21"/>
                <w:szCs w:val="21"/>
                <w:highlight w:val="none"/>
              </w:rPr>
              <w:t>。</w:t>
            </w:r>
          </w:p>
        </w:tc>
      </w:tr>
      <w:tr w14:paraId="2662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539A3250">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质保期</w:t>
            </w:r>
          </w:p>
        </w:tc>
        <w:tc>
          <w:tcPr>
            <w:tcW w:w="8731" w:type="dxa"/>
            <w:gridSpan w:val="4"/>
            <w:tcBorders>
              <w:top w:val="single" w:color="auto" w:sz="4" w:space="0"/>
              <w:bottom w:val="single" w:color="auto" w:sz="4" w:space="0"/>
            </w:tcBorders>
            <w:vAlign w:val="center"/>
          </w:tcPr>
          <w:p w14:paraId="36A1F86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质保期不少于1年，自全部服务成果交付并经验收合格后起算。质保期内无条件提供课程维护、运行及技术支持服务，如</w:t>
            </w:r>
            <w:r>
              <w:rPr>
                <w:rFonts w:hint="eastAsia" w:ascii="宋体" w:hAnsi="宋体" w:eastAsia="宋体" w:cs="宋体"/>
                <w:color w:val="000000" w:themeColor="text1"/>
                <w:sz w:val="21"/>
                <w:szCs w:val="21"/>
                <w:highlight w:val="none"/>
                <w14:textFill>
                  <w14:solidFill>
                    <w14:schemeClr w14:val="tx1"/>
                  </w14:solidFill>
                </w14:textFill>
              </w:rPr>
              <w:t>《具体说明、功能及技术参数要求》有特别要求的，应按照其要求执行</w:t>
            </w:r>
            <w:r>
              <w:rPr>
                <w:rFonts w:hint="eastAsia" w:ascii="宋体" w:hAnsi="宋体" w:eastAsia="宋体" w:cs="宋体"/>
                <w:sz w:val="21"/>
                <w:szCs w:val="21"/>
                <w:highlight w:val="none"/>
              </w:rPr>
              <w:t>。</w:t>
            </w:r>
          </w:p>
        </w:tc>
      </w:tr>
      <w:tr w14:paraId="47F1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691E6AB5">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售后服务要求</w:t>
            </w:r>
          </w:p>
        </w:tc>
        <w:tc>
          <w:tcPr>
            <w:tcW w:w="8731" w:type="dxa"/>
            <w:gridSpan w:val="4"/>
            <w:tcBorders>
              <w:top w:val="single" w:color="auto" w:sz="4" w:space="0"/>
              <w:bottom w:val="single" w:color="auto" w:sz="4" w:space="0"/>
            </w:tcBorders>
            <w:vAlign w:val="center"/>
          </w:tcPr>
          <w:p w14:paraId="3FB7E75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本项目中所引用的素材、引用的资源保证权属清晰，无著作权纠纷、无侵权纠纷等问题；课程内容、教学课件等成果的著作权为采购人所拥有，未经采购人允许，中标人不得以任何方式提供给其他任何单位或个人占有使用；可编辑素材库、相关的源文件一并交付于采购人。</w:t>
            </w:r>
          </w:p>
          <w:p w14:paraId="2FC61EE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2、中标人应保证采购人在接受其提供的相关服务时免受第三方提出侵犯其知识产权的起诉，由此引起的知识产权纠纷由中标人负责。</w:t>
            </w:r>
          </w:p>
          <w:p w14:paraId="743F676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3、确保本项目所有内容不存在意识形态问题。</w:t>
            </w:r>
          </w:p>
          <w:p w14:paraId="6B06015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4、中标人在服务期内应当为采购人提供以下技术支持和服务：</w:t>
            </w:r>
          </w:p>
          <w:p w14:paraId="7238FC0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（1）电话咨询</w:t>
            </w:r>
          </w:p>
          <w:p w14:paraId="24E596C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中标人应当为采购人提供技术援助电话，解答采购人在使用中遇到的问题。需提供7×24小时的电话技术支持服务，接到采购人报障电话后及时（不超过</w:t>
            </w:r>
            <w:r>
              <w:rPr>
                <w:rFonts w:hint="eastAsia" w:ascii="宋体" w:hAnsi="宋体" w:eastAsia="宋体" w:cs="宋体"/>
                <w:kern w:val="0"/>
                <w:sz w:val="21"/>
                <w:szCs w:val="21"/>
                <w:highlight w:val="none"/>
                <w:u w:val="single"/>
              </w:rPr>
              <w:t xml:space="preserve">  24  </w:t>
            </w:r>
            <w:r>
              <w:rPr>
                <w:rFonts w:hint="eastAsia" w:ascii="宋体" w:hAnsi="宋体" w:eastAsia="宋体" w:cs="宋体"/>
                <w:sz w:val="21"/>
                <w:szCs w:val="21"/>
                <w:highlight w:val="none"/>
              </w:rPr>
              <w:t>小时）通过电话或网络解决问题，为采购人提出解决问题的建议。</w:t>
            </w:r>
          </w:p>
          <w:p w14:paraId="49F89E5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（2）服务响应时间</w:t>
            </w:r>
          </w:p>
          <w:p w14:paraId="3C40774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服务期内须4小时内响应，8小时内提供解决方案或技术支持，若电话或网络无法解决的，须在</w:t>
            </w:r>
            <w:r>
              <w:rPr>
                <w:rFonts w:hint="eastAsia" w:ascii="宋体" w:hAnsi="宋体" w:eastAsia="宋体" w:cs="宋体"/>
                <w:kern w:val="0"/>
                <w:sz w:val="21"/>
                <w:szCs w:val="21"/>
                <w:highlight w:val="none"/>
                <w:u w:val="single"/>
              </w:rPr>
              <w:t xml:space="preserve">  24  </w:t>
            </w:r>
            <w:r>
              <w:rPr>
                <w:rFonts w:hint="eastAsia" w:ascii="宋体" w:hAnsi="宋体" w:eastAsia="宋体" w:cs="宋体"/>
                <w:sz w:val="21"/>
                <w:szCs w:val="21"/>
                <w:highlight w:val="none"/>
              </w:rPr>
              <w:t>小时内派技术人员到达采购人指定地点解决，所有问题在</w:t>
            </w:r>
            <w:r>
              <w:rPr>
                <w:rFonts w:hint="eastAsia" w:ascii="宋体" w:hAnsi="宋体" w:eastAsia="宋体" w:cs="宋体"/>
                <w:kern w:val="0"/>
                <w:sz w:val="21"/>
                <w:szCs w:val="21"/>
                <w:highlight w:val="none"/>
                <w:u w:val="single"/>
              </w:rPr>
              <w:t xml:space="preserve">  48  </w:t>
            </w:r>
            <w:r>
              <w:rPr>
                <w:rFonts w:hint="eastAsia" w:ascii="宋体" w:hAnsi="宋体" w:eastAsia="宋体" w:cs="宋体"/>
                <w:sz w:val="21"/>
                <w:szCs w:val="21"/>
                <w:highlight w:val="none"/>
              </w:rPr>
              <w:t>小时内解决，恢复正常使用。保证采购人正常使用，产生的一切费用由中标人承担。</w:t>
            </w:r>
          </w:p>
          <w:p w14:paraId="6DDE36DD">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5、培训要求：中标人对其提供产品或服务的应用及课程疑难问题应尽培训、解答义务。中标人应提供对本项目的使用单位进行培训服务，涉及的相关费用应计算在项目报价内，使用与课程有关的软件及应用程序。</w:t>
            </w:r>
          </w:p>
        </w:tc>
      </w:tr>
      <w:tr w14:paraId="3973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27FEC2C8">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付款方式</w:t>
            </w:r>
          </w:p>
        </w:tc>
        <w:tc>
          <w:tcPr>
            <w:tcW w:w="8731" w:type="dxa"/>
            <w:gridSpan w:val="4"/>
            <w:tcBorders>
              <w:top w:val="single" w:color="auto" w:sz="4" w:space="0"/>
              <w:bottom w:val="single" w:color="auto" w:sz="4" w:space="0"/>
            </w:tcBorders>
            <w:vAlign w:val="center"/>
          </w:tcPr>
          <w:p w14:paraId="3D8F10C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 付款方式：</w:t>
            </w:r>
          </w:p>
          <w:p w14:paraId="096E640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（1）预付款</w:t>
            </w:r>
          </w:p>
          <w:p w14:paraId="1416641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自合同签订生效且采购人收到等金额预付款保函后10个工作日内，采购人向中标人支付合同总金额的50%作为预付款；</w:t>
            </w:r>
          </w:p>
          <w:p w14:paraId="5BCB727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（2）进度款</w:t>
            </w:r>
          </w:p>
          <w:p w14:paraId="4EB57BA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中标人完成</w:t>
            </w:r>
            <w:r>
              <w:rPr>
                <w:rFonts w:hint="eastAsia" w:ascii="宋体" w:hAnsi="宋体" w:eastAsia="宋体" w:cs="宋体"/>
                <w:sz w:val="21"/>
                <w:szCs w:val="21"/>
                <w:highlight w:val="none"/>
                <w:u w:val="single"/>
              </w:rPr>
              <w:t>5个课程导学、5套课程标准、5套教学标准、184个微课、184个PPT美化、1项二维动画、1项三维动画、12个重点技能实训、10个企业案例、12个课程思政案例、5套题库、16个课程知识图谱、2个AI课程智能体、1个移动固态硬盘等内容</w:t>
            </w:r>
            <w:r>
              <w:rPr>
                <w:rFonts w:hint="eastAsia" w:ascii="宋体" w:hAnsi="宋体" w:eastAsia="宋体" w:cs="宋体"/>
                <w:sz w:val="21"/>
                <w:szCs w:val="21"/>
                <w:highlight w:val="none"/>
              </w:rPr>
              <w:t>，提交服务成果文件且通过采购人阶段性验收合格后（付款时提供《阶段性验收报告》 ）10个工作日内，采购人向中标人支付合同总金额的30%作为进度款。</w:t>
            </w:r>
          </w:p>
          <w:p w14:paraId="64599BE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（3）合同尾款</w:t>
            </w:r>
          </w:p>
          <w:p w14:paraId="424CD17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项目完成，中标人提交服务成果且通过采购人验收合格后20个工作日内，采购人向中标人支付剩余20%合同金额。</w:t>
            </w:r>
          </w:p>
          <w:p w14:paraId="74406DA2">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 采购人付款前，中标人应向采购人开具等额有效的增值税普通发票，采购人未收到发票的，有权不予支付相应款项直至中标人提供合格发票，并不承担延迟付款责任。发票认证通过是付款的必要前提之一。</w:t>
            </w:r>
          </w:p>
          <w:p w14:paraId="5CB5ED5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3. 中标人应按照《广西壮族自治区财政厅关于在政府采购活动中推广使用电子保函的通知》（桂财采〔2023〕92 号）要求，在 “广西政府采购金融服务平台”申请预付款保函，于合同预付款支付前提供给采购人，预付款保函有效期至项目整体验收合格之日。</w:t>
            </w:r>
          </w:p>
        </w:tc>
      </w:tr>
      <w:tr w14:paraId="26A1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5590287A">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知识产权</w:t>
            </w:r>
          </w:p>
        </w:tc>
        <w:tc>
          <w:tcPr>
            <w:tcW w:w="8731" w:type="dxa"/>
            <w:gridSpan w:val="4"/>
            <w:tcBorders>
              <w:top w:val="single" w:color="auto" w:sz="4" w:space="0"/>
              <w:bottom w:val="single" w:color="auto" w:sz="4" w:space="0"/>
            </w:tcBorders>
          </w:tcPr>
          <w:p w14:paraId="288BE1E5">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采购人在中华人民共和国境内使用中标人提供的产品及技术服务时免受第三方提出的侵犯其专利权或其它知识产权的起诉。如果第三方提出侵权指控，中标人应承担由此而引起的一切法律责任和费用。</w:t>
            </w:r>
          </w:p>
        </w:tc>
      </w:tr>
      <w:tr w14:paraId="6A9F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2F20805C">
            <w:pPr>
              <w:keepNext w:val="0"/>
              <w:keepLines w:val="0"/>
              <w:pageBreakBefore w:val="0"/>
              <w:widowControl/>
              <w:kinsoku/>
              <w:wordWrap/>
              <w:overflowPunct/>
              <w:topLinePunct w:val="0"/>
              <w:bidi w:val="0"/>
              <w:adjustRightInd/>
              <w:snapToGrid/>
              <w:spacing w:line="40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其他要求</w:t>
            </w:r>
          </w:p>
        </w:tc>
        <w:tc>
          <w:tcPr>
            <w:tcW w:w="8731" w:type="dxa"/>
            <w:gridSpan w:val="4"/>
            <w:tcBorders>
              <w:top w:val="single" w:color="auto" w:sz="4" w:space="0"/>
              <w:bottom w:val="single" w:color="auto" w:sz="4" w:space="0"/>
            </w:tcBorders>
            <w:vAlign w:val="center"/>
          </w:tcPr>
          <w:p w14:paraId="538A74FE">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一、总体要求</w:t>
            </w:r>
          </w:p>
          <w:p w14:paraId="4DDBDDC3">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报价要求：本次报价须为人民币报价，包括完成服务实施所需的费用（包含但不限于课程开发设计、视频拍摄制作、培训、技术支持、售后服务、课程申报、人工道具、专家聘请等费用）、保险费用和各项税金等完成本项目所产生的全部费用。对于本文件中未列明，而供应商认为必需的费用也需列入总报价。在合同实施时，采购人将不予支付中标人没有列入的项目费用，并认为此项目的费用已包括在投标总报价中。</w:t>
            </w:r>
          </w:p>
          <w:p w14:paraId="7C00A5D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保密要求：中标人在项目实施过程中，可能需要了解或知悉采购人的相关业务信息，为确保采购人业务信息的安全，中标人必须对本项目所有项目信息予以保密，未经采购单位书面许可，中标人不得以任何形式向第三方透露本项目的任何内容。</w:t>
            </w:r>
          </w:p>
          <w:p w14:paraId="1E272F1C">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二、采购标的验收标准</w:t>
            </w:r>
          </w:p>
          <w:p w14:paraId="20E27C4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采购人可以根据采购项目具体情况自行组织验收，或者委托第三方机构或部门开展采购项目履约验收工作，验收过程中所产生的一切费用均由中标人承担，履约验收服务费按照分标中标金额的≤0.9%收取，投标人在投标报价时应考虑相关费用。</w:t>
            </w:r>
          </w:p>
          <w:p w14:paraId="556C5FA0">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2、中标人在项目验收时由采购单位对照</w:t>
            </w:r>
            <w:r>
              <w:rPr>
                <w:rFonts w:hint="eastAsia" w:ascii="宋体" w:hAnsi="宋体" w:eastAsia="宋体" w:cs="宋体"/>
                <w:bCs/>
                <w:color w:val="000000"/>
                <w:sz w:val="21"/>
                <w:szCs w:val="21"/>
                <w:highlight w:val="none"/>
              </w:rPr>
              <w:t>招标</w:t>
            </w:r>
            <w:r>
              <w:rPr>
                <w:rFonts w:hint="eastAsia" w:ascii="宋体" w:hAnsi="宋体" w:eastAsia="宋体" w:cs="宋体"/>
                <w:sz w:val="21"/>
                <w:szCs w:val="21"/>
                <w:highlight w:val="none"/>
              </w:rPr>
              <w:t>文件的功能目标及技术指标全面核对检验，对所有要求出具的证明文件的原件进行核查，如不符合</w:t>
            </w:r>
            <w:r>
              <w:rPr>
                <w:rFonts w:hint="eastAsia" w:ascii="宋体" w:hAnsi="宋体" w:eastAsia="宋体" w:cs="宋体"/>
                <w:bCs/>
                <w:color w:val="000000"/>
                <w:sz w:val="21"/>
                <w:szCs w:val="21"/>
                <w:highlight w:val="none"/>
              </w:rPr>
              <w:t>招标</w:t>
            </w:r>
            <w:r>
              <w:rPr>
                <w:rFonts w:hint="eastAsia" w:ascii="宋体" w:hAnsi="宋体" w:eastAsia="宋体" w:cs="宋体"/>
                <w:sz w:val="21"/>
                <w:szCs w:val="21"/>
                <w:highlight w:val="none"/>
              </w:rPr>
              <w:t>文件的技术需求及要求以及提供虚假承诺的，按相关规定做退货处理及违约处理，中标人承担所有责任和费用，采购人保留进一步追究责任的权利。</w:t>
            </w:r>
          </w:p>
          <w:p w14:paraId="7DBF714F">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750B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278821E8">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履约保证金</w:t>
            </w:r>
          </w:p>
        </w:tc>
        <w:tc>
          <w:tcPr>
            <w:tcW w:w="8731" w:type="dxa"/>
            <w:gridSpan w:val="4"/>
            <w:tcBorders>
              <w:top w:val="single" w:color="auto" w:sz="4" w:space="0"/>
              <w:bottom w:val="single" w:color="auto" w:sz="4" w:space="0"/>
            </w:tcBorders>
            <w:vAlign w:val="center"/>
          </w:tcPr>
          <w:p w14:paraId="20FDF914">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1.履约保证金金额：中标金额的</w:t>
            </w:r>
            <w:r>
              <w:rPr>
                <w:rFonts w:hint="eastAsia" w:ascii="宋体" w:hAnsi="宋体" w:eastAsia="宋体" w:cs="宋体"/>
                <w:sz w:val="21"/>
                <w:szCs w:val="21"/>
                <w:highlight w:val="none"/>
                <w:u w:val="single"/>
              </w:rPr>
              <w:t>_5</w:t>
            </w:r>
            <w:r>
              <w:rPr>
                <w:rFonts w:hint="eastAsia" w:ascii="宋体" w:hAnsi="宋体" w:eastAsia="宋体" w:cs="宋体"/>
                <w:sz w:val="21"/>
                <w:szCs w:val="21"/>
                <w:highlight w:val="none"/>
              </w:rPr>
              <w:t>_%。（若中标人被评标委员会认定为中小企业的，履约保证金数额将按中标金额的2%收取）</w:t>
            </w:r>
          </w:p>
          <w:p w14:paraId="4EE6897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2.履约保证金递交方式：转账或电汇等形式（支持支票、汇票、本票、保函等形式）</w:t>
            </w:r>
          </w:p>
          <w:p w14:paraId="23362FB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3.履约保证金递交时间：签订合同后3个工作日内由中标人转入采购人指定保证金账户。</w:t>
            </w:r>
          </w:p>
          <w:p w14:paraId="54D06327">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4.履约保证金期限：验收合格之日起一年</w:t>
            </w:r>
          </w:p>
          <w:p w14:paraId="5F01B2EB">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履约保证金退还：履约保证期满后中标人无违约行为，中标人提供《政府采购项目履约保证金退付意见书》及《政府采购项目合同验收报告》，向采购人提出书面申请退还，采购人在收到申请后5个工作日内按照履约保证金缴纳的具体方式，配合中标人办理无息退还事宜。保证金指定账户：</w:t>
            </w:r>
          </w:p>
          <w:p w14:paraId="5766C6BA">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开户名：广西制造工程职业技术学院</w:t>
            </w:r>
          </w:p>
          <w:p w14:paraId="322D5468">
            <w:pPr>
              <w:keepNext w:val="0"/>
              <w:keepLines w:val="0"/>
              <w:pageBreakBefore w:val="0"/>
              <w:widowControl/>
              <w:kinsoku/>
              <w:wordWrap/>
              <w:overflowPunct/>
              <w:topLinePunct w:val="0"/>
              <w:bidi w:val="0"/>
              <w:adjustRightInd/>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开户行：农行南宁东盟经济园区支行</w:t>
            </w:r>
          </w:p>
          <w:p w14:paraId="36A7935C">
            <w:pPr>
              <w:keepNext w:val="0"/>
              <w:keepLines w:val="0"/>
              <w:pageBreakBefore w:val="0"/>
              <w:kinsoku/>
              <w:wordWrap/>
              <w:overflowPunct/>
              <w:topLinePunct w:val="0"/>
              <w:autoSpaceDE w:val="0"/>
              <w:autoSpaceDN w:val="0"/>
              <w:bidi w:val="0"/>
              <w:adjustRightInd/>
              <w:snapToGrid/>
              <w:spacing w:line="400" w:lineRule="exact"/>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账  号：20036501040014065</w:t>
            </w:r>
          </w:p>
        </w:tc>
      </w:tr>
      <w:tr w14:paraId="6E11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7F9BCF7D">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二、与实现项目目标相关的其他要求</w:t>
            </w:r>
          </w:p>
        </w:tc>
      </w:tr>
      <w:tr w14:paraId="74BA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47AE6A4F">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（一）投标人的履约能力要求</w:t>
            </w:r>
          </w:p>
        </w:tc>
      </w:tr>
      <w:tr w14:paraId="6EC7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39868114">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质量管理、企业信用要求</w:t>
            </w:r>
          </w:p>
        </w:tc>
        <w:tc>
          <w:tcPr>
            <w:tcW w:w="8664" w:type="dxa"/>
            <w:gridSpan w:val="3"/>
            <w:tcBorders>
              <w:top w:val="single" w:color="auto" w:sz="4" w:space="0"/>
              <w:bottom w:val="single" w:color="auto" w:sz="4" w:space="0"/>
            </w:tcBorders>
            <w:vAlign w:val="center"/>
          </w:tcPr>
          <w:p w14:paraId="61223D45">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如有，请结合本招标文件“评标办法及评分标准”在投标文件中自行提供。</w:t>
            </w:r>
          </w:p>
        </w:tc>
      </w:tr>
      <w:tr w14:paraId="68F4A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5B949DC6">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能力或者业绩要求</w:t>
            </w:r>
          </w:p>
        </w:tc>
        <w:tc>
          <w:tcPr>
            <w:tcW w:w="8664" w:type="dxa"/>
            <w:gridSpan w:val="3"/>
            <w:tcBorders>
              <w:top w:val="single" w:color="auto" w:sz="4" w:space="0"/>
              <w:bottom w:val="single" w:color="auto" w:sz="4" w:space="0"/>
            </w:tcBorders>
            <w:vAlign w:val="center"/>
          </w:tcPr>
          <w:p w14:paraId="27692BB5">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如有，请结合本招标文件“评标办法及评分标准”在投标文件中自行提供。</w:t>
            </w:r>
          </w:p>
        </w:tc>
      </w:tr>
      <w:tr w14:paraId="1CDB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36826342">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（二）政策性加分条件</w:t>
            </w:r>
          </w:p>
        </w:tc>
      </w:tr>
      <w:tr w14:paraId="30A0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3B85B478">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符合节能环保等国家政策要求。</w:t>
            </w:r>
          </w:p>
        </w:tc>
      </w:tr>
      <w:tr w14:paraId="51EC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6BBDF7E8">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（三）进口产品及核心产品说明</w:t>
            </w:r>
          </w:p>
        </w:tc>
      </w:tr>
      <w:tr w14:paraId="6E4E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3C82F093">
            <w:pPr>
              <w:keepNext w:val="0"/>
              <w:keepLines w:val="0"/>
              <w:pageBreakBefore w:val="0"/>
              <w:tabs>
                <w:tab w:val="left" w:pos="180"/>
                <w:tab w:val="left" w:pos="1620"/>
              </w:tabs>
              <w:kinsoku/>
              <w:wordWrap/>
              <w:overflowPunct/>
              <w:topLinePunct w:val="0"/>
              <w:bidi w:val="0"/>
              <w:adjustRightInd/>
              <w:snapToGrid/>
              <w:spacing w:line="400" w:lineRule="exact"/>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▲本标项为服务类，不设置核心产品。</w:t>
            </w:r>
          </w:p>
        </w:tc>
      </w:tr>
      <w:tr w14:paraId="5387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49853025">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三、其他说明</w:t>
            </w:r>
          </w:p>
        </w:tc>
      </w:tr>
      <w:tr w14:paraId="1214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1A22A795">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▲最高限价</w:t>
            </w:r>
          </w:p>
        </w:tc>
        <w:tc>
          <w:tcPr>
            <w:tcW w:w="8664" w:type="dxa"/>
            <w:gridSpan w:val="3"/>
            <w:tcBorders>
              <w:top w:val="single" w:color="auto" w:sz="4" w:space="0"/>
              <w:bottom w:val="single" w:color="auto" w:sz="4" w:space="0"/>
            </w:tcBorders>
            <w:vAlign w:val="center"/>
          </w:tcPr>
          <w:p w14:paraId="546C28E2">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sz w:val="21"/>
                <w:szCs w:val="21"/>
                <w:highlight w:val="none"/>
              </w:rPr>
            </w:pPr>
            <w:r>
              <w:rPr>
                <w:rFonts w:hint="eastAsia" w:ascii="宋体" w:hAnsi="宋体" w:eastAsia="宋体" w:cs="宋体"/>
                <w:b/>
                <w:bCs/>
                <w:color w:val="000000" w:themeColor="text1"/>
                <w:sz w:val="21"/>
                <w:szCs w:val="21"/>
                <w:highlight w:val="none"/>
                <w14:textFill>
                  <w14:solidFill>
                    <w14:schemeClr w14:val="tx1"/>
                  </w14:solidFill>
                </w14:textFill>
              </w:rPr>
              <w:t>本项目评标时以本项目预算金额为最高限价，评标时以最高限价为评标依据，投标人投标报价超出最高限价的作无效投标处理。</w:t>
            </w:r>
          </w:p>
        </w:tc>
      </w:tr>
      <w:tr w14:paraId="0BD8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5BB38F56">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供应商其他要求</w:t>
            </w:r>
          </w:p>
        </w:tc>
        <w:tc>
          <w:tcPr>
            <w:tcW w:w="8664" w:type="dxa"/>
            <w:gridSpan w:val="3"/>
            <w:tcBorders>
              <w:top w:val="single" w:color="auto" w:sz="4" w:space="0"/>
              <w:bottom w:val="single" w:color="auto" w:sz="4" w:space="0"/>
            </w:tcBorders>
            <w:vAlign w:val="center"/>
          </w:tcPr>
          <w:p w14:paraId="7459CBAF">
            <w:pPr>
              <w:keepNext w:val="0"/>
              <w:keepLines w:val="0"/>
              <w:pageBreakBefore w:val="0"/>
              <w:tabs>
                <w:tab w:val="left" w:pos="180"/>
                <w:tab w:val="left" w:pos="1620"/>
              </w:tabs>
              <w:kinsoku/>
              <w:wordWrap/>
              <w:overflowPunct/>
              <w:topLinePunct w:val="0"/>
              <w:bidi w:val="0"/>
              <w:adjustRightInd/>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投标人可根据项目要求，可在投标文件中提供包括：</w:t>
            </w:r>
            <w:r>
              <w:rPr>
                <w:rFonts w:hint="eastAsia" w:ascii="宋体" w:hAnsi="宋体" w:eastAsia="宋体" w:cs="宋体"/>
                <w:sz w:val="21"/>
                <w:szCs w:val="21"/>
                <w:highlight w:val="none"/>
              </w:rPr>
              <w:t>课程建设服务方案</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Cs/>
                <w:sz w:val="21"/>
                <w:szCs w:val="21"/>
                <w:highlight w:val="none"/>
              </w:rPr>
              <w:t>教材建设服务方案</w:t>
            </w:r>
            <w:r>
              <w:rPr>
                <w:rFonts w:hint="eastAsia" w:ascii="宋体" w:hAnsi="宋体" w:eastAsia="宋体" w:cs="宋体"/>
                <w:color w:val="000000" w:themeColor="text1"/>
                <w:sz w:val="21"/>
                <w:szCs w:val="21"/>
                <w:highlight w:val="none"/>
                <w14:textFill>
                  <w14:solidFill>
                    <w14:schemeClr w14:val="tx1"/>
                  </w14:solidFill>
                </w14:textFill>
              </w:rPr>
              <w:t>等与履约有关的材料。</w:t>
            </w:r>
          </w:p>
        </w:tc>
      </w:tr>
      <w:tr w14:paraId="334D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56E495C2">
            <w:pPr>
              <w:keepNext w:val="0"/>
              <w:keepLines w:val="0"/>
              <w:pageBreakBefore w:val="0"/>
              <w:tabs>
                <w:tab w:val="left" w:pos="180"/>
                <w:tab w:val="left" w:pos="1620"/>
              </w:tabs>
              <w:kinsoku/>
              <w:wordWrap/>
              <w:overflowPunct/>
              <w:topLinePunct w:val="0"/>
              <w:bidi w:val="0"/>
              <w:adjustRightInd/>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演示要求</w:t>
            </w:r>
          </w:p>
        </w:tc>
        <w:tc>
          <w:tcPr>
            <w:tcW w:w="8664" w:type="dxa"/>
            <w:gridSpan w:val="3"/>
            <w:tcBorders>
              <w:top w:val="single" w:color="auto" w:sz="4" w:space="0"/>
              <w:bottom w:val="single" w:color="auto" w:sz="4" w:space="0"/>
            </w:tcBorders>
            <w:vAlign w:val="center"/>
          </w:tcPr>
          <w:p w14:paraId="2FE77A48">
            <w:pPr>
              <w:keepNext w:val="0"/>
              <w:keepLines w:val="0"/>
              <w:pageBreakBefore w:val="0"/>
              <w:tabs>
                <w:tab w:val="left" w:pos="180"/>
                <w:tab w:val="left" w:pos="1620"/>
              </w:tabs>
              <w:kinsoku/>
              <w:wordWrap/>
              <w:overflowPunct/>
              <w:topLinePunct w:val="0"/>
              <w:bidi w:val="0"/>
              <w:adjustRightInd/>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投标人需在评审时（具体时间由采购代理机构通知）对《具体说明、功能及技术参数要求》中标注“◆”功能通过广西政府采购云平台进行在线详细讲解和阐述。供应商自行准备线上演示所需的摄像头、话筒等设备，每家供应商线上演示时间均不超过</w:t>
            </w:r>
            <w:r>
              <w:rPr>
                <w:rFonts w:hint="eastAsia" w:ascii="宋体" w:hAnsi="宋体" w:eastAsia="宋体" w:cs="宋体"/>
                <w:sz w:val="21"/>
                <w:szCs w:val="21"/>
                <w:highlight w:val="none"/>
                <w:lang w:val="en-US" w:eastAsia="zh-CN"/>
              </w:rPr>
              <w:t>25</w:t>
            </w:r>
            <w:r>
              <w:rPr>
                <w:rFonts w:hint="eastAsia" w:ascii="宋体" w:hAnsi="宋体" w:eastAsia="宋体" w:cs="宋体"/>
                <w:sz w:val="21"/>
                <w:szCs w:val="21"/>
                <w:highlight w:val="none"/>
              </w:rPr>
              <w:t>分钟，演示的过程作为评审的重要依据，不演示不得分，具体内容详见《评标方法及评标标准》。</w:t>
            </w:r>
          </w:p>
        </w:tc>
      </w:tr>
    </w:tbl>
    <w:p w14:paraId="6C5DAC3B">
      <w:pPr>
        <w:rPr>
          <w:highlight w:val="none"/>
        </w:rPr>
      </w:pPr>
      <w:r>
        <w:rPr>
          <w:highlight w:val="none"/>
        </w:rPr>
        <w:br w:type="page"/>
      </w:r>
    </w:p>
    <w:tbl>
      <w:tblPr>
        <w:tblStyle w:val="48"/>
        <w:tblW w:w="10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017"/>
        <w:gridCol w:w="67"/>
        <w:gridCol w:w="566"/>
        <w:gridCol w:w="631"/>
        <w:gridCol w:w="7467"/>
      </w:tblGrid>
      <w:tr w14:paraId="5960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1" w:type="dxa"/>
            <w:gridSpan w:val="6"/>
            <w:tcBorders>
              <w:bottom w:val="single" w:color="auto" w:sz="4" w:space="0"/>
            </w:tcBorders>
            <w:vAlign w:val="center"/>
          </w:tcPr>
          <w:p w14:paraId="38040A3A">
            <w:pPr>
              <w:keepNext w:val="0"/>
              <w:keepLines w:val="0"/>
              <w:pageBreakBefore w:val="0"/>
              <w:kinsoku/>
              <w:wordWrap/>
              <w:overflowPunct/>
              <w:topLinePunct w:val="0"/>
              <w:bidi w:val="0"/>
              <w:snapToGrid/>
              <w:spacing w:line="400" w:lineRule="exact"/>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分标4：智能制造学院课程资源建设项目</w:t>
            </w:r>
          </w:p>
        </w:tc>
      </w:tr>
      <w:tr w14:paraId="031E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tcBorders>
              <w:bottom w:val="single" w:color="auto" w:sz="4" w:space="0"/>
            </w:tcBorders>
            <w:vAlign w:val="center"/>
          </w:tcPr>
          <w:p w14:paraId="2D22D78F">
            <w:pPr>
              <w:keepNext w:val="0"/>
              <w:keepLines w:val="0"/>
              <w:pageBreakBefore w:val="0"/>
              <w:kinsoku/>
              <w:wordWrap/>
              <w:overflowPunct/>
              <w:topLinePunct w:val="0"/>
              <w:bidi w:val="0"/>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1017" w:type="dxa"/>
            <w:tcBorders>
              <w:bottom w:val="single" w:color="auto" w:sz="4" w:space="0"/>
            </w:tcBorders>
            <w:vAlign w:val="center"/>
          </w:tcPr>
          <w:p w14:paraId="367BA0C4">
            <w:pPr>
              <w:keepNext w:val="0"/>
              <w:keepLines w:val="0"/>
              <w:pageBreakBefore w:val="0"/>
              <w:kinsoku/>
              <w:wordWrap/>
              <w:overflowPunct/>
              <w:topLinePunct w:val="0"/>
              <w:bidi w:val="0"/>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标的名称</w:t>
            </w:r>
          </w:p>
        </w:tc>
        <w:tc>
          <w:tcPr>
            <w:tcW w:w="633" w:type="dxa"/>
            <w:gridSpan w:val="2"/>
            <w:tcBorders>
              <w:bottom w:val="single" w:color="auto" w:sz="4" w:space="0"/>
            </w:tcBorders>
            <w:shd w:val="clear" w:color="auto" w:fill="FFFFFF"/>
            <w:vAlign w:val="center"/>
          </w:tcPr>
          <w:p w14:paraId="61383CA6">
            <w:pPr>
              <w:keepNext w:val="0"/>
              <w:keepLines w:val="0"/>
              <w:pageBreakBefore w:val="0"/>
              <w:kinsoku/>
              <w:wordWrap/>
              <w:overflowPunct/>
              <w:topLinePunct w:val="0"/>
              <w:bidi w:val="0"/>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数量</w:t>
            </w:r>
          </w:p>
        </w:tc>
        <w:tc>
          <w:tcPr>
            <w:tcW w:w="631" w:type="dxa"/>
            <w:tcBorders>
              <w:bottom w:val="single" w:color="auto" w:sz="4" w:space="0"/>
            </w:tcBorders>
            <w:vAlign w:val="center"/>
          </w:tcPr>
          <w:p w14:paraId="472C736D">
            <w:pPr>
              <w:keepNext w:val="0"/>
              <w:keepLines w:val="0"/>
              <w:pageBreakBefore w:val="0"/>
              <w:kinsoku/>
              <w:wordWrap/>
              <w:overflowPunct/>
              <w:topLinePunct w:val="0"/>
              <w:bidi w:val="0"/>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单位</w:t>
            </w:r>
          </w:p>
        </w:tc>
        <w:tc>
          <w:tcPr>
            <w:tcW w:w="7467" w:type="dxa"/>
            <w:tcBorders>
              <w:bottom w:val="single" w:color="auto" w:sz="4" w:space="0"/>
            </w:tcBorders>
            <w:noWrap/>
            <w:vAlign w:val="center"/>
          </w:tcPr>
          <w:p w14:paraId="7A8F0C91">
            <w:pPr>
              <w:keepNext w:val="0"/>
              <w:keepLines w:val="0"/>
              <w:pageBreakBefore w:val="0"/>
              <w:kinsoku/>
              <w:wordWrap/>
              <w:overflowPunct/>
              <w:topLinePunct w:val="0"/>
              <w:bidi w:val="0"/>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具体说明、功能及技术参数要求</w:t>
            </w:r>
          </w:p>
        </w:tc>
      </w:tr>
      <w:tr w14:paraId="3ABA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4" w:hRule="atLeast"/>
          <w:jc w:val="center"/>
        </w:trPr>
        <w:tc>
          <w:tcPr>
            <w:tcW w:w="483" w:type="dxa"/>
            <w:tcBorders>
              <w:top w:val="single" w:color="auto" w:sz="4" w:space="0"/>
            </w:tcBorders>
            <w:vAlign w:val="center"/>
          </w:tcPr>
          <w:p w14:paraId="2F03416D">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w:t>
            </w:r>
          </w:p>
        </w:tc>
        <w:tc>
          <w:tcPr>
            <w:tcW w:w="1017" w:type="dxa"/>
            <w:tcBorders>
              <w:top w:val="single" w:color="auto" w:sz="4" w:space="0"/>
            </w:tcBorders>
            <w:vAlign w:val="center"/>
          </w:tcPr>
          <w:p w14:paraId="09EC0CE2">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纸质教材公开出版</w:t>
            </w:r>
          </w:p>
        </w:tc>
        <w:tc>
          <w:tcPr>
            <w:tcW w:w="633" w:type="dxa"/>
            <w:gridSpan w:val="2"/>
            <w:tcBorders>
              <w:top w:val="single" w:color="auto" w:sz="4" w:space="0"/>
            </w:tcBorders>
            <w:shd w:val="clear" w:color="auto" w:fill="FFFFFF"/>
            <w:vAlign w:val="center"/>
          </w:tcPr>
          <w:p w14:paraId="50D19DB5">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631" w:type="dxa"/>
            <w:tcBorders>
              <w:top w:val="single" w:color="auto" w:sz="4" w:space="0"/>
            </w:tcBorders>
            <w:vAlign w:val="center"/>
          </w:tcPr>
          <w:p w14:paraId="67012FF4">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w:t>
            </w:r>
          </w:p>
        </w:tc>
        <w:tc>
          <w:tcPr>
            <w:tcW w:w="7467" w:type="dxa"/>
            <w:tcBorders>
              <w:top w:val="single" w:color="auto" w:sz="4" w:space="0"/>
            </w:tcBorders>
            <w:vAlign w:val="center"/>
          </w:tcPr>
          <w:p w14:paraId="6597BCC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一、教材出版2本：</w:t>
            </w:r>
            <w:r>
              <w:rPr>
                <w:rFonts w:hint="eastAsia" w:ascii="宋体" w:hAnsi="宋体" w:eastAsia="宋体" w:cs="宋体"/>
                <w:bCs/>
                <w:snapToGrid w:val="0"/>
                <w:sz w:val="21"/>
                <w:szCs w:val="21"/>
                <w:highlight w:val="none"/>
                <w:lang w:val="zh-CN"/>
              </w:rPr>
              <w:t>《电工电子技术》《工控网络及组态技术》</w:t>
            </w:r>
            <w:r>
              <w:rPr>
                <w:rFonts w:hint="eastAsia" w:ascii="宋体" w:hAnsi="宋体" w:eastAsia="宋体" w:cs="宋体"/>
                <w:kern w:val="0"/>
                <w:sz w:val="21"/>
                <w:szCs w:val="21"/>
                <w:highlight w:val="none"/>
                <w:lang w:bidi="ar"/>
              </w:rPr>
              <w:t>。</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二、成品要求：成品尺寸</w:t>
            </w: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185×260</w:t>
            </w:r>
            <w:r>
              <w:rPr>
                <w:rFonts w:hint="eastAsia" w:ascii="宋体" w:hAnsi="宋体" w:eastAsia="宋体" w:cs="宋体"/>
                <w:sz w:val="21"/>
                <w:szCs w:val="21"/>
                <w:highlight w:val="none"/>
              </w:rPr>
              <w:t>mm</w:t>
            </w:r>
            <w:r>
              <w:rPr>
                <w:rFonts w:hint="eastAsia" w:ascii="宋体" w:hAnsi="宋体" w:eastAsia="宋体" w:cs="宋体"/>
                <w:kern w:val="0"/>
                <w:sz w:val="21"/>
                <w:szCs w:val="21"/>
                <w:highlight w:val="none"/>
                <w:lang w:bidi="ar"/>
              </w:rPr>
              <w:t>。</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三、纸张印装：内文单色印刷，内文用纸70克本白双胶，封面特种纸或者铜版纸，平装。</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四、印刷装订质量，符合国家出版行业印刷标准的规定：</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1.封面印刷：套印准确，字、图、点、线印迹清楚，不花、不毛、不糊。实地版墨色均匀，无回胶印，背面不脏。</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正文印刷：压力：压力适度，全书前后轻重一致。墨色：全书前后墨色一致，浓淡适度。套印：版面端正，正反套印准确。文字：文字、标点清晰，笔锋挺秀，无缺笔断划，标题黑实不花，小字不糊不瞎。其它：书面无脏污、破损，无钉花、野墨。</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装订：平装，封面过膜。开本尺寸符合设计要求，套书规格一致，成品裁切方正，无明显刀花，无连接页、折角、破头。书背平整，无空背、起泡，明显皱褶，书脊字居中，封面齐色，边框色正。全书页码折正，书面平服，无皱褶（八字折等）。其它：书页整洁，无脏污、破页、野胶。</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五、文字编校：须达到国家新闻出版署制定的图书编校质量标准。</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六、封面：200g铜版纸；内文：70g胶版纸、双色印刷；开本：16开(</w:t>
            </w: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185mm×260mm)。</w:t>
            </w:r>
            <w:r>
              <w:rPr>
                <w:rFonts w:hint="eastAsia" w:ascii="宋体" w:hAnsi="宋体" w:eastAsia="宋体" w:cs="宋体"/>
                <w:kern w:val="0"/>
                <w:sz w:val="21"/>
                <w:szCs w:val="21"/>
                <w:highlight w:val="none"/>
                <w:lang w:bidi="ar"/>
              </w:rPr>
              <w:br w:type="textWrapping"/>
            </w: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七、本书要求公开出版，出版物号在国家版本中心数据库可查询。本教材著作权归校方所有，供应商协助办理出版手续，不得未经校方许可将教材内容用于其他商业出版。</w:t>
            </w:r>
            <w:r>
              <w:rPr>
                <w:rFonts w:hint="eastAsia" w:ascii="宋体" w:hAnsi="宋体" w:eastAsia="宋体" w:cs="宋体"/>
                <w:kern w:val="0"/>
                <w:sz w:val="21"/>
                <w:szCs w:val="21"/>
                <w:highlight w:val="none"/>
                <w:lang w:bidi="ar"/>
              </w:rPr>
              <w:br w:type="textWrapping"/>
            </w: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八、教材设计指导</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供应商应邀请省级及以上规划教材编写专家，或知名出版社具备副编审及以上职称的编辑，通过线上或线下方式提供不少于2次的专业指导。指导过程需充分审核作者团队提交的教材大纲与样章，确保教材内容深度融入产业新技术、新工艺、新规范与新标准，并严格符合出版导向及质量管控要求。</w:t>
            </w:r>
          </w:p>
          <w:p w14:paraId="06AD1FF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九、增值服务</w:t>
            </w:r>
          </w:p>
          <w:p w14:paraId="073850B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1.负责为学校搭建科研成果出版平台，协助出版纸质教材、数字教材服务，与学校共同打造、培育优质的科研成果选题，助力省级、国家级优秀教材的评选。</w:t>
            </w:r>
          </w:p>
          <w:p w14:paraId="6872909F">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2.负责邀请获省级、国家级规划教材编写知名出版社副编审以上的编辑到学校开展教材建设培训服务。</w:t>
            </w:r>
          </w:p>
          <w:p w14:paraId="2E7DA210">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3.负责组织邀请知名出版社副编审以上编辑配合学校对校本教材的立项编写遴选，并提供第三方的指导建设意见。</w:t>
            </w:r>
          </w:p>
          <w:p w14:paraId="0C75BBF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4.负责为学校开通数字教材门户网站，向学校提供面向全校教师开通数字教材编辑器的使用，并根据学校需要邀请出版社编辑指导数字教材编写培训。</w:t>
            </w:r>
          </w:p>
          <w:p w14:paraId="4157A8B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十、教材内容需系统融入智能制造领域新技术（如工业互联网、智能制造装备、AI 工控技术等）、新工艺（如精密加工、智能装配、数字化检测等）、新规范（如智能制造行业操作规范、设备运维规范等）、新标准（如国家及行业发布的智能制造专业技术标准、职业技能等级标准等），教材出版时，须同步生成与纸质教材页码一一对应的数字教材镜像文件。纸质教材中凡涉及‘四新’案例、重点技能图示的位置，需预留二维码标识，二维码需链接至本项目中同步建设的微课视频或三维动画资源，实现‘纸数一体、扫码即学’</w:t>
            </w:r>
          </w:p>
          <w:p w14:paraId="195EDE10">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十一、教材案例选取需优先采用东盟及广西本地智能制造企业最新生产案例，体现区域产业四新应用实践，每个核心章节配套不少于1个四新应用典型案例。</w:t>
            </w:r>
          </w:p>
          <w:p w14:paraId="02F278E2">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kern w:val="0"/>
                <w:sz w:val="21"/>
                <w:szCs w:val="21"/>
                <w:highlight w:val="none"/>
                <w:lang w:bidi="ar"/>
              </w:rPr>
              <w:t>十二、教材知识体系需对接最新职业技能等级标准和企业岗位任职标准，将四新要求转化为具体教学知识点和技能训练点，实现“四新内容-教学内容-岗位能力”精准衔接。</w:t>
            </w:r>
          </w:p>
        </w:tc>
      </w:tr>
      <w:tr w14:paraId="5BE9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tcBorders>
              <w:top w:val="single" w:color="auto" w:sz="4" w:space="0"/>
            </w:tcBorders>
            <w:vAlign w:val="center"/>
          </w:tcPr>
          <w:p w14:paraId="45E484FB">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2</w:t>
            </w:r>
          </w:p>
        </w:tc>
        <w:tc>
          <w:tcPr>
            <w:tcW w:w="1017" w:type="dxa"/>
            <w:tcBorders>
              <w:top w:val="single" w:color="auto" w:sz="4" w:space="0"/>
            </w:tcBorders>
            <w:vAlign w:val="center"/>
          </w:tcPr>
          <w:p w14:paraId="44498D6E">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课程导学</w:t>
            </w:r>
          </w:p>
        </w:tc>
        <w:tc>
          <w:tcPr>
            <w:tcW w:w="633" w:type="dxa"/>
            <w:gridSpan w:val="2"/>
            <w:tcBorders>
              <w:top w:val="single" w:color="auto" w:sz="4" w:space="0"/>
            </w:tcBorders>
            <w:shd w:val="clear" w:color="auto" w:fill="FFFFFF"/>
            <w:vAlign w:val="center"/>
          </w:tcPr>
          <w:p w14:paraId="02C8E255">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631" w:type="dxa"/>
            <w:tcBorders>
              <w:top w:val="single" w:color="auto" w:sz="4" w:space="0"/>
            </w:tcBorders>
            <w:vAlign w:val="center"/>
          </w:tcPr>
          <w:p w14:paraId="0E347B60">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tcBorders>
              <w:top w:val="single" w:color="auto" w:sz="4" w:space="0"/>
            </w:tcBorders>
            <w:vAlign w:val="center"/>
          </w:tcPr>
          <w:p w14:paraId="6ACEB9A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1.制作内容：课程导学2个，每个时长5-8分钟，总时长不少于12分钟。</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2.以视频为主要载体，体现学校及学院名称、课程主题、团队成员、课程特点等内容，加动画效果和配乐包装。</w:t>
            </w:r>
          </w:p>
          <w:p w14:paraId="159732E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3.课程导学内容需突出课程所涵盖的四新核心亮点，明确说明课程中新技术、新工艺、新规范、新标准的融入模块和学习目标。</w:t>
            </w:r>
          </w:p>
          <w:p w14:paraId="034D25B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4.导学视频中需融入不少于1个智能制造领域四新应用实景片段或案例介绍，直观展示四新在行业岗位中的实际应用价值。</w:t>
            </w:r>
          </w:p>
          <w:p w14:paraId="5FA8ED82">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导学内容需明确课程与最新职业技能等级标准、行业岗位四新要求的衔接关系，让学习者清晰知晓课程学习对掌握四新技能的作用。导学视频的脚本必须通过校方审核，需清晰展示‘课程结构图’或‘知识图谱’的动画演绎，让学生在看片后能清晰了解本门课程的知识脉络、核心技能点及对应的岗位。</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6.课程导学中可采用虚拟录播、二维动画、实景拍摄等多种制作形式，全片使用特效软件针对相关图片、数据、图表、标题等进行精细特效包装，表现出生动活泼的视频呈现效果，从而吸引观看者的注意力。</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7.使用专业的视频拍摄设备，配备足够录音设备，视频色彩鲜明、曝光合理。</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8.人物抠像部分可以在校方微课录制室拍摄，配置专业灯光，提供提词器以及配备编导人员作为拍摄现场指导。</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9.实景拍摄在符合专业特性的场地，配置专业灯光设备和实现1-2机位拍摄，配备编导人员作为拍摄现场指导，场地由校方提供。</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10.不含航拍、高空拍摄、潜拍等特殊拍摄方式。</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11.校方老师或学生配音，也可以采用专业配音员配音，配适合背景音乐。</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12.根据课程导学脚本设计对拍摄的视频素材进行剪辑，对相关课程资料图片文件等素材以突出课程特点为方向使用特效软件进行包装加工美化，配合辅助文字、辅助线和重点提示等条充分展示课程知识点内容。结合处理好的老师抠像、配音按照脚本设计制作成课程宣传片。</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13.字幕要使用符合国家标准的规范字，不出现繁体字、异体字(国家规定的除外)、错别字；字幕的字体、大小、色彩搭配、摆放位置、停留时间、出入屏方式力求与其他要素（画面、解说词、音乐）配合适当，不能破坏原有画面。</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14.根据课程内容提供片头、片尾，时长不少于3秒。</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15.存储格式采用mp4存储格式。</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16.采用H.264/AVC（MPEG-4 Part10）编码格式压缩；分辨率不低于1920x1080（16:9），音频采用AAC（MPEG4 Part3）格式压缩。</w:t>
            </w:r>
          </w:p>
          <w:p w14:paraId="0226C478">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17.交付成片须包含字幕嵌入版和无字幕版两个版本，便于学校后期用于国际交流或翻译。</w:t>
            </w:r>
          </w:p>
          <w:p w14:paraId="025A5A5C">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18.供应商负责资源上传智慧职教及超星教学平台。</w:t>
            </w:r>
          </w:p>
          <w:p w14:paraId="606FF931">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19.文件提交要求</w:t>
            </w:r>
          </w:p>
          <w:p w14:paraId="650F10A5">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视频压缩采用H.264编码，MP4格式，分辨率不低于1080P，按以下要求提交：</w:t>
            </w:r>
          </w:p>
          <w:p w14:paraId="7AA46FF8">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19.1项目源文件：提交制作工程文件及用到的所有素材文件一份（素材要求详见商务要求），以便售后期满后采购人继续修改；</w:t>
            </w:r>
          </w:p>
          <w:p w14:paraId="7D853A76">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19.2高质量成品文件：</w:t>
            </w:r>
          </w:p>
          <w:p w14:paraId="5467AAAF">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19.2.1外挂字幕高质量视频文件（视频码率为5-8Mbps）1份，包含SRT格式的外挂字幕文件；</w:t>
            </w:r>
          </w:p>
          <w:p w14:paraId="34422539">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19.2.2内嵌字幕中质量视频文件（视频码率为2-3Mbps）1份；</w:t>
            </w:r>
          </w:p>
          <w:p w14:paraId="6C00BD76">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19.3颗粒化资源文件：</w:t>
            </w:r>
          </w:p>
          <w:p w14:paraId="5EBAEA54">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19.3.1外挂字幕高质量视频文件（视频码率为5-8Mbps）1份，包含SRT格式的外挂字幕文件；</w:t>
            </w:r>
          </w:p>
          <w:p w14:paraId="420B7751">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19.3.2内嵌字幕中质量视频文件（视频码率为2-3Mbps）1份；</w:t>
            </w:r>
          </w:p>
          <w:p w14:paraId="5E4C9DF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sz w:val="21"/>
                <w:szCs w:val="21"/>
                <w:highlight w:val="none"/>
              </w:rPr>
              <w:t>上述要求用U盘或者移动硬盘等存储设备存储，须提交一式三份给采购人。</w:t>
            </w:r>
          </w:p>
        </w:tc>
      </w:tr>
      <w:tr w14:paraId="0A0B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tcBorders>
              <w:top w:val="single" w:color="auto" w:sz="4" w:space="0"/>
            </w:tcBorders>
            <w:vAlign w:val="center"/>
          </w:tcPr>
          <w:p w14:paraId="772ADC06">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3</w:t>
            </w:r>
          </w:p>
        </w:tc>
        <w:tc>
          <w:tcPr>
            <w:tcW w:w="1017" w:type="dxa"/>
            <w:tcBorders>
              <w:top w:val="single" w:color="auto" w:sz="4" w:space="0"/>
            </w:tcBorders>
            <w:vAlign w:val="center"/>
          </w:tcPr>
          <w:p w14:paraId="7B14D781">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课程标准</w:t>
            </w:r>
          </w:p>
        </w:tc>
        <w:tc>
          <w:tcPr>
            <w:tcW w:w="633" w:type="dxa"/>
            <w:gridSpan w:val="2"/>
            <w:tcBorders>
              <w:top w:val="single" w:color="auto" w:sz="4" w:space="0"/>
            </w:tcBorders>
            <w:shd w:val="clear" w:color="auto" w:fill="FFFFFF"/>
            <w:vAlign w:val="center"/>
          </w:tcPr>
          <w:p w14:paraId="0B4ABBDC">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631" w:type="dxa"/>
            <w:tcBorders>
              <w:top w:val="single" w:color="auto" w:sz="4" w:space="0"/>
            </w:tcBorders>
            <w:vAlign w:val="center"/>
          </w:tcPr>
          <w:p w14:paraId="1F00E2CC">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467" w:type="dxa"/>
            <w:tcBorders>
              <w:top w:val="single" w:color="auto" w:sz="4" w:space="0"/>
            </w:tcBorders>
            <w:vAlign w:val="center"/>
          </w:tcPr>
          <w:p w14:paraId="5D4C14CF">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 依据国家职业教育课程建设规范、学科教学指导纲要及校方专业人才培养方案，编制2套符合专业特色的课程标准。</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 内容完整、结构规范，包含课程定位、课程目标（知识/能力/素质/思政）、学时分配、课程内容与教学要求、教学方法与手段、考核评价方式、教学资源要求、实施建议等核心模块。</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 课程目标与专业人才培养目标衔接，内容贴合行业岗位需求，学时分配科学，考核评价采用过程性与终结性评价相结合。</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4. 符合广西职业教育课程建设相关要求，具备可操作性、科学性、前瞻性，可直接指导教学实施。</w:t>
            </w:r>
          </w:p>
          <w:p w14:paraId="0FBE059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5.课程标准的课程目标需将四新素养纳入知识、能力、素质目标，明确学生需掌握的本专业领域核心新技术、新工艺操作能力，以及新规范、新标准执行能力。</w:t>
            </w:r>
          </w:p>
          <w:p w14:paraId="181F906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6.课程内容与教学要求模块需按四新要求重构教学内容，增设四新专题教学单元，明确四新内容的学时分配。</w:t>
            </w:r>
          </w:p>
          <w:p w14:paraId="26CD967F">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7.教学方法与手段需适配四新内容教学，要求采用“企业实景教学 + 仿真操作+项目化实践”等方式，强化四新技能的实操训练。</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8. 交付WORD可编辑版及PDF正式版各1份，格式规范、排版整洁、无文字及逻辑错误。</w:t>
            </w:r>
          </w:p>
          <w:p w14:paraId="4E66C9F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9.课程标准与教学标准在‘教学内容与教学实施’的对应关系上需通过对照表形式体现一致性，但在具体描述上不得大面积雷同。</w:t>
            </w:r>
          </w:p>
          <w:p w14:paraId="1F1EE1D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10.需经两名（含两名）以上与课程专业相符的校外高职院校或本科院校职业教育专家（均为教授职称）书面审阅并签署意见，方可验收。</w:t>
            </w:r>
          </w:p>
        </w:tc>
      </w:tr>
      <w:tr w14:paraId="21D3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7F86CE3E">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4</w:t>
            </w:r>
          </w:p>
        </w:tc>
        <w:tc>
          <w:tcPr>
            <w:tcW w:w="1017" w:type="dxa"/>
            <w:vAlign w:val="center"/>
          </w:tcPr>
          <w:p w14:paraId="77D7F7FB">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教学标准</w:t>
            </w:r>
          </w:p>
        </w:tc>
        <w:tc>
          <w:tcPr>
            <w:tcW w:w="633" w:type="dxa"/>
            <w:gridSpan w:val="2"/>
            <w:shd w:val="clear" w:color="auto" w:fill="FFFFFF"/>
            <w:vAlign w:val="center"/>
          </w:tcPr>
          <w:p w14:paraId="33CF9260">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631" w:type="dxa"/>
            <w:vAlign w:val="center"/>
          </w:tcPr>
          <w:p w14:paraId="7D62E6A8">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套</w:t>
            </w:r>
          </w:p>
        </w:tc>
        <w:tc>
          <w:tcPr>
            <w:tcW w:w="7467" w:type="dxa"/>
            <w:vAlign w:val="center"/>
          </w:tcPr>
          <w:p w14:paraId="78A725B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1.结合校方专业建设规划、行业职业标准及国家职业教育教学要求，编制2套与课程标准配套的教学标准。</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 结构完整、内容详实，包含教学定位、教学总目标、教学模块与单元设计、教学实施条件（师资/场地/设备/资源）、教学过程管理、教学质量评价体系、教学改革与创新建议等核心内容。</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 教学模块设计贴合实际教学场景，明确师资、场地设备配置标准，教学质量评价指标量化可考核。</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4. 符合广西职业院校教学建设相关规范，具备科学性、实用性、针对性。</w:t>
            </w:r>
          </w:p>
          <w:p w14:paraId="32D54CF5">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 教学模块与单元设计需按四新要求拆解教学单元，每个核心教学模块需融入对应的新技术、新工艺、新规范、新标准，且单独设置四新综合实践教学单元。</w:t>
            </w:r>
          </w:p>
          <w:p w14:paraId="1BC5B7F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 教学质量评价体系需制定四新技能考核量化指标，对学生四新知识掌握、工艺操作、规范执行、标准应用能力进行分项评价。</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7. 交付WORD可编辑版及PDF正式版各1份，格式规范、排版整洁、无文字及逻辑错误。</w:t>
            </w:r>
          </w:p>
          <w:p w14:paraId="47A12C9C">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8.课程标准与教学标准在‘教学内容与教学实施’的对应关系上需通过对照表形式体现一致性，但在具体描述上不得大面积雷同。</w:t>
            </w:r>
          </w:p>
          <w:p w14:paraId="3AC0237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strike/>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9.需经两名（含两名）以上与课程专业相符的校外高职院校或本科院校职业教育专家（均为教授职称）书面审阅并签署意见，方可验收</w:t>
            </w:r>
            <w:r>
              <w:rPr>
                <w:rFonts w:hint="eastAsia" w:ascii="宋体" w:hAnsi="宋体" w:eastAsia="宋体" w:cs="宋体"/>
                <w:sz w:val="21"/>
                <w:szCs w:val="21"/>
                <w:highlight w:val="none"/>
              </w:rPr>
              <w:t>。</w:t>
            </w:r>
          </w:p>
        </w:tc>
      </w:tr>
      <w:tr w14:paraId="19E1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83" w:type="dxa"/>
            <w:vAlign w:val="center"/>
          </w:tcPr>
          <w:p w14:paraId="19E3253D">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5</w:t>
            </w:r>
          </w:p>
        </w:tc>
        <w:tc>
          <w:tcPr>
            <w:tcW w:w="1017" w:type="dxa"/>
            <w:vAlign w:val="center"/>
          </w:tcPr>
          <w:p w14:paraId="1C3A9568">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标准化教案</w:t>
            </w:r>
          </w:p>
        </w:tc>
        <w:tc>
          <w:tcPr>
            <w:tcW w:w="633" w:type="dxa"/>
            <w:gridSpan w:val="2"/>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936D226">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128</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FFFE9">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vAlign w:val="center"/>
          </w:tcPr>
          <w:p w14:paraId="44945FB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 依据课程标准、教学标准，完成128个标准化教案编制，一课一案，覆盖对应课程所有教学课时/单元；128个教案需严格对应2门课程的全部课时/教学单元，提供《教案与课时对照表》。</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 结构规范、要素齐全，包含授课课题、学时、对象、教学目标（知识/能力/思政）、重难点、教学方法与手段、教学准备、教学过程（导入/讲授/互动/小结作业/板书设计）、教学反思预留模块、思政元素融入点等。</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 教学过程设计符合学生认知规律，思政元素与专业内容有机融合，板书设计清晰，作业布置兼顾基础与拓展。</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4. 适配线上线下混合式教学模式，可直接用于课堂教学实施。</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5. 交付WORD可编辑版，按课程模块分类整理，格式统一、排版整洁、无文字及逻辑错误。</w:t>
            </w:r>
          </w:p>
          <w:p w14:paraId="77AAAA7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6.供应商提交的教案需通过学校指定的查重软件检测，文字复制比不得超过20%，杜绝网络拼凑。</w:t>
            </w:r>
          </w:p>
        </w:tc>
      </w:tr>
      <w:tr w14:paraId="2F56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2BCF390B">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6</w:t>
            </w:r>
          </w:p>
        </w:tc>
        <w:tc>
          <w:tcPr>
            <w:tcW w:w="1017" w:type="dxa"/>
            <w:vAlign w:val="center"/>
          </w:tcPr>
          <w:p w14:paraId="016AC01C">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教学PPT课件美化</w:t>
            </w:r>
          </w:p>
        </w:tc>
        <w:tc>
          <w:tcPr>
            <w:tcW w:w="633" w:type="dxa"/>
            <w:gridSpan w:val="2"/>
            <w:shd w:val="clear" w:color="auto" w:fill="FFFFFF"/>
            <w:vAlign w:val="center"/>
          </w:tcPr>
          <w:p w14:paraId="54762F34">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60</w:t>
            </w:r>
          </w:p>
        </w:tc>
        <w:tc>
          <w:tcPr>
            <w:tcW w:w="631" w:type="dxa"/>
            <w:vAlign w:val="center"/>
          </w:tcPr>
          <w:p w14:paraId="0E692B9B">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vAlign w:val="center"/>
          </w:tcPr>
          <w:p w14:paraId="3986451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1.完成教学PPT课件美化60个，每份课件的页数根据采购人具体课程课件页数确定。</w:t>
            </w:r>
          </w:p>
          <w:p w14:paraId="23146D8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2.供应商需首先为每门课程设计一套专属PPT母版（包含封面、章首页、节内页、强调页、结尾页），经校方确认后，再批量进行内页美化。</w:t>
            </w:r>
          </w:p>
          <w:p w14:paraId="3D46F8F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3.课件美化过程中，需在对应教学章节突出四新内容标识，将新技术、新工艺、新规范、新标准相关内容以醒目形式呈现（如专属板块、彩色标注等）。</w:t>
            </w:r>
          </w:p>
          <w:p w14:paraId="2961175F">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dstrike/>
                <w:color w:val="000000" w:themeColor="text1"/>
                <w:kern w:val="0"/>
                <w:sz w:val="21"/>
                <w:szCs w:val="21"/>
                <w:highlight w:val="none"/>
                <w:lang w:bidi="ar"/>
                <w14:textFill>
                  <w14:solidFill>
                    <w14:schemeClr w14:val="tx1"/>
                  </w14:solidFill>
                </w14:textFill>
              </w:rPr>
            </w:pPr>
            <w:r>
              <w:rPr>
                <w:rFonts w:hint="eastAsia" w:ascii="宋体" w:hAnsi="宋体" w:eastAsia="宋体" w:cs="宋体"/>
                <w:kern w:val="0"/>
                <w:sz w:val="21"/>
                <w:szCs w:val="21"/>
                <w:highlight w:val="none"/>
                <w:lang w:bidi="ar"/>
              </w:rPr>
              <w:t>4.课件中需补充四新相关的可视化素材，如新技术设备实物图、新工艺操作流程图、新规范新标准原文截图、行业四新应用数据图表等，所有素材需贴合广西及东盟智能制造产业实际。</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5.软件版本：文件制作所用的软件版本Microsoft Office 2016或同等及以上档次；</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6.模板应用：在老师提供PPT初稿的基础上重新进行符合课程内容特点的PPT美化设计，包含不同板块的背景、教师出镜背景、人名条、章节页、画中画框、关键字美化框等元素。整体大方，主色调≤3种，便于长时间观看；在模板的适当位置标明课程名称、模块（章或节）序号与模块（章或节）的名称，多个页面均有的相同元素，如背景、按钮、标题、页码等，可以使用幻灯片母版来实现；</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7.版式设计：每页版面的字数不宜太多；正文字号应不小于 24 磅字，使用 Windows 系统默认字体不要使用仿宋、细圆等过细字体，不使用特殊字体。如有特殊字体，应转化为图形文件，文字要醒目，避免使用与背景色相近的字体颜色，页面行距建议为 1.2 倍，可适当增大，左右边距均匀、适当，页面设计的原则是版面内容的分布美观大方，恰当使用组合：某些插图中位置相对固定的文本框、数学公式以及图片等应采用组合方式，避免产生相对位移，尽量避免不必要的组合，不同对象、文本的动作需要同时出现时，可确定彼此之间的时间间隔为 0 秒，各级标题采用不同的字体和颜色，一张幻灯片上文字颜色限定在 4 种以内，注意文字与背景色的反差；</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8.对PPT初稿中的图片进行美化，包含优化图片亮度、对比度、饱和度、照片的比例、形状和水平等，使每个元素尽量可视化，易于学习观看；如原图过于模糊而达不到课程教学要求，将对图片进行二次绘制加工，使其达到课程使用要求；</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9.优化PPT中的思维导图，使其与美化后的PPT风格一致，并符合线上观看学习特点；</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10.PPT内置动画方案：根据课程讲述的顺序给PPT里对应的图文元素添加PPT内置动态效果，重难点的地方添加强调效果，使其符合线上循序渐进的学习特点，降低学习成本；不宜出现不必要的PPT内置动画效果，不使用随机效果，PPT内置动画要求连续，节奏合适；</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11.画幅宽高比统一调整为16：9；</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12.格式要求：*.ppt、*.pptx。</w:t>
            </w:r>
          </w:p>
        </w:tc>
      </w:tr>
      <w:tr w14:paraId="6FE5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555FF0FD">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7</w:t>
            </w:r>
          </w:p>
        </w:tc>
        <w:tc>
          <w:tcPr>
            <w:tcW w:w="1017" w:type="dxa"/>
            <w:vAlign w:val="center"/>
          </w:tcPr>
          <w:p w14:paraId="7ABDE71C">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微课视频</w:t>
            </w:r>
          </w:p>
        </w:tc>
        <w:tc>
          <w:tcPr>
            <w:tcW w:w="633" w:type="dxa"/>
            <w:gridSpan w:val="2"/>
            <w:shd w:val="clear" w:color="auto" w:fill="FFFFFF"/>
            <w:vAlign w:val="center"/>
          </w:tcPr>
          <w:p w14:paraId="29906D62">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79</w:t>
            </w:r>
          </w:p>
        </w:tc>
        <w:tc>
          <w:tcPr>
            <w:tcW w:w="631" w:type="dxa"/>
            <w:vAlign w:val="center"/>
          </w:tcPr>
          <w:p w14:paraId="25ED66A6">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vAlign w:val="center"/>
          </w:tcPr>
          <w:p w14:paraId="49F631D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（一）微课程视频</w:t>
            </w:r>
            <w:r>
              <w:rPr>
                <w:rFonts w:hint="eastAsia" w:ascii="宋体" w:hAnsi="宋体" w:eastAsia="宋体" w:cs="宋体"/>
                <w:kern w:val="0"/>
                <w:sz w:val="21"/>
                <w:szCs w:val="21"/>
                <w:highlight w:val="none"/>
                <w:lang w:bidi="ar"/>
              </w:rPr>
              <w:br w:type="textWrapping"/>
            </w: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微课视频制作79个，单个视频时长不得低于4分钟，不得高于12分钟，总时长不少于600分钟。超过79个的部分不计入合同总价，时长不足600分钟按比例扣款。需提供《微课时长分布清单》，其中5-8分钟区间的视频数量应占总数的80%以上。</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微课内容应符合我国法律法规，尊重各民族的风俗习惯，版权不存在争议。拍摄前，供应商需协助教师完成详细的视频拍摄脚本。脚本格式需统一，包含：镜头编号、景别、画面内容、解说词、字幕、预计时长、对应PPT页码。每个微课视频必须包含“情境导入-知识讲解/技能演示-归纳小结-思考练习”四个环节。</w:t>
            </w:r>
          </w:p>
          <w:p w14:paraId="7C9C90E8">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3.微课内容需结合企业实际应用场景，采用“原理讲解+实操演示+标准对照”的形式，讲解四新内容时需引用最新的行业标准和企业案例。涉及新技术、新工艺的讲解，必须穿插不少于15秒的企业现场实拍画面（由供应商负责采集或校方提供）。涉及新规范、新标准的内容，视频画面中必须以‘图文卡片’或‘标准条文高亮’的形式展示具体的标准编号和关键条款，停留时间不少于5秒。</w:t>
            </w:r>
          </w:p>
          <w:p w14:paraId="01B4B5AC">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实操类微课需严格按照新工艺操作流程和新规范要求拍摄，确保操作动作、流程符合行业最新标准。实操类微课拍摄前，供应商需组织教师、企业技术人员共同审核。成片中，关键操作步骤（如参数输入、刀具装夹、安全确认）必须使用 ‘画中画特写’或‘动态箭头标注’ 进行强调，确保每一步操作清晰可见、无歧义。</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5.微课程要求以视频为主要载体，围绕某个知识点内容展开、基于教学设计的学习资源。含片头、片尾、教师出镜拍摄、教师录制配音、PPT穿插、使用添加PPT内置动画效果包装，使用添加PPT内置平滑切换效果包装，制作所用的软件版本Microsoft Office 2016或同等及以上档次。</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6.根据课程需要，协助教学团队完成多种拍摄场地的教学场景设计及布景。根据课程性质，课程制作团队与教师一起确定课程最合理的拍摄方式。提供以下4种的拍摄模式供老师选择，特殊课程可根据老师课程框架设计更多拍摄模式，一门课程可以采用多种拍摄模式：</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（1）抠像+PPT 模式 ：在摄影棚内拍摄教师出镜和配音，全程PPT演示。</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（2）室内场景实操模式 ：根据老师课程需求，选择在特定拍摄场地，多机位拍摄。</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（3）随堂拍摄模式：随堂拍摄，多机位拍摄，记录老师讲课现场风采。</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（4）访谈式：在摄影棚内或与课程风格贴近的实景场地拍摄，根据访谈人数，设定机位数，教学过程由多位老师交流讨论完成。适合启发性的、思维拓展和发散的学科课程。</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7.使用专业的影视拍摄设备，配备广播级专业录音设备，分辨率≥1920×1080，码率≥3Mbps，音频信噪比≥60dB；</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8.实操场景拍摄，在符合专业特性的室内场地，配置专业灯光设备和实现1-2机位拍摄，配备编导人员作为拍摄现场指导，场地由校方提供；不含航拍、高空拍摄、潜拍等特殊拍摄方式；后期包装不含二维动画、三维动画制作。</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9.人物抠像部分可以在校方微课录制室拍摄，配置专业灯光，提供提词器以及配备编导人员作为拍摄现场指导；人物抠像模板工程使用AE软件进行设计，要求人物抠像边缘清晰无闪烁，无噪点，无发绿或发蓝现象，文件制作所用的软件版本在Adobe CC 2018或同等及以上档次；</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10.模板应用：在老师提供PPT初稿的基础上重新进行符合课程内容特点的PPT美化设计，包含不同板块的背景、教师出镜背景、人名条、章节页、画中画框、关键字美化框等元素。模板朴素、大方，颜色适宜，便于长时间观看；在模板的适当位置标明课程名称、模块（章或节）序号与模块（章或节）的名称，多个页面均有的相同元素。课程中使用到的课程专业图片由教师提供且无版权争议；</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11.字幕要使用符合国家标准的规范字，不出现繁体字、异体字(国家规定的除外)、错别字；字幕的字体、大小、色彩搭配、摆放位置、停留时间、出入屏方式力求与其他要素（画面、解说词、音乐）配合适当，不能破坏原有画面</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12.视频要求图像清晰，声音和画面同步，播放时没有明显的噪点，播放流畅；</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13.视频采用MP4格式封装。</w:t>
            </w:r>
          </w:p>
          <w:p w14:paraId="450B1D26">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14.微课视频成品及源工程文件（.prproj/.aep等）著作权归校方所有，供应商须交付完整工程文件。交付的工程文件（Premiere Pro项目文件、After Effects合成文件）需确保在主流软件版本（如Adobe 2022或2023）中能完整打开，所有链接的素材（视频、音频、图片、插件）不得离线或丢失路径。</w:t>
            </w:r>
          </w:p>
          <w:p w14:paraId="771BFF2B">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15供应商负责资源上传智慧职教及超星教学平台。</w:t>
            </w:r>
          </w:p>
          <w:p w14:paraId="2475D101">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16文件提交要求</w:t>
            </w:r>
          </w:p>
          <w:p w14:paraId="3C6306BE">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视频压缩采用H.264编码，MP4格式，分辨率不低于1080P，按以下要求提交：</w:t>
            </w:r>
          </w:p>
          <w:p w14:paraId="08F7AFF0">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16.1项目源文件：提交制作工程文件及用到的所有素材文件一份（素材要求详见商务要求），以便售后期满后采购人继续修改；</w:t>
            </w:r>
          </w:p>
          <w:p w14:paraId="25B48750">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16.2高质量成品文件：</w:t>
            </w:r>
          </w:p>
          <w:p w14:paraId="77C10B34">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16.2.1外挂字幕高质量视频文件（视频码率为5-8Mbps）1份，包含SRT格式的外挂字幕文件；</w:t>
            </w:r>
          </w:p>
          <w:p w14:paraId="168E6E48">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16.2.2内嵌字幕中质量视频文件（视频码率为2-3Mbps）1份；</w:t>
            </w:r>
          </w:p>
          <w:p w14:paraId="3894F46D">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16.3颗粒化资源文件：</w:t>
            </w:r>
          </w:p>
          <w:p w14:paraId="591F5BB9">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16.3.1外挂字幕高质量视频文件（视频码率为5-8Mbps）1份，包含SRT格式的外挂字幕文件；</w:t>
            </w:r>
          </w:p>
          <w:p w14:paraId="0F2ED644">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16.3.2内嵌字幕中质量视频文件（视频码率为2-3Mbps）1份；</w:t>
            </w:r>
          </w:p>
          <w:p w14:paraId="5A661939">
            <w:pPr>
              <w:keepNext w:val="0"/>
              <w:keepLines w:val="0"/>
              <w:pageBreakBefore w:val="0"/>
              <w:widowControl/>
              <w:kinsoku/>
              <w:wordWrap/>
              <w:overflowPunct/>
              <w:topLinePunct w:val="0"/>
              <w:bidi w:val="0"/>
              <w:snapToGrid/>
              <w:spacing w:line="400" w:lineRule="exact"/>
              <w:jc w:val="left"/>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上述要求用U盘或者移动硬盘等存储设备存储，须提交一式三份给采购人</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（二）输出配套音频</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1.将微课视频的音频转化成音频文件。</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2.要求配音配乐声音清晰、稳定、噪音低，回响小，无失真，采用mp3格式，音频的采样频率≥22.05 kHz，码率≥128Kbps。</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（三）微课配套课件美化1个：</w:t>
            </w:r>
            <w:r>
              <w:rPr>
                <w:rFonts w:hint="eastAsia" w:ascii="宋体" w:hAnsi="宋体" w:eastAsia="宋体" w:cs="宋体"/>
                <w:kern w:val="0"/>
                <w:sz w:val="21"/>
                <w:szCs w:val="21"/>
                <w:highlight w:val="none"/>
                <w:lang w:bidi="ar"/>
              </w:rPr>
              <w:br w:type="textWrapping"/>
            </w: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1.完成微课程视频配套课件美化1个。</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2.软件版本：文件制作所用的软件版本Microsoft Office 2016或同等及以上档次；</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模板应用：在老师提供PPT初稿的基础上重新进行符合课程内容特点的PPT美化设计，包含不同板块的背景、教师出镜背景、人名条、章节页、画中画框、关键字美化框等元素。模板朴素、大方，颜色适宜，便于长时间观看；在模板的适当位置标明课程名称、模块（章或节）序号与模块（章或节）的名称，多个页面均有的相同元素，如背景、按钮、标题、页码等，可以使用幻灯片母版来实现；</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4.版式设计：每页版面的字数不宜太多；正文字号应不小于 24 磅字，使用 Windows 系统默认字体不要使用仿宋、细圆等过细字体，不使用特殊字体。如有特殊字体，应转化为图形文件，文字要醒目，避免使用与背景色相近的字体颜色，页面行距建议为 1.2 倍，可适当增大，左右边距均匀、适当，页面设计的原则是版面内容的分布美观大方，恰当使用组合：某些插图中位置相对固定的文本框、数学公式以及图片等应采用组合方式，避免产生相对位移，尽量避免不必要的组合，不同对象、文本的动作需要同时出现时，可确定彼此之间的时间间隔为 0 秒，各级标题采用不同的字体和颜色，一张幻灯片上文字颜色限定在 4 种以内，注意文字与背景色的反差；</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5.对PPT初稿中的图片进行美化，包含优化图片亮度、对比度、饱和度、照片的比例、形状和水平等，使每个元素尽量可视化，易于学习观看；如原图过于模糊而达不到课程教学要求，将对图片进行二次绘制加工，使其达到课程使用要求；</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6.优化PPT中的思维导图，使其与美化后的PPT风格一致，并符合线上观看学习特点；</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7.PPT内置动画方案：根据课程讲述的顺序给PPT里对应的图文元素添加PPT内置动态效果，重难点的地方添加强调效果，使其符合线上循序渐进的学习特点，降低学习成本；不宜出现不必要的PPT内置动画效果，不使用随机效果，PPT内置动画要求连续，节奏合适；</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8.画幅宽高比统一调整为16：9；</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9.格式要求：*.ppt、*.pptx。</w:t>
            </w:r>
          </w:p>
          <w:p w14:paraId="5D53A6EC">
            <w:pPr>
              <w:keepNext w:val="0"/>
              <w:keepLines w:val="0"/>
              <w:pageBreakBefore w:val="0"/>
              <w:widowControl/>
              <w:kinsoku/>
              <w:wordWrap/>
              <w:overflowPunct/>
              <w:topLinePunct w:val="0"/>
              <w:bidi w:val="0"/>
              <w:snapToGrid/>
              <w:spacing w:line="400" w:lineRule="exact"/>
              <w:jc w:val="left"/>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w:t>
            </w:r>
            <w:r>
              <w:rPr>
                <w:rFonts w:hint="eastAsia" w:ascii="宋体" w:hAnsi="宋体" w:eastAsia="宋体" w:cs="宋体"/>
                <w:sz w:val="21"/>
                <w:szCs w:val="21"/>
                <w:highlight w:val="none"/>
              </w:rPr>
              <w:t>供应商负责资源上传智慧职教及超星教学平台。</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（四）技术团队服务：</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服务团队要求包含项目经理、资源审读人员，技术人员，技术人员要求具有相关职业能力证书，资源审读人员要求具备审读专业技术能力。</w:t>
            </w:r>
            <w:r>
              <w:rPr>
                <w:rFonts w:hint="eastAsia" w:ascii="宋体" w:hAnsi="宋体" w:eastAsia="宋体" w:cs="宋体"/>
                <w:kern w:val="0"/>
                <w:sz w:val="21"/>
                <w:szCs w:val="21"/>
                <w:highlight w:val="none"/>
                <w:lang w:bidi="ar"/>
              </w:rPr>
              <w:br w:type="textWrapping"/>
            </w: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（五）微课设计专项指导</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供应商组织邀请获省级及以上在线精品课程专家、省级微课竞赛一等奖获得者，或区内知名行业专家，通过线上或线下方式，为采购人教师团队提供不少于2次的微课设计专项指导与培训。</w:t>
            </w:r>
          </w:p>
          <w:p w14:paraId="7796CC4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（六）广西职业院校教师教学技能大赛指导</w:t>
            </w:r>
          </w:p>
          <w:p w14:paraId="2609AC5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 组建专属指导团队，由具备广西该赛事多年指导经验、熟悉赛制及评分标准的专家（比赛省级评委、省级教学名师等）组成，其中须提供1名近3年内指导过参赛队伍获得省级一等奖及以上的专家作为首席指导。</w:t>
            </w:r>
          </w:p>
          <w:p w14:paraId="424507F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2.指导内容含赛事解读、教学设计、课件指导、现场展示指导，针对校方指定的参赛团队，提供不少于3次线下集中磨课（总时长不少于10学时）+ 2次线上指导；</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3.提供全流程指导，覆盖备赛全周期：解读最新赛制及评分标准、指导参赛选题、优化教学设计方案、指导课件/素材制作、开展模拟授课/答辩专项指导、审核所有申报及展示资料；</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4. 采用线上+线下结合的指导方式，全程跟进备赛进度，及时响应需求，针对性修改优化至符合参赛标准；</w:t>
            </w:r>
          </w:p>
          <w:p w14:paraId="571D9AA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（七）增值服务</w:t>
            </w:r>
          </w:p>
          <w:p w14:paraId="2A388995">
            <w:pPr>
              <w:keepNext w:val="0"/>
              <w:keepLines w:val="0"/>
              <w:pageBreakBefore w:val="0"/>
              <w:widowControl/>
              <w:tabs>
                <w:tab w:val="left" w:pos="864"/>
              </w:tabs>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1.服务期内，组织不少于1次职业教育数字化转型或资源库建设专题培训。专家需具有副高级以上职称或省级以上精品课程负责人经历，培训时长不少于3小时，并提供培训课件及全程录像。</w:t>
            </w:r>
            <w:r>
              <w:rPr>
                <w:rFonts w:hint="eastAsia" w:ascii="宋体" w:hAnsi="宋体" w:eastAsia="宋体" w:cs="宋体"/>
                <w:kern w:val="0"/>
                <w:sz w:val="21"/>
                <w:szCs w:val="21"/>
                <w:highlight w:val="none"/>
                <w:lang w:bidi="ar"/>
              </w:rPr>
              <w:tab/>
            </w:r>
          </w:p>
          <w:p w14:paraId="6BC477ED">
            <w:pPr>
              <w:keepNext w:val="0"/>
              <w:keepLines w:val="0"/>
              <w:pageBreakBefore w:val="0"/>
              <w:widowControl/>
              <w:tabs>
                <w:tab w:val="left" w:pos="864"/>
              </w:tabs>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2.负责支持学校在国家级资源库平台“智慧职教”、中国大学MOOC爱课程平台、虚拟仿真实验空间等平台上进行资源库、专业课程、虚拟仿真实训室建设等内容的咨询服务，组织专家进校做专题培训。</w:t>
            </w:r>
          </w:p>
          <w:p w14:paraId="0506B0C6">
            <w:pPr>
              <w:keepNext w:val="0"/>
              <w:keepLines w:val="0"/>
              <w:pageBreakBefore w:val="0"/>
              <w:widowControl/>
              <w:tabs>
                <w:tab w:val="left" w:pos="864"/>
              </w:tabs>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3.负责协助学校教师开展知识图谱的课程建设。</w:t>
            </w:r>
          </w:p>
          <w:p w14:paraId="3AC5C25F">
            <w:pPr>
              <w:keepNext w:val="0"/>
              <w:keepLines w:val="0"/>
              <w:pageBreakBefore w:val="0"/>
              <w:widowControl/>
              <w:tabs>
                <w:tab w:val="left" w:pos="864"/>
              </w:tabs>
              <w:kinsoku/>
              <w:wordWrap/>
              <w:overflowPunct/>
              <w:topLinePunct w:val="0"/>
              <w:bidi w:val="0"/>
              <w:snapToGrid/>
              <w:spacing w:line="400" w:lineRule="exac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4.负责为学校开通教育部高校教师网络培训中心校级平台。</w:t>
            </w:r>
          </w:p>
        </w:tc>
      </w:tr>
      <w:tr w14:paraId="0173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498E70CF">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8</w:t>
            </w:r>
          </w:p>
        </w:tc>
        <w:tc>
          <w:tcPr>
            <w:tcW w:w="1017" w:type="dxa"/>
            <w:vAlign w:val="center"/>
          </w:tcPr>
          <w:p w14:paraId="3529F317">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重点技能实训视频</w:t>
            </w:r>
          </w:p>
        </w:tc>
        <w:tc>
          <w:tcPr>
            <w:tcW w:w="633" w:type="dxa"/>
            <w:gridSpan w:val="2"/>
            <w:shd w:val="clear" w:color="auto" w:fill="FFFFFF"/>
            <w:vAlign w:val="center"/>
          </w:tcPr>
          <w:p w14:paraId="4BACC212">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w:t>
            </w:r>
          </w:p>
        </w:tc>
        <w:tc>
          <w:tcPr>
            <w:tcW w:w="631" w:type="dxa"/>
            <w:vAlign w:val="center"/>
          </w:tcPr>
          <w:p w14:paraId="0DA5F4E9">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vAlign w:val="center"/>
          </w:tcPr>
          <w:p w14:paraId="67094AA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1.重点技能实训视频制作14个，每个时长3-5分钟，总时长不少于50分钟。</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2.围绕上述拟开发的课程，设计重点技能训练项目，作为课程的组课资源，也可以作为内容系统、完整的一个技能训练模块。</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3.脚本、样片等资源内容应符合我国法律法规，尊重各民族的风俗习惯，版权不存在争议，文字内容的使用应符合规范，符合国家标准。</w:t>
            </w:r>
          </w:p>
          <w:p w14:paraId="441CFF4C">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4.实训视频选题需聚焦智能制造领域四新核心技能，涵盖新技术设备操作、新工艺执行、新规范落地、新标准应用等实训内容。</w:t>
            </w:r>
          </w:p>
          <w:p w14:paraId="64EB0959">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5.视频拍摄需严格按照最新的行业工艺操作流程和规范标准执行，所有操作动作、步骤、参数均需符合国家及行业发布的新标准。</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6.实景拍摄在符合专业特性的场地，配置专业灯光设备和实现1-2机位拍摄，配备编导人员作为拍摄现场指导，场地由校方提供。</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7.要求视频图像清晰，声音和画面同步，播放时没有明显的噪点，播放流畅。</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8.根据课程内容需要，可使用升格、降格拍摄技术实现对操作画面慢动作或快动作的效果。</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9.不含航拍、高空拍摄、潜拍等特殊拍摄方式；</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10.实景拍摄画面包装以突出课程特点为方向使用AE特效软件进行包装加工美化，配合辅助文字、辅助线和重点提示等条充分展示课程知识点内容。</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 xml:space="preserve">11.视频压缩采用H.264(MPEG-4 Part10：profile=main, </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level=1.0)编码方式，码流率3Mbps以上，帧率≥25fps，分辨率≥1920×1080（16:9）声音和画面要求同步，无交流声或其他杂音等缺陷，无明显失真、放音过冲、过弱。</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12.存储格式采用mp4存储格式。</w:t>
            </w:r>
          </w:p>
          <w:p w14:paraId="5C9662DC">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13.</w:t>
            </w:r>
            <w:r>
              <w:rPr>
                <w:rFonts w:hint="eastAsia" w:ascii="宋体" w:hAnsi="宋体" w:eastAsia="宋体" w:cs="宋体"/>
                <w:sz w:val="21"/>
                <w:szCs w:val="21"/>
                <w:highlight w:val="none"/>
              </w:rPr>
              <w:t>供应商负责资源上传智慧职教及超星教学平台。</w:t>
            </w:r>
          </w:p>
        </w:tc>
      </w:tr>
      <w:tr w14:paraId="1470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483" w:type="dxa"/>
            <w:vAlign w:val="center"/>
          </w:tcPr>
          <w:p w14:paraId="224F618F">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9</w:t>
            </w:r>
          </w:p>
        </w:tc>
        <w:tc>
          <w:tcPr>
            <w:tcW w:w="1017" w:type="dxa"/>
            <w:vAlign w:val="center"/>
          </w:tcPr>
          <w:p w14:paraId="65B894A8">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二维动画</w:t>
            </w:r>
          </w:p>
        </w:tc>
        <w:tc>
          <w:tcPr>
            <w:tcW w:w="633" w:type="dxa"/>
            <w:gridSpan w:val="2"/>
            <w:shd w:val="clear" w:color="auto" w:fill="FFFFFF"/>
            <w:vAlign w:val="center"/>
          </w:tcPr>
          <w:p w14:paraId="3137AE91">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02561DF7">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7467" w:type="dxa"/>
            <w:vAlign w:val="center"/>
          </w:tcPr>
          <w:p w14:paraId="216977F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1.二维动画总时长不少于 20分钟，数量不低于20个，按动画脚本适配时长。</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2.动画内容应符合我国法律法规，尊重各民族的风俗习惯，版权不存在争议。</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3.动画既可以作为微课程插入素材，又可以作为独立素材呈现。</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4.动画要求画面简洁清晰，界面友好，动画演播过程流畅，节奏合适。</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5.文件格式</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（1）媒体类型：动画；</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（2）扩展名： *.mp4；</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（3）说明：使用 mp4 格式。</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6.动画主要技术标准要求</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品质要求：动画的开始要有醒目的标题，标题要能够体现动画所表现的内容；动画中如果有文字，文字要醒目，文字的字体、字号与内容协调，字体颜色避免与背景色相近；动画色彩造型应和谐，要求画面简洁清晰，界面友好；动画连续，节奏合适，帧和帧之间的关联性强；如果有解说，教师录制配音，配音普通话二级甲等以上，无噪音，声音悦耳，音量适当，快慢适度；动画如果有背景音乐，背景音乐音量不宜过大，音乐与内容相符；动画演播过程要流畅，静止画面时间不超过 5 秒钟；转化为视频的动画，视频压缩采用 H.264(MPEG-4 Part10：profile=main, level=1.0)编码方式，码流率3Mbps以上，帧率不低于 25 fps，分辨率不低于1920×1080（16:9）声音和画面要求同步，无交流声或其他杂音等缺陷，无明显失真、放音过冲、过弱；</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内容要求：动画内容符合我国现行法律法规，尊重各民族的风俗习惯，版权不存在争议；若其中包含少数民族或外国语言文字信息，应遵循其原内容完整性，使用原语言进行处理；有明确的版权标识信息，所呈现或使用素材不涉及版权问题；</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（3）存储格式：采用mp4 存储格式。</w:t>
            </w:r>
          </w:p>
          <w:p w14:paraId="5A62A60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7.二维动画成品、源文件（.aep/.fla等）及中间素材著作权归校方所有。</w:t>
            </w:r>
          </w:p>
          <w:p w14:paraId="2B5E0E79">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8.</w:t>
            </w:r>
            <w:r>
              <w:rPr>
                <w:rFonts w:hint="eastAsia" w:ascii="宋体" w:hAnsi="宋体" w:eastAsia="宋体" w:cs="宋体"/>
                <w:sz w:val="21"/>
                <w:szCs w:val="21"/>
                <w:highlight w:val="none"/>
              </w:rPr>
              <w:t>供应商负责资源上传智慧职教及超星教学平台。</w:t>
            </w:r>
          </w:p>
        </w:tc>
      </w:tr>
      <w:tr w14:paraId="665D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464A1FEE">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10</w:t>
            </w:r>
          </w:p>
        </w:tc>
        <w:tc>
          <w:tcPr>
            <w:tcW w:w="1017" w:type="dxa"/>
            <w:vAlign w:val="center"/>
          </w:tcPr>
          <w:p w14:paraId="3B431196">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三维动画</w:t>
            </w:r>
          </w:p>
        </w:tc>
        <w:tc>
          <w:tcPr>
            <w:tcW w:w="633" w:type="dxa"/>
            <w:gridSpan w:val="2"/>
            <w:shd w:val="clear" w:color="auto" w:fill="FFFFFF"/>
            <w:vAlign w:val="center"/>
          </w:tcPr>
          <w:p w14:paraId="38DEE689">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631" w:type="dxa"/>
            <w:vAlign w:val="center"/>
          </w:tcPr>
          <w:p w14:paraId="5189F6B1">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7467" w:type="dxa"/>
            <w:vAlign w:val="center"/>
          </w:tcPr>
          <w:p w14:paraId="12E6CE3F">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1.三维动画总时长不少于 3 分钟，数量不低于6个，按动画脚本适配时长。</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2.动画内容应符合我国法律法规，尊重各民族的风俗习惯，版权不存在争议。</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3.动画既可以作为微课程插入素材，又可以作为独立素材呈现。</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4.使用3D maya、C4D等三维动画软件制作，采用常见存储格式1920×1080（16:9）的mp4格式、mov格式。</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5.动画色彩造型应和谐，画面流畅，动画节奏连续，节奏合适，帧和帧之间的关联性要强。</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6.动画如果有背景音乐，背景音乐音量不宜过大，音乐与内容相符。</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7.动画演播过程要流畅，静止画面时间不超过5秒钟。动画内容版权不存在争议，有明确的版权标识信息。</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8.动画的开始要有醒目的标题，标题要能够体现动画所表现的内容。</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9.如果有解说，教师录制配音，配音应标准，无噪音，声音悦耳，音量适当，快慢适度。</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10.动画演播过程要流畅，静止画面时间不超过5秒钟，视频压缩采用H.264(MPEG-4 Part10：profile=main, level=1.0)编码方式，码流率3Mbps以上，帧率不低于25fps，分辨率不低于1920×1080（16:9）声音和画面要求同步，无交流声或其他杂音等缺陷，无明显失真、放音过冲、过弱。</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11.动画内容符合我国法律法规，尊重各民族的风俗习惯，版权不存在争议。若其中包含少数民族或外国语言文字信息，应遵循其原内容完整性，使用原语言进行处理。有明确的版权标识信息，版权不得存在争议。</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12.存储格式采用mp4存储格式。</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13.渲染输出规格不低于1920×1080（16:9）。</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14.课程资源建设过程中的素材及课程产品产权属于校方。</w:t>
            </w:r>
          </w:p>
          <w:p w14:paraId="768EA7B2">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kern w:val="0"/>
                <w:sz w:val="21"/>
                <w:szCs w:val="21"/>
                <w:highlight w:val="none"/>
                <w:lang w:bidi="ar"/>
              </w:rPr>
              <w:t>15</w:t>
            </w:r>
            <w:r>
              <w:rPr>
                <w:rFonts w:hint="eastAsia" w:ascii="宋体" w:hAnsi="宋体" w:eastAsia="宋体" w:cs="宋体"/>
                <w:sz w:val="21"/>
                <w:szCs w:val="21"/>
                <w:highlight w:val="none"/>
              </w:rPr>
              <w:t>供应商负责资源上传智慧职教及超星教学平台。</w:t>
            </w:r>
          </w:p>
        </w:tc>
      </w:tr>
      <w:tr w14:paraId="7D99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3D7BE696">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11</w:t>
            </w:r>
          </w:p>
        </w:tc>
        <w:tc>
          <w:tcPr>
            <w:tcW w:w="1017" w:type="dxa"/>
            <w:vAlign w:val="center"/>
          </w:tcPr>
          <w:p w14:paraId="66DEB0CD">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课程思政案例视频</w:t>
            </w:r>
          </w:p>
        </w:tc>
        <w:tc>
          <w:tcPr>
            <w:tcW w:w="633" w:type="dxa"/>
            <w:gridSpan w:val="2"/>
            <w:shd w:val="clear" w:color="auto" w:fill="FFFFFF"/>
            <w:vAlign w:val="center"/>
          </w:tcPr>
          <w:p w14:paraId="2305E3F1">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631" w:type="dxa"/>
            <w:vAlign w:val="center"/>
          </w:tcPr>
          <w:p w14:paraId="512297CD">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vAlign w:val="center"/>
          </w:tcPr>
          <w:p w14:paraId="28D6D020">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1.课程思政案例视频制作12个，每个时长3-5分钟，总时长不少于48分钟。</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2.思政案例内容应符合我国法律法规，尊重各民族的风俗习惯，版权不存在争议。</w:t>
            </w:r>
          </w:p>
          <w:p w14:paraId="2F8C59A5">
            <w:pPr>
              <w:keepNext w:val="0"/>
              <w:keepLines w:val="0"/>
              <w:pageBreakBefore w:val="0"/>
              <w:kinsoku/>
              <w:wordWrap/>
              <w:overflowPunct/>
              <w:topLinePunct w:val="0"/>
              <w:bidi w:val="0"/>
              <w:snapToGrid/>
              <w:spacing w:line="400" w:lineRule="exact"/>
              <w:jc w:val="left"/>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3.思政案例视频需将四新发展与思政育人深度融合，选取智能制造领域企业在四新研发、应用、推广中的典型案例，融入爱国情怀、工匠精神、技术创新、职业素养、标准意识等思政元素。</w:t>
            </w:r>
            <w:r>
              <w:rPr>
                <w:rFonts w:hint="eastAsia" w:ascii="宋体" w:hAnsi="宋体" w:eastAsia="宋体" w:cs="宋体"/>
                <w:sz w:val="21"/>
                <w:szCs w:val="21"/>
                <w:highlight w:val="none"/>
              </w:rPr>
              <w:t>课程思政案例视频脚本由供应商编写，必须通过校方审核。</w:t>
            </w:r>
          </w:p>
          <w:p w14:paraId="2476E44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4.案例内容需体现广西及东盟区域智能制造产业四新发展成果，展现本土企业的技术创新能力和行业担当，增强学生的区域产业认同感和职业自豪感。</w:t>
            </w:r>
          </w:p>
          <w:p w14:paraId="39A76CB9">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5.视频中需结合案例讲解四新发展对职业素养的新要求，如严格执行新规范新标准、精益求精的工艺态度、持续学习新技术的能力等。</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6.思政案例要求以视频为主要载体，为围绕某个知识点/行业发展关注点展开、基于教学设计的学习资源。含片头、片尾、教师出镜拍摄、教师录制配音、PPT穿插、适量添加PPT内置动画效果包装、实景拍摄、后期剪辑合成。</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7.根据课程需要，协助教学团队完成多种拍摄场地的教学场景设计及布景。根据课程性质，课程制作团队与教师一起确定课程最合理的拍摄方式。提供以下4种的拍摄模式供老师选择，特殊课程可根据老师课程框架设计更多拍摄模式，一门课程可以采用多种拍摄模式：</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（1）抠像+PPT 模式 ：在摄影棚内拍摄教师出镜和配音，全程 PPT 演示。</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（2）场景实操模式 ：根据老师课程需求，选择在特定拍摄场地，多机位拍摄。</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（3）随堂拍摄模式：随堂拍摄，多机位拍摄，记录老师讲课现场风采。</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（4）访谈式：在摄影棚内或与课程风格贴近的实景场地拍摄，根据访谈人数，设定机位数 一般 2 机位，教学过程由多位老师交流讨论完成。适合启发性的、思维拓展和发散的学科课程。</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8.模板应用：在老师提供PPT初稿的基础上重新进行符合课程内容特点的PPT美化设计，包含不同板块的背景、教师出镜背景、人名条、章节页、画中画框、关键字美化框等元素。模板朴素、大方，颜色适宜，便于长时间观看；在模板的适当位置标明课程名称、模块（章或节）序号与模块（章或节）的名称，多个页面均有的相同元素，如背景、按钮、标题、页码等，可以使用幻灯片母版来实现。课程中使用到的课程专业图片由教师提供且无版权争议。</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9.视频采用MP4格式封装。</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10.使用专业的影视拍摄设备，配备广播级专业录音设备，视频画质高清、色彩鲜明、曝光合理、音质清晰；</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11.实操场景拍摄，在符合专业特性的场地，配置专业灯光设备和实现1-2机位拍摄，配备编导人员作为拍摄现场指导，场地由校方提供。</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12.不含航拍、高空拍摄、潜拍等特殊拍摄方式；后期包装不含二维动画、三维动画制作。</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13.字幕要使用符合国家标准的规范字，不出现繁体字、异体字(国家规定的除外)、错别字；字幕的字体、大小、色彩搭配、摆放位置、停留时间、出入屏方式力求与其他要素（画面、解说词、音乐）配合适当，不能破坏原有画面。</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14.视频要求图像清晰，声音和画面同步，播放时没有明显的噪点，播放流畅。</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15.根据课程内容提供片头、片尾，时长不少于3秒。</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16.采用H.264/AVC（MPEG-4 Part10）编码格式压缩；分辨率不低于1920x1080（16:9），音频采用AAC（MPEG4 Part3）格式压缩。</w:t>
            </w:r>
          </w:p>
          <w:p w14:paraId="543D9C46">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17.</w:t>
            </w:r>
            <w:r>
              <w:rPr>
                <w:rFonts w:hint="eastAsia" w:ascii="宋体" w:hAnsi="宋体" w:eastAsia="宋体" w:cs="宋体"/>
                <w:sz w:val="21"/>
                <w:szCs w:val="21"/>
                <w:highlight w:val="none"/>
              </w:rPr>
              <w:t>供应商负责资源上传智慧职教及超星教学平台。</w:t>
            </w:r>
          </w:p>
        </w:tc>
      </w:tr>
      <w:tr w14:paraId="5073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06BE62F7">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12</w:t>
            </w:r>
          </w:p>
        </w:tc>
        <w:tc>
          <w:tcPr>
            <w:tcW w:w="1017" w:type="dxa"/>
            <w:vAlign w:val="center"/>
          </w:tcPr>
          <w:p w14:paraId="0394835C">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课程思政案例文本</w:t>
            </w:r>
          </w:p>
        </w:tc>
        <w:tc>
          <w:tcPr>
            <w:tcW w:w="633" w:type="dxa"/>
            <w:gridSpan w:val="2"/>
            <w:shd w:val="clear" w:color="auto" w:fill="FFFFFF"/>
            <w:vAlign w:val="center"/>
          </w:tcPr>
          <w:p w14:paraId="7773A936">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w:t>
            </w:r>
          </w:p>
        </w:tc>
        <w:tc>
          <w:tcPr>
            <w:tcW w:w="631" w:type="dxa"/>
            <w:vAlign w:val="center"/>
          </w:tcPr>
          <w:p w14:paraId="7798DCCD">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vAlign w:val="center"/>
          </w:tcPr>
          <w:p w14:paraId="7F7BCFF9">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 编制不少于20个课程思政案例文本，每个案例文本不少于800字，要求与课程知识点、行业岗位要求深度结合，可与思政案例视频配套或独立使用。</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2. 结构完整，包含案例主题、背景、内容（专业+思政）、分析、教学应用建议、思政育人目标等，思政元素融入自然。</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3. 案例涵盖爱国情怀、工匠精神、职业素养等维度，贴合行业实际，具有典型性和指导性，教学应用建议明确可操作。</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4. 符合国家职业教育思政育人要求，单个案例字数适中，便于课堂教学使用。</w:t>
            </w:r>
            <w:r>
              <w:rPr>
                <w:rFonts w:hint="eastAsia" w:ascii="宋体" w:hAnsi="宋体" w:eastAsia="宋体" w:cs="宋体"/>
                <w:kern w:val="0"/>
                <w:sz w:val="21"/>
                <w:szCs w:val="21"/>
                <w:highlight w:val="none"/>
                <w:lang w:bidi="ar"/>
              </w:rPr>
              <w:br w:type="textWrapping"/>
            </w:r>
            <w:r>
              <w:rPr>
                <w:rFonts w:hint="eastAsia" w:ascii="宋体" w:hAnsi="宋体" w:eastAsia="宋体" w:cs="宋体"/>
                <w:kern w:val="0"/>
                <w:sz w:val="21"/>
                <w:szCs w:val="21"/>
                <w:highlight w:val="none"/>
                <w:lang w:bidi="ar"/>
              </w:rPr>
              <w:t>5. 交付WORD可编辑版及PDF正式版各1份，按思政维度/课程模块分类，格式规范、排版整洁、无文字及语法错误。</w:t>
            </w:r>
          </w:p>
        </w:tc>
      </w:tr>
      <w:tr w14:paraId="1382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6C9B0148">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13</w:t>
            </w:r>
          </w:p>
        </w:tc>
        <w:tc>
          <w:tcPr>
            <w:tcW w:w="1017" w:type="dxa"/>
            <w:vAlign w:val="center"/>
          </w:tcPr>
          <w:p w14:paraId="04D7806A">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kern w:val="0"/>
                <w:sz w:val="21"/>
                <w:szCs w:val="21"/>
                <w:highlight w:val="none"/>
                <w:lang w:bidi="ar"/>
              </w:rPr>
              <w:t>AI智慧课程</w:t>
            </w:r>
          </w:p>
        </w:tc>
        <w:tc>
          <w:tcPr>
            <w:tcW w:w="633" w:type="dxa"/>
            <w:gridSpan w:val="2"/>
            <w:shd w:val="clear" w:color="auto" w:fill="FFFFFF"/>
            <w:vAlign w:val="center"/>
          </w:tcPr>
          <w:p w14:paraId="66F43B71">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631" w:type="dxa"/>
            <w:vAlign w:val="center"/>
          </w:tcPr>
          <w:p w14:paraId="0FEEF2D8">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门</w:t>
            </w:r>
          </w:p>
        </w:tc>
        <w:tc>
          <w:tcPr>
            <w:tcW w:w="7467" w:type="dxa"/>
            <w:vAlign w:val="center"/>
          </w:tcPr>
          <w:p w14:paraId="00B055B0">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AI智慧课程2门，智慧课程建设功能使用1年，建成资源版权归学校所有。智慧课程建设及服务期限为1年（自平台上线正常运行之日起算）。服务期内，供应商提供包含云存储、云计算、AI功能调用、技术支持在内的全部服务。服务期届满后，供应商需将课程所有数据（包括但不限于课程内容、知识图谱结构、学生学习档案）以通用格式（如XML、JSON）完整导出并交付给校方，并提供基于静态数据的永久本地化浏览解决方案或镜像站点。</w:t>
            </w:r>
          </w:p>
          <w:p w14:paraId="175D1140">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一、教师建课空间</w:t>
            </w:r>
          </w:p>
          <w:p w14:paraId="090AFE1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1.新建课程，支持将现有运行在平台中的在线精品课程和资源库课程，同步至AI优课平台。</w:t>
            </w:r>
          </w:p>
          <w:p w14:paraId="1A3B674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2.课程维护</w:t>
            </w:r>
          </w:p>
          <w:p w14:paraId="3D54E6B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（1）支持对导入的课程信息再次编辑，包括课程封面、介绍视频，简介、关键词、教材等其他信息；</w:t>
            </w:r>
          </w:p>
          <w:p w14:paraId="1282622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（2）支持对章、节、讲名称进行编辑，并可排序、删除等重组，可在课程设计添加作业、测验、考试；</w:t>
            </w:r>
          </w:p>
          <w:p w14:paraId="67B81B5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（3）教学团队维护，支持添加、删除教学团队成员，实现教师团队成员的展示；支持教学团队成员修改简介等个人信息；</w:t>
            </w:r>
          </w:p>
          <w:p w14:paraId="49988EB5">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（4）学员管理，支持对学员的详细信息进行查询，对学员进行管理等。</w:t>
            </w:r>
          </w:p>
          <w:p w14:paraId="131D58C6">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3.课程教学</w:t>
            </w:r>
          </w:p>
          <w:p w14:paraId="6FC25985">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（1）课程公告管理，支持公告展示、添加、编辑、删除等内容；</w:t>
            </w:r>
          </w:p>
          <w:p w14:paraId="49C7FC39">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（2）课程讨论，支持话题讨论、话题管理、回复、评论等内容；</w:t>
            </w:r>
          </w:p>
          <w:p w14:paraId="67E48D96">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（3）课程答疑，支持针对学生答疑，进行回复与解答，支持教师自主回答或AI回答；</w:t>
            </w:r>
          </w:p>
          <w:p w14:paraId="00551502">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（4）课程评价，支持教师对课程评价内容进行置顶、删除、回复等。</w:t>
            </w:r>
          </w:p>
          <w:p w14:paraId="622EEA5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4.考核与证书</w:t>
            </w:r>
          </w:p>
          <w:p w14:paraId="3F807FB9">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（1）支持拖拽成绩区间按钮，设置成绩的不合格，合格优秀三级的成绩区间范围；</w:t>
            </w:r>
          </w:p>
          <w:p w14:paraId="24A8074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（2）支持设置各项内容成绩计算占比。考试、在线作业、测验以及主题讨论可配置项明细；</w:t>
            </w:r>
          </w:p>
          <w:p w14:paraId="34FA9EA7">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（3）支持设置分数，分数达到要求的同学可以申请证书。</w:t>
            </w:r>
          </w:p>
          <w:p w14:paraId="1A8E92BC">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5.题库管理</w:t>
            </w:r>
          </w:p>
          <w:p w14:paraId="72CF762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（1）支持题目信息查看，删除，编辑题目的难度和标签；</w:t>
            </w:r>
          </w:p>
          <w:p w14:paraId="41747282">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（2）支持通过关键词查询题目信息；</w:t>
            </w:r>
          </w:p>
          <w:p w14:paraId="44800B72">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（3）支持从课程原始平台的其他课期导入题目；</w:t>
            </w:r>
          </w:p>
          <w:p w14:paraId="039B0A8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（4）支持通过题型、难度以及标签进行题目筛选。</w:t>
            </w:r>
          </w:p>
          <w:p w14:paraId="787A7E5E">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6.作业考试测验</w:t>
            </w:r>
          </w:p>
          <w:p w14:paraId="59A953BE">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（1）支持设置题目乱序、选项乱序、多选题计分方式、答案和成绩公布时间；</w:t>
            </w:r>
          </w:p>
          <w:p w14:paraId="416EBE3E">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（2）支持手动出题和随机出题两种出题方式；</w:t>
            </w:r>
          </w:p>
          <w:p w14:paraId="5E802D26">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（3）支持预览、编辑、删除和查看；</w:t>
            </w:r>
          </w:p>
          <w:p w14:paraId="0ADB1A1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（4）支持客观题系统自动批阅，主观题支持AI智能批阅。</w:t>
            </w:r>
          </w:p>
          <w:p w14:paraId="1BA551D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7.数据统计</w:t>
            </w:r>
          </w:p>
          <w:p w14:paraId="015582BF">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成果统计，支持对课程数据进行展示及分析，包括累计开课总数、累计选课人数、学员所属单位、累计互动次数、累计日志总数、教学团队统计、知识图谱建设数据展示、教学资源统计、教学活动统计等，并根据课程内容变化实时更新；</w:t>
            </w:r>
          </w:p>
          <w:p w14:paraId="3934E5EF">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（2）教学大屏，包括学习数据统计展示、教学活动数据统计展示、成绩统计展示，并提供课程大数据分析，包括学习人次、人均进度、合格率趋势、学习行为统计、人均掌握度分析等内容。</w:t>
            </w:r>
          </w:p>
          <w:p w14:paraId="41ADBDAE">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8.消息通知，支持查看发送的信息及收到的信息。</w:t>
            </w:r>
          </w:p>
          <w:p w14:paraId="70B0203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9.收藏夹，支持教师查看收藏的课程和收藏的资源等内容。</w:t>
            </w:r>
          </w:p>
          <w:p w14:paraId="273B0F9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二、知识图谱建设</w:t>
            </w:r>
          </w:p>
          <w:p w14:paraId="3B6EA566">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依托平台的知识图谱构建功能，支持建设本课程专属知识图谱，并支持实时在教师建课后台、前端门户展示。</w:t>
            </w:r>
          </w:p>
          <w:p w14:paraId="3B87267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1.支持教师手动创建图谱，同时支持依据图谱导入模板格式一键导入，自动生成图谱。</w:t>
            </w:r>
          </w:p>
          <w:p w14:paraId="7A423B6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2.支持根据课程结构自动创建图谱，同时支持以知识技能树、知识图谱两种形式展示课程结构。</w:t>
            </w:r>
          </w:p>
          <w:p w14:paraId="148FC96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3.支持将图谱节点与该教师统一资源中心的资源相关联，建立课程知识点与资源的绑定关系。</w:t>
            </w:r>
          </w:p>
          <w:p w14:paraId="58D77D8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4.支持对图谱结构进行编辑，包括添加节点、添加关系、描述节点、关联标签、搜索节点，同时支持切换图谱结构。</w:t>
            </w:r>
          </w:p>
          <w:p w14:paraId="73D20A5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5.课程负责人可添加创建图谱的团队成员。</w:t>
            </w:r>
          </w:p>
          <w:p w14:paraId="163E17A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6.课程负责人支持给团队成员分配协作权限及协作节点。</w:t>
            </w:r>
          </w:p>
          <w:p w14:paraId="4F4204F6">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7.课程负责人可查看协作任务详情，修改任务分配人，修改任务截止时间，选择该项目任务负责人等。</w:t>
            </w:r>
          </w:p>
          <w:p w14:paraId="769B511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8.支持团队成员编辑完成提交后到课程主持人进行审核。</w:t>
            </w:r>
          </w:p>
          <w:p w14:paraId="6D6CA21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三、课程智能体建设</w:t>
            </w:r>
          </w:p>
          <w:p w14:paraId="423D00F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基于高教社Lovong大模型核心能力，训练解析基于本课程的课程级智能体，提供课程级别的智能问答助手。</w:t>
            </w:r>
          </w:p>
          <w:p w14:paraId="2998C2B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1.支持课程智能体负责人查看当前已被分配的智能体项目信息列表。</w:t>
            </w:r>
          </w:p>
          <w:p w14:paraId="626E2677">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2.支持课程智能体负责人为项目添加多个训练人员和审核人员。</w:t>
            </w:r>
          </w:p>
          <w:p w14:paraId="5997ED88">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3.支持课程智能体负责人对语料进行新增、修改、删除、审核及查看。</w:t>
            </w:r>
          </w:p>
          <w:p w14:paraId="2F250DA6">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4.支持课程智能体负责人查看已上传的全部语料资源信息，含资源名称、格式类型、资源容量、数据来源、上传时间、上传人、所属单位、审核人、状态、操作等信息，并可选择查看、审核、删除等功能操作。</w:t>
            </w:r>
          </w:p>
          <w:p w14:paraId="0EA732D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5.支持课程智能体负责人对课程问答对管理，包括新增问答，可查看课程智能体中已提交的问答对列表，可对问答对进行新增、修改、删除、审核、查看。</w:t>
            </w:r>
          </w:p>
          <w:p w14:paraId="465A9CD5">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6.支持训练人员查看课程智能体所有语料资源。</w:t>
            </w:r>
          </w:p>
          <w:p w14:paraId="4E9FD23E">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7.支持训练人员新增、添加语料，查看语料资源的详情信息及状态。</w:t>
            </w:r>
          </w:p>
          <w:p w14:paraId="05D8DDD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8.支持训练人员对问答对进行新增，可查看已提交、待审核、通过、未通过的问答对列表。</w:t>
            </w:r>
          </w:p>
          <w:p w14:paraId="4893B8C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9.支持审核人员查看待审核的语料资源、问答对，已审核语料和问答对。</w:t>
            </w:r>
          </w:p>
          <w:p w14:paraId="021DF1F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10.支持审核人员查看语料资源的详情信息及状态，可对待审核语料资源进行审核。</w:t>
            </w:r>
          </w:p>
          <w:p w14:paraId="1AD1DEA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11.支持审核人员对问答对详情数据进行查看及审核。</w:t>
            </w:r>
          </w:p>
          <w:p w14:paraId="2A396922">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12.在讨论区与答疑区接入课程智能体，智能自动解答学生发起的讨论与答疑，并把数据回传给教师，教师可对数据进行调优。</w:t>
            </w:r>
          </w:p>
          <w:p w14:paraId="6880D87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四、AI工具集</w:t>
            </w:r>
          </w:p>
          <w:p w14:paraId="6E566FD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1.AI批阅，依托大模型与智能体技术，结合评分标准，深入剖析答案内容，高效批改作业与考试，自动打分并提供智能批语。</w:t>
            </w:r>
          </w:p>
          <w:p w14:paraId="57949C3C">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（1）支持自动分析学生的回答，提供总结性评价，智能批阅简答题目，产出评语、评分等；</w:t>
            </w:r>
          </w:p>
          <w:p w14:paraId="34E47198">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（2）针对内容提供细致评价，提供更为细致的智能批阅结果，如逐句评价等；</w:t>
            </w:r>
          </w:p>
          <w:p w14:paraId="67C7DA77">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（3）提供其他维度评阅结果，如针对某道题目产出其在学习态度、认知能力、表达能力能方便的评价等；</w:t>
            </w:r>
          </w:p>
          <w:p w14:paraId="094C746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（4）题目生成反馈与优化，支持教师针对智能生成结果进行反馈，不断优化之后生成的题目质量。</w:t>
            </w:r>
          </w:p>
          <w:p w14:paraId="55A9A0E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2.AI课程教学报告，针对课程中产生的教学行为过程数据，提供课程教学报告，报告在提供基础教学数据的基础上，推出更为新颖的评价指标和维度。</w:t>
            </w:r>
          </w:p>
          <w:p w14:paraId="64A1CB6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（1）根据学习用户量、成绩分布、进度分布、课程建设内容等指标形成课程的归纳总结；</w:t>
            </w:r>
          </w:p>
          <w:p w14:paraId="2C5865E5">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（2）总结课程最需要关注的数据，包括表现最突出的学生、最受欢迎的资源、整体分数最好的一场考试、最需要关注的知识点等；</w:t>
            </w:r>
          </w:p>
          <w:p w14:paraId="79B362E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（3）生成AI课程教学评价，包括知识点掌握程度评价、知识点掌握程度、学生能力排行榜、个人能力分析等。</w:t>
            </w:r>
          </w:p>
          <w:p w14:paraId="584670B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3.AI学习助手</w:t>
            </w:r>
          </w:p>
          <w:p w14:paraId="708A8CD8">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（1）课程学习，配套展示在对应课程学习的页面，支持学生随时调用，进行基于课程内容学习的过程性问答；</w:t>
            </w:r>
          </w:p>
          <w:p w14:paraId="48413020">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（2）讨论支持，在讨论区自动解答学生发起的讨论问题，并把数据回传给教师，教师可对数据进行调优；</w:t>
            </w:r>
          </w:p>
          <w:p w14:paraId="485ACCE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（3）答疑支持，在答疑区自动解答学生发起的讨论问题，并把数据回传给教师，教师可对数据进行调优。</w:t>
            </w:r>
          </w:p>
          <w:p w14:paraId="0408E8F9">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4.AI视频理解，对课程视频资源提供章节速览、视频总结、字幕提取、实时翻译、热词解析等智能功能，帮助学生提升学习效率。</w:t>
            </w:r>
          </w:p>
          <w:p w14:paraId="7CB5A8C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（1）AI视频速览，使用多模态技术对视频进行切片，梳理视频资源的知识点，并可更根据知识点点击跳转对应视频片段；</w:t>
            </w:r>
          </w:p>
          <w:p w14:paraId="68C6D3D6">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（2）AI视频字幕及实时翻译，自动生成视频字幕，支持中英双语；</w:t>
            </w:r>
          </w:p>
          <w:p w14:paraId="3B311A55">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（3）AI视频总结，基于视频内容自动提取生成视频概要总结；</w:t>
            </w:r>
          </w:p>
          <w:p w14:paraId="3A03EBD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（4）AI热词解析，自动生成热词词云，点击词云，即可支持基于词云的对话；</w:t>
            </w:r>
          </w:p>
          <w:p w14:paraId="7627C5A7">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（5）基于视频内容的对话，基于视频内容解答学生知识性问题，并可做好问题内容安全审核及无法回答问题等的处理。</w:t>
            </w:r>
          </w:p>
          <w:p w14:paraId="05DC68B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5.AI文档解析</w:t>
            </w:r>
          </w:p>
          <w:p w14:paraId="4D10E94F">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（1）支持多种文档格式上传，并可基于文档进行问答对话，并可反馈不满意回答后重新生成回复；</w:t>
            </w:r>
          </w:p>
          <w:p w14:paraId="10503282">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（2）支持基于文档的分层级总结，并可对重点内容特殊标记。</w:t>
            </w:r>
          </w:p>
          <w:p w14:paraId="1F29A835">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6.AI错题解析，为学生设计的一项智能化服务，当学生在学习过程中遇到错题且没有解析时，AI错题解析将可智能解析错因并同时提供相关知识点资源展示。</w:t>
            </w:r>
          </w:p>
          <w:p w14:paraId="36D67AC7">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7.AI学习报告，根据学生参与度、成绩、学习风格和偏好、学习路径和薄弱点知识点分析生成AI学习报告。</w:t>
            </w:r>
          </w:p>
          <w:p w14:paraId="57CA094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（1）根据登录频率、学习时长、课程资源内容学习情况、讨论答疑数据、测验和作业完成情况分析学生的参与度，将数据给到大模型，生成总结性评语；</w:t>
            </w:r>
          </w:p>
          <w:p w14:paraId="0A374335">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（2）将学习材料类型偏好、学习时间分布散点图、学习成绩趋势、难点掌握情况数据给到大模型，生成学生的学习习惯类型，提升学生学习内驱力。</w:t>
            </w:r>
          </w:p>
          <w:p w14:paraId="091AD77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五、个性化学习空间</w:t>
            </w:r>
          </w:p>
          <w:p w14:paraId="6FAE92B6">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1.课程学习</w:t>
            </w:r>
          </w:p>
          <w:p w14:paraId="53D4045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（1）内容学习，支持学习课程资源内容，包括视频、图片、文档、富媒体、音频等课程资源的在线学习，并记录学习过程数据；</w:t>
            </w:r>
          </w:p>
          <w:p w14:paraId="5D95B699">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（2）课程公告查看，支持展示并可教师发布的课程公告；</w:t>
            </w:r>
          </w:p>
          <w:p w14:paraId="3CDB02D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（3）作业、测验、考试，支持学生进行课程中的作业、测验、考试等活动作答，实现在线完成答题、提交、查看等功能；</w:t>
            </w:r>
          </w:p>
          <w:p w14:paraId="35FFB57C">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（4）个人成绩，支持查看成绩展示模块，包括综合成绩、分项得分、得分占比情况、各分项得分分布等内容；</w:t>
            </w:r>
          </w:p>
          <w:p w14:paraId="1900AA25">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（5）课程讨论，支持学生参与课程讨论，包括话题评论、回复、点赞等功能；</w:t>
            </w:r>
          </w:p>
          <w:p w14:paraId="7EF675E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（6）课程答疑，支持学生在答疑区发起问题，教师可对问题进行解答；</w:t>
            </w:r>
          </w:p>
          <w:p w14:paraId="7CCCA9F2">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（7）课程笔记，支持学生学习时，创建课程笔记。</w:t>
            </w:r>
          </w:p>
          <w:p w14:paraId="56D44C3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2.消息通知，支持学生查看发送的信息及收到的信息，并可进行回复。</w:t>
            </w:r>
          </w:p>
          <w:p w14:paraId="14A080DF">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3.收藏夹，支持学生查看收藏的课程和收藏的资源等内容。</w:t>
            </w:r>
          </w:p>
          <w:p w14:paraId="321ECC27">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4.学习计划，支持学生制定学习计划，系统根据学生制定的学习计划进行消息提示与督促，实时更新展示学习计划的完成程度。</w:t>
            </w:r>
          </w:p>
          <w:p w14:paraId="6EC34D68">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5.我的证书，支持申请已学习通过的课程证书，展示课程证书、下载课程证书。</w:t>
            </w:r>
          </w:p>
          <w:p w14:paraId="3143420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6.课程图谱以自由分布和有序呈现两种方式展示课程结构，主要用于辅助用户以图谱化的形式学习课程，直观查看节点之间的层级关系。课程图谱包含知识点图谱和技能点图谱，支持以图谱形式呈现整体的课程内容，支持用户查看并学习每个节点下包含的资源、作业、测验、考试。</w:t>
            </w:r>
          </w:p>
          <w:p w14:paraId="541E815E">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7.学情图谱以图谱形式展示出学生的学习进度、考试分数、薄弱知识点，主要用于学生更加直观的查看个人学习情况。</w:t>
            </w:r>
          </w:p>
          <w:p w14:paraId="2FED9D7D">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进度图谱，支持以图谱形式直观呈现课程、每个节点的学习进度；支持用户查看每个节点下包含的学习资源列表，以及各资源的学习进度；支持显示当前节点中所有的资源以及每个资源的学习进度；支持直接点击弹窗中的资源进行学习；</w:t>
            </w:r>
          </w:p>
          <w:p w14:paraId="6D01595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（2）测评图谱，支持以图谱形式直观呈现课程、每个节点的作业、测验、考试的列表及作答成绩；可以进入弹窗中的试卷进行作答；</w:t>
            </w:r>
          </w:p>
          <w:p w14:paraId="04534DDB">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（3）薄弱知识点图谱，支持以图谱形式直观呈现课程、每个节点的资源、作业、测验、考试的整体掌握程度；支持显示掌握程度、学习进度及测评得分率的相关数据。</w:t>
            </w:r>
          </w:p>
          <w:p w14:paraId="60652E8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8.职业图谱呈现出课程内容与岗赛证之间的关系，主要用于辅助大家根据岗位准备、证书及比赛备考等需求来完成课程学习。</w:t>
            </w:r>
          </w:p>
          <w:p w14:paraId="1B3BAF3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1）岗位图谱，支持以图谱形式直观呈现课程、每个节点关联的岗位信息；支持用户查看各个岗位的工作领域、工作任务、技能描述与课程节点的关联关系，支持查看节点设置的岗位、证书等相关信息，支持查看具体资源；</w:t>
            </w:r>
          </w:p>
          <w:p w14:paraId="56574A5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（2）比赛图谱，支持以图谱形式直观呈现课程、每个节点关联的比赛及赛项信息；支持用户查看各个比赛的赛项、赛点与课程节点的关联关系，支持查看节点设置的岗位、证书等相关信息，支持查看具体资源；</w:t>
            </w:r>
          </w:p>
          <w:p w14:paraId="0BFE1E1A">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（3）证书图谱，支持以图谱形式直观呈现课程、每个节点关联的证书信息；支持用户查看各个证书及证书考点与课程节点的关联关系，支持查看节点设置的岗位、证书等相关信息，支持查看具体资源。</w:t>
            </w:r>
          </w:p>
          <w:p w14:paraId="03EC164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9.学情统计，支持查看了解学习过程中各项学习数据的统计情况。包括：成绩、讨论数据、访问数据、学习进度、章节学习次数、学习时长等维度。</w:t>
            </w:r>
          </w:p>
          <w:p w14:paraId="25BF5ED1">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bidi="ar"/>
              </w:rPr>
              <w:t>六、售后服务</w:t>
            </w:r>
          </w:p>
          <w:p w14:paraId="171913E2">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1.中标人应及时完成平台部署，并对采购人使用人员进行操作及日常维护等的培训。</w:t>
            </w:r>
          </w:p>
          <w:p w14:paraId="7C5D4D94">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2.中标人指派专人负责与采购人联系售后服务事宜，通过企业微信、在线客服工具，提供7*24小时在线服务；学校提出问题，在2个小时内给予响应。</w:t>
            </w:r>
          </w:p>
          <w:p w14:paraId="7E566D57">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3.平台采用云计算架构，学校不需要准备本地存储设备；服务期内，由中标人承担云存储空间及带宽加速等云端软硬件环境租用费用（包括但不限于云服务器、带宽、CDN加速）。</w:t>
            </w:r>
          </w:p>
          <w:p w14:paraId="4B1C8E37">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4.对服务期满后，云空间基础功能正常使用，涉及到平台升级、运维保障等服务费用，由双方届时另行协商。</w:t>
            </w:r>
          </w:p>
        </w:tc>
      </w:tr>
      <w:tr w14:paraId="6A5A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3" w:type="dxa"/>
            <w:vAlign w:val="center"/>
          </w:tcPr>
          <w:p w14:paraId="2B224AE4">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14</w:t>
            </w:r>
          </w:p>
        </w:tc>
        <w:tc>
          <w:tcPr>
            <w:tcW w:w="1017" w:type="dxa"/>
            <w:vAlign w:val="center"/>
          </w:tcPr>
          <w:p w14:paraId="4B2BA138">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移动固态硬盘</w:t>
            </w:r>
          </w:p>
        </w:tc>
        <w:tc>
          <w:tcPr>
            <w:tcW w:w="633" w:type="dxa"/>
            <w:gridSpan w:val="2"/>
            <w:shd w:val="clear" w:color="auto" w:fill="FFFFFF"/>
            <w:vAlign w:val="center"/>
          </w:tcPr>
          <w:p w14:paraId="60F0EBE3">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631" w:type="dxa"/>
            <w:vAlign w:val="center"/>
          </w:tcPr>
          <w:p w14:paraId="1A43AA76">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7467" w:type="dxa"/>
          </w:tcPr>
          <w:p w14:paraId="59717959">
            <w:pPr>
              <w:pStyle w:val="59"/>
              <w:keepNext w:val="0"/>
              <w:keepLines w:val="0"/>
              <w:pageBreakBefore w:val="0"/>
              <w:kinsoku/>
              <w:wordWrap/>
              <w:overflowPunct/>
              <w:topLinePunct w:val="0"/>
              <w:bidi w:val="0"/>
              <w:snapToGrid/>
              <w:spacing w:line="400" w:lineRule="exac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1.≥1TB。</w:t>
            </w:r>
          </w:p>
          <w:p w14:paraId="383C7C02">
            <w:pPr>
              <w:pStyle w:val="59"/>
              <w:keepNext w:val="0"/>
              <w:keepLines w:val="0"/>
              <w:pageBreakBefore w:val="0"/>
              <w:kinsoku/>
              <w:wordWrap/>
              <w:overflowPunct/>
              <w:topLinePunct w:val="0"/>
              <w:bidi w:val="0"/>
              <w:snapToGrid/>
              <w:spacing w:line="400" w:lineRule="exac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2.读速:≥1050MB/S。</w:t>
            </w:r>
          </w:p>
          <w:p w14:paraId="6765DDAF">
            <w:pPr>
              <w:pStyle w:val="59"/>
              <w:keepNext w:val="0"/>
              <w:keepLines w:val="0"/>
              <w:pageBreakBefore w:val="0"/>
              <w:kinsoku/>
              <w:wordWrap/>
              <w:overflowPunct/>
              <w:topLinePunct w:val="0"/>
              <w:bidi w:val="0"/>
              <w:snapToGrid/>
              <w:spacing w:line="400" w:lineRule="exac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3.写速:≥1000MB/S。</w:t>
            </w:r>
          </w:p>
          <w:p w14:paraId="61AB6436">
            <w:pPr>
              <w:pStyle w:val="59"/>
              <w:keepNext w:val="0"/>
              <w:keepLines w:val="0"/>
              <w:pageBreakBefore w:val="0"/>
              <w:kinsoku/>
              <w:wordWrap/>
              <w:overflowPunct/>
              <w:topLinePunct w:val="0"/>
              <w:bidi w:val="0"/>
              <w:snapToGrid/>
              <w:spacing w:line="400" w:lineRule="exac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4.≥IP65等级三防保护。</w:t>
            </w:r>
          </w:p>
          <w:p w14:paraId="5A10AAE9">
            <w:pPr>
              <w:pStyle w:val="59"/>
              <w:keepNext w:val="0"/>
              <w:keepLines w:val="0"/>
              <w:pageBreakBefore w:val="0"/>
              <w:kinsoku/>
              <w:wordWrap/>
              <w:overflowPunct/>
              <w:topLinePunct w:val="0"/>
              <w:bidi w:val="0"/>
              <w:snapToGrid/>
              <w:spacing w:line="400" w:lineRule="exac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5.AES256位硬件加密。</w:t>
            </w:r>
          </w:p>
          <w:p w14:paraId="36DEB7CC">
            <w:pPr>
              <w:pStyle w:val="59"/>
              <w:keepNext w:val="0"/>
              <w:keepLines w:val="0"/>
              <w:pageBreakBefore w:val="0"/>
              <w:kinsoku/>
              <w:wordWrap/>
              <w:overflowPunct/>
              <w:topLinePunct w:val="0"/>
              <w:bidi w:val="0"/>
              <w:snapToGrid/>
              <w:spacing w:line="400" w:lineRule="exac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6.≥3米坠落防摔。</w:t>
            </w:r>
          </w:p>
          <w:p w14:paraId="61ADEBBD">
            <w:pPr>
              <w:pStyle w:val="59"/>
              <w:keepNext w:val="0"/>
              <w:keepLines w:val="0"/>
              <w:pageBreakBefore w:val="0"/>
              <w:kinsoku/>
              <w:wordWrap/>
              <w:overflowPunct/>
              <w:topLinePunct w:val="0"/>
              <w:bidi w:val="0"/>
              <w:snapToGrid/>
              <w:spacing w:line="400" w:lineRule="exac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7.保修：提供不少于3年的原厂质保服务。</w:t>
            </w:r>
          </w:p>
        </w:tc>
      </w:tr>
      <w:tr w14:paraId="6DF4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39AC5D03">
            <w:pPr>
              <w:keepNext w:val="0"/>
              <w:keepLines w:val="0"/>
              <w:pageBreakBefore w:val="0"/>
              <w:widowControl/>
              <w:kinsoku/>
              <w:wordWrap/>
              <w:overflowPunct/>
              <w:topLinePunct w:val="0"/>
              <w:bidi w:val="0"/>
              <w:snapToGrid/>
              <w:spacing w:line="400" w:lineRule="exac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▲一、</w:t>
            </w:r>
            <w:r>
              <w:rPr>
                <w:rFonts w:hint="eastAsia" w:ascii="宋体" w:hAnsi="宋体" w:eastAsia="宋体" w:cs="宋体"/>
                <w:b/>
                <w:bCs/>
                <w:color w:val="000000" w:themeColor="text1"/>
                <w:kern w:val="0"/>
                <w:sz w:val="21"/>
                <w:szCs w:val="21"/>
                <w:highlight w:val="none"/>
                <w:lang w:bidi="ar"/>
                <w14:textFill>
                  <w14:solidFill>
                    <w14:schemeClr w14:val="tx1"/>
                  </w14:solidFill>
                </w14:textFill>
              </w:rPr>
              <w:t xml:space="preserve">商务条款 </w:t>
            </w:r>
          </w:p>
        </w:tc>
      </w:tr>
      <w:tr w14:paraId="573D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19436087">
            <w:pPr>
              <w:keepNext w:val="0"/>
              <w:keepLines w:val="0"/>
              <w:pageBreakBefore w:val="0"/>
              <w:kinsoku/>
              <w:wordWrap/>
              <w:overflowPunct/>
              <w:topLinePunct w:val="0"/>
              <w:bidi w:val="0"/>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规范标准</w:t>
            </w:r>
          </w:p>
        </w:tc>
        <w:tc>
          <w:tcPr>
            <w:tcW w:w="8731" w:type="dxa"/>
            <w:gridSpan w:val="4"/>
            <w:tcBorders>
              <w:top w:val="single" w:color="auto" w:sz="4" w:space="0"/>
              <w:bottom w:val="single" w:color="auto" w:sz="4" w:space="0"/>
            </w:tcBorders>
            <w:vAlign w:val="center"/>
          </w:tcPr>
          <w:p w14:paraId="3FF1715C">
            <w:pPr>
              <w:keepNext w:val="0"/>
              <w:keepLines w:val="0"/>
              <w:pageBreakBefore w:val="0"/>
              <w:kinsoku/>
              <w:wordWrap/>
              <w:overflowPunct/>
              <w:topLinePunct w:val="0"/>
              <w:bidi w:val="0"/>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z w:val="21"/>
                <w:szCs w:val="21"/>
                <w:highlight w:val="none"/>
              </w:rPr>
              <w:t>采购标的需执行的国家标准、行业标准、地方标准或者其他标准、规范。多项标准的，按最新标准或较高标准执行。</w:t>
            </w:r>
          </w:p>
        </w:tc>
      </w:tr>
      <w:tr w14:paraId="1FB2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6C1D5CD7">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合同签订期</w:t>
            </w:r>
          </w:p>
        </w:tc>
        <w:tc>
          <w:tcPr>
            <w:tcW w:w="8731" w:type="dxa"/>
            <w:gridSpan w:val="4"/>
            <w:tcBorders>
              <w:top w:val="single" w:color="auto" w:sz="4" w:space="0"/>
              <w:bottom w:val="single" w:color="auto" w:sz="4" w:space="0"/>
            </w:tcBorders>
            <w:vAlign w:val="center"/>
          </w:tcPr>
          <w:p w14:paraId="0CEBD622">
            <w:pPr>
              <w:keepNext w:val="0"/>
              <w:keepLines w:val="0"/>
              <w:pageBreakBefore w:val="0"/>
              <w:kinsoku/>
              <w:wordWrap/>
              <w:overflowPunct/>
              <w:topLinePunct w:val="0"/>
              <w:autoSpaceDE w:val="0"/>
              <w:autoSpaceDN w:val="0"/>
              <w:bidi w:val="0"/>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自成交通知书发出之日起 25日内中标人须与采购人签订好合同。</w:t>
            </w:r>
          </w:p>
        </w:tc>
      </w:tr>
      <w:tr w14:paraId="0D48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1BB3F155">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服务时间及地点</w:t>
            </w:r>
          </w:p>
        </w:tc>
        <w:tc>
          <w:tcPr>
            <w:tcW w:w="8731" w:type="dxa"/>
            <w:gridSpan w:val="4"/>
            <w:tcBorders>
              <w:top w:val="single" w:color="auto" w:sz="4" w:space="0"/>
              <w:bottom w:val="single" w:color="auto" w:sz="4" w:space="0"/>
            </w:tcBorders>
            <w:vAlign w:val="center"/>
          </w:tcPr>
          <w:p w14:paraId="3C3D4BBB">
            <w:pPr>
              <w:keepNext w:val="0"/>
              <w:keepLines w:val="0"/>
              <w:pageBreakBefore w:val="0"/>
              <w:kinsoku/>
              <w:wordWrap/>
              <w:overflowPunct/>
              <w:topLinePunct w:val="0"/>
              <w:autoSpaceDE w:val="0"/>
              <w:autoSpaceDN w:val="0"/>
              <w:bidi w:val="0"/>
              <w:snapToGrid/>
              <w:spacing w:line="400" w:lineRule="exact"/>
              <w:rPr>
                <w:rFonts w:hint="eastAsia" w:ascii="宋体" w:hAnsi="宋体" w:eastAsia="宋体" w:cs="宋体"/>
                <w:kern w:val="0"/>
                <w:sz w:val="21"/>
                <w:szCs w:val="21"/>
                <w:highlight w:val="none"/>
                <w:lang w:val="zh-CN"/>
              </w:rPr>
            </w:pPr>
            <w:r>
              <w:rPr>
                <w:rFonts w:hint="eastAsia" w:ascii="宋体" w:hAnsi="宋体" w:eastAsia="宋体" w:cs="宋体"/>
                <w:sz w:val="21"/>
                <w:szCs w:val="21"/>
                <w:highlight w:val="none"/>
              </w:rPr>
              <w:t>1.服务</w:t>
            </w:r>
            <w:r>
              <w:rPr>
                <w:rFonts w:hint="eastAsia" w:ascii="宋体" w:hAnsi="宋体" w:eastAsia="宋体" w:cs="宋体"/>
                <w:kern w:val="0"/>
                <w:sz w:val="21"/>
                <w:szCs w:val="21"/>
                <w:highlight w:val="none"/>
                <w:lang w:val="zh-CN"/>
              </w:rPr>
              <w:t>时间</w:t>
            </w:r>
            <w:r>
              <w:rPr>
                <w:rFonts w:hint="eastAsia" w:ascii="宋体" w:hAnsi="宋体" w:eastAsia="宋体" w:cs="宋体"/>
                <w:sz w:val="21"/>
                <w:szCs w:val="21"/>
                <w:highlight w:val="none"/>
              </w:rPr>
              <w:t>：自签订合同之日起350日内所有成果交付完成并经采购人验收合格</w:t>
            </w:r>
            <w:r>
              <w:rPr>
                <w:rFonts w:hint="eastAsia" w:ascii="宋体" w:hAnsi="宋体" w:eastAsia="宋体" w:cs="宋体"/>
                <w:kern w:val="0"/>
                <w:sz w:val="21"/>
                <w:szCs w:val="21"/>
                <w:highlight w:val="none"/>
              </w:rPr>
              <w:t>。</w:t>
            </w:r>
          </w:p>
          <w:p w14:paraId="5E6181C5">
            <w:pPr>
              <w:keepNext w:val="0"/>
              <w:keepLines w:val="0"/>
              <w:pageBreakBefore w:val="0"/>
              <w:kinsoku/>
              <w:wordWrap/>
              <w:overflowPunct/>
              <w:topLinePunct w:val="0"/>
              <w:bidi w:val="0"/>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2.服务地点：</w:t>
            </w:r>
            <w:r>
              <w:rPr>
                <w:rFonts w:hint="eastAsia" w:ascii="宋体" w:hAnsi="宋体" w:eastAsia="宋体" w:cs="宋体"/>
                <w:kern w:val="0"/>
                <w:sz w:val="21"/>
                <w:szCs w:val="21"/>
                <w:highlight w:val="none"/>
              </w:rPr>
              <w:t>广西</w:t>
            </w:r>
            <w:r>
              <w:rPr>
                <w:rFonts w:hint="eastAsia" w:ascii="宋体" w:hAnsi="宋体" w:eastAsia="宋体" w:cs="宋体"/>
                <w:sz w:val="21"/>
                <w:szCs w:val="21"/>
                <w:highlight w:val="none"/>
              </w:rPr>
              <w:t>南宁市武鸣区（广西—东盟经济技术开发区）宝源南路29号广西制造工程职业技术学院校内（采购人指定地点）</w:t>
            </w:r>
            <w:r>
              <w:rPr>
                <w:rFonts w:hint="eastAsia" w:ascii="宋体" w:hAnsi="宋体" w:eastAsia="宋体" w:cs="宋体"/>
                <w:kern w:val="0"/>
                <w:sz w:val="21"/>
                <w:szCs w:val="21"/>
                <w:highlight w:val="none"/>
              </w:rPr>
              <w:t>。</w:t>
            </w:r>
          </w:p>
        </w:tc>
      </w:tr>
      <w:tr w14:paraId="7076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2366C96B">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质保期</w:t>
            </w:r>
          </w:p>
        </w:tc>
        <w:tc>
          <w:tcPr>
            <w:tcW w:w="8731" w:type="dxa"/>
            <w:gridSpan w:val="4"/>
            <w:tcBorders>
              <w:top w:val="single" w:color="auto" w:sz="4" w:space="0"/>
              <w:bottom w:val="single" w:color="auto" w:sz="4" w:space="0"/>
            </w:tcBorders>
            <w:vAlign w:val="center"/>
          </w:tcPr>
          <w:p w14:paraId="680391B1">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质保期不少于1年，自全部服务成果交付并经验收合格后起算。质保期内无条件提供课程维护、运行及技术支持服务，如</w:t>
            </w:r>
            <w:r>
              <w:rPr>
                <w:rFonts w:hint="eastAsia" w:ascii="宋体" w:hAnsi="宋体" w:eastAsia="宋体" w:cs="宋体"/>
                <w:color w:val="000000" w:themeColor="text1"/>
                <w:sz w:val="21"/>
                <w:szCs w:val="21"/>
                <w:highlight w:val="none"/>
                <w14:textFill>
                  <w14:solidFill>
                    <w14:schemeClr w14:val="tx1"/>
                  </w14:solidFill>
                </w14:textFill>
              </w:rPr>
              <w:t>《具体说明、功能及技术参数要求》有特别要求的，应按照其要求执行</w:t>
            </w:r>
            <w:r>
              <w:rPr>
                <w:rFonts w:hint="eastAsia" w:ascii="宋体" w:hAnsi="宋体" w:eastAsia="宋体" w:cs="宋体"/>
                <w:sz w:val="21"/>
                <w:szCs w:val="21"/>
                <w:highlight w:val="none"/>
              </w:rPr>
              <w:t>。</w:t>
            </w:r>
          </w:p>
        </w:tc>
      </w:tr>
      <w:tr w14:paraId="25D1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18D35C0A">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售后服务要求</w:t>
            </w:r>
          </w:p>
        </w:tc>
        <w:tc>
          <w:tcPr>
            <w:tcW w:w="8731" w:type="dxa"/>
            <w:gridSpan w:val="4"/>
            <w:tcBorders>
              <w:top w:val="single" w:color="auto" w:sz="4" w:space="0"/>
              <w:bottom w:val="single" w:color="auto" w:sz="4" w:space="0"/>
            </w:tcBorders>
            <w:vAlign w:val="center"/>
          </w:tcPr>
          <w:p w14:paraId="607CEA2F">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本项目中所引用的素材、引用的资源保证权属清晰，无著作权纠纷、无侵权纠纷等问题；课程内容、教学课件等成果的著作权为采购人所拥有，未经采购人允许，中标人不得以任何方式提供给其他任何单位或个人占有使用；可编辑素材库、相关的源文件一并交付于采购人。</w:t>
            </w:r>
          </w:p>
          <w:p w14:paraId="1826AE03">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2、中标人应保证采购人在接受其提供的相关服务时免受第三方提出侵犯其知识产权的起诉，由此引起的知识产权纠纷由中标人负责。</w:t>
            </w:r>
          </w:p>
          <w:p w14:paraId="1CD92B2F">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3、确保本项目所有内容不存在意识形态问题。</w:t>
            </w:r>
          </w:p>
          <w:p w14:paraId="7DF72F46">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4、中标人在服务期内应当为采购人提供以下技术支持和服务：</w:t>
            </w:r>
          </w:p>
          <w:p w14:paraId="185DBAB7">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（1）电话咨询</w:t>
            </w:r>
          </w:p>
          <w:p w14:paraId="32A93470">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中标人应当为采购人提供技术援助电话，解答采购人在使用中遇到的问题。需提供7×24小时的电话技术支持服务，接到采购人报障电话后及时（不超过</w:t>
            </w:r>
            <w:r>
              <w:rPr>
                <w:rFonts w:hint="eastAsia" w:ascii="宋体" w:hAnsi="宋体" w:eastAsia="宋体" w:cs="宋体"/>
                <w:kern w:val="0"/>
                <w:sz w:val="21"/>
                <w:szCs w:val="21"/>
                <w:highlight w:val="none"/>
                <w:u w:val="single"/>
              </w:rPr>
              <w:t xml:space="preserve">  24  </w:t>
            </w:r>
            <w:r>
              <w:rPr>
                <w:rFonts w:hint="eastAsia" w:ascii="宋体" w:hAnsi="宋体" w:eastAsia="宋体" w:cs="宋体"/>
                <w:sz w:val="21"/>
                <w:szCs w:val="21"/>
                <w:highlight w:val="none"/>
              </w:rPr>
              <w:t>小时）通过电话或网络解决问题，为采购人提出解决问题的建议。</w:t>
            </w:r>
          </w:p>
          <w:p w14:paraId="354280F0">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（2）服务响应时间</w:t>
            </w:r>
          </w:p>
          <w:p w14:paraId="12869C84">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服务期内须4小时内响应，8小时内提供解决方案或技术支持，若电话或网络无法解决的，须在</w:t>
            </w:r>
            <w:r>
              <w:rPr>
                <w:rFonts w:hint="eastAsia" w:ascii="宋体" w:hAnsi="宋体" w:eastAsia="宋体" w:cs="宋体"/>
                <w:kern w:val="0"/>
                <w:sz w:val="21"/>
                <w:szCs w:val="21"/>
                <w:highlight w:val="none"/>
                <w:u w:val="single"/>
              </w:rPr>
              <w:t xml:space="preserve">  24  </w:t>
            </w:r>
            <w:r>
              <w:rPr>
                <w:rFonts w:hint="eastAsia" w:ascii="宋体" w:hAnsi="宋体" w:eastAsia="宋体" w:cs="宋体"/>
                <w:sz w:val="21"/>
                <w:szCs w:val="21"/>
                <w:highlight w:val="none"/>
              </w:rPr>
              <w:t>小时内派技术人员到达采购人指定地点解决，所有问题在</w:t>
            </w:r>
            <w:r>
              <w:rPr>
                <w:rFonts w:hint="eastAsia" w:ascii="宋体" w:hAnsi="宋体" w:eastAsia="宋体" w:cs="宋体"/>
                <w:kern w:val="0"/>
                <w:sz w:val="21"/>
                <w:szCs w:val="21"/>
                <w:highlight w:val="none"/>
                <w:u w:val="single"/>
              </w:rPr>
              <w:t xml:space="preserve">  48  </w:t>
            </w:r>
            <w:r>
              <w:rPr>
                <w:rFonts w:hint="eastAsia" w:ascii="宋体" w:hAnsi="宋体" w:eastAsia="宋体" w:cs="宋体"/>
                <w:sz w:val="21"/>
                <w:szCs w:val="21"/>
                <w:highlight w:val="none"/>
              </w:rPr>
              <w:t>小时内解决，恢复正常使用。保证采购人正常使用，产生的一切费用由中标人承担。</w:t>
            </w:r>
          </w:p>
          <w:p w14:paraId="0E8C7F6B">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5、培训要求：中标人对其提供产品或服务的应用及课程疑难问题应尽培训、解答义务。中标人应提供对本项目的使用单位进行培训服务，涉及的相关费用应计算在项目报价内，使用与课程有关的软件及应用程序。</w:t>
            </w:r>
          </w:p>
        </w:tc>
      </w:tr>
      <w:tr w14:paraId="0E55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587B98DA">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付款方式</w:t>
            </w:r>
          </w:p>
        </w:tc>
        <w:tc>
          <w:tcPr>
            <w:tcW w:w="8731" w:type="dxa"/>
            <w:gridSpan w:val="4"/>
            <w:tcBorders>
              <w:top w:val="single" w:color="auto" w:sz="4" w:space="0"/>
              <w:bottom w:val="single" w:color="auto" w:sz="4" w:space="0"/>
            </w:tcBorders>
            <w:vAlign w:val="center"/>
          </w:tcPr>
          <w:p w14:paraId="63BB3573">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 付款方式：</w:t>
            </w:r>
          </w:p>
          <w:p w14:paraId="50BB1F15">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（1）预付款</w:t>
            </w:r>
          </w:p>
          <w:p w14:paraId="4699CBDD">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自合同签订生效且采购人收到等金额预付款保函后10个工作日内，采购人向中标人支付合同总金额的50%作为预付款；</w:t>
            </w:r>
          </w:p>
          <w:p w14:paraId="12449D6E">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（2）进度款</w:t>
            </w:r>
          </w:p>
          <w:p w14:paraId="770A8F2E">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中标人完成2个课程导学，2套课程标准、2套教学标准，128个标准化教案，60个教学PPT课件美化，79个微课视频，14个重点技能实训视频，1项二维动画，1项三维动画，12个课程思政案例视频，20个课程思政案例文本，2门AI智慧课程（具体服务内容），提交服务成果文件且通过采购人阶段性验收合格后（付款时提供《阶段性验收报告》 ）10个工作日内，采购人向中标人支付合同总金额的30%作为进度款。</w:t>
            </w:r>
          </w:p>
          <w:p w14:paraId="2CD6073B">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（3）合同尾款</w:t>
            </w:r>
          </w:p>
          <w:p w14:paraId="0CC536A9">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项目完成，中标人提交服务成果且通过采购人验收合格后20个工作日内，采购人向中标人支付剩余20%合同金额。</w:t>
            </w:r>
          </w:p>
          <w:p w14:paraId="100C610B">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 采购人付款前，中标人应向采购人开具等额有效的增值税普通发票，采购人未收到发票的，有权不予支付相应款项直至中标人提供合格发票，并不承担延迟付款责任。发票认证通过是付款的必要前提之一。</w:t>
            </w:r>
          </w:p>
          <w:p w14:paraId="7706382D">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3. 中标人应按照《广西壮族自治区财政厅关于在政府采购活动中推广使用电子保函的通知》（桂财采〔2023〕92 号）要求，在 “广西政府采购金融服务平台”申请预付款保函，于合同预付款支付前提供给采购人，预付款保函有效期至项目整体验收合格之日。</w:t>
            </w:r>
          </w:p>
        </w:tc>
      </w:tr>
      <w:tr w14:paraId="35BE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5C4EEFB1">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知识产权</w:t>
            </w:r>
          </w:p>
        </w:tc>
        <w:tc>
          <w:tcPr>
            <w:tcW w:w="8731" w:type="dxa"/>
            <w:gridSpan w:val="4"/>
            <w:tcBorders>
              <w:top w:val="single" w:color="auto" w:sz="4" w:space="0"/>
              <w:bottom w:val="single" w:color="auto" w:sz="4" w:space="0"/>
            </w:tcBorders>
          </w:tcPr>
          <w:p w14:paraId="6493B5EA">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采购人在中华人民共和国境内使用中标人提供的产品及技术服务时免受第三方提出的侵犯其专利权或其它知识产权的起诉。如果第三方提出侵权指控，中标人应承担由此而引起的一切法律责任和费用。</w:t>
            </w:r>
          </w:p>
        </w:tc>
      </w:tr>
      <w:tr w14:paraId="453D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32E2F7E5">
            <w:pPr>
              <w:keepNext w:val="0"/>
              <w:keepLines w:val="0"/>
              <w:pageBreakBefore w:val="0"/>
              <w:widowControl/>
              <w:kinsoku/>
              <w:wordWrap/>
              <w:overflowPunct/>
              <w:topLinePunct w:val="0"/>
              <w:bidi w:val="0"/>
              <w:snapToGrid/>
              <w:spacing w:line="400" w:lineRule="exact"/>
              <w:jc w:val="center"/>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其他要求</w:t>
            </w:r>
          </w:p>
        </w:tc>
        <w:tc>
          <w:tcPr>
            <w:tcW w:w="8731" w:type="dxa"/>
            <w:gridSpan w:val="4"/>
            <w:tcBorders>
              <w:top w:val="single" w:color="auto" w:sz="4" w:space="0"/>
              <w:bottom w:val="single" w:color="auto" w:sz="4" w:space="0"/>
            </w:tcBorders>
            <w:vAlign w:val="center"/>
          </w:tcPr>
          <w:p w14:paraId="22C25177">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一、总体要求</w:t>
            </w:r>
          </w:p>
          <w:p w14:paraId="0694C5C8">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报价要求：本次报价须为人民币报价，包括完成服务实施所需的费用（包含但不限于课程开发设计、视频拍摄制作、培训、技术支持、售后服务、课程申报、人工道具、专家聘请等费用）、保险费用和各项税金等完成本项目所产生的全部费用。对于本文件中未列明，而供应商认为必需的费用也需列入总报价。在合同实施时，采购人将不予支付中标人没有列入的项目费用，并认为此项目的费用已包括在投标总报价中。</w:t>
            </w:r>
          </w:p>
          <w:p w14:paraId="7E53EE7A">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保密要求：中标人在项目实施过程中，可能需要了解或知悉采购人的相关业务信息，为确保采购人业务信息的安全，中标人必须对本项目所有项目信息予以保密，未经采购单位书面许可，中标人不得以任何形式向第三方透露本项目的任何内容。</w:t>
            </w:r>
          </w:p>
          <w:p w14:paraId="50F84FFE">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二、采购标的验收标准</w:t>
            </w:r>
          </w:p>
          <w:p w14:paraId="223101F1">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采购人可以根据采购项目具体情况自行组织验收，或者委托第三方机构或部门开展采购项目履约验收工作，验收过程中所产生的一切费用均由中标人承担，履约验收服务费按照分标中标金额的≤0.9%收取，投标人在投标报价时应考虑相关费用。</w:t>
            </w:r>
          </w:p>
          <w:p w14:paraId="532C1B67">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中标人在项目验收时由采购单位对照招标文件的功能目标及技术指标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64E46A9D">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3FF2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0" w:type="dxa"/>
            <w:gridSpan w:val="2"/>
            <w:tcBorders>
              <w:top w:val="single" w:color="auto" w:sz="4" w:space="0"/>
              <w:bottom w:val="single" w:color="auto" w:sz="4" w:space="0"/>
            </w:tcBorders>
            <w:vAlign w:val="center"/>
          </w:tcPr>
          <w:p w14:paraId="25F7866E">
            <w:pPr>
              <w:keepNext w:val="0"/>
              <w:keepLines w:val="0"/>
              <w:pageBreakBefore w:val="0"/>
              <w:tabs>
                <w:tab w:val="left" w:pos="180"/>
                <w:tab w:val="left" w:pos="1620"/>
              </w:tabs>
              <w:kinsoku/>
              <w:wordWrap/>
              <w:overflowPunct/>
              <w:topLinePunct w:val="0"/>
              <w:bidi w:val="0"/>
              <w:snapToGrid/>
              <w:spacing w:line="4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 w:val="21"/>
                <w:szCs w:val="21"/>
                <w:highlight w:val="none"/>
              </w:rPr>
              <w:t>履约保证金</w:t>
            </w:r>
          </w:p>
        </w:tc>
        <w:tc>
          <w:tcPr>
            <w:tcW w:w="8731" w:type="dxa"/>
            <w:gridSpan w:val="4"/>
            <w:tcBorders>
              <w:top w:val="single" w:color="auto" w:sz="4" w:space="0"/>
              <w:bottom w:val="single" w:color="auto" w:sz="4" w:space="0"/>
            </w:tcBorders>
            <w:vAlign w:val="center"/>
          </w:tcPr>
          <w:p w14:paraId="192A4AB8">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1.履约保证金金额：中标金额的</w:t>
            </w:r>
            <w:r>
              <w:rPr>
                <w:rFonts w:hint="eastAsia" w:ascii="宋体" w:hAnsi="宋体" w:eastAsia="宋体" w:cs="宋体"/>
                <w:sz w:val="21"/>
                <w:szCs w:val="21"/>
                <w:highlight w:val="none"/>
                <w:u w:val="single"/>
              </w:rPr>
              <w:t>_5</w:t>
            </w:r>
            <w:r>
              <w:rPr>
                <w:rFonts w:hint="eastAsia" w:ascii="宋体" w:hAnsi="宋体" w:eastAsia="宋体" w:cs="宋体"/>
                <w:sz w:val="21"/>
                <w:szCs w:val="21"/>
                <w:highlight w:val="none"/>
              </w:rPr>
              <w:t>_%。（若中标人被评标委员会认定为中小企业的，履约保证金数额将按中标金额的2%收取）</w:t>
            </w:r>
          </w:p>
          <w:p w14:paraId="569A677E">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2.履约保证金递交方式：转账或电汇等形式（支持支票、汇票、本票、保函等形式）</w:t>
            </w:r>
          </w:p>
          <w:p w14:paraId="4F347945">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3.履约保证金递交时间：签订合同后3个工作日内由中标人转入采购人指定保证金账户。</w:t>
            </w:r>
          </w:p>
          <w:p w14:paraId="28573515">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4.履约保证金期限：验收合格之日起一年</w:t>
            </w:r>
          </w:p>
          <w:p w14:paraId="0F2150BF">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5.履约保证金退还：履约保证期满后中标人无违约行为，中标人提供《政府采购项目履约保证金退付意见书》及《政府采购项目合同验收报告》，向采购人提出书面申请退还，采购人在收到申请后5个工作日内按照履约保证金缴纳的具体方式，配合中标人办理无息退还事宜。保证金指定账户：</w:t>
            </w:r>
          </w:p>
          <w:p w14:paraId="453C55E2">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开户名：广西制造工程职业技术学院</w:t>
            </w:r>
          </w:p>
          <w:p w14:paraId="69B8BE0E">
            <w:pPr>
              <w:keepNext w:val="0"/>
              <w:keepLines w:val="0"/>
              <w:pageBreakBefore w:val="0"/>
              <w:widowControl/>
              <w:kinsoku/>
              <w:wordWrap/>
              <w:overflowPunct/>
              <w:topLinePunct w:val="0"/>
              <w:bidi w:val="0"/>
              <w:snapToGrid/>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开户行：农行南宁东盟经济园区支行</w:t>
            </w:r>
          </w:p>
          <w:p w14:paraId="7A143E12">
            <w:pPr>
              <w:keepNext w:val="0"/>
              <w:keepLines w:val="0"/>
              <w:pageBreakBefore w:val="0"/>
              <w:kinsoku/>
              <w:wordWrap/>
              <w:overflowPunct/>
              <w:topLinePunct w:val="0"/>
              <w:autoSpaceDE w:val="0"/>
              <w:autoSpaceDN w:val="0"/>
              <w:bidi w:val="0"/>
              <w:snapToGrid/>
              <w:spacing w:line="400" w:lineRule="exact"/>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账  号：20036501040014065</w:t>
            </w:r>
          </w:p>
        </w:tc>
      </w:tr>
      <w:tr w14:paraId="0763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08D98A60">
            <w:pPr>
              <w:keepNext w:val="0"/>
              <w:keepLines w:val="0"/>
              <w:pageBreakBefore w:val="0"/>
              <w:tabs>
                <w:tab w:val="left" w:pos="180"/>
                <w:tab w:val="left" w:pos="1620"/>
              </w:tabs>
              <w:kinsoku/>
              <w:wordWrap/>
              <w:overflowPunct/>
              <w:topLinePunct w:val="0"/>
              <w:bidi w:val="0"/>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二、与实现项目目标相关的其他要求</w:t>
            </w:r>
          </w:p>
        </w:tc>
      </w:tr>
      <w:tr w14:paraId="6697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4D3738B9">
            <w:pPr>
              <w:keepNext w:val="0"/>
              <w:keepLines w:val="0"/>
              <w:pageBreakBefore w:val="0"/>
              <w:tabs>
                <w:tab w:val="left" w:pos="180"/>
                <w:tab w:val="left" w:pos="1620"/>
              </w:tabs>
              <w:kinsoku/>
              <w:wordWrap/>
              <w:overflowPunct/>
              <w:topLinePunct w:val="0"/>
              <w:bidi w:val="0"/>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（一）投标人的履约能力要求</w:t>
            </w:r>
          </w:p>
        </w:tc>
      </w:tr>
      <w:tr w14:paraId="0EAF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62C73377">
            <w:pPr>
              <w:keepNext w:val="0"/>
              <w:keepLines w:val="0"/>
              <w:pageBreakBefore w:val="0"/>
              <w:tabs>
                <w:tab w:val="left" w:pos="180"/>
                <w:tab w:val="left" w:pos="1620"/>
              </w:tabs>
              <w:kinsoku/>
              <w:wordWrap/>
              <w:overflowPunct/>
              <w:topLinePunct w:val="0"/>
              <w:bidi w:val="0"/>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质量管理、企业信用要求</w:t>
            </w:r>
          </w:p>
        </w:tc>
        <w:tc>
          <w:tcPr>
            <w:tcW w:w="8664" w:type="dxa"/>
            <w:gridSpan w:val="3"/>
            <w:tcBorders>
              <w:top w:val="single" w:color="auto" w:sz="4" w:space="0"/>
              <w:bottom w:val="single" w:color="auto" w:sz="4" w:space="0"/>
            </w:tcBorders>
            <w:vAlign w:val="center"/>
          </w:tcPr>
          <w:p w14:paraId="2207D7BC">
            <w:pPr>
              <w:keepNext w:val="0"/>
              <w:keepLines w:val="0"/>
              <w:pageBreakBefore w:val="0"/>
              <w:tabs>
                <w:tab w:val="left" w:pos="180"/>
                <w:tab w:val="left" w:pos="1620"/>
              </w:tabs>
              <w:kinsoku/>
              <w:wordWrap/>
              <w:overflowPunct/>
              <w:topLinePunct w:val="0"/>
              <w:bidi w:val="0"/>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如有，请结合本招标文件“评标办法及评分标准”在投标文件中自行提供。</w:t>
            </w:r>
          </w:p>
        </w:tc>
      </w:tr>
      <w:tr w14:paraId="0FE8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0D9F01A9">
            <w:pPr>
              <w:keepNext w:val="0"/>
              <w:keepLines w:val="0"/>
              <w:pageBreakBefore w:val="0"/>
              <w:tabs>
                <w:tab w:val="left" w:pos="180"/>
                <w:tab w:val="left" w:pos="1620"/>
              </w:tabs>
              <w:kinsoku/>
              <w:wordWrap/>
              <w:overflowPunct/>
              <w:topLinePunct w:val="0"/>
              <w:bidi w:val="0"/>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能力或者业绩要求</w:t>
            </w:r>
          </w:p>
        </w:tc>
        <w:tc>
          <w:tcPr>
            <w:tcW w:w="8664" w:type="dxa"/>
            <w:gridSpan w:val="3"/>
            <w:tcBorders>
              <w:top w:val="single" w:color="auto" w:sz="4" w:space="0"/>
              <w:bottom w:val="single" w:color="auto" w:sz="4" w:space="0"/>
            </w:tcBorders>
            <w:vAlign w:val="center"/>
          </w:tcPr>
          <w:p w14:paraId="49174F82">
            <w:pPr>
              <w:keepNext w:val="0"/>
              <w:keepLines w:val="0"/>
              <w:pageBreakBefore w:val="0"/>
              <w:tabs>
                <w:tab w:val="left" w:pos="180"/>
                <w:tab w:val="left" w:pos="1620"/>
              </w:tabs>
              <w:kinsoku/>
              <w:wordWrap/>
              <w:overflowPunct/>
              <w:topLinePunct w:val="0"/>
              <w:bidi w:val="0"/>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如有，请结合本招标文件“评标办法及评分标准”在投标文件中自行提供。</w:t>
            </w:r>
          </w:p>
        </w:tc>
      </w:tr>
      <w:tr w14:paraId="03EE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6B404251">
            <w:pPr>
              <w:keepNext w:val="0"/>
              <w:keepLines w:val="0"/>
              <w:pageBreakBefore w:val="0"/>
              <w:tabs>
                <w:tab w:val="left" w:pos="180"/>
                <w:tab w:val="left" w:pos="1620"/>
              </w:tabs>
              <w:kinsoku/>
              <w:wordWrap/>
              <w:overflowPunct/>
              <w:topLinePunct w:val="0"/>
              <w:bidi w:val="0"/>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（二）政策性加分条件</w:t>
            </w:r>
          </w:p>
        </w:tc>
      </w:tr>
      <w:tr w14:paraId="58FA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077308AB">
            <w:pPr>
              <w:keepNext w:val="0"/>
              <w:keepLines w:val="0"/>
              <w:pageBreakBefore w:val="0"/>
              <w:tabs>
                <w:tab w:val="left" w:pos="180"/>
                <w:tab w:val="left" w:pos="1620"/>
              </w:tabs>
              <w:kinsoku/>
              <w:wordWrap/>
              <w:overflowPunct/>
              <w:topLinePunct w:val="0"/>
              <w:bidi w:val="0"/>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符合节能环保等国家政策要求。</w:t>
            </w:r>
          </w:p>
        </w:tc>
      </w:tr>
      <w:tr w14:paraId="1102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40106A03">
            <w:pPr>
              <w:keepNext w:val="0"/>
              <w:keepLines w:val="0"/>
              <w:pageBreakBefore w:val="0"/>
              <w:tabs>
                <w:tab w:val="left" w:pos="180"/>
                <w:tab w:val="left" w:pos="1620"/>
              </w:tabs>
              <w:kinsoku/>
              <w:wordWrap/>
              <w:overflowPunct/>
              <w:topLinePunct w:val="0"/>
              <w:bidi w:val="0"/>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（三）进口产品及核心产品说明</w:t>
            </w:r>
          </w:p>
        </w:tc>
      </w:tr>
      <w:tr w14:paraId="35ED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5B93DE8B">
            <w:pPr>
              <w:keepNext w:val="0"/>
              <w:keepLines w:val="0"/>
              <w:pageBreakBefore w:val="0"/>
              <w:tabs>
                <w:tab w:val="left" w:pos="180"/>
                <w:tab w:val="left" w:pos="1620"/>
              </w:tabs>
              <w:kinsoku/>
              <w:wordWrap/>
              <w:overflowPunct/>
              <w:topLinePunct w:val="0"/>
              <w:bidi w:val="0"/>
              <w:snapToGrid/>
              <w:spacing w:line="400" w:lineRule="exact"/>
              <w:ind w:firstLine="0"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▲本标项为服务类，不设置核心产品。</w:t>
            </w:r>
          </w:p>
        </w:tc>
      </w:tr>
      <w:tr w14:paraId="02C3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31" w:type="dxa"/>
            <w:gridSpan w:val="6"/>
            <w:tcBorders>
              <w:top w:val="single" w:color="auto" w:sz="4" w:space="0"/>
              <w:bottom w:val="single" w:color="auto" w:sz="4" w:space="0"/>
            </w:tcBorders>
            <w:vAlign w:val="center"/>
          </w:tcPr>
          <w:p w14:paraId="66A4334B">
            <w:pPr>
              <w:keepNext w:val="0"/>
              <w:keepLines w:val="0"/>
              <w:pageBreakBefore w:val="0"/>
              <w:tabs>
                <w:tab w:val="left" w:pos="180"/>
                <w:tab w:val="left" w:pos="1620"/>
              </w:tabs>
              <w:kinsoku/>
              <w:wordWrap/>
              <w:overflowPunct/>
              <w:topLinePunct w:val="0"/>
              <w:bidi w:val="0"/>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三、其他说明</w:t>
            </w:r>
          </w:p>
        </w:tc>
      </w:tr>
      <w:tr w14:paraId="7D21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4CE86552">
            <w:pPr>
              <w:keepNext w:val="0"/>
              <w:keepLines w:val="0"/>
              <w:pageBreakBefore w:val="0"/>
              <w:tabs>
                <w:tab w:val="left" w:pos="180"/>
                <w:tab w:val="left" w:pos="1620"/>
              </w:tabs>
              <w:kinsoku/>
              <w:wordWrap/>
              <w:overflowPunct/>
              <w:topLinePunct w:val="0"/>
              <w:bidi w:val="0"/>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▲最高限价</w:t>
            </w:r>
          </w:p>
        </w:tc>
        <w:tc>
          <w:tcPr>
            <w:tcW w:w="8664" w:type="dxa"/>
            <w:gridSpan w:val="3"/>
            <w:tcBorders>
              <w:top w:val="single" w:color="auto" w:sz="4" w:space="0"/>
              <w:bottom w:val="single" w:color="auto" w:sz="4" w:space="0"/>
            </w:tcBorders>
            <w:vAlign w:val="center"/>
          </w:tcPr>
          <w:p w14:paraId="79683C72">
            <w:pPr>
              <w:keepNext w:val="0"/>
              <w:keepLines w:val="0"/>
              <w:pageBreakBefore w:val="0"/>
              <w:tabs>
                <w:tab w:val="left" w:pos="180"/>
                <w:tab w:val="left" w:pos="1620"/>
              </w:tabs>
              <w:kinsoku/>
              <w:wordWrap/>
              <w:overflowPunct/>
              <w:topLinePunct w:val="0"/>
              <w:bidi w:val="0"/>
              <w:snapToGrid/>
              <w:spacing w:line="400" w:lineRule="exact"/>
              <w:jc w:val="left"/>
              <w:rPr>
                <w:rFonts w:hint="eastAsia" w:ascii="宋体" w:hAnsi="宋体" w:eastAsia="宋体" w:cs="宋体"/>
                <w:sz w:val="21"/>
                <w:szCs w:val="21"/>
                <w:highlight w:val="none"/>
              </w:rPr>
            </w:pPr>
            <w:r>
              <w:rPr>
                <w:rFonts w:hint="eastAsia" w:ascii="宋体" w:hAnsi="宋体" w:eastAsia="宋体" w:cs="宋体"/>
                <w:b/>
                <w:bCs/>
                <w:color w:val="000000" w:themeColor="text1"/>
                <w:sz w:val="21"/>
                <w:szCs w:val="21"/>
                <w:highlight w:val="none"/>
                <w14:textFill>
                  <w14:solidFill>
                    <w14:schemeClr w14:val="tx1"/>
                  </w14:solidFill>
                </w14:textFill>
              </w:rPr>
              <w:t>本项目评标时以本项目预算金额为最高限价，评标时以最高限价为评标依据，投标人投标报价超出最高限价的作无效投标处理。</w:t>
            </w:r>
          </w:p>
        </w:tc>
      </w:tr>
      <w:tr w14:paraId="53F4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46D200F0">
            <w:pPr>
              <w:keepNext w:val="0"/>
              <w:keepLines w:val="0"/>
              <w:pageBreakBefore w:val="0"/>
              <w:tabs>
                <w:tab w:val="left" w:pos="180"/>
                <w:tab w:val="left" w:pos="1620"/>
              </w:tabs>
              <w:kinsoku/>
              <w:wordWrap/>
              <w:overflowPunct/>
              <w:topLinePunct w:val="0"/>
              <w:bidi w:val="0"/>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供应商其他要求</w:t>
            </w:r>
          </w:p>
        </w:tc>
        <w:tc>
          <w:tcPr>
            <w:tcW w:w="8664" w:type="dxa"/>
            <w:gridSpan w:val="3"/>
            <w:tcBorders>
              <w:top w:val="single" w:color="auto" w:sz="4" w:space="0"/>
              <w:bottom w:val="single" w:color="auto" w:sz="4" w:space="0"/>
            </w:tcBorders>
            <w:vAlign w:val="center"/>
          </w:tcPr>
          <w:p w14:paraId="454643C5">
            <w:pPr>
              <w:keepNext w:val="0"/>
              <w:keepLines w:val="0"/>
              <w:pageBreakBefore w:val="0"/>
              <w:tabs>
                <w:tab w:val="left" w:pos="180"/>
                <w:tab w:val="left" w:pos="1620"/>
              </w:tabs>
              <w:kinsoku/>
              <w:wordWrap/>
              <w:overflowPunct/>
              <w:topLinePunct w:val="0"/>
              <w:bidi w:val="0"/>
              <w:snapToGrid/>
              <w:spacing w:line="4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投标人可根据项目要求，可在投标文件中提供包括：</w:t>
            </w:r>
            <w:r>
              <w:rPr>
                <w:rFonts w:hint="eastAsia" w:ascii="宋体" w:hAnsi="宋体" w:eastAsia="宋体" w:cs="宋体"/>
                <w:sz w:val="21"/>
                <w:szCs w:val="21"/>
                <w:highlight w:val="none"/>
              </w:rPr>
              <w:t>课程建设服务方案</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Cs/>
                <w:sz w:val="21"/>
                <w:szCs w:val="21"/>
                <w:highlight w:val="none"/>
              </w:rPr>
              <w:t>教材建设服务方案</w:t>
            </w:r>
            <w:r>
              <w:rPr>
                <w:rFonts w:hint="eastAsia" w:ascii="宋体" w:hAnsi="宋体" w:eastAsia="宋体" w:cs="宋体"/>
                <w:color w:val="000000" w:themeColor="text1"/>
                <w:sz w:val="21"/>
                <w:szCs w:val="21"/>
                <w:highlight w:val="none"/>
                <w14:textFill>
                  <w14:solidFill>
                    <w14:schemeClr w14:val="tx1"/>
                  </w14:solidFill>
                </w14:textFill>
              </w:rPr>
              <w:t>等与履约有关的材料。</w:t>
            </w:r>
          </w:p>
        </w:tc>
      </w:tr>
      <w:tr w14:paraId="6B84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67" w:type="dxa"/>
            <w:gridSpan w:val="3"/>
            <w:tcBorders>
              <w:top w:val="single" w:color="auto" w:sz="4" w:space="0"/>
              <w:bottom w:val="single" w:color="auto" w:sz="4" w:space="0"/>
            </w:tcBorders>
            <w:vAlign w:val="center"/>
          </w:tcPr>
          <w:p w14:paraId="2909346B">
            <w:pPr>
              <w:keepNext w:val="0"/>
              <w:keepLines w:val="0"/>
              <w:pageBreakBefore w:val="0"/>
              <w:tabs>
                <w:tab w:val="left" w:pos="180"/>
                <w:tab w:val="left" w:pos="1620"/>
              </w:tabs>
              <w:kinsoku/>
              <w:wordWrap/>
              <w:overflowPunct/>
              <w:topLinePunct w:val="0"/>
              <w:bidi w:val="0"/>
              <w:snapToGrid/>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演示要求</w:t>
            </w:r>
          </w:p>
        </w:tc>
        <w:tc>
          <w:tcPr>
            <w:tcW w:w="8664" w:type="dxa"/>
            <w:gridSpan w:val="3"/>
            <w:tcBorders>
              <w:top w:val="single" w:color="auto" w:sz="4" w:space="0"/>
              <w:bottom w:val="single" w:color="auto" w:sz="4" w:space="0"/>
            </w:tcBorders>
            <w:vAlign w:val="center"/>
          </w:tcPr>
          <w:p w14:paraId="263C907B">
            <w:pPr>
              <w:keepNext w:val="0"/>
              <w:keepLines w:val="0"/>
              <w:pageBreakBefore w:val="0"/>
              <w:tabs>
                <w:tab w:val="left" w:pos="180"/>
                <w:tab w:val="left" w:pos="1620"/>
              </w:tabs>
              <w:kinsoku/>
              <w:wordWrap/>
              <w:overflowPunct/>
              <w:topLinePunct w:val="0"/>
              <w:bidi w:val="0"/>
              <w:snapToGrid/>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highlight w:val="none"/>
              </w:rPr>
              <w:t>投标人需在评审时（具体时间由采购代理机构通知）对《具体说明、功能及技术参数要求》中标注“◆”功能通过广西政府采购云平台进行在线详细讲解和阐述。供应商自行准备线上演示所需的摄像头、话筒等设备，每家供应商线上演示时间均不超过</w:t>
            </w:r>
            <w:r>
              <w:rPr>
                <w:rFonts w:hint="eastAsia" w:ascii="宋体" w:hAnsi="宋体" w:eastAsia="宋体" w:cs="宋体"/>
                <w:sz w:val="21"/>
                <w:szCs w:val="21"/>
                <w:highlight w:val="none"/>
                <w:lang w:val="en-US" w:eastAsia="zh-CN"/>
              </w:rPr>
              <w:t>25</w:t>
            </w:r>
            <w:r>
              <w:rPr>
                <w:rFonts w:hint="eastAsia" w:ascii="宋体" w:hAnsi="宋体" w:eastAsia="宋体" w:cs="宋体"/>
                <w:sz w:val="21"/>
                <w:szCs w:val="21"/>
                <w:highlight w:val="none"/>
              </w:rPr>
              <w:t>分钟，演示的过程作为评审的重要依据，不演示不得分，具体内容详见《评标方法及评标标准》。</w:t>
            </w:r>
          </w:p>
        </w:tc>
      </w:tr>
    </w:tbl>
    <w:p w14:paraId="2705115A">
      <w:pPr>
        <w:pStyle w:val="59"/>
        <w:rPr>
          <w:highlight w:val="none"/>
        </w:rPr>
      </w:pPr>
    </w:p>
    <w:p w14:paraId="61F1AE2E">
      <w:pPr>
        <w:rPr>
          <w:color w:val="000000"/>
          <w:highlight w:val="none"/>
        </w:rPr>
      </w:pPr>
    </w:p>
    <w:p w14:paraId="302F4E76">
      <w:pPr>
        <w:pStyle w:val="59"/>
        <w:rPr>
          <w:highlight w:val="none"/>
        </w:rPr>
      </w:pPr>
    </w:p>
    <w:p w14:paraId="4434D0A7">
      <w:pPr>
        <w:rPr>
          <w:color w:val="000000"/>
          <w:highlight w:val="none"/>
        </w:rPr>
      </w:pPr>
    </w:p>
    <w:p w14:paraId="064F8463">
      <w:pPr>
        <w:pStyle w:val="59"/>
        <w:rPr>
          <w:highlight w:val="none"/>
        </w:rPr>
      </w:pPr>
    </w:p>
    <w:p w14:paraId="0EE38B05">
      <w:pPr>
        <w:rPr>
          <w:color w:val="000000"/>
          <w:highlight w:val="none"/>
        </w:rPr>
      </w:pPr>
    </w:p>
    <w:p w14:paraId="09569BB9">
      <w:pPr>
        <w:pStyle w:val="59"/>
        <w:rPr>
          <w:highlight w:val="none"/>
        </w:rPr>
      </w:pPr>
    </w:p>
    <w:p w14:paraId="74C0E9AB">
      <w:pPr>
        <w:rPr>
          <w:color w:val="000000"/>
          <w:highlight w:val="none"/>
        </w:rPr>
      </w:pPr>
    </w:p>
    <w:p w14:paraId="671B9E01">
      <w:pPr>
        <w:pStyle w:val="59"/>
        <w:rPr>
          <w:highlight w:val="none"/>
        </w:rPr>
      </w:pPr>
    </w:p>
    <w:p w14:paraId="444FB3F5">
      <w:pPr>
        <w:rPr>
          <w:color w:val="000000"/>
          <w:highlight w:val="none"/>
        </w:rPr>
      </w:pPr>
    </w:p>
    <w:p w14:paraId="14C044C2">
      <w:pPr>
        <w:pStyle w:val="59"/>
        <w:rPr>
          <w:highlight w:val="none"/>
        </w:rPr>
      </w:pPr>
    </w:p>
    <w:p w14:paraId="5E321B47">
      <w:pPr>
        <w:rPr>
          <w:color w:val="000000"/>
          <w:highlight w:val="none"/>
        </w:rPr>
      </w:pPr>
    </w:p>
    <w:p w14:paraId="1C6FE37B">
      <w:pPr>
        <w:pStyle w:val="59"/>
        <w:rPr>
          <w:highlight w:val="none"/>
        </w:rPr>
      </w:pPr>
    </w:p>
    <w:p w14:paraId="40550D9A">
      <w:pPr>
        <w:rPr>
          <w:color w:val="000000"/>
          <w:highlight w:val="none"/>
        </w:rPr>
      </w:pPr>
    </w:p>
    <w:p w14:paraId="010F48B8">
      <w:pPr>
        <w:pStyle w:val="59"/>
        <w:rPr>
          <w:highlight w:val="none"/>
        </w:rPr>
      </w:pPr>
    </w:p>
    <w:p w14:paraId="1820C124">
      <w:pPr>
        <w:rPr>
          <w:color w:val="000000"/>
          <w:highlight w:val="none"/>
        </w:rPr>
      </w:pPr>
    </w:p>
    <w:p w14:paraId="2A062579">
      <w:pPr>
        <w:pStyle w:val="59"/>
        <w:rPr>
          <w:highlight w:val="none"/>
        </w:rPr>
      </w:pPr>
    </w:p>
    <w:p w14:paraId="25F55BD7">
      <w:pPr>
        <w:rPr>
          <w:color w:val="000000"/>
          <w:highlight w:val="none"/>
        </w:rPr>
      </w:pPr>
    </w:p>
    <w:p w14:paraId="3A552CDA">
      <w:pPr>
        <w:rPr>
          <w:color w:val="000000"/>
          <w:highlight w:val="none"/>
        </w:rPr>
      </w:pPr>
    </w:p>
    <w:p w14:paraId="03B46658">
      <w:pPr>
        <w:rPr>
          <w:color w:val="000000"/>
          <w:highlight w:val="none"/>
        </w:rPr>
      </w:pPr>
    </w:p>
    <w:p w14:paraId="4DA67BBD">
      <w:pPr>
        <w:rPr>
          <w:color w:val="000000"/>
          <w:highlight w:val="none"/>
        </w:rPr>
      </w:pPr>
    </w:p>
    <w:p w14:paraId="2AB8D5E2">
      <w:pPr>
        <w:rPr>
          <w:color w:val="000000"/>
          <w:highlight w:val="none"/>
        </w:rPr>
      </w:pPr>
    </w:p>
    <w:p w14:paraId="0723A8B3">
      <w:pPr>
        <w:pStyle w:val="59"/>
        <w:rPr>
          <w:color w:val="000000"/>
          <w:highlight w:val="none"/>
        </w:rPr>
        <w:sectPr>
          <w:footerReference r:id="rId8" w:type="default"/>
          <w:pgSz w:w="11906" w:h="16838"/>
          <w:pgMar w:top="1701" w:right="1701" w:bottom="1701" w:left="1701" w:header="851" w:footer="992" w:gutter="0"/>
          <w:cols w:space="720" w:num="1"/>
          <w:titlePg/>
          <w:docGrid w:linePitch="312" w:charSpace="0"/>
        </w:sectPr>
      </w:pPr>
    </w:p>
    <w:p w14:paraId="411444C0">
      <w:pPr>
        <w:jc w:val="both"/>
        <w:rPr>
          <w:rFonts w:ascii="Arial Unicode MS" w:hAnsi="Arial Unicode MS" w:cs="Arial Unicode MS"/>
          <w:b/>
          <w:bCs/>
          <w:sz w:val="32"/>
          <w:szCs w:val="32"/>
          <w:highlight w:val="none"/>
        </w:rPr>
      </w:pPr>
      <w:r>
        <w:rPr>
          <w:rFonts w:hint="eastAsia" w:ascii="Arial Unicode MS" w:hAnsi="Arial Unicode MS" w:cs="Arial Unicode MS"/>
          <w:b/>
          <w:bCs/>
          <w:sz w:val="32"/>
          <w:szCs w:val="32"/>
          <w:highlight w:val="none"/>
        </w:rPr>
        <w:t>附件3：节能产品政府采购品目清单</w:t>
      </w:r>
    </w:p>
    <w:p w14:paraId="4D8445A2">
      <w:pPr>
        <w:rPr>
          <w:highlight w:val="none"/>
        </w:rPr>
      </w:pPr>
    </w:p>
    <w:tbl>
      <w:tblPr>
        <w:tblStyle w:val="48"/>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000"/>
        <w:gridCol w:w="1875"/>
        <w:gridCol w:w="1581"/>
        <w:gridCol w:w="4051"/>
      </w:tblGrid>
      <w:tr w14:paraId="0AF5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78355C99">
            <w:pPr>
              <w:pStyle w:val="31"/>
              <w:spacing w:line="400" w:lineRule="exact"/>
              <w:jc w:val="both"/>
              <w:rPr>
                <w:rFonts w:ascii="宋体" w:hAnsi="宋体" w:cs="宋体"/>
                <w:b/>
                <w:bCs/>
                <w:sz w:val="21"/>
                <w:szCs w:val="21"/>
                <w:highlight w:val="none"/>
              </w:rPr>
            </w:pPr>
            <w:r>
              <w:rPr>
                <w:rFonts w:hint="eastAsia" w:ascii="宋体" w:hAnsi="宋体" w:cs="宋体"/>
                <w:b/>
                <w:bCs/>
                <w:sz w:val="21"/>
                <w:szCs w:val="21"/>
                <w:highlight w:val="none"/>
              </w:rPr>
              <w:t>品目序号</w:t>
            </w:r>
          </w:p>
        </w:tc>
        <w:tc>
          <w:tcPr>
            <w:tcW w:w="4456" w:type="dxa"/>
            <w:gridSpan w:val="3"/>
            <w:vAlign w:val="center"/>
          </w:tcPr>
          <w:p w14:paraId="02D2C708">
            <w:pPr>
              <w:spacing w:line="400" w:lineRule="exact"/>
              <w:jc w:val="center"/>
              <w:rPr>
                <w:rFonts w:ascii="宋体" w:hAnsi="宋体" w:cs="宋体"/>
                <w:b/>
                <w:bCs/>
                <w:szCs w:val="21"/>
                <w:highlight w:val="none"/>
              </w:rPr>
            </w:pPr>
            <w:r>
              <w:rPr>
                <w:rFonts w:hint="eastAsia" w:ascii="宋体" w:hAnsi="宋体" w:cs="宋体"/>
                <w:b/>
                <w:bCs/>
                <w:szCs w:val="21"/>
                <w:highlight w:val="none"/>
              </w:rPr>
              <w:t>名称</w:t>
            </w:r>
          </w:p>
        </w:tc>
        <w:tc>
          <w:tcPr>
            <w:tcW w:w="4051" w:type="dxa"/>
            <w:vAlign w:val="center"/>
          </w:tcPr>
          <w:p w14:paraId="3E2645B9">
            <w:pPr>
              <w:spacing w:line="400" w:lineRule="exact"/>
              <w:jc w:val="center"/>
              <w:rPr>
                <w:rFonts w:ascii="宋体" w:hAnsi="宋体" w:cs="宋体"/>
                <w:b/>
                <w:bCs/>
                <w:szCs w:val="21"/>
                <w:highlight w:val="none"/>
              </w:rPr>
            </w:pPr>
            <w:r>
              <w:rPr>
                <w:rFonts w:hint="eastAsia" w:ascii="宋体" w:hAnsi="宋体" w:cs="宋体"/>
                <w:b/>
                <w:bCs/>
                <w:szCs w:val="21"/>
                <w:highlight w:val="none"/>
              </w:rPr>
              <w:t>依据</w:t>
            </w:r>
          </w:p>
        </w:tc>
      </w:tr>
      <w:tr w14:paraId="0843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vAlign w:val="center"/>
          </w:tcPr>
          <w:p w14:paraId="42C0979D">
            <w:pPr>
              <w:pStyle w:val="120"/>
              <w:spacing w:line="320" w:lineRule="exact"/>
              <w:jc w:val="both"/>
              <w:rPr>
                <w:rFonts w:ascii="宋体" w:hAnsi="宋体" w:cs="宋体"/>
                <w:kern w:val="2"/>
                <w:sz w:val="21"/>
                <w:szCs w:val="21"/>
                <w:highlight w:val="none"/>
                <w:lang w:eastAsia="zh-CN"/>
              </w:rPr>
            </w:pPr>
          </w:p>
          <w:p w14:paraId="2FA10274">
            <w:pPr>
              <w:pStyle w:val="120"/>
              <w:spacing w:line="320" w:lineRule="exact"/>
              <w:jc w:val="both"/>
              <w:rPr>
                <w:rFonts w:ascii="宋体" w:hAnsi="宋体" w:cs="宋体"/>
                <w:kern w:val="2"/>
                <w:sz w:val="21"/>
                <w:szCs w:val="21"/>
                <w:highlight w:val="none"/>
                <w:lang w:eastAsia="zh-CN"/>
              </w:rPr>
            </w:pPr>
          </w:p>
          <w:p w14:paraId="459E7C96">
            <w:pPr>
              <w:pStyle w:val="120"/>
              <w:spacing w:line="320" w:lineRule="exact"/>
              <w:jc w:val="both"/>
              <w:rPr>
                <w:rFonts w:ascii="宋体" w:hAnsi="宋体" w:cs="宋体"/>
                <w:kern w:val="2"/>
                <w:sz w:val="21"/>
                <w:szCs w:val="21"/>
                <w:highlight w:val="none"/>
                <w:lang w:eastAsia="zh-CN"/>
              </w:rPr>
            </w:pPr>
          </w:p>
          <w:p w14:paraId="495F0623">
            <w:pPr>
              <w:pStyle w:val="120"/>
              <w:spacing w:line="320" w:lineRule="exact"/>
              <w:jc w:val="both"/>
              <w:rPr>
                <w:rFonts w:ascii="宋体" w:hAnsi="宋体" w:cs="宋体"/>
                <w:kern w:val="2"/>
                <w:sz w:val="21"/>
                <w:szCs w:val="21"/>
                <w:highlight w:val="none"/>
                <w:lang w:eastAsia="zh-CN"/>
              </w:rPr>
            </w:pPr>
          </w:p>
          <w:p w14:paraId="3BE1DC21">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1</w:t>
            </w:r>
          </w:p>
        </w:tc>
        <w:tc>
          <w:tcPr>
            <w:tcW w:w="1000" w:type="dxa"/>
            <w:vMerge w:val="restart"/>
            <w:vAlign w:val="center"/>
          </w:tcPr>
          <w:p w14:paraId="5F42CF73">
            <w:pPr>
              <w:pStyle w:val="120"/>
              <w:spacing w:line="320" w:lineRule="exact"/>
              <w:jc w:val="both"/>
              <w:rPr>
                <w:rFonts w:ascii="宋体" w:hAnsi="宋体" w:cs="宋体"/>
                <w:kern w:val="2"/>
                <w:sz w:val="21"/>
                <w:szCs w:val="21"/>
                <w:highlight w:val="none"/>
                <w:lang w:eastAsia="zh-CN"/>
              </w:rPr>
            </w:pPr>
          </w:p>
          <w:p w14:paraId="0F29B80E">
            <w:pPr>
              <w:pStyle w:val="120"/>
              <w:spacing w:line="320" w:lineRule="exact"/>
              <w:jc w:val="both"/>
              <w:rPr>
                <w:rFonts w:ascii="宋体" w:hAnsi="宋体" w:cs="宋体"/>
                <w:kern w:val="2"/>
                <w:sz w:val="21"/>
                <w:szCs w:val="21"/>
                <w:highlight w:val="none"/>
                <w:lang w:eastAsia="zh-CN"/>
              </w:rPr>
            </w:pPr>
          </w:p>
          <w:p w14:paraId="46A469CC">
            <w:pPr>
              <w:pStyle w:val="120"/>
              <w:spacing w:line="320" w:lineRule="exact"/>
              <w:jc w:val="both"/>
              <w:rPr>
                <w:rFonts w:ascii="宋体" w:hAnsi="宋体" w:cs="宋体"/>
                <w:kern w:val="2"/>
                <w:sz w:val="21"/>
                <w:szCs w:val="21"/>
                <w:highlight w:val="none"/>
                <w:lang w:eastAsia="zh-CN"/>
              </w:rPr>
            </w:pPr>
          </w:p>
          <w:p w14:paraId="3316DEEF">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A020101计算</w:t>
            </w:r>
          </w:p>
          <w:p w14:paraId="625620D2">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机设备</w:t>
            </w:r>
          </w:p>
        </w:tc>
        <w:tc>
          <w:tcPr>
            <w:tcW w:w="1875" w:type="dxa"/>
            <w:vAlign w:val="center"/>
          </w:tcPr>
          <w:p w14:paraId="780E7C7C">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★A02010104台式计算机</w:t>
            </w:r>
          </w:p>
        </w:tc>
        <w:tc>
          <w:tcPr>
            <w:tcW w:w="1581" w:type="dxa"/>
            <w:vAlign w:val="center"/>
          </w:tcPr>
          <w:p w14:paraId="10C92446">
            <w:pPr>
              <w:spacing w:line="320" w:lineRule="exact"/>
              <w:rPr>
                <w:rFonts w:ascii="宋体" w:hAnsi="宋体" w:cs="宋体"/>
                <w:szCs w:val="21"/>
                <w:highlight w:val="none"/>
              </w:rPr>
            </w:pPr>
          </w:p>
        </w:tc>
        <w:tc>
          <w:tcPr>
            <w:tcW w:w="4051" w:type="dxa"/>
            <w:vAlign w:val="center"/>
          </w:tcPr>
          <w:p w14:paraId="28B58866">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《微型计算机能效限定值及能效等级》（GB28380）</w:t>
            </w:r>
          </w:p>
        </w:tc>
      </w:tr>
      <w:tr w14:paraId="09CA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5132F425">
            <w:pPr>
              <w:spacing w:line="320" w:lineRule="exact"/>
              <w:rPr>
                <w:rFonts w:ascii="宋体" w:hAnsi="宋体" w:cs="宋体"/>
                <w:szCs w:val="21"/>
                <w:highlight w:val="none"/>
              </w:rPr>
            </w:pPr>
          </w:p>
        </w:tc>
        <w:tc>
          <w:tcPr>
            <w:tcW w:w="1000" w:type="dxa"/>
            <w:vMerge w:val="continue"/>
            <w:vAlign w:val="center"/>
          </w:tcPr>
          <w:p w14:paraId="64550A1E">
            <w:pPr>
              <w:spacing w:line="320" w:lineRule="exact"/>
              <w:rPr>
                <w:rFonts w:ascii="宋体" w:hAnsi="宋体" w:cs="宋体"/>
                <w:szCs w:val="21"/>
                <w:highlight w:val="none"/>
              </w:rPr>
            </w:pPr>
          </w:p>
        </w:tc>
        <w:tc>
          <w:tcPr>
            <w:tcW w:w="1875" w:type="dxa"/>
            <w:vAlign w:val="center"/>
          </w:tcPr>
          <w:p w14:paraId="612F8EDA">
            <w:pPr>
              <w:spacing w:line="320" w:lineRule="exact"/>
              <w:rPr>
                <w:rFonts w:ascii="宋体" w:hAnsi="宋体" w:cs="宋体"/>
                <w:szCs w:val="21"/>
                <w:highlight w:val="none"/>
              </w:rPr>
            </w:pPr>
            <w:r>
              <w:rPr>
                <w:rFonts w:hint="eastAsia" w:ascii="宋体" w:hAnsi="宋体" w:cs="宋体"/>
                <w:szCs w:val="21"/>
                <w:highlight w:val="none"/>
              </w:rPr>
              <w:t>★A02010105便携式计算机</w:t>
            </w:r>
          </w:p>
        </w:tc>
        <w:tc>
          <w:tcPr>
            <w:tcW w:w="1581" w:type="dxa"/>
            <w:vAlign w:val="center"/>
          </w:tcPr>
          <w:p w14:paraId="7BE45773">
            <w:pPr>
              <w:spacing w:line="320" w:lineRule="exact"/>
              <w:rPr>
                <w:rFonts w:ascii="宋体" w:hAnsi="宋体" w:cs="宋体"/>
                <w:szCs w:val="21"/>
                <w:highlight w:val="none"/>
              </w:rPr>
            </w:pPr>
          </w:p>
        </w:tc>
        <w:tc>
          <w:tcPr>
            <w:tcW w:w="4051" w:type="dxa"/>
            <w:vAlign w:val="center"/>
          </w:tcPr>
          <w:p w14:paraId="5285AD2E">
            <w:pPr>
              <w:spacing w:line="320" w:lineRule="exact"/>
              <w:rPr>
                <w:rFonts w:ascii="宋体" w:hAnsi="宋体" w:cs="宋体"/>
                <w:szCs w:val="21"/>
                <w:highlight w:val="none"/>
              </w:rPr>
            </w:pPr>
            <w:r>
              <w:rPr>
                <w:rFonts w:hint="eastAsia" w:ascii="宋体" w:hAnsi="宋体" w:cs="宋体"/>
                <w:szCs w:val="21"/>
                <w:highlight w:val="none"/>
              </w:rPr>
              <w:t>《微型计算机能效限定值及能效等级》（GB28380）</w:t>
            </w:r>
          </w:p>
        </w:tc>
      </w:tr>
      <w:tr w14:paraId="070A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40C3D16E">
            <w:pPr>
              <w:spacing w:line="320" w:lineRule="exact"/>
              <w:rPr>
                <w:rFonts w:ascii="宋体" w:hAnsi="宋体" w:cs="宋体"/>
                <w:szCs w:val="21"/>
                <w:highlight w:val="none"/>
              </w:rPr>
            </w:pPr>
          </w:p>
        </w:tc>
        <w:tc>
          <w:tcPr>
            <w:tcW w:w="1000" w:type="dxa"/>
            <w:vMerge w:val="continue"/>
            <w:vAlign w:val="center"/>
          </w:tcPr>
          <w:p w14:paraId="467BB221">
            <w:pPr>
              <w:spacing w:line="320" w:lineRule="exact"/>
              <w:rPr>
                <w:rFonts w:ascii="宋体" w:hAnsi="宋体" w:cs="宋体"/>
                <w:szCs w:val="21"/>
                <w:highlight w:val="none"/>
              </w:rPr>
            </w:pPr>
          </w:p>
        </w:tc>
        <w:tc>
          <w:tcPr>
            <w:tcW w:w="1875" w:type="dxa"/>
            <w:vAlign w:val="center"/>
          </w:tcPr>
          <w:p w14:paraId="2AB37FC7">
            <w:pPr>
              <w:spacing w:line="320" w:lineRule="exact"/>
              <w:rPr>
                <w:rFonts w:ascii="宋体" w:hAnsi="宋体" w:cs="宋体"/>
                <w:szCs w:val="21"/>
                <w:highlight w:val="none"/>
              </w:rPr>
            </w:pPr>
            <w:r>
              <w:rPr>
                <w:rFonts w:hint="eastAsia" w:ascii="宋体" w:hAnsi="宋体" w:cs="宋体"/>
                <w:szCs w:val="21"/>
                <w:highlight w:val="none"/>
              </w:rPr>
              <w:t>★A02010107平板式微型计算机</w:t>
            </w:r>
          </w:p>
        </w:tc>
        <w:tc>
          <w:tcPr>
            <w:tcW w:w="1581" w:type="dxa"/>
            <w:vAlign w:val="center"/>
          </w:tcPr>
          <w:p w14:paraId="2E364E5E">
            <w:pPr>
              <w:spacing w:line="320" w:lineRule="exact"/>
              <w:rPr>
                <w:rFonts w:ascii="宋体" w:hAnsi="宋体" w:cs="宋体"/>
                <w:szCs w:val="21"/>
                <w:highlight w:val="none"/>
              </w:rPr>
            </w:pPr>
          </w:p>
        </w:tc>
        <w:tc>
          <w:tcPr>
            <w:tcW w:w="4051" w:type="dxa"/>
            <w:vAlign w:val="center"/>
          </w:tcPr>
          <w:p w14:paraId="5E23B934">
            <w:pPr>
              <w:spacing w:line="320" w:lineRule="exact"/>
              <w:rPr>
                <w:rFonts w:ascii="宋体" w:hAnsi="宋体" w:cs="宋体"/>
                <w:szCs w:val="21"/>
                <w:highlight w:val="none"/>
              </w:rPr>
            </w:pPr>
            <w:r>
              <w:rPr>
                <w:rFonts w:hint="eastAsia" w:ascii="宋体" w:hAnsi="宋体" w:cs="宋体"/>
                <w:szCs w:val="21"/>
                <w:highlight w:val="none"/>
              </w:rPr>
              <w:t>《微型计算机能效限定值及能效等级》（GB28380）</w:t>
            </w:r>
          </w:p>
        </w:tc>
      </w:tr>
      <w:tr w14:paraId="3458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vAlign w:val="center"/>
          </w:tcPr>
          <w:p w14:paraId="44DF620A">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2</w:t>
            </w:r>
          </w:p>
        </w:tc>
        <w:tc>
          <w:tcPr>
            <w:tcW w:w="1000" w:type="dxa"/>
            <w:vMerge w:val="restart"/>
            <w:vAlign w:val="center"/>
          </w:tcPr>
          <w:p w14:paraId="3FA4EE19">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A020106输入</w:t>
            </w:r>
          </w:p>
          <w:p w14:paraId="1BECC425">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输出设备</w:t>
            </w:r>
          </w:p>
        </w:tc>
        <w:tc>
          <w:tcPr>
            <w:tcW w:w="1875" w:type="dxa"/>
            <w:vMerge w:val="restart"/>
            <w:vAlign w:val="center"/>
          </w:tcPr>
          <w:p w14:paraId="1C86012A">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A02010601打印设备</w:t>
            </w:r>
          </w:p>
        </w:tc>
        <w:tc>
          <w:tcPr>
            <w:tcW w:w="1581" w:type="dxa"/>
            <w:vAlign w:val="center"/>
          </w:tcPr>
          <w:p w14:paraId="40391974">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A0201060101喷墨打印机</w:t>
            </w:r>
          </w:p>
        </w:tc>
        <w:tc>
          <w:tcPr>
            <w:tcW w:w="4051" w:type="dxa"/>
            <w:vAlign w:val="center"/>
          </w:tcPr>
          <w:p w14:paraId="4B7EA24F">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《复印机、打印机和传真机能效限定值及能效等级》（GB21521）</w:t>
            </w:r>
          </w:p>
        </w:tc>
      </w:tr>
      <w:tr w14:paraId="37E7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0DD22AB2">
            <w:pPr>
              <w:spacing w:line="320" w:lineRule="exact"/>
              <w:rPr>
                <w:rFonts w:ascii="宋体" w:hAnsi="宋体" w:cs="宋体"/>
                <w:szCs w:val="21"/>
                <w:highlight w:val="none"/>
              </w:rPr>
            </w:pPr>
          </w:p>
        </w:tc>
        <w:tc>
          <w:tcPr>
            <w:tcW w:w="1000" w:type="dxa"/>
            <w:vMerge w:val="continue"/>
            <w:vAlign w:val="center"/>
          </w:tcPr>
          <w:p w14:paraId="251D8E18">
            <w:pPr>
              <w:spacing w:line="320" w:lineRule="exact"/>
              <w:rPr>
                <w:rFonts w:ascii="宋体" w:hAnsi="宋体" w:cs="宋体"/>
                <w:szCs w:val="21"/>
                <w:highlight w:val="none"/>
              </w:rPr>
            </w:pPr>
          </w:p>
        </w:tc>
        <w:tc>
          <w:tcPr>
            <w:tcW w:w="1875" w:type="dxa"/>
            <w:vMerge w:val="continue"/>
            <w:vAlign w:val="center"/>
          </w:tcPr>
          <w:p w14:paraId="4ADCDE52">
            <w:pPr>
              <w:spacing w:line="320" w:lineRule="exact"/>
              <w:rPr>
                <w:rFonts w:ascii="宋体" w:hAnsi="宋体" w:cs="宋体"/>
                <w:szCs w:val="21"/>
                <w:highlight w:val="none"/>
              </w:rPr>
            </w:pPr>
          </w:p>
        </w:tc>
        <w:tc>
          <w:tcPr>
            <w:tcW w:w="1581" w:type="dxa"/>
            <w:vAlign w:val="center"/>
          </w:tcPr>
          <w:p w14:paraId="2ABAF99B">
            <w:pPr>
              <w:spacing w:line="320" w:lineRule="exact"/>
              <w:rPr>
                <w:rFonts w:ascii="宋体" w:hAnsi="宋体" w:cs="宋体"/>
                <w:szCs w:val="21"/>
                <w:highlight w:val="none"/>
              </w:rPr>
            </w:pPr>
            <w:r>
              <w:rPr>
                <w:rFonts w:hint="eastAsia" w:ascii="宋体" w:hAnsi="宋体" w:cs="宋体"/>
                <w:szCs w:val="21"/>
                <w:highlight w:val="none"/>
              </w:rPr>
              <w:t>★A0201060102激光打印机</w:t>
            </w:r>
          </w:p>
        </w:tc>
        <w:tc>
          <w:tcPr>
            <w:tcW w:w="4051" w:type="dxa"/>
            <w:vAlign w:val="center"/>
          </w:tcPr>
          <w:p w14:paraId="3DB79CD7">
            <w:pPr>
              <w:spacing w:line="320" w:lineRule="exact"/>
              <w:rPr>
                <w:rFonts w:ascii="宋体" w:hAnsi="宋体" w:cs="宋体"/>
                <w:szCs w:val="21"/>
                <w:highlight w:val="none"/>
              </w:rPr>
            </w:pPr>
            <w:r>
              <w:rPr>
                <w:rFonts w:hint="eastAsia" w:ascii="宋体" w:hAnsi="宋体" w:cs="宋体"/>
                <w:szCs w:val="21"/>
                <w:highlight w:val="none"/>
              </w:rPr>
              <w:t>《复印机、打印机和传真机能效限定值及能效等级》（GB21521）</w:t>
            </w:r>
          </w:p>
        </w:tc>
      </w:tr>
      <w:tr w14:paraId="61A2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4F6006B7">
            <w:pPr>
              <w:spacing w:line="320" w:lineRule="exact"/>
              <w:rPr>
                <w:rFonts w:ascii="宋体" w:hAnsi="宋体" w:cs="宋体"/>
                <w:szCs w:val="21"/>
                <w:highlight w:val="none"/>
              </w:rPr>
            </w:pPr>
          </w:p>
        </w:tc>
        <w:tc>
          <w:tcPr>
            <w:tcW w:w="1000" w:type="dxa"/>
            <w:vMerge w:val="continue"/>
            <w:vAlign w:val="center"/>
          </w:tcPr>
          <w:p w14:paraId="428950ED">
            <w:pPr>
              <w:spacing w:line="320" w:lineRule="exact"/>
              <w:rPr>
                <w:rFonts w:ascii="宋体" w:hAnsi="宋体" w:cs="宋体"/>
                <w:szCs w:val="21"/>
                <w:highlight w:val="none"/>
              </w:rPr>
            </w:pPr>
          </w:p>
        </w:tc>
        <w:tc>
          <w:tcPr>
            <w:tcW w:w="1875" w:type="dxa"/>
            <w:vMerge w:val="continue"/>
            <w:vAlign w:val="center"/>
          </w:tcPr>
          <w:p w14:paraId="571F3157">
            <w:pPr>
              <w:spacing w:line="320" w:lineRule="exact"/>
              <w:rPr>
                <w:rFonts w:ascii="宋体" w:hAnsi="宋体" w:cs="宋体"/>
                <w:szCs w:val="21"/>
                <w:highlight w:val="none"/>
              </w:rPr>
            </w:pPr>
          </w:p>
        </w:tc>
        <w:tc>
          <w:tcPr>
            <w:tcW w:w="1581" w:type="dxa"/>
            <w:vAlign w:val="center"/>
          </w:tcPr>
          <w:p w14:paraId="0F42AA51">
            <w:pPr>
              <w:spacing w:line="320" w:lineRule="exact"/>
              <w:rPr>
                <w:rFonts w:ascii="宋体" w:hAnsi="宋体" w:cs="宋体"/>
                <w:szCs w:val="21"/>
                <w:highlight w:val="none"/>
              </w:rPr>
            </w:pPr>
            <w:r>
              <w:rPr>
                <w:rFonts w:hint="eastAsia" w:ascii="宋体" w:hAnsi="宋体" w:cs="宋体"/>
                <w:szCs w:val="21"/>
                <w:highlight w:val="none"/>
              </w:rPr>
              <w:t>★A0201060104针式打印机</w:t>
            </w:r>
          </w:p>
        </w:tc>
        <w:tc>
          <w:tcPr>
            <w:tcW w:w="4051" w:type="dxa"/>
            <w:vAlign w:val="center"/>
          </w:tcPr>
          <w:p w14:paraId="610B7B5E">
            <w:pPr>
              <w:spacing w:line="320" w:lineRule="exact"/>
              <w:rPr>
                <w:rFonts w:ascii="宋体" w:hAnsi="宋体" w:cs="宋体"/>
                <w:szCs w:val="21"/>
                <w:highlight w:val="none"/>
              </w:rPr>
            </w:pPr>
            <w:r>
              <w:rPr>
                <w:rFonts w:hint="eastAsia" w:ascii="宋体" w:hAnsi="宋体" w:cs="宋体"/>
                <w:szCs w:val="21"/>
                <w:highlight w:val="none"/>
              </w:rPr>
              <w:t>《复印机、打印机和传真机能效限定值及能效等级》（GB21521）</w:t>
            </w:r>
          </w:p>
        </w:tc>
      </w:tr>
      <w:tr w14:paraId="1B2A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6599A817">
            <w:pPr>
              <w:spacing w:line="320" w:lineRule="exact"/>
              <w:rPr>
                <w:rFonts w:ascii="宋体" w:hAnsi="宋体" w:cs="宋体"/>
                <w:szCs w:val="21"/>
                <w:highlight w:val="none"/>
              </w:rPr>
            </w:pPr>
          </w:p>
        </w:tc>
        <w:tc>
          <w:tcPr>
            <w:tcW w:w="1000" w:type="dxa"/>
            <w:vMerge w:val="continue"/>
            <w:vAlign w:val="center"/>
          </w:tcPr>
          <w:p w14:paraId="0F78D285">
            <w:pPr>
              <w:spacing w:line="320" w:lineRule="exact"/>
              <w:rPr>
                <w:rFonts w:ascii="宋体" w:hAnsi="宋体" w:cs="宋体"/>
                <w:szCs w:val="21"/>
                <w:highlight w:val="none"/>
              </w:rPr>
            </w:pPr>
          </w:p>
        </w:tc>
        <w:tc>
          <w:tcPr>
            <w:tcW w:w="1875" w:type="dxa"/>
            <w:vAlign w:val="center"/>
          </w:tcPr>
          <w:p w14:paraId="17C80330">
            <w:pPr>
              <w:spacing w:line="320" w:lineRule="exact"/>
              <w:rPr>
                <w:rFonts w:ascii="宋体" w:hAnsi="宋体" w:cs="宋体"/>
                <w:szCs w:val="21"/>
                <w:highlight w:val="none"/>
              </w:rPr>
            </w:pPr>
            <w:r>
              <w:rPr>
                <w:rFonts w:hint="eastAsia" w:ascii="宋体" w:hAnsi="宋体" w:cs="宋体"/>
                <w:szCs w:val="21"/>
                <w:highlight w:val="none"/>
              </w:rPr>
              <w:t>A02010604显示设备</w:t>
            </w:r>
          </w:p>
        </w:tc>
        <w:tc>
          <w:tcPr>
            <w:tcW w:w="1581" w:type="dxa"/>
            <w:vAlign w:val="center"/>
          </w:tcPr>
          <w:p w14:paraId="67566D56">
            <w:pPr>
              <w:spacing w:line="320" w:lineRule="exact"/>
              <w:rPr>
                <w:rFonts w:ascii="宋体" w:hAnsi="宋体" w:cs="宋体"/>
                <w:szCs w:val="21"/>
                <w:highlight w:val="none"/>
              </w:rPr>
            </w:pPr>
            <w:r>
              <w:rPr>
                <w:rFonts w:hint="eastAsia" w:ascii="宋体" w:hAnsi="宋体" w:cs="宋体"/>
                <w:szCs w:val="21"/>
                <w:highlight w:val="none"/>
              </w:rPr>
              <w:t>★A0201060401液晶显示器</w:t>
            </w:r>
          </w:p>
        </w:tc>
        <w:tc>
          <w:tcPr>
            <w:tcW w:w="4051" w:type="dxa"/>
            <w:vAlign w:val="center"/>
          </w:tcPr>
          <w:p w14:paraId="58A71AFF">
            <w:pPr>
              <w:spacing w:line="320" w:lineRule="exact"/>
              <w:rPr>
                <w:rFonts w:ascii="宋体" w:hAnsi="宋体" w:cs="宋体"/>
                <w:szCs w:val="21"/>
                <w:highlight w:val="none"/>
              </w:rPr>
            </w:pPr>
            <w:r>
              <w:rPr>
                <w:rFonts w:hint="eastAsia" w:ascii="宋体" w:hAnsi="宋体" w:cs="宋体"/>
                <w:szCs w:val="21"/>
                <w:highlight w:val="none"/>
              </w:rPr>
              <w:t>《计算机显示器能效限定值及能效等级》（GB21520）</w:t>
            </w:r>
          </w:p>
        </w:tc>
      </w:tr>
      <w:tr w14:paraId="3697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22F43D1C">
            <w:pPr>
              <w:spacing w:line="320" w:lineRule="exact"/>
              <w:rPr>
                <w:rFonts w:ascii="宋体" w:hAnsi="宋体" w:cs="宋体"/>
                <w:szCs w:val="21"/>
                <w:highlight w:val="none"/>
              </w:rPr>
            </w:pPr>
          </w:p>
        </w:tc>
        <w:tc>
          <w:tcPr>
            <w:tcW w:w="1000" w:type="dxa"/>
            <w:vMerge w:val="continue"/>
            <w:vAlign w:val="center"/>
          </w:tcPr>
          <w:p w14:paraId="1458C52A">
            <w:pPr>
              <w:spacing w:line="320" w:lineRule="exact"/>
              <w:rPr>
                <w:rFonts w:ascii="宋体" w:hAnsi="宋体" w:cs="宋体"/>
                <w:szCs w:val="21"/>
                <w:highlight w:val="none"/>
              </w:rPr>
            </w:pPr>
          </w:p>
        </w:tc>
        <w:tc>
          <w:tcPr>
            <w:tcW w:w="1875" w:type="dxa"/>
            <w:vAlign w:val="center"/>
          </w:tcPr>
          <w:p w14:paraId="7AE1A9F2">
            <w:pPr>
              <w:spacing w:line="320" w:lineRule="exact"/>
              <w:rPr>
                <w:rFonts w:ascii="宋体" w:hAnsi="宋体" w:cs="宋体"/>
                <w:szCs w:val="21"/>
                <w:highlight w:val="none"/>
              </w:rPr>
            </w:pPr>
            <w:r>
              <w:rPr>
                <w:rFonts w:hint="eastAsia" w:ascii="宋体" w:hAnsi="宋体" w:cs="宋体"/>
                <w:szCs w:val="21"/>
                <w:highlight w:val="none"/>
              </w:rPr>
              <w:t>A02010609图形图像输入设备</w:t>
            </w:r>
          </w:p>
        </w:tc>
        <w:tc>
          <w:tcPr>
            <w:tcW w:w="1581" w:type="dxa"/>
            <w:vAlign w:val="center"/>
          </w:tcPr>
          <w:p w14:paraId="0F8C1060">
            <w:pPr>
              <w:spacing w:line="320" w:lineRule="exact"/>
              <w:rPr>
                <w:rFonts w:ascii="宋体" w:hAnsi="宋体" w:cs="宋体"/>
                <w:szCs w:val="21"/>
                <w:highlight w:val="none"/>
              </w:rPr>
            </w:pPr>
            <w:r>
              <w:rPr>
                <w:rFonts w:hint="eastAsia" w:ascii="宋体" w:hAnsi="宋体" w:cs="宋体"/>
                <w:szCs w:val="21"/>
                <w:highlight w:val="none"/>
              </w:rPr>
              <w:t>A0201060901扫描仪</w:t>
            </w:r>
          </w:p>
        </w:tc>
        <w:tc>
          <w:tcPr>
            <w:tcW w:w="4051" w:type="dxa"/>
            <w:vAlign w:val="center"/>
          </w:tcPr>
          <w:p w14:paraId="34A9DA54">
            <w:pPr>
              <w:spacing w:line="320" w:lineRule="exact"/>
              <w:rPr>
                <w:rFonts w:ascii="宋体" w:hAnsi="宋体" w:cs="宋体"/>
                <w:szCs w:val="21"/>
                <w:highlight w:val="none"/>
              </w:rPr>
            </w:pPr>
            <w:r>
              <w:rPr>
                <w:rFonts w:hint="eastAsia" w:ascii="宋体" w:hAnsi="宋体" w:cs="宋体"/>
                <w:szCs w:val="21"/>
                <w:highlight w:val="none"/>
              </w:rPr>
              <w:t>参照《复印机、打印机和传真机能效限定值及能效等级》（GB21521</w:t>
            </w:r>
          </w:p>
          <w:p w14:paraId="51C58B2D">
            <w:pPr>
              <w:spacing w:line="320" w:lineRule="exact"/>
              <w:rPr>
                <w:rFonts w:ascii="宋体" w:hAnsi="宋体" w:cs="宋体"/>
                <w:szCs w:val="21"/>
                <w:highlight w:val="none"/>
              </w:rPr>
            </w:pPr>
            <w:r>
              <w:rPr>
                <w:rFonts w:hint="eastAsia" w:ascii="宋体" w:hAnsi="宋体" w:cs="宋体"/>
                <w:szCs w:val="21"/>
                <w:highlight w:val="none"/>
              </w:rPr>
              <w:t>中打印速度为15页/分的针式打印机相关要求</w:t>
            </w:r>
          </w:p>
        </w:tc>
      </w:tr>
      <w:tr w14:paraId="144B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52139233">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3</w:t>
            </w:r>
          </w:p>
        </w:tc>
        <w:tc>
          <w:tcPr>
            <w:tcW w:w="1000" w:type="dxa"/>
            <w:vAlign w:val="center"/>
          </w:tcPr>
          <w:p w14:paraId="7C14E2ED">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A020202投影</w:t>
            </w:r>
          </w:p>
          <w:p w14:paraId="66240D8B">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仪</w:t>
            </w:r>
          </w:p>
        </w:tc>
        <w:tc>
          <w:tcPr>
            <w:tcW w:w="1875" w:type="dxa"/>
            <w:vAlign w:val="center"/>
          </w:tcPr>
          <w:p w14:paraId="1DF4E4A0">
            <w:pPr>
              <w:spacing w:line="320" w:lineRule="exact"/>
              <w:rPr>
                <w:rFonts w:ascii="宋体" w:hAnsi="宋体" w:cs="宋体"/>
                <w:szCs w:val="21"/>
                <w:highlight w:val="none"/>
              </w:rPr>
            </w:pPr>
          </w:p>
        </w:tc>
        <w:tc>
          <w:tcPr>
            <w:tcW w:w="1581" w:type="dxa"/>
            <w:vAlign w:val="center"/>
          </w:tcPr>
          <w:p w14:paraId="5245E207">
            <w:pPr>
              <w:spacing w:line="320" w:lineRule="exact"/>
              <w:rPr>
                <w:rFonts w:ascii="宋体" w:hAnsi="宋体" w:cs="宋体"/>
                <w:szCs w:val="21"/>
                <w:highlight w:val="none"/>
              </w:rPr>
            </w:pPr>
          </w:p>
        </w:tc>
        <w:tc>
          <w:tcPr>
            <w:tcW w:w="4051" w:type="dxa"/>
            <w:vAlign w:val="center"/>
          </w:tcPr>
          <w:p w14:paraId="45AE1D57">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《投影机能效限定值及能效等级</w:t>
            </w:r>
          </w:p>
          <w:p w14:paraId="3ED9AD69">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（GB32028）</w:t>
            </w:r>
          </w:p>
        </w:tc>
      </w:tr>
      <w:tr w14:paraId="4E10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6B2C71EC">
            <w:pPr>
              <w:pStyle w:val="120"/>
              <w:spacing w:line="320" w:lineRule="exact"/>
              <w:jc w:val="both"/>
              <w:rPr>
                <w:rFonts w:ascii="宋体" w:hAnsi="宋体" w:cs="宋体"/>
                <w:kern w:val="2"/>
                <w:sz w:val="21"/>
                <w:szCs w:val="21"/>
                <w:highlight w:val="none"/>
                <w:lang w:eastAsia="zh-CN"/>
              </w:rPr>
            </w:pPr>
          </w:p>
          <w:p w14:paraId="291A2621">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4</w:t>
            </w:r>
          </w:p>
        </w:tc>
        <w:tc>
          <w:tcPr>
            <w:tcW w:w="1000" w:type="dxa"/>
            <w:vAlign w:val="center"/>
          </w:tcPr>
          <w:p w14:paraId="407A684A">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A020204多功</w:t>
            </w:r>
          </w:p>
          <w:p w14:paraId="5DB18327">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能一体机</w:t>
            </w:r>
          </w:p>
        </w:tc>
        <w:tc>
          <w:tcPr>
            <w:tcW w:w="1875" w:type="dxa"/>
            <w:vAlign w:val="center"/>
          </w:tcPr>
          <w:p w14:paraId="172ABABA">
            <w:pPr>
              <w:spacing w:line="320" w:lineRule="exact"/>
              <w:rPr>
                <w:rFonts w:ascii="宋体" w:hAnsi="宋体" w:cs="宋体"/>
                <w:szCs w:val="21"/>
                <w:highlight w:val="none"/>
              </w:rPr>
            </w:pPr>
          </w:p>
        </w:tc>
        <w:tc>
          <w:tcPr>
            <w:tcW w:w="1581" w:type="dxa"/>
            <w:vAlign w:val="center"/>
          </w:tcPr>
          <w:p w14:paraId="1F98C119">
            <w:pPr>
              <w:spacing w:line="320" w:lineRule="exact"/>
              <w:rPr>
                <w:rFonts w:ascii="宋体" w:hAnsi="宋体" w:cs="宋体"/>
                <w:szCs w:val="21"/>
                <w:highlight w:val="none"/>
              </w:rPr>
            </w:pPr>
          </w:p>
        </w:tc>
        <w:tc>
          <w:tcPr>
            <w:tcW w:w="4051" w:type="dxa"/>
            <w:vAlign w:val="center"/>
          </w:tcPr>
          <w:p w14:paraId="6D4AF816">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《复印机、打印机和传真机能效限定值及能效等级》（GB21521）</w:t>
            </w:r>
          </w:p>
        </w:tc>
      </w:tr>
      <w:tr w14:paraId="014D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05A9BAD0">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5</w:t>
            </w:r>
          </w:p>
        </w:tc>
        <w:tc>
          <w:tcPr>
            <w:tcW w:w="1000" w:type="dxa"/>
            <w:vAlign w:val="center"/>
          </w:tcPr>
          <w:p w14:paraId="7179CF36">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A020519泵</w:t>
            </w:r>
          </w:p>
        </w:tc>
        <w:tc>
          <w:tcPr>
            <w:tcW w:w="1875" w:type="dxa"/>
            <w:vAlign w:val="center"/>
          </w:tcPr>
          <w:p w14:paraId="15B45A28">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A02051901离心泵</w:t>
            </w:r>
          </w:p>
        </w:tc>
        <w:tc>
          <w:tcPr>
            <w:tcW w:w="1581" w:type="dxa"/>
            <w:vAlign w:val="center"/>
          </w:tcPr>
          <w:p w14:paraId="74D67729">
            <w:pPr>
              <w:spacing w:line="320" w:lineRule="exact"/>
              <w:rPr>
                <w:rFonts w:ascii="宋体" w:hAnsi="宋体" w:cs="宋体"/>
                <w:szCs w:val="21"/>
                <w:highlight w:val="none"/>
              </w:rPr>
            </w:pPr>
          </w:p>
        </w:tc>
        <w:tc>
          <w:tcPr>
            <w:tcW w:w="4051" w:type="dxa"/>
            <w:vAlign w:val="center"/>
          </w:tcPr>
          <w:p w14:paraId="76D41D2C">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《清水离心泵能效限定值及节能评价值》（GB19762）</w:t>
            </w:r>
          </w:p>
        </w:tc>
      </w:tr>
      <w:tr w14:paraId="5764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vAlign w:val="center"/>
          </w:tcPr>
          <w:p w14:paraId="4287BC66">
            <w:pPr>
              <w:pStyle w:val="120"/>
              <w:spacing w:line="320" w:lineRule="exact"/>
              <w:jc w:val="both"/>
              <w:rPr>
                <w:rFonts w:ascii="宋体" w:hAnsi="宋体" w:cs="宋体"/>
                <w:kern w:val="2"/>
                <w:sz w:val="21"/>
                <w:szCs w:val="21"/>
                <w:highlight w:val="none"/>
                <w:lang w:eastAsia="zh-CN"/>
              </w:rPr>
            </w:pPr>
          </w:p>
          <w:p w14:paraId="29E4CB25">
            <w:pPr>
              <w:pStyle w:val="120"/>
              <w:spacing w:line="320" w:lineRule="exact"/>
              <w:jc w:val="both"/>
              <w:rPr>
                <w:rFonts w:ascii="宋体" w:hAnsi="宋体" w:cs="宋体"/>
                <w:kern w:val="2"/>
                <w:sz w:val="21"/>
                <w:szCs w:val="21"/>
                <w:highlight w:val="none"/>
                <w:lang w:eastAsia="zh-CN"/>
              </w:rPr>
            </w:pPr>
          </w:p>
          <w:p w14:paraId="7DB9FB8C">
            <w:pPr>
              <w:pStyle w:val="120"/>
              <w:spacing w:line="320" w:lineRule="exact"/>
              <w:jc w:val="both"/>
              <w:rPr>
                <w:rFonts w:ascii="宋体" w:hAnsi="宋体" w:cs="宋体"/>
                <w:kern w:val="2"/>
                <w:sz w:val="21"/>
                <w:szCs w:val="21"/>
                <w:highlight w:val="none"/>
                <w:lang w:eastAsia="zh-CN"/>
              </w:rPr>
            </w:pPr>
          </w:p>
          <w:p w14:paraId="40733891">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6</w:t>
            </w:r>
          </w:p>
        </w:tc>
        <w:tc>
          <w:tcPr>
            <w:tcW w:w="1000" w:type="dxa"/>
            <w:vMerge w:val="restart"/>
            <w:vAlign w:val="center"/>
          </w:tcPr>
          <w:p w14:paraId="3FC5764A">
            <w:pPr>
              <w:pStyle w:val="120"/>
              <w:spacing w:line="320" w:lineRule="exact"/>
              <w:jc w:val="both"/>
              <w:rPr>
                <w:rFonts w:ascii="宋体" w:hAnsi="宋体" w:cs="宋体"/>
                <w:kern w:val="2"/>
                <w:sz w:val="21"/>
                <w:szCs w:val="21"/>
                <w:highlight w:val="none"/>
                <w:lang w:eastAsia="zh-CN"/>
              </w:rPr>
            </w:pPr>
          </w:p>
          <w:p w14:paraId="13F42373">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A020523制冷</w:t>
            </w:r>
          </w:p>
          <w:p w14:paraId="6CF22AFA">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空调设备</w:t>
            </w:r>
          </w:p>
        </w:tc>
        <w:tc>
          <w:tcPr>
            <w:tcW w:w="1875" w:type="dxa"/>
            <w:vMerge w:val="restart"/>
            <w:vAlign w:val="center"/>
          </w:tcPr>
          <w:p w14:paraId="1B5EF462">
            <w:pPr>
              <w:spacing w:line="320" w:lineRule="exact"/>
              <w:rPr>
                <w:rFonts w:ascii="宋体" w:hAnsi="宋体" w:cs="宋体"/>
                <w:szCs w:val="21"/>
                <w:highlight w:val="none"/>
              </w:rPr>
            </w:pPr>
            <w:r>
              <w:rPr>
                <w:rFonts w:hint="eastAsia" w:ascii="宋体" w:hAnsi="宋体" w:cs="宋体"/>
                <w:szCs w:val="21"/>
                <w:highlight w:val="none"/>
              </w:rPr>
              <w:t>★A02052301制冷压缩机</w:t>
            </w:r>
          </w:p>
        </w:tc>
        <w:tc>
          <w:tcPr>
            <w:tcW w:w="1581" w:type="dxa"/>
            <w:vAlign w:val="center"/>
          </w:tcPr>
          <w:p w14:paraId="0D4B6C36">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冷水机组</w:t>
            </w:r>
          </w:p>
        </w:tc>
        <w:tc>
          <w:tcPr>
            <w:tcW w:w="4051" w:type="dxa"/>
            <w:vAlign w:val="center"/>
          </w:tcPr>
          <w:p w14:paraId="75021D00">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《冷水机组能效限定值及能效等级》（GB19577），《低环境温度空气源热泵（冷水）机组能效限定值及能效等级》（GB37480）</w:t>
            </w:r>
          </w:p>
        </w:tc>
      </w:tr>
      <w:tr w14:paraId="41B6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418B8A4F">
            <w:pPr>
              <w:spacing w:line="320" w:lineRule="exact"/>
              <w:rPr>
                <w:rFonts w:ascii="宋体" w:hAnsi="宋体" w:cs="宋体"/>
                <w:szCs w:val="21"/>
                <w:highlight w:val="none"/>
              </w:rPr>
            </w:pPr>
          </w:p>
        </w:tc>
        <w:tc>
          <w:tcPr>
            <w:tcW w:w="1000" w:type="dxa"/>
            <w:vMerge w:val="continue"/>
            <w:vAlign w:val="center"/>
          </w:tcPr>
          <w:p w14:paraId="79BDFF81">
            <w:pPr>
              <w:spacing w:line="320" w:lineRule="exact"/>
              <w:rPr>
                <w:rFonts w:ascii="宋体" w:hAnsi="宋体" w:cs="宋体"/>
                <w:szCs w:val="21"/>
                <w:highlight w:val="none"/>
              </w:rPr>
            </w:pPr>
          </w:p>
        </w:tc>
        <w:tc>
          <w:tcPr>
            <w:tcW w:w="1875" w:type="dxa"/>
            <w:vMerge w:val="continue"/>
            <w:vAlign w:val="center"/>
          </w:tcPr>
          <w:p w14:paraId="22552E10">
            <w:pPr>
              <w:spacing w:line="320" w:lineRule="exact"/>
              <w:rPr>
                <w:rFonts w:ascii="宋体" w:hAnsi="宋体" w:cs="宋体"/>
                <w:szCs w:val="21"/>
                <w:highlight w:val="none"/>
              </w:rPr>
            </w:pPr>
          </w:p>
        </w:tc>
        <w:tc>
          <w:tcPr>
            <w:tcW w:w="1581" w:type="dxa"/>
            <w:vAlign w:val="center"/>
          </w:tcPr>
          <w:p w14:paraId="5E0AD2BD">
            <w:pPr>
              <w:spacing w:line="320" w:lineRule="exact"/>
              <w:rPr>
                <w:rFonts w:ascii="宋体" w:hAnsi="宋体" w:cs="宋体"/>
                <w:szCs w:val="21"/>
                <w:highlight w:val="none"/>
              </w:rPr>
            </w:pPr>
            <w:r>
              <w:rPr>
                <w:rFonts w:hint="eastAsia" w:ascii="宋体" w:hAnsi="宋体" w:cs="宋体"/>
                <w:szCs w:val="21"/>
                <w:highlight w:val="none"/>
              </w:rPr>
              <w:t>水源热泵机组</w:t>
            </w:r>
          </w:p>
        </w:tc>
        <w:tc>
          <w:tcPr>
            <w:tcW w:w="4051" w:type="dxa"/>
            <w:vAlign w:val="center"/>
          </w:tcPr>
          <w:p w14:paraId="345FECCF">
            <w:pPr>
              <w:spacing w:line="320" w:lineRule="exact"/>
              <w:rPr>
                <w:rFonts w:ascii="宋体" w:hAnsi="宋体" w:cs="宋体"/>
                <w:szCs w:val="21"/>
                <w:highlight w:val="none"/>
              </w:rPr>
            </w:pPr>
            <w:r>
              <w:rPr>
                <w:rFonts w:hint="eastAsia" w:ascii="宋体" w:hAnsi="宋体" w:cs="宋体"/>
                <w:szCs w:val="21"/>
                <w:highlight w:val="none"/>
              </w:rPr>
              <w:t>《水（地）源热泵机组能效限定值及能效等级》（GB30721）</w:t>
            </w:r>
          </w:p>
        </w:tc>
      </w:tr>
      <w:tr w14:paraId="07A5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523191DA">
            <w:pPr>
              <w:spacing w:line="320" w:lineRule="exact"/>
              <w:rPr>
                <w:rFonts w:ascii="宋体" w:hAnsi="宋体" w:cs="宋体"/>
                <w:szCs w:val="21"/>
                <w:highlight w:val="none"/>
              </w:rPr>
            </w:pPr>
          </w:p>
        </w:tc>
        <w:tc>
          <w:tcPr>
            <w:tcW w:w="1000" w:type="dxa"/>
            <w:vMerge w:val="continue"/>
            <w:vAlign w:val="center"/>
          </w:tcPr>
          <w:p w14:paraId="356FD541">
            <w:pPr>
              <w:spacing w:line="320" w:lineRule="exact"/>
              <w:rPr>
                <w:rFonts w:ascii="宋体" w:hAnsi="宋体" w:cs="宋体"/>
                <w:szCs w:val="21"/>
                <w:highlight w:val="none"/>
              </w:rPr>
            </w:pPr>
          </w:p>
        </w:tc>
        <w:tc>
          <w:tcPr>
            <w:tcW w:w="1875" w:type="dxa"/>
            <w:vMerge w:val="continue"/>
            <w:vAlign w:val="center"/>
          </w:tcPr>
          <w:p w14:paraId="2576C080">
            <w:pPr>
              <w:spacing w:line="320" w:lineRule="exact"/>
              <w:rPr>
                <w:rFonts w:ascii="宋体" w:hAnsi="宋体" w:cs="宋体"/>
                <w:szCs w:val="21"/>
                <w:highlight w:val="none"/>
              </w:rPr>
            </w:pPr>
          </w:p>
        </w:tc>
        <w:tc>
          <w:tcPr>
            <w:tcW w:w="1581" w:type="dxa"/>
            <w:vAlign w:val="center"/>
          </w:tcPr>
          <w:p w14:paraId="6A24ABDA">
            <w:pPr>
              <w:spacing w:line="320" w:lineRule="exact"/>
              <w:rPr>
                <w:rFonts w:ascii="宋体" w:hAnsi="宋体" w:cs="宋体"/>
                <w:szCs w:val="21"/>
                <w:highlight w:val="none"/>
              </w:rPr>
            </w:pPr>
            <w:r>
              <w:rPr>
                <w:rFonts w:hint="eastAsia" w:ascii="宋体" w:hAnsi="宋体" w:cs="宋体"/>
                <w:szCs w:val="21"/>
                <w:highlight w:val="none"/>
              </w:rPr>
              <w:t>溴化锂吸收式冷水机组</w:t>
            </w:r>
          </w:p>
        </w:tc>
        <w:tc>
          <w:tcPr>
            <w:tcW w:w="4051" w:type="dxa"/>
            <w:vAlign w:val="center"/>
          </w:tcPr>
          <w:p w14:paraId="12B7C352">
            <w:pPr>
              <w:spacing w:line="320" w:lineRule="exact"/>
              <w:rPr>
                <w:rFonts w:ascii="宋体" w:hAnsi="宋体" w:cs="宋体"/>
                <w:szCs w:val="21"/>
                <w:highlight w:val="none"/>
              </w:rPr>
            </w:pPr>
            <w:r>
              <w:rPr>
                <w:rFonts w:hint="eastAsia" w:ascii="宋体" w:hAnsi="宋体" w:cs="宋体"/>
                <w:szCs w:val="21"/>
                <w:highlight w:val="none"/>
              </w:rPr>
              <w:t>《溴化锂吸收式冷水机组能效限</w:t>
            </w:r>
          </w:p>
          <w:p w14:paraId="0913E02C">
            <w:pPr>
              <w:spacing w:line="320" w:lineRule="exact"/>
              <w:rPr>
                <w:rFonts w:ascii="宋体" w:hAnsi="宋体" w:cs="宋体"/>
                <w:szCs w:val="21"/>
                <w:highlight w:val="none"/>
              </w:rPr>
            </w:pPr>
            <w:r>
              <w:rPr>
                <w:rFonts w:hint="eastAsia" w:ascii="宋体" w:hAnsi="宋体" w:cs="宋体"/>
                <w:szCs w:val="21"/>
                <w:highlight w:val="none"/>
              </w:rPr>
              <w:t>定值及能效等级》（GB29540）</w:t>
            </w:r>
          </w:p>
        </w:tc>
      </w:tr>
      <w:tr w14:paraId="7F87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69AE6E4B">
            <w:pPr>
              <w:spacing w:line="320" w:lineRule="exact"/>
              <w:rPr>
                <w:rFonts w:ascii="宋体" w:hAnsi="宋体" w:cs="宋体"/>
                <w:szCs w:val="21"/>
                <w:highlight w:val="none"/>
              </w:rPr>
            </w:pPr>
          </w:p>
        </w:tc>
        <w:tc>
          <w:tcPr>
            <w:tcW w:w="1000" w:type="dxa"/>
            <w:vMerge w:val="continue"/>
            <w:vAlign w:val="center"/>
          </w:tcPr>
          <w:p w14:paraId="71DCD985">
            <w:pPr>
              <w:spacing w:line="320" w:lineRule="exact"/>
              <w:rPr>
                <w:rFonts w:ascii="宋体" w:hAnsi="宋体" w:cs="宋体"/>
                <w:szCs w:val="21"/>
                <w:highlight w:val="none"/>
              </w:rPr>
            </w:pPr>
          </w:p>
        </w:tc>
        <w:tc>
          <w:tcPr>
            <w:tcW w:w="1875" w:type="dxa"/>
            <w:vMerge w:val="restart"/>
            <w:vAlign w:val="center"/>
          </w:tcPr>
          <w:p w14:paraId="6D40518B">
            <w:pPr>
              <w:spacing w:line="320" w:lineRule="exact"/>
              <w:rPr>
                <w:rFonts w:ascii="宋体" w:hAnsi="宋体" w:cs="宋体"/>
                <w:szCs w:val="21"/>
                <w:highlight w:val="none"/>
              </w:rPr>
            </w:pPr>
            <w:r>
              <w:rPr>
                <w:rFonts w:hint="eastAsia" w:ascii="宋体" w:hAnsi="宋体" w:cs="宋体"/>
                <w:szCs w:val="21"/>
                <w:highlight w:val="none"/>
              </w:rPr>
              <w:t>★A02052305空调机组</w:t>
            </w:r>
          </w:p>
        </w:tc>
        <w:tc>
          <w:tcPr>
            <w:tcW w:w="1581" w:type="dxa"/>
            <w:vAlign w:val="center"/>
          </w:tcPr>
          <w:p w14:paraId="43AC513F">
            <w:pPr>
              <w:spacing w:line="320" w:lineRule="exact"/>
              <w:rPr>
                <w:rFonts w:ascii="宋体" w:hAnsi="宋体" w:cs="宋体"/>
                <w:szCs w:val="21"/>
                <w:highlight w:val="none"/>
              </w:rPr>
            </w:pPr>
            <w:r>
              <w:rPr>
                <w:rFonts w:hint="eastAsia" w:ascii="宋体" w:hAnsi="宋体" w:cs="宋体"/>
                <w:szCs w:val="21"/>
                <w:highlight w:val="none"/>
              </w:rPr>
              <w:t>多联式空调（热泵）机组(制冷量&gt;14000W)</w:t>
            </w:r>
          </w:p>
        </w:tc>
        <w:tc>
          <w:tcPr>
            <w:tcW w:w="4051" w:type="dxa"/>
            <w:vAlign w:val="center"/>
          </w:tcPr>
          <w:p w14:paraId="6107B88E">
            <w:pPr>
              <w:spacing w:line="320" w:lineRule="exact"/>
              <w:rPr>
                <w:rFonts w:ascii="宋体" w:hAnsi="宋体" w:cs="宋体"/>
                <w:szCs w:val="21"/>
                <w:highlight w:val="none"/>
              </w:rPr>
            </w:pPr>
            <w:r>
              <w:rPr>
                <w:rFonts w:hint="eastAsia" w:ascii="宋体" w:hAnsi="宋体" w:cs="宋体"/>
                <w:szCs w:val="21"/>
                <w:highlight w:val="none"/>
              </w:rPr>
              <w:t>《多联式空调（热泵）机组能效限定值及能源效率等级》（GB21454）</w:t>
            </w:r>
          </w:p>
        </w:tc>
      </w:tr>
      <w:tr w14:paraId="5258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1576C8F3">
            <w:pPr>
              <w:spacing w:line="320" w:lineRule="exact"/>
              <w:rPr>
                <w:rFonts w:ascii="宋体" w:hAnsi="宋体" w:cs="宋体"/>
                <w:szCs w:val="21"/>
                <w:highlight w:val="none"/>
              </w:rPr>
            </w:pPr>
          </w:p>
        </w:tc>
        <w:tc>
          <w:tcPr>
            <w:tcW w:w="1000" w:type="dxa"/>
            <w:vMerge w:val="continue"/>
            <w:vAlign w:val="center"/>
          </w:tcPr>
          <w:p w14:paraId="04C1D154">
            <w:pPr>
              <w:spacing w:line="320" w:lineRule="exact"/>
              <w:rPr>
                <w:rFonts w:ascii="宋体" w:hAnsi="宋体" w:cs="宋体"/>
                <w:szCs w:val="21"/>
                <w:highlight w:val="none"/>
              </w:rPr>
            </w:pPr>
          </w:p>
        </w:tc>
        <w:tc>
          <w:tcPr>
            <w:tcW w:w="1875" w:type="dxa"/>
            <w:vMerge w:val="continue"/>
            <w:vAlign w:val="center"/>
          </w:tcPr>
          <w:p w14:paraId="00A56921">
            <w:pPr>
              <w:spacing w:line="320" w:lineRule="exact"/>
              <w:rPr>
                <w:rFonts w:ascii="宋体" w:hAnsi="宋体" w:cs="宋体"/>
                <w:szCs w:val="21"/>
                <w:highlight w:val="none"/>
              </w:rPr>
            </w:pPr>
          </w:p>
        </w:tc>
        <w:tc>
          <w:tcPr>
            <w:tcW w:w="1581" w:type="dxa"/>
            <w:vAlign w:val="center"/>
          </w:tcPr>
          <w:p w14:paraId="302F902C">
            <w:pPr>
              <w:spacing w:line="320" w:lineRule="exact"/>
              <w:rPr>
                <w:rFonts w:ascii="宋体" w:hAnsi="宋体" w:cs="宋体"/>
                <w:szCs w:val="21"/>
                <w:highlight w:val="none"/>
              </w:rPr>
            </w:pPr>
            <w:r>
              <w:rPr>
                <w:rFonts w:hint="eastAsia" w:ascii="宋体" w:hAnsi="宋体" w:cs="宋体"/>
                <w:szCs w:val="21"/>
                <w:highlight w:val="none"/>
              </w:rPr>
              <w:t>单元式空气调节机</w:t>
            </w:r>
          </w:p>
          <w:p w14:paraId="18EA5FE9">
            <w:pPr>
              <w:spacing w:line="320" w:lineRule="exact"/>
              <w:rPr>
                <w:rFonts w:ascii="宋体" w:hAnsi="宋体" w:cs="宋体"/>
                <w:szCs w:val="21"/>
                <w:highlight w:val="none"/>
              </w:rPr>
            </w:pPr>
            <w:r>
              <w:rPr>
                <w:rFonts w:hint="eastAsia" w:ascii="宋体" w:hAnsi="宋体" w:cs="宋体"/>
                <w:szCs w:val="21"/>
                <w:highlight w:val="none"/>
              </w:rPr>
              <w:t>(制冷量&gt;14000W)</w:t>
            </w:r>
          </w:p>
        </w:tc>
        <w:tc>
          <w:tcPr>
            <w:tcW w:w="4051" w:type="dxa"/>
            <w:vAlign w:val="center"/>
          </w:tcPr>
          <w:p w14:paraId="406E37B6">
            <w:pPr>
              <w:spacing w:line="320" w:lineRule="exact"/>
              <w:rPr>
                <w:rFonts w:ascii="宋体" w:hAnsi="宋体" w:cs="宋体"/>
                <w:szCs w:val="21"/>
                <w:highlight w:val="none"/>
              </w:rPr>
            </w:pPr>
            <w:r>
              <w:rPr>
                <w:rFonts w:hint="eastAsia" w:ascii="宋体" w:hAnsi="宋体" w:cs="宋体"/>
                <w:szCs w:val="21"/>
                <w:highlight w:val="none"/>
              </w:rPr>
              <w:t>《单元式空气调节机能效限定值及能效等级》（GB19576）《风管送风式空调机组能效限定值及能效等级》（GB37479）</w:t>
            </w:r>
          </w:p>
        </w:tc>
      </w:tr>
      <w:tr w14:paraId="58FE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6631C247">
            <w:pPr>
              <w:spacing w:line="320" w:lineRule="exact"/>
              <w:rPr>
                <w:rFonts w:ascii="宋体" w:hAnsi="宋体" w:cs="宋体"/>
                <w:szCs w:val="21"/>
                <w:highlight w:val="none"/>
              </w:rPr>
            </w:pPr>
          </w:p>
        </w:tc>
        <w:tc>
          <w:tcPr>
            <w:tcW w:w="1000" w:type="dxa"/>
            <w:vMerge w:val="continue"/>
            <w:vAlign w:val="center"/>
          </w:tcPr>
          <w:p w14:paraId="6473A9E8">
            <w:pPr>
              <w:spacing w:line="320" w:lineRule="exact"/>
              <w:rPr>
                <w:rFonts w:ascii="宋体" w:hAnsi="宋体" w:cs="宋体"/>
                <w:szCs w:val="21"/>
                <w:highlight w:val="none"/>
              </w:rPr>
            </w:pPr>
          </w:p>
        </w:tc>
        <w:tc>
          <w:tcPr>
            <w:tcW w:w="1875" w:type="dxa"/>
            <w:vAlign w:val="center"/>
          </w:tcPr>
          <w:p w14:paraId="552A41BC">
            <w:pPr>
              <w:spacing w:line="320" w:lineRule="exact"/>
              <w:rPr>
                <w:rFonts w:ascii="宋体" w:hAnsi="宋体" w:cs="宋体"/>
                <w:szCs w:val="21"/>
                <w:highlight w:val="none"/>
              </w:rPr>
            </w:pPr>
            <w:r>
              <w:rPr>
                <w:rFonts w:hint="eastAsia" w:ascii="宋体" w:hAnsi="宋体" w:cs="宋体"/>
                <w:szCs w:val="21"/>
                <w:highlight w:val="none"/>
              </w:rPr>
              <w:t>★A02052309专用制冷、空调设备</w:t>
            </w:r>
          </w:p>
        </w:tc>
        <w:tc>
          <w:tcPr>
            <w:tcW w:w="1581" w:type="dxa"/>
            <w:vAlign w:val="center"/>
          </w:tcPr>
          <w:p w14:paraId="5F7D8267">
            <w:pPr>
              <w:spacing w:line="320" w:lineRule="exact"/>
              <w:rPr>
                <w:rFonts w:ascii="宋体" w:hAnsi="宋体" w:cs="宋体"/>
                <w:szCs w:val="21"/>
                <w:highlight w:val="none"/>
              </w:rPr>
            </w:pPr>
            <w:r>
              <w:rPr>
                <w:rFonts w:hint="eastAsia" w:ascii="宋体" w:hAnsi="宋体" w:cs="宋体"/>
                <w:szCs w:val="21"/>
                <w:highlight w:val="none"/>
              </w:rPr>
              <w:t>机房空调</w:t>
            </w:r>
          </w:p>
        </w:tc>
        <w:tc>
          <w:tcPr>
            <w:tcW w:w="4051" w:type="dxa"/>
            <w:vAlign w:val="center"/>
          </w:tcPr>
          <w:p w14:paraId="58D9181D">
            <w:pPr>
              <w:spacing w:line="320" w:lineRule="exact"/>
              <w:rPr>
                <w:rFonts w:ascii="宋体" w:hAnsi="宋体" w:cs="宋体"/>
                <w:szCs w:val="21"/>
                <w:highlight w:val="none"/>
              </w:rPr>
            </w:pPr>
            <w:r>
              <w:rPr>
                <w:rFonts w:hint="eastAsia" w:ascii="宋体" w:hAnsi="宋体" w:cs="宋体"/>
                <w:szCs w:val="21"/>
                <w:highlight w:val="none"/>
              </w:rPr>
              <w:t>《单元式空气调节机能效限定值及能效等级》（GB19576）</w:t>
            </w:r>
          </w:p>
        </w:tc>
      </w:tr>
      <w:tr w14:paraId="648B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3EBA66D3">
            <w:pPr>
              <w:spacing w:line="320" w:lineRule="exact"/>
              <w:rPr>
                <w:rFonts w:ascii="宋体" w:hAnsi="宋体" w:cs="宋体"/>
                <w:szCs w:val="21"/>
                <w:highlight w:val="none"/>
              </w:rPr>
            </w:pPr>
          </w:p>
        </w:tc>
        <w:tc>
          <w:tcPr>
            <w:tcW w:w="1000" w:type="dxa"/>
            <w:vMerge w:val="continue"/>
            <w:vAlign w:val="center"/>
          </w:tcPr>
          <w:p w14:paraId="2ACDF044">
            <w:pPr>
              <w:spacing w:line="320" w:lineRule="exact"/>
              <w:rPr>
                <w:rFonts w:ascii="宋体" w:hAnsi="宋体" w:cs="宋体"/>
                <w:szCs w:val="21"/>
                <w:highlight w:val="none"/>
              </w:rPr>
            </w:pPr>
          </w:p>
        </w:tc>
        <w:tc>
          <w:tcPr>
            <w:tcW w:w="1875" w:type="dxa"/>
            <w:vAlign w:val="center"/>
          </w:tcPr>
          <w:p w14:paraId="063E0DEE">
            <w:pPr>
              <w:spacing w:line="320" w:lineRule="exact"/>
              <w:rPr>
                <w:rFonts w:ascii="宋体" w:hAnsi="宋体" w:cs="宋体"/>
                <w:szCs w:val="21"/>
                <w:highlight w:val="none"/>
              </w:rPr>
            </w:pPr>
            <w:r>
              <w:rPr>
                <w:rFonts w:hint="eastAsia" w:ascii="宋体" w:hAnsi="宋体" w:cs="宋体"/>
                <w:szCs w:val="21"/>
                <w:highlight w:val="none"/>
              </w:rPr>
              <w:t>A02052399其他制冷空调设备</w:t>
            </w:r>
          </w:p>
        </w:tc>
        <w:tc>
          <w:tcPr>
            <w:tcW w:w="1581" w:type="dxa"/>
            <w:vAlign w:val="center"/>
          </w:tcPr>
          <w:p w14:paraId="78E5B6DB">
            <w:pPr>
              <w:spacing w:line="320" w:lineRule="exact"/>
              <w:rPr>
                <w:rFonts w:ascii="宋体" w:hAnsi="宋体" w:cs="宋体"/>
                <w:szCs w:val="21"/>
                <w:highlight w:val="none"/>
              </w:rPr>
            </w:pPr>
            <w:r>
              <w:rPr>
                <w:rFonts w:hint="eastAsia" w:ascii="宋体" w:hAnsi="宋体" w:cs="宋体"/>
                <w:szCs w:val="21"/>
                <w:highlight w:val="none"/>
              </w:rPr>
              <w:t>冷却塔</w:t>
            </w:r>
          </w:p>
        </w:tc>
        <w:tc>
          <w:tcPr>
            <w:tcW w:w="4051" w:type="dxa"/>
            <w:vAlign w:val="center"/>
          </w:tcPr>
          <w:p w14:paraId="2783515C">
            <w:pPr>
              <w:spacing w:line="320" w:lineRule="exact"/>
              <w:rPr>
                <w:rFonts w:ascii="宋体" w:hAnsi="宋体" w:cs="宋体"/>
                <w:szCs w:val="21"/>
                <w:highlight w:val="none"/>
              </w:rPr>
            </w:pPr>
          </w:p>
          <w:p w14:paraId="4AFBE593">
            <w:pPr>
              <w:spacing w:line="320" w:lineRule="exact"/>
              <w:rPr>
                <w:rFonts w:ascii="宋体" w:hAnsi="宋体" w:cs="宋体"/>
                <w:szCs w:val="21"/>
                <w:highlight w:val="none"/>
              </w:rPr>
            </w:pPr>
            <w:r>
              <w:rPr>
                <w:rFonts w:hint="eastAsia" w:ascii="宋体" w:hAnsi="宋体" w:cs="宋体"/>
                <w:szCs w:val="21"/>
                <w:highlight w:val="none"/>
              </w:rPr>
              <w:t>《机械通风冷却塔第1部分：中小型开式冷却塔》（GB/T7190.1）《机械通风冷却塔第2部分：大型开式冷却塔》（GB/T7190.2</w:t>
            </w:r>
          </w:p>
        </w:tc>
      </w:tr>
      <w:tr w14:paraId="4DDD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704595C6">
            <w:pPr>
              <w:pStyle w:val="120"/>
              <w:spacing w:line="320" w:lineRule="exact"/>
              <w:jc w:val="both"/>
              <w:rPr>
                <w:rFonts w:ascii="宋体" w:hAnsi="宋体" w:cs="宋体"/>
                <w:kern w:val="2"/>
                <w:sz w:val="21"/>
                <w:szCs w:val="21"/>
                <w:highlight w:val="none"/>
                <w:lang w:eastAsia="zh-CN"/>
              </w:rPr>
            </w:pPr>
          </w:p>
          <w:p w14:paraId="6627F133">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7</w:t>
            </w:r>
          </w:p>
        </w:tc>
        <w:tc>
          <w:tcPr>
            <w:tcW w:w="1000" w:type="dxa"/>
            <w:vAlign w:val="center"/>
          </w:tcPr>
          <w:p w14:paraId="45D16875">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A020601电机</w:t>
            </w:r>
          </w:p>
        </w:tc>
        <w:tc>
          <w:tcPr>
            <w:tcW w:w="1875" w:type="dxa"/>
            <w:vAlign w:val="center"/>
          </w:tcPr>
          <w:p w14:paraId="1CEF0385">
            <w:pPr>
              <w:spacing w:line="320" w:lineRule="exact"/>
              <w:rPr>
                <w:rFonts w:ascii="宋体" w:hAnsi="宋体" w:cs="宋体"/>
                <w:szCs w:val="21"/>
                <w:highlight w:val="none"/>
              </w:rPr>
            </w:pPr>
          </w:p>
        </w:tc>
        <w:tc>
          <w:tcPr>
            <w:tcW w:w="1581" w:type="dxa"/>
            <w:vAlign w:val="center"/>
          </w:tcPr>
          <w:p w14:paraId="131DA8C2">
            <w:pPr>
              <w:spacing w:line="320" w:lineRule="exact"/>
              <w:rPr>
                <w:rFonts w:ascii="宋体" w:hAnsi="宋体" w:cs="宋体"/>
                <w:szCs w:val="21"/>
                <w:highlight w:val="none"/>
              </w:rPr>
            </w:pPr>
          </w:p>
        </w:tc>
        <w:tc>
          <w:tcPr>
            <w:tcW w:w="4051" w:type="dxa"/>
            <w:vAlign w:val="center"/>
          </w:tcPr>
          <w:p w14:paraId="7DC3431B">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《中小型三相异步电动机能效限定值及能效等级》（GB18613）</w:t>
            </w:r>
          </w:p>
        </w:tc>
      </w:tr>
      <w:tr w14:paraId="14A8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6A8C9BAA">
            <w:pPr>
              <w:pStyle w:val="120"/>
              <w:spacing w:line="320" w:lineRule="exact"/>
              <w:jc w:val="both"/>
              <w:rPr>
                <w:rFonts w:ascii="宋体" w:hAnsi="宋体" w:cs="宋体"/>
                <w:kern w:val="2"/>
                <w:sz w:val="21"/>
                <w:szCs w:val="21"/>
                <w:highlight w:val="none"/>
                <w:lang w:eastAsia="zh-CN"/>
              </w:rPr>
            </w:pPr>
          </w:p>
          <w:p w14:paraId="19F17596">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8</w:t>
            </w:r>
          </w:p>
        </w:tc>
        <w:tc>
          <w:tcPr>
            <w:tcW w:w="1000" w:type="dxa"/>
            <w:vAlign w:val="center"/>
          </w:tcPr>
          <w:p w14:paraId="319295E4">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A020602变压器</w:t>
            </w:r>
          </w:p>
        </w:tc>
        <w:tc>
          <w:tcPr>
            <w:tcW w:w="1875" w:type="dxa"/>
            <w:vAlign w:val="center"/>
          </w:tcPr>
          <w:p w14:paraId="77F05FD9">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配电变压器</w:t>
            </w:r>
          </w:p>
        </w:tc>
        <w:tc>
          <w:tcPr>
            <w:tcW w:w="1581" w:type="dxa"/>
            <w:vAlign w:val="center"/>
          </w:tcPr>
          <w:p w14:paraId="32CE5C95">
            <w:pPr>
              <w:spacing w:line="320" w:lineRule="exact"/>
              <w:rPr>
                <w:rFonts w:ascii="宋体" w:hAnsi="宋体" w:cs="宋体"/>
                <w:szCs w:val="21"/>
                <w:highlight w:val="none"/>
              </w:rPr>
            </w:pPr>
          </w:p>
        </w:tc>
        <w:tc>
          <w:tcPr>
            <w:tcW w:w="4051" w:type="dxa"/>
            <w:vAlign w:val="center"/>
          </w:tcPr>
          <w:p w14:paraId="11EB835F">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《三相配电变压器能效限定值及能效等级》（GB20052）</w:t>
            </w:r>
          </w:p>
        </w:tc>
      </w:tr>
      <w:tr w14:paraId="5E7F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7A5C4104">
            <w:pPr>
              <w:pStyle w:val="120"/>
              <w:spacing w:line="320" w:lineRule="exact"/>
              <w:jc w:val="both"/>
              <w:rPr>
                <w:rFonts w:ascii="宋体" w:hAnsi="宋体" w:cs="宋体"/>
                <w:kern w:val="2"/>
                <w:sz w:val="21"/>
                <w:szCs w:val="21"/>
                <w:highlight w:val="none"/>
                <w:lang w:eastAsia="zh-CN"/>
              </w:rPr>
            </w:pPr>
          </w:p>
          <w:p w14:paraId="63AD95D6">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9</w:t>
            </w:r>
          </w:p>
        </w:tc>
        <w:tc>
          <w:tcPr>
            <w:tcW w:w="1000" w:type="dxa"/>
            <w:vAlign w:val="center"/>
          </w:tcPr>
          <w:p w14:paraId="63816FE0">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A020609镇流器</w:t>
            </w:r>
          </w:p>
        </w:tc>
        <w:tc>
          <w:tcPr>
            <w:tcW w:w="1875" w:type="dxa"/>
            <w:vAlign w:val="center"/>
          </w:tcPr>
          <w:p w14:paraId="1DF1A09A">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管型荧光灯镇流器</w:t>
            </w:r>
          </w:p>
        </w:tc>
        <w:tc>
          <w:tcPr>
            <w:tcW w:w="1581" w:type="dxa"/>
            <w:vAlign w:val="center"/>
          </w:tcPr>
          <w:p w14:paraId="66D41E4E">
            <w:pPr>
              <w:spacing w:line="320" w:lineRule="exact"/>
              <w:rPr>
                <w:rFonts w:ascii="宋体" w:hAnsi="宋体" w:cs="宋体"/>
                <w:szCs w:val="21"/>
                <w:highlight w:val="none"/>
              </w:rPr>
            </w:pPr>
          </w:p>
        </w:tc>
        <w:tc>
          <w:tcPr>
            <w:tcW w:w="4051" w:type="dxa"/>
            <w:vAlign w:val="center"/>
          </w:tcPr>
          <w:p w14:paraId="2F09E93F">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《管形荧光灯镇流器能效限定值及能效等级》（GB17896）</w:t>
            </w:r>
          </w:p>
        </w:tc>
      </w:tr>
      <w:tr w14:paraId="2DC1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67" w:type="dxa"/>
            <w:vMerge w:val="restart"/>
            <w:vAlign w:val="center"/>
          </w:tcPr>
          <w:p w14:paraId="27655C3F">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10</w:t>
            </w:r>
          </w:p>
        </w:tc>
        <w:tc>
          <w:tcPr>
            <w:tcW w:w="1000" w:type="dxa"/>
            <w:vMerge w:val="restart"/>
            <w:vAlign w:val="center"/>
          </w:tcPr>
          <w:p w14:paraId="37460DEA">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A020618生活</w:t>
            </w:r>
          </w:p>
          <w:p w14:paraId="14BE1D20">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用电器</w:t>
            </w:r>
          </w:p>
        </w:tc>
        <w:tc>
          <w:tcPr>
            <w:tcW w:w="1875" w:type="dxa"/>
            <w:vAlign w:val="center"/>
          </w:tcPr>
          <w:p w14:paraId="74E45F95">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A0206180101电冰箱</w:t>
            </w:r>
          </w:p>
        </w:tc>
        <w:tc>
          <w:tcPr>
            <w:tcW w:w="1581" w:type="dxa"/>
            <w:vAlign w:val="center"/>
          </w:tcPr>
          <w:p w14:paraId="346FA935">
            <w:pPr>
              <w:spacing w:line="320" w:lineRule="exact"/>
              <w:rPr>
                <w:rFonts w:ascii="宋体" w:hAnsi="宋体" w:cs="宋体"/>
                <w:szCs w:val="21"/>
                <w:highlight w:val="none"/>
              </w:rPr>
            </w:pPr>
          </w:p>
        </w:tc>
        <w:tc>
          <w:tcPr>
            <w:tcW w:w="4051" w:type="dxa"/>
            <w:vAlign w:val="center"/>
          </w:tcPr>
          <w:p w14:paraId="7D8D1529">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《家用电冰箱耗电量限定值及能效等级》（GB</w:t>
            </w:r>
            <w:r>
              <w:rPr>
                <w:rFonts w:hint="eastAsia" w:ascii="宋体" w:hAnsi="宋体" w:cs="宋体"/>
                <w:kern w:val="2"/>
                <w:sz w:val="21"/>
                <w:szCs w:val="21"/>
                <w:highlight w:val="none"/>
                <w:lang w:eastAsia="zh-CN"/>
              </w:rPr>
              <w:tab/>
            </w:r>
            <w:r>
              <w:rPr>
                <w:rFonts w:hint="eastAsia" w:ascii="宋体" w:hAnsi="宋体" w:cs="宋体"/>
                <w:kern w:val="2"/>
                <w:sz w:val="21"/>
                <w:szCs w:val="21"/>
                <w:highlight w:val="none"/>
                <w:lang w:eastAsia="zh-CN"/>
              </w:rPr>
              <w:t>12021.2）</w:t>
            </w:r>
          </w:p>
        </w:tc>
      </w:tr>
      <w:tr w14:paraId="0684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4928F2F4">
            <w:pPr>
              <w:spacing w:line="320" w:lineRule="exact"/>
              <w:rPr>
                <w:rFonts w:ascii="宋体" w:hAnsi="宋体" w:cs="宋体"/>
                <w:szCs w:val="21"/>
                <w:highlight w:val="none"/>
              </w:rPr>
            </w:pPr>
          </w:p>
        </w:tc>
        <w:tc>
          <w:tcPr>
            <w:tcW w:w="1000" w:type="dxa"/>
            <w:vMerge w:val="continue"/>
            <w:vAlign w:val="center"/>
          </w:tcPr>
          <w:p w14:paraId="7239BEC5">
            <w:pPr>
              <w:spacing w:line="320" w:lineRule="exact"/>
              <w:rPr>
                <w:rFonts w:ascii="宋体" w:hAnsi="宋体" w:cs="宋体"/>
                <w:szCs w:val="21"/>
                <w:highlight w:val="none"/>
              </w:rPr>
            </w:pPr>
          </w:p>
        </w:tc>
        <w:tc>
          <w:tcPr>
            <w:tcW w:w="1875" w:type="dxa"/>
            <w:vMerge w:val="restart"/>
            <w:vAlign w:val="center"/>
          </w:tcPr>
          <w:p w14:paraId="7E5E800B">
            <w:pPr>
              <w:spacing w:line="320" w:lineRule="exact"/>
              <w:rPr>
                <w:rFonts w:ascii="宋体" w:hAnsi="宋体" w:cs="宋体"/>
                <w:szCs w:val="21"/>
                <w:highlight w:val="none"/>
              </w:rPr>
            </w:pPr>
            <w:r>
              <w:rPr>
                <w:rFonts w:hint="eastAsia" w:ascii="宋体" w:hAnsi="宋体" w:cs="宋体"/>
                <w:szCs w:val="21"/>
                <w:highlight w:val="none"/>
              </w:rPr>
              <w:t>★A0206180203空调机</w:t>
            </w:r>
          </w:p>
          <w:p w14:paraId="47839841">
            <w:pPr>
              <w:spacing w:line="320" w:lineRule="exact"/>
              <w:rPr>
                <w:rFonts w:ascii="宋体" w:hAnsi="宋体" w:cs="宋体"/>
                <w:szCs w:val="21"/>
                <w:highlight w:val="none"/>
              </w:rPr>
            </w:pPr>
          </w:p>
        </w:tc>
        <w:tc>
          <w:tcPr>
            <w:tcW w:w="1581" w:type="dxa"/>
            <w:vAlign w:val="center"/>
          </w:tcPr>
          <w:p w14:paraId="09F551AD">
            <w:pPr>
              <w:spacing w:line="320" w:lineRule="exact"/>
              <w:rPr>
                <w:rFonts w:ascii="宋体" w:hAnsi="宋体" w:cs="宋体"/>
                <w:szCs w:val="21"/>
                <w:highlight w:val="none"/>
              </w:rPr>
            </w:pPr>
            <w:r>
              <w:rPr>
                <w:rFonts w:hint="eastAsia" w:ascii="宋体" w:hAnsi="宋体" w:cs="宋体"/>
                <w:szCs w:val="21"/>
                <w:highlight w:val="none"/>
              </w:rPr>
              <w:t>房间空气调节器</w:t>
            </w:r>
          </w:p>
        </w:tc>
        <w:tc>
          <w:tcPr>
            <w:tcW w:w="4051" w:type="dxa"/>
            <w:vAlign w:val="center"/>
          </w:tcPr>
          <w:p w14:paraId="2FFC2C12">
            <w:pPr>
              <w:spacing w:line="320" w:lineRule="exact"/>
              <w:rPr>
                <w:rFonts w:ascii="宋体" w:hAnsi="宋体" w:cs="宋体"/>
                <w:szCs w:val="21"/>
                <w:highlight w:val="none"/>
              </w:rPr>
            </w:pPr>
            <w:r>
              <w:rPr>
                <w:rFonts w:hint="eastAsia" w:ascii="宋体" w:hAnsi="宋体" w:cs="宋体"/>
                <w:szCs w:val="21"/>
                <w:highlight w:val="none"/>
              </w:rPr>
              <w:t>《转速可控型房间空气调节器能效限定值及能效等级》（GB21455-2013），待2019年修订发布后，按《房间空气调节器能效限定值及能效等级》（GB21455-2019实施。</w:t>
            </w:r>
          </w:p>
        </w:tc>
      </w:tr>
      <w:tr w14:paraId="4A63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098C30AF">
            <w:pPr>
              <w:spacing w:line="320" w:lineRule="exact"/>
              <w:rPr>
                <w:rFonts w:ascii="宋体" w:hAnsi="宋体" w:cs="宋体"/>
                <w:szCs w:val="21"/>
                <w:highlight w:val="none"/>
              </w:rPr>
            </w:pPr>
          </w:p>
        </w:tc>
        <w:tc>
          <w:tcPr>
            <w:tcW w:w="1000" w:type="dxa"/>
            <w:vMerge w:val="continue"/>
            <w:vAlign w:val="center"/>
          </w:tcPr>
          <w:p w14:paraId="12FADB63">
            <w:pPr>
              <w:spacing w:line="320" w:lineRule="exact"/>
              <w:rPr>
                <w:rFonts w:ascii="宋体" w:hAnsi="宋体" w:cs="宋体"/>
                <w:szCs w:val="21"/>
                <w:highlight w:val="none"/>
              </w:rPr>
            </w:pPr>
          </w:p>
        </w:tc>
        <w:tc>
          <w:tcPr>
            <w:tcW w:w="1875" w:type="dxa"/>
            <w:vMerge w:val="continue"/>
            <w:vAlign w:val="center"/>
          </w:tcPr>
          <w:p w14:paraId="7A03ABAE">
            <w:pPr>
              <w:spacing w:line="320" w:lineRule="exact"/>
              <w:rPr>
                <w:rFonts w:ascii="宋体" w:hAnsi="宋体" w:cs="宋体"/>
                <w:szCs w:val="21"/>
                <w:highlight w:val="none"/>
              </w:rPr>
            </w:pPr>
          </w:p>
        </w:tc>
        <w:tc>
          <w:tcPr>
            <w:tcW w:w="1581" w:type="dxa"/>
            <w:vAlign w:val="center"/>
          </w:tcPr>
          <w:p w14:paraId="1092F12E">
            <w:pPr>
              <w:spacing w:line="320" w:lineRule="exact"/>
              <w:rPr>
                <w:rFonts w:ascii="宋体" w:hAnsi="宋体" w:cs="宋体"/>
                <w:szCs w:val="21"/>
                <w:highlight w:val="none"/>
              </w:rPr>
            </w:pPr>
            <w:r>
              <w:rPr>
                <w:rFonts w:hint="eastAsia" w:ascii="宋体" w:hAnsi="宋体" w:cs="宋体"/>
                <w:szCs w:val="21"/>
                <w:highlight w:val="none"/>
              </w:rPr>
              <w:t>多联式空调（热泵）机组（制冷量≤ 14000W）</w:t>
            </w:r>
          </w:p>
        </w:tc>
        <w:tc>
          <w:tcPr>
            <w:tcW w:w="4051" w:type="dxa"/>
            <w:vAlign w:val="center"/>
          </w:tcPr>
          <w:p w14:paraId="11DB7455">
            <w:pPr>
              <w:spacing w:line="320" w:lineRule="exact"/>
              <w:rPr>
                <w:rFonts w:ascii="宋体" w:hAnsi="宋体" w:cs="宋体"/>
                <w:szCs w:val="21"/>
                <w:highlight w:val="none"/>
              </w:rPr>
            </w:pPr>
            <w:r>
              <w:rPr>
                <w:rFonts w:hint="eastAsia" w:ascii="宋体" w:hAnsi="宋体" w:cs="宋体"/>
                <w:szCs w:val="21"/>
                <w:highlight w:val="none"/>
              </w:rPr>
              <w:t>《多联式空调（热泵）机组能效限定值及能源效率等级》（GB21454</w:t>
            </w:r>
          </w:p>
        </w:tc>
      </w:tr>
      <w:tr w14:paraId="7542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667" w:type="dxa"/>
            <w:vMerge w:val="continue"/>
            <w:vAlign w:val="center"/>
          </w:tcPr>
          <w:p w14:paraId="6C3C26F1">
            <w:pPr>
              <w:spacing w:line="320" w:lineRule="exact"/>
              <w:rPr>
                <w:rFonts w:ascii="宋体" w:hAnsi="宋体" w:cs="宋体"/>
                <w:szCs w:val="21"/>
                <w:highlight w:val="none"/>
              </w:rPr>
            </w:pPr>
          </w:p>
        </w:tc>
        <w:tc>
          <w:tcPr>
            <w:tcW w:w="1000" w:type="dxa"/>
            <w:vMerge w:val="continue"/>
            <w:vAlign w:val="center"/>
          </w:tcPr>
          <w:p w14:paraId="52034211">
            <w:pPr>
              <w:spacing w:line="320" w:lineRule="exact"/>
              <w:rPr>
                <w:rFonts w:ascii="宋体" w:hAnsi="宋体" w:cs="宋体"/>
                <w:szCs w:val="21"/>
                <w:highlight w:val="none"/>
              </w:rPr>
            </w:pPr>
          </w:p>
        </w:tc>
        <w:tc>
          <w:tcPr>
            <w:tcW w:w="1875" w:type="dxa"/>
            <w:vMerge w:val="continue"/>
            <w:vAlign w:val="center"/>
          </w:tcPr>
          <w:p w14:paraId="164DC5BA">
            <w:pPr>
              <w:spacing w:line="320" w:lineRule="exact"/>
              <w:rPr>
                <w:rFonts w:ascii="宋体" w:hAnsi="宋体" w:cs="宋体"/>
                <w:szCs w:val="21"/>
                <w:highlight w:val="none"/>
              </w:rPr>
            </w:pPr>
          </w:p>
        </w:tc>
        <w:tc>
          <w:tcPr>
            <w:tcW w:w="1581" w:type="dxa"/>
            <w:vAlign w:val="center"/>
          </w:tcPr>
          <w:p w14:paraId="0D406650">
            <w:pPr>
              <w:spacing w:line="320" w:lineRule="exact"/>
              <w:rPr>
                <w:rFonts w:ascii="宋体" w:hAnsi="宋体" w:cs="宋体"/>
                <w:szCs w:val="21"/>
                <w:highlight w:val="none"/>
              </w:rPr>
            </w:pPr>
            <w:r>
              <w:rPr>
                <w:rFonts w:hint="eastAsia" w:ascii="宋体" w:hAnsi="宋体" w:cs="宋体"/>
                <w:szCs w:val="21"/>
                <w:highlight w:val="none"/>
              </w:rPr>
              <w:t>单元式空气调节机</w:t>
            </w:r>
          </w:p>
          <w:p w14:paraId="3FA3CDD7">
            <w:pPr>
              <w:spacing w:line="320" w:lineRule="exact"/>
              <w:rPr>
                <w:rFonts w:ascii="宋体" w:hAnsi="宋体" w:cs="宋体"/>
                <w:szCs w:val="21"/>
                <w:highlight w:val="none"/>
              </w:rPr>
            </w:pPr>
            <w:r>
              <w:rPr>
                <w:rFonts w:hint="eastAsia" w:ascii="宋体" w:hAnsi="宋体" w:cs="宋体"/>
                <w:szCs w:val="21"/>
                <w:highlight w:val="none"/>
              </w:rPr>
              <w:t>(制冷量≤14000W)</w:t>
            </w:r>
          </w:p>
        </w:tc>
        <w:tc>
          <w:tcPr>
            <w:tcW w:w="4051" w:type="dxa"/>
            <w:vAlign w:val="center"/>
          </w:tcPr>
          <w:p w14:paraId="51C0E1EA">
            <w:pPr>
              <w:spacing w:line="320" w:lineRule="exact"/>
              <w:rPr>
                <w:rFonts w:ascii="宋体" w:hAnsi="宋体" w:cs="宋体"/>
                <w:szCs w:val="21"/>
                <w:highlight w:val="none"/>
              </w:rPr>
            </w:pPr>
            <w:r>
              <w:rPr>
                <w:rFonts w:hint="eastAsia" w:ascii="宋体" w:hAnsi="宋体" w:cs="宋体"/>
                <w:szCs w:val="21"/>
                <w:highlight w:val="none"/>
              </w:rPr>
              <w:t>《单元式空气调节机能效限定值及能源效率等级》（GB19576）《风管送风式空调机组能效限定值及能效等级》（GB37479）</w:t>
            </w:r>
          </w:p>
        </w:tc>
      </w:tr>
      <w:tr w14:paraId="76C7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6DF4FE1F">
            <w:pPr>
              <w:spacing w:line="320" w:lineRule="exact"/>
              <w:rPr>
                <w:rFonts w:ascii="宋体" w:hAnsi="宋体" w:cs="宋体"/>
                <w:szCs w:val="21"/>
                <w:highlight w:val="none"/>
              </w:rPr>
            </w:pPr>
          </w:p>
        </w:tc>
        <w:tc>
          <w:tcPr>
            <w:tcW w:w="1000" w:type="dxa"/>
            <w:vMerge w:val="continue"/>
            <w:vAlign w:val="center"/>
          </w:tcPr>
          <w:p w14:paraId="43E2F99E">
            <w:pPr>
              <w:spacing w:line="320" w:lineRule="exact"/>
              <w:rPr>
                <w:rFonts w:ascii="宋体" w:hAnsi="宋体" w:cs="宋体"/>
                <w:szCs w:val="21"/>
                <w:highlight w:val="none"/>
              </w:rPr>
            </w:pPr>
          </w:p>
        </w:tc>
        <w:tc>
          <w:tcPr>
            <w:tcW w:w="1875" w:type="dxa"/>
            <w:vAlign w:val="center"/>
          </w:tcPr>
          <w:p w14:paraId="1C379DA2">
            <w:pPr>
              <w:spacing w:line="320" w:lineRule="exact"/>
              <w:rPr>
                <w:rFonts w:ascii="宋体" w:hAnsi="宋体" w:cs="宋体"/>
                <w:szCs w:val="21"/>
                <w:highlight w:val="none"/>
              </w:rPr>
            </w:pPr>
            <w:r>
              <w:rPr>
                <w:rFonts w:hint="eastAsia" w:ascii="宋体" w:hAnsi="宋体" w:cs="宋体"/>
                <w:szCs w:val="21"/>
                <w:highlight w:val="none"/>
              </w:rPr>
              <w:t>A0206180301洗衣机</w:t>
            </w:r>
          </w:p>
        </w:tc>
        <w:tc>
          <w:tcPr>
            <w:tcW w:w="1581" w:type="dxa"/>
            <w:vAlign w:val="center"/>
          </w:tcPr>
          <w:p w14:paraId="6BC0D5D5">
            <w:pPr>
              <w:spacing w:line="320" w:lineRule="exact"/>
              <w:rPr>
                <w:rFonts w:ascii="宋体" w:hAnsi="宋体" w:cs="宋体"/>
                <w:szCs w:val="21"/>
                <w:highlight w:val="none"/>
              </w:rPr>
            </w:pPr>
          </w:p>
        </w:tc>
        <w:tc>
          <w:tcPr>
            <w:tcW w:w="4051" w:type="dxa"/>
            <w:vAlign w:val="center"/>
          </w:tcPr>
          <w:p w14:paraId="2AF28033">
            <w:pPr>
              <w:spacing w:line="320" w:lineRule="exact"/>
              <w:rPr>
                <w:rFonts w:ascii="宋体" w:hAnsi="宋体" w:cs="宋体"/>
                <w:szCs w:val="21"/>
                <w:highlight w:val="none"/>
              </w:rPr>
            </w:pPr>
            <w:r>
              <w:rPr>
                <w:rFonts w:hint="eastAsia" w:ascii="宋体" w:hAnsi="宋体" w:cs="宋体"/>
                <w:szCs w:val="21"/>
                <w:highlight w:val="none"/>
              </w:rPr>
              <w:t>《电动洗衣机能效水效限定值及等级》（GB12021.4）</w:t>
            </w:r>
          </w:p>
        </w:tc>
      </w:tr>
      <w:tr w14:paraId="2569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6D3590CC">
            <w:pPr>
              <w:spacing w:line="320" w:lineRule="exact"/>
              <w:rPr>
                <w:rFonts w:ascii="宋体" w:hAnsi="宋体" w:cs="宋体"/>
                <w:szCs w:val="21"/>
                <w:highlight w:val="none"/>
              </w:rPr>
            </w:pPr>
          </w:p>
        </w:tc>
        <w:tc>
          <w:tcPr>
            <w:tcW w:w="1000" w:type="dxa"/>
            <w:vMerge w:val="continue"/>
            <w:vAlign w:val="center"/>
          </w:tcPr>
          <w:p w14:paraId="6968F73A">
            <w:pPr>
              <w:spacing w:line="320" w:lineRule="exact"/>
              <w:rPr>
                <w:rFonts w:ascii="宋体" w:hAnsi="宋体" w:cs="宋体"/>
                <w:szCs w:val="21"/>
                <w:highlight w:val="none"/>
              </w:rPr>
            </w:pPr>
          </w:p>
        </w:tc>
        <w:tc>
          <w:tcPr>
            <w:tcW w:w="1875" w:type="dxa"/>
            <w:vMerge w:val="restart"/>
            <w:vAlign w:val="center"/>
          </w:tcPr>
          <w:p w14:paraId="722789E5">
            <w:pPr>
              <w:spacing w:line="320" w:lineRule="exact"/>
              <w:rPr>
                <w:rFonts w:ascii="宋体" w:hAnsi="宋体" w:cs="宋体"/>
                <w:szCs w:val="21"/>
                <w:highlight w:val="none"/>
              </w:rPr>
            </w:pPr>
          </w:p>
          <w:p w14:paraId="1F90DF1A">
            <w:pPr>
              <w:spacing w:line="320" w:lineRule="exact"/>
              <w:rPr>
                <w:rFonts w:ascii="宋体" w:hAnsi="宋体" w:cs="宋体"/>
                <w:szCs w:val="21"/>
                <w:highlight w:val="none"/>
              </w:rPr>
            </w:pPr>
          </w:p>
          <w:p w14:paraId="150A34FE">
            <w:pPr>
              <w:spacing w:line="320" w:lineRule="exact"/>
              <w:rPr>
                <w:rFonts w:ascii="宋体" w:hAnsi="宋体" w:cs="宋体"/>
                <w:szCs w:val="21"/>
                <w:highlight w:val="none"/>
              </w:rPr>
            </w:pPr>
          </w:p>
          <w:p w14:paraId="4BBD1490">
            <w:pPr>
              <w:spacing w:line="320" w:lineRule="exact"/>
              <w:rPr>
                <w:rFonts w:ascii="宋体" w:hAnsi="宋体" w:cs="宋体"/>
                <w:szCs w:val="21"/>
                <w:highlight w:val="none"/>
              </w:rPr>
            </w:pPr>
          </w:p>
          <w:p w14:paraId="7EC71EB9">
            <w:pPr>
              <w:spacing w:line="320" w:lineRule="exact"/>
              <w:rPr>
                <w:rFonts w:ascii="宋体" w:hAnsi="宋体" w:cs="宋体"/>
                <w:szCs w:val="21"/>
                <w:highlight w:val="none"/>
              </w:rPr>
            </w:pPr>
          </w:p>
          <w:p w14:paraId="5C9A333B">
            <w:pPr>
              <w:spacing w:line="320" w:lineRule="exact"/>
              <w:rPr>
                <w:rFonts w:ascii="宋体" w:hAnsi="宋体" w:cs="宋体"/>
                <w:szCs w:val="21"/>
                <w:highlight w:val="none"/>
              </w:rPr>
            </w:pPr>
            <w:r>
              <w:rPr>
                <w:rFonts w:hint="eastAsia" w:ascii="宋体" w:hAnsi="宋体" w:cs="宋体"/>
                <w:szCs w:val="21"/>
                <w:highlight w:val="none"/>
              </w:rPr>
              <w:t>A02061808热水器</w:t>
            </w:r>
          </w:p>
        </w:tc>
        <w:tc>
          <w:tcPr>
            <w:tcW w:w="1581" w:type="dxa"/>
            <w:vAlign w:val="center"/>
          </w:tcPr>
          <w:p w14:paraId="1640EBB5">
            <w:pPr>
              <w:spacing w:line="320" w:lineRule="exact"/>
              <w:rPr>
                <w:rFonts w:ascii="宋体" w:hAnsi="宋体" w:cs="宋体"/>
                <w:szCs w:val="21"/>
                <w:highlight w:val="none"/>
              </w:rPr>
            </w:pPr>
          </w:p>
          <w:p w14:paraId="7FB79364">
            <w:pPr>
              <w:spacing w:line="320" w:lineRule="exact"/>
              <w:rPr>
                <w:rFonts w:ascii="宋体" w:hAnsi="宋体" w:cs="宋体"/>
                <w:szCs w:val="21"/>
                <w:highlight w:val="none"/>
              </w:rPr>
            </w:pPr>
            <w:r>
              <w:rPr>
                <w:rFonts w:hint="eastAsia" w:ascii="宋体" w:hAnsi="宋体" w:cs="宋体"/>
                <w:szCs w:val="21"/>
                <w:highlight w:val="none"/>
              </w:rPr>
              <w:t>★电热水器</w:t>
            </w:r>
          </w:p>
        </w:tc>
        <w:tc>
          <w:tcPr>
            <w:tcW w:w="4051" w:type="dxa"/>
            <w:vAlign w:val="center"/>
          </w:tcPr>
          <w:p w14:paraId="2F3AE4F9">
            <w:pPr>
              <w:spacing w:line="320" w:lineRule="exact"/>
              <w:rPr>
                <w:rFonts w:ascii="宋体" w:hAnsi="宋体" w:cs="宋体"/>
                <w:szCs w:val="21"/>
                <w:highlight w:val="none"/>
              </w:rPr>
            </w:pPr>
            <w:r>
              <w:rPr>
                <w:rFonts w:hint="eastAsia" w:ascii="宋体" w:hAnsi="宋体" w:cs="宋体"/>
                <w:szCs w:val="21"/>
                <w:highlight w:val="none"/>
              </w:rPr>
              <w:t>《储水式电热水器能效限定值及能效等级》（GB21519）</w:t>
            </w:r>
          </w:p>
        </w:tc>
      </w:tr>
      <w:tr w14:paraId="0EBB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64229F29">
            <w:pPr>
              <w:spacing w:line="320" w:lineRule="exact"/>
              <w:rPr>
                <w:rFonts w:ascii="宋体" w:hAnsi="宋体" w:cs="宋体"/>
                <w:szCs w:val="21"/>
                <w:highlight w:val="none"/>
              </w:rPr>
            </w:pPr>
          </w:p>
        </w:tc>
        <w:tc>
          <w:tcPr>
            <w:tcW w:w="1000" w:type="dxa"/>
            <w:vMerge w:val="continue"/>
            <w:vAlign w:val="center"/>
          </w:tcPr>
          <w:p w14:paraId="0DADFEB0">
            <w:pPr>
              <w:spacing w:line="320" w:lineRule="exact"/>
              <w:rPr>
                <w:rFonts w:ascii="宋体" w:hAnsi="宋体" w:cs="宋体"/>
                <w:szCs w:val="21"/>
                <w:highlight w:val="none"/>
              </w:rPr>
            </w:pPr>
          </w:p>
        </w:tc>
        <w:tc>
          <w:tcPr>
            <w:tcW w:w="1875" w:type="dxa"/>
            <w:vMerge w:val="continue"/>
            <w:vAlign w:val="center"/>
          </w:tcPr>
          <w:p w14:paraId="6ADC79E0">
            <w:pPr>
              <w:spacing w:line="320" w:lineRule="exact"/>
              <w:rPr>
                <w:rFonts w:ascii="宋体" w:hAnsi="宋体" w:cs="宋体"/>
                <w:szCs w:val="21"/>
                <w:highlight w:val="none"/>
              </w:rPr>
            </w:pPr>
          </w:p>
        </w:tc>
        <w:tc>
          <w:tcPr>
            <w:tcW w:w="1581" w:type="dxa"/>
            <w:vAlign w:val="center"/>
          </w:tcPr>
          <w:p w14:paraId="38A19A76">
            <w:pPr>
              <w:spacing w:line="320" w:lineRule="exact"/>
              <w:rPr>
                <w:rFonts w:ascii="宋体" w:hAnsi="宋体" w:cs="宋体"/>
                <w:szCs w:val="21"/>
                <w:highlight w:val="none"/>
              </w:rPr>
            </w:pPr>
            <w:r>
              <w:rPr>
                <w:rFonts w:hint="eastAsia" w:ascii="宋体" w:hAnsi="宋体" w:cs="宋体"/>
                <w:szCs w:val="21"/>
                <w:highlight w:val="none"/>
              </w:rPr>
              <w:t>燃气热水器</w:t>
            </w:r>
          </w:p>
        </w:tc>
        <w:tc>
          <w:tcPr>
            <w:tcW w:w="4051" w:type="dxa"/>
            <w:vAlign w:val="center"/>
          </w:tcPr>
          <w:p w14:paraId="578D8960">
            <w:pPr>
              <w:spacing w:line="320" w:lineRule="exact"/>
              <w:rPr>
                <w:rFonts w:ascii="宋体" w:hAnsi="宋体" w:cs="宋体"/>
                <w:szCs w:val="21"/>
                <w:highlight w:val="none"/>
              </w:rPr>
            </w:pPr>
            <w:r>
              <w:rPr>
                <w:rFonts w:hint="eastAsia" w:ascii="宋体" w:hAnsi="宋体" w:cs="宋体"/>
                <w:szCs w:val="21"/>
                <w:highlight w:val="none"/>
              </w:rPr>
              <w:t>《家用燃气快速热水器和燃气采暖热水炉能效限定值及能效等级（GB20665）</w:t>
            </w:r>
          </w:p>
        </w:tc>
      </w:tr>
      <w:tr w14:paraId="45F0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22CE7FDB">
            <w:pPr>
              <w:spacing w:line="320" w:lineRule="exact"/>
              <w:rPr>
                <w:rFonts w:ascii="宋体" w:hAnsi="宋体" w:cs="宋体"/>
                <w:szCs w:val="21"/>
                <w:highlight w:val="none"/>
              </w:rPr>
            </w:pPr>
          </w:p>
        </w:tc>
        <w:tc>
          <w:tcPr>
            <w:tcW w:w="1000" w:type="dxa"/>
            <w:vMerge w:val="continue"/>
            <w:vAlign w:val="center"/>
          </w:tcPr>
          <w:p w14:paraId="5E0C2CDF">
            <w:pPr>
              <w:spacing w:line="320" w:lineRule="exact"/>
              <w:rPr>
                <w:rFonts w:ascii="宋体" w:hAnsi="宋体" w:cs="宋体"/>
                <w:szCs w:val="21"/>
                <w:highlight w:val="none"/>
              </w:rPr>
            </w:pPr>
          </w:p>
        </w:tc>
        <w:tc>
          <w:tcPr>
            <w:tcW w:w="1875" w:type="dxa"/>
            <w:vMerge w:val="continue"/>
            <w:vAlign w:val="center"/>
          </w:tcPr>
          <w:p w14:paraId="013F460E">
            <w:pPr>
              <w:spacing w:line="320" w:lineRule="exact"/>
              <w:rPr>
                <w:rFonts w:ascii="宋体" w:hAnsi="宋体" w:cs="宋体"/>
                <w:szCs w:val="21"/>
                <w:highlight w:val="none"/>
              </w:rPr>
            </w:pPr>
          </w:p>
        </w:tc>
        <w:tc>
          <w:tcPr>
            <w:tcW w:w="1581" w:type="dxa"/>
            <w:vAlign w:val="center"/>
          </w:tcPr>
          <w:p w14:paraId="054DF0E4">
            <w:pPr>
              <w:spacing w:line="320" w:lineRule="exact"/>
              <w:rPr>
                <w:rFonts w:ascii="宋体" w:hAnsi="宋体" w:cs="宋体"/>
                <w:szCs w:val="21"/>
                <w:highlight w:val="none"/>
              </w:rPr>
            </w:pPr>
            <w:r>
              <w:rPr>
                <w:rFonts w:hint="eastAsia" w:ascii="宋体" w:hAnsi="宋体" w:cs="宋体"/>
                <w:szCs w:val="21"/>
                <w:highlight w:val="none"/>
              </w:rPr>
              <w:t>热泵热水器</w:t>
            </w:r>
          </w:p>
        </w:tc>
        <w:tc>
          <w:tcPr>
            <w:tcW w:w="4051" w:type="dxa"/>
            <w:vAlign w:val="center"/>
          </w:tcPr>
          <w:p w14:paraId="2C816993">
            <w:pPr>
              <w:spacing w:line="320" w:lineRule="exact"/>
              <w:rPr>
                <w:rFonts w:ascii="宋体" w:hAnsi="宋体" w:cs="宋体"/>
                <w:szCs w:val="21"/>
                <w:highlight w:val="none"/>
              </w:rPr>
            </w:pPr>
            <w:r>
              <w:rPr>
                <w:rFonts w:hint="eastAsia" w:ascii="宋体" w:hAnsi="宋体" w:cs="宋体"/>
                <w:szCs w:val="21"/>
                <w:highlight w:val="none"/>
              </w:rPr>
              <w:t>《热泵热水机（器）能效限定值及能效等级》（GB29541）</w:t>
            </w:r>
          </w:p>
        </w:tc>
      </w:tr>
      <w:tr w14:paraId="67CE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142C48A7">
            <w:pPr>
              <w:spacing w:line="320" w:lineRule="exact"/>
              <w:rPr>
                <w:rFonts w:ascii="宋体" w:hAnsi="宋体" w:cs="宋体"/>
                <w:szCs w:val="21"/>
                <w:highlight w:val="none"/>
              </w:rPr>
            </w:pPr>
          </w:p>
        </w:tc>
        <w:tc>
          <w:tcPr>
            <w:tcW w:w="1000" w:type="dxa"/>
            <w:vMerge w:val="continue"/>
            <w:vAlign w:val="center"/>
          </w:tcPr>
          <w:p w14:paraId="74EE7BEE">
            <w:pPr>
              <w:spacing w:line="320" w:lineRule="exact"/>
              <w:rPr>
                <w:rFonts w:ascii="宋体" w:hAnsi="宋体" w:cs="宋体"/>
                <w:szCs w:val="21"/>
                <w:highlight w:val="none"/>
              </w:rPr>
            </w:pPr>
          </w:p>
        </w:tc>
        <w:tc>
          <w:tcPr>
            <w:tcW w:w="1875" w:type="dxa"/>
            <w:vMerge w:val="continue"/>
            <w:vAlign w:val="center"/>
          </w:tcPr>
          <w:p w14:paraId="4A3697C8">
            <w:pPr>
              <w:spacing w:line="320" w:lineRule="exact"/>
              <w:rPr>
                <w:rFonts w:ascii="宋体" w:hAnsi="宋体" w:cs="宋体"/>
                <w:szCs w:val="21"/>
                <w:highlight w:val="none"/>
              </w:rPr>
            </w:pPr>
          </w:p>
        </w:tc>
        <w:tc>
          <w:tcPr>
            <w:tcW w:w="1581" w:type="dxa"/>
            <w:vAlign w:val="center"/>
          </w:tcPr>
          <w:p w14:paraId="1ED23D50">
            <w:pPr>
              <w:spacing w:line="320" w:lineRule="exact"/>
              <w:rPr>
                <w:rFonts w:ascii="宋体" w:hAnsi="宋体" w:cs="宋体"/>
                <w:szCs w:val="21"/>
                <w:highlight w:val="none"/>
              </w:rPr>
            </w:pPr>
            <w:r>
              <w:rPr>
                <w:rFonts w:hint="eastAsia" w:ascii="宋体" w:hAnsi="宋体" w:cs="宋体"/>
                <w:szCs w:val="21"/>
                <w:highlight w:val="none"/>
              </w:rPr>
              <w:t>太阳能热水系统</w:t>
            </w:r>
          </w:p>
        </w:tc>
        <w:tc>
          <w:tcPr>
            <w:tcW w:w="4051" w:type="dxa"/>
            <w:vAlign w:val="center"/>
          </w:tcPr>
          <w:p w14:paraId="7526B27A">
            <w:pPr>
              <w:spacing w:line="320" w:lineRule="exact"/>
              <w:rPr>
                <w:rFonts w:ascii="宋体" w:hAnsi="宋体" w:cs="宋体"/>
                <w:szCs w:val="21"/>
                <w:highlight w:val="none"/>
              </w:rPr>
            </w:pPr>
            <w:r>
              <w:rPr>
                <w:rFonts w:hint="eastAsia" w:ascii="宋体" w:hAnsi="宋体" w:cs="宋体"/>
                <w:szCs w:val="21"/>
                <w:highlight w:val="none"/>
              </w:rPr>
              <w:t>《家用太阳能热水系统能效限定值及能效等级》（GB26969）</w:t>
            </w:r>
          </w:p>
        </w:tc>
      </w:tr>
      <w:tr w14:paraId="6B3A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vAlign w:val="center"/>
          </w:tcPr>
          <w:p w14:paraId="1A4E6FF0">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11</w:t>
            </w:r>
          </w:p>
        </w:tc>
        <w:tc>
          <w:tcPr>
            <w:tcW w:w="1000" w:type="dxa"/>
            <w:vMerge w:val="restart"/>
            <w:vAlign w:val="center"/>
          </w:tcPr>
          <w:p w14:paraId="2BBB4A3C">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A020619照明</w:t>
            </w:r>
          </w:p>
          <w:p w14:paraId="540B6875">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设备</w:t>
            </w:r>
          </w:p>
        </w:tc>
        <w:tc>
          <w:tcPr>
            <w:tcW w:w="1875" w:type="dxa"/>
            <w:vAlign w:val="center"/>
          </w:tcPr>
          <w:p w14:paraId="66FEA7EA">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★普通照明用双端荧光灯</w:t>
            </w:r>
          </w:p>
        </w:tc>
        <w:tc>
          <w:tcPr>
            <w:tcW w:w="1581" w:type="dxa"/>
            <w:vAlign w:val="center"/>
          </w:tcPr>
          <w:p w14:paraId="3DEE2A80">
            <w:pPr>
              <w:spacing w:line="320" w:lineRule="exact"/>
              <w:rPr>
                <w:rFonts w:ascii="宋体" w:hAnsi="宋体" w:cs="宋体"/>
                <w:szCs w:val="21"/>
                <w:highlight w:val="none"/>
              </w:rPr>
            </w:pPr>
          </w:p>
        </w:tc>
        <w:tc>
          <w:tcPr>
            <w:tcW w:w="4051" w:type="dxa"/>
            <w:vAlign w:val="center"/>
          </w:tcPr>
          <w:p w14:paraId="408F9F2F">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《普通照明用双端荧光灯能效限定值及能效等级》（GB19043）</w:t>
            </w:r>
          </w:p>
        </w:tc>
      </w:tr>
      <w:tr w14:paraId="389F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31129C80">
            <w:pPr>
              <w:spacing w:line="320" w:lineRule="exact"/>
              <w:rPr>
                <w:rFonts w:ascii="宋体" w:hAnsi="宋体" w:cs="宋体"/>
                <w:szCs w:val="21"/>
                <w:highlight w:val="none"/>
              </w:rPr>
            </w:pPr>
          </w:p>
        </w:tc>
        <w:tc>
          <w:tcPr>
            <w:tcW w:w="1000" w:type="dxa"/>
            <w:vMerge w:val="continue"/>
            <w:vAlign w:val="center"/>
          </w:tcPr>
          <w:p w14:paraId="160F2413">
            <w:pPr>
              <w:spacing w:line="320" w:lineRule="exact"/>
              <w:rPr>
                <w:rFonts w:ascii="宋体" w:hAnsi="宋体" w:cs="宋体"/>
                <w:szCs w:val="21"/>
                <w:highlight w:val="none"/>
              </w:rPr>
            </w:pPr>
          </w:p>
        </w:tc>
        <w:tc>
          <w:tcPr>
            <w:tcW w:w="1875" w:type="dxa"/>
            <w:vAlign w:val="center"/>
          </w:tcPr>
          <w:p w14:paraId="7BB8760C">
            <w:pPr>
              <w:spacing w:line="320" w:lineRule="exact"/>
              <w:rPr>
                <w:rFonts w:ascii="宋体" w:hAnsi="宋体" w:cs="宋体"/>
                <w:szCs w:val="21"/>
                <w:highlight w:val="none"/>
              </w:rPr>
            </w:pPr>
            <w:r>
              <w:rPr>
                <w:rFonts w:hint="eastAsia" w:ascii="宋体" w:hAnsi="宋体" w:cs="宋体"/>
                <w:szCs w:val="21"/>
                <w:highlight w:val="none"/>
              </w:rPr>
              <w:t>LED道路/隧道照明产品</w:t>
            </w:r>
          </w:p>
        </w:tc>
        <w:tc>
          <w:tcPr>
            <w:tcW w:w="1581" w:type="dxa"/>
            <w:vAlign w:val="center"/>
          </w:tcPr>
          <w:p w14:paraId="3AF08792">
            <w:pPr>
              <w:spacing w:line="320" w:lineRule="exact"/>
              <w:rPr>
                <w:rFonts w:ascii="宋体" w:hAnsi="宋体" w:cs="宋体"/>
                <w:szCs w:val="21"/>
                <w:highlight w:val="none"/>
              </w:rPr>
            </w:pPr>
          </w:p>
        </w:tc>
        <w:tc>
          <w:tcPr>
            <w:tcW w:w="4051" w:type="dxa"/>
            <w:vAlign w:val="center"/>
          </w:tcPr>
          <w:p w14:paraId="0D247EB0">
            <w:pPr>
              <w:spacing w:line="320" w:lineRule="exact"/>
              <w:rPr>
                <w:rFonts w:ascii="宋体" w:hAnsi="宋体" w:cs="宋体"/>
                <w:szCs w:val="21"/>
                <w:highlight w:val="none"/>
              </w:rPr>
            </w:pPr>
            <w:r>
              <w:rPr>
                <w:rFonts w:hint="eastAsia" w:ascii="宋体" w:hAnsi="宋体" w:cs="宋体"/>
                <w:szCs w:val="21"/>
                <w:highlight w:val="none"/>
              </w:rPr>
              <w:t>《道路和隧道照明用LED灯具能效限定值及能效等级》（GB37478</w:t>
            </w:r>
          </w:p>
        </w:tc>
      </w:tr>
      <w:tr w14:paraId="26D2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3E7F8839">
            <w:pPr>
              <w:spacing w:line="320" w:lineRule="exact"/>
              <w:rPr>
                <w:rFonts w:ascii="宋体" w:hAnsi="宋体" w:cs="宋体"/>
                <w:szCs w:val="21"/>
                <w:highlight w:val="none"/>
              </w:rPr>
            </w:pPr>
          </w:p>
        </w:tc>
        <w:tc>
          <w:tcPr>
            <w:tcW w:w="1000" w:type="dxa"/>
            <w:vMerge w:val="continue"/>
            <w:vAlign w:val="center"/>
          </w:tcPr>
          <w:p w14:paraId="278B9DBA">
            <w:pPr>
              <w:spacing w:line="320" w:lineRule="exact"/>
              <w:rPr>
                <w:rFonts w:ascii="宋体" w:hAnsi="宋体" w:cs="宋体"/>
                <w:szCs w:val="21"/>
                <w:highlight w:val="none"/>
              </w:rPr>
            </w:pPr>
          </w:p>
        </w:tc>
        <w:tc>
          <w:tcPr>
            <w:tcW w:w="1875" w:type="dxa"/>
            <w:vAlign w:val="center"/>
          </w:tcPr>
          <w:p w14:paraId="5AFEE96A">
            <w:pPr>
              <w:spacing w:line="320" w:lineRule="exact"/>
              <w:rPr>
                <w:rFonts w:ascii="宋体" w:hAnsi="宋体" w:cs="宋体"/>
                <w:szCs w:val="21"/>
                <w:highlight w:val="none"/>
              </w:rPr>
            </w:pPr>
          </w:p>
          <w:p w14:paraId="1309D261">
            <w:pPr>
              <w:spacing w:line="320" w:lineRule="exact"/>
              <w:rPr>
                <w:rFonts w:ascii="宋体" w:hAnsi="宋体" w:cs="宋体"/>
                <w:szCs w:val="21"/>
                <w:highlight w:val="none"/>
              </w:rPr>
            </w:pPr>
            <w:r>
              <w:rPr>
                <w:rFonts w:hint="eastAsia" w:ascii="宋体" w:hAnsi="宋体" w:cs="宋体"/>
                <w:szCs w:val="21"/>
                <w:highlight w:val="none"/>
              </w:rPr>
              <w:t>LED筒灯</w:t>
            </w:r>
          </w:p>
        </w:tc>
        <w:tc>
          <w:tcPr>
            <w:tcW w:w="1581" w:type="dxa"/>
            <w:vAlign w:val="center"/>
          </w:tcPr>
          <w:p w14:paraId="2797F5CB">
            <w:pPr>
              <w:spacing w:line="320" w:lineRule="exact"/>
              <w:rPr>
                <w:rFonts w:ascii="宋体" w:hAnsi="宋体" w:cs="宋体"/>
                <w:szCs w:val="21"/>
                <w:highlight w:val="none"/>
              </w:rPr>
            </w:pPr>
          </w:p>
        </w:tc>
        <w:tc>
          <w:tcPr>
            <w:tcW w:w="4051" w:type="dxa"/>
            <w:vAlign w:val="center"/>
          </w:tcPr>
          <w:p w14:paraId="2CA5953B">
            <w:pPr>
              <w:spacing w:line="320" w:lineRule="exact"/>
              <w:rPr>
                <w:rFonts w:ascii="宋体" w:hAnsi="宋体" w:cs="宋体"/>
                <w:szCs w:val="21"/>
                <w:highlight w:val="none"/>
              </w:rPr>
            </w:pPr>
            <w:r>
              <w:rPr>
                <w:rFonts w:hint="eastAsia" w:ascii="宋体" w:hAnsi="宋体" w:cs="宋体"/>
                <w:szCs w:val="21"/>
                <w:highlight w:val="none"/>
              </w:rPr>
              <w:t>《室内照明用LED产品能效限定值及能效等级》（GB30255）</w:t>
            </w:r>
          </w:p>
        </w:tc>
      </w:tr>
      <w:tr w14:paraId="0D6A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1792523E">
            <w:pPr>
              <w:spacing w:line="320" w:lineRule="exact"/>
              <w:rPr>
                <w:rFonts w:ascii="宋体" w:hAnsi="宋体" w:cs="宋体"/>
                <w:szCs w:val="21"/>
                <w:highlight w:val="none"/>
              </w:rPr>
            </w:pPr>
          </w:p>
        </w:tc>
        <w:tc>
          <w:tcPr>
            <w:tcW w:w="1000" w:type="dxa"/>
            <w:vMerge w:val="continue"/>
            <w:vAlign w:val="center"/>
          </w:tcPr>
          <w:p w14:paraId="3DC67D16">
            <w:pPr>
              <w:spacing w:line="320" w:lineRule="exact"/>
              <w:rPr>
                <w:rFonts w:ascii="宋体" w:hAnsi="宋体" w:cs="宋体"/>
                <w:szCs w:val="21"/>
                <w:highlight w:val="none"/>
              </w:rPr>
            </w:pPr>
          </w:p>
        </w:tc>
        <w:tc>
          <w:tcPr>
            <w:tcW w:w="1875" w:type="dxa"/>
            <w:vAlign w:val="center"/>
          </w:tcPr>
          <w:p w14:paraId="2FE36ED4">
            <w:pPr>
              <w:spacing w:line="320" w:lineRule="exact"/>
              <w:rPr>
                <w:rFonts w:ascii="宋体" w:hAnsi="宋体" w:cs="宋体"/>
                <w:szCs w:val="21"/>
                <w:highlight w:val="none"/>
              </w:rPr>
            </w:pPr>
            <w:r>
              <w:rPr>
                <w:rFonts w:hint="eastAsia" w:ascii="宋体" w:hAnsi="宋体" w:cs="宋体"/>
                <w:szCs w:val="21"/>
                <w:highlight w:val="none"/>
              </w:rPr>
              <w:t>普通照明用非定向自镇流LED灯</w:t>
            </w:r>
          </w:p>
        </w:tc>
        <w:tc>
          <w:tcPr>
            <w:tcW w:w="1581" w:type="dxa"/>
            <w:vAlign w:val="center"/>
          </w:tcPr>
          <w:p w14:paraId="1FED68D7">
            <w:pPr>
              <w:spacing w:line="320" w:lineRule="exact"/>
              <w:rPr>
                <w:rFonts w:ascii="宋体" w:hAnsi="宋体" w:cs="宋体"/>
                <w:szCs w:val="21"/>
                <w:highlight w:val="none"/>
              </w:rPr>
            </w:pPr>
          </w:p>
        </w:tc>
        <w:tc>
          <w:tcPr>
            <w:tcW w:w="4051" w:type="dxa"/>
            <w:vAlign w:val="center"/>
          </w:tcPr>
          <w:p w14:paraId="54417DC1">
            <w:pPr>
              <w:spacing w:line="320" w:lineRule="exact"/>
              <w:rPr>
                <w:rFonts w:ascii="宋体" w:hAnsi="宋体" w:cs="宋体"/>
                <w:szCs w:val="21"/>
                <w:highlight w:val="none"/>
              </w:rPr>
            </w:pPr>
            <w:r>
              <w:rPr>
                <w:rFonts w:hint="eastAsia" w:ascii="宋体" w:hAnsi="宋体" w:cs="宋体"/>
                <w:szCs w:val="21"/>
                <w:highlight w:val="none"/>
              </w:rPr>
              <w:t>《室内照明用LED产品能效限定值及能效等级》（GB30255）</w:t>
            </w:r>
          </w:p>
        </w:tc>
      </w:tr>
      <w:tr w14:paraId="5F72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7B01E62B">
            <w:pPr>
              <w:pStyle w:val="120"/>
              <w:spacing w:line="320" w:lineRule="exact"/>
              <w:jc w:val="both"/>
              <w:rPr>
                <w:rFonts w:ascii="宋体" w:hAnsi="宋体" w:cs="宋体"/>
                <w:kern w:val="2"/>
                <w:sz w:val="21"/>
                <w:szCs w:val="21"/>
                <w:highlight w:val="none"/>
                <w:lang w:eastAsia="zh-CN"/>
              </w:rPr>
            </w:pPr>
          </w:p>
          <w:p w14:paraId="379B8389">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12</w:t>
            </w:r>
          </w:p>
        </w:tc>
        <w:tc>
          <w:tcPr>
            <w:tcW w:w="1000" w:type="dxa"/>
            <w:vAlign w:val="center"/>
          </w:tcPr>
          <w:p w14:paraId="598A14E2">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★A020910电视设备</w:t>
            </w:r>
          </w:p>
        </w:tc>
        <w:tc>
          <w:tcPr>
            <w:tcW w:w="1875" w:type="dxa"/>
            <w:vAlign w:val="center"/>
          </w:tcPr>
          <w:p w14:paraId="30353296">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A02091001普通电视设备（电视机）</w:t>
            </w:r>
          </w:p>
        </w:tc>
        <w:tc>
          <w:tcPr>
            <w:tcW w:w="1581" w:type="dxa"/>
            <w:vAlign w:val="center"/>
          </w:tcPr>
          <w:p w14:paraId="1E4E0BF5">
            <w:pPr>
              <w:spacing w:line="320" w:lineRule="exact"/>
              <w:rPr>
                <w:rFonts w:ascii="宋体" w:hAnsi="宋体" w:cs="宋体"/>
                <w:szCs w:val="21"/>
                <w:highlight w:val="none"/>
              </w:rPr>
            </w:pPr>
          </w:p>
        </w:tc>
        <w:tc>
          <w:tcPr>
            <w:tcW w:w="4051" w:type="dxa"/>
            <w:vAlign w:val="center"/>
          </w:tcPr>
          <w:p w14:paraId="721A359E">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《平板电视能效限定值及能效等级》（GB24850）</w:t>
            </w:r>
          </w:p>
        </w:tc>
      </w:tr>
      <w:tr w14:paraId="549B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62B3AA6A">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13</w:t>
            </w:r>
          </w:p>
        </w:tc>
        <w:tc>
          <w:tcPr>
            <w:tcW w:w="1000" w:type="dxa"/>
            <w:vAlign w:val="center"/>
          </w:tcPr>
          <w:p w14:paraId="2B4C8C4C">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★A020911视频设备</w:t>
            </w:r>
          </w:p>
        </w:tc>
        <w:tc>
          <w:tcPr>
            <w:tcW w:w="1875" w:type="dxa"/>
            <w:vAlign w:val="center"/>
          </w:tcPr>
          <w:p w14:paraId="6F0127F0">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A02091107视频监控设备</w:t>
            </w:r>
          </w:p>
        </w:tc>
        <w:tc>
          <w:tcPr>
            <w:tcW w:w="1581" w:type="dxa"/>
            <w:vAlign w:val="center"/>
          </w:tcPr>
          <w:p w14:paraId="55F6A8CD">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监视器</w:t>
            </w:r>
          </w:p>
        </w:tc>
        <w:tc>
          <w:tcPr>
            <w:tcW w:w="4051" w:type="dxa"/>
            <w:vAlign w:val="center"/>
          </w:tcPr>
          <w:p w14:paraId="030130A4">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2D02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2F2ED544">
            <w:pPr>
              <w:pStyle w:val="120"/>
              <w:spacing w:line="320" w:lineRule="exact"/>
              <w:jc w:val="both"/>
              <w:rPr>
                <w:rFonts w:ascii="宋体" w:hAnsi="宋体" w:cs="宋体"/>
                <w:kern w:val="2"/>
                <w:sz w:val="21"/>
                <w:szCs w:val="21"/>
                <w:highlight w:val="none"/>
                <w:lang w:eastAsia="zh-CN"/>
              </w:rPr>
            </w:pPr>
          </w:p>
          <w:p w14:paraId="78B6E651">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14</w:t>
            </w:r>
          </w:p>
        </w:tc>
        <w:tc>
          <w:tcPr>
            <w:tcW w:w="1000" w:type="dxa"/>
            <w:vAlign w:val="center"/>
          </w:tcPr>
          <w:p w14:paraId="67DDA44A">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A031210饮食炊事机械</w:t>
            </w:r>
          </w:p>
        </w:tc>
        <w:tc>
          <w:tcPr>
            <w:tcW w:w="1875" w:type="dxa"/>
            <w:vAlign w:val="center"/>
          </w:tcPr>
          <w:p w14:paraId="1705D232">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商用燃气灶具</w:t>
            </w:r>
          </w:p>
        </w:tc>
        <w:tc>
          <w:tcPr>
            <w:tcW w:w="1581" w:type="dxa"/>
            <w:vAlign w:val="center"/>
          </w:tcPr>
          <w:p w14:paraId="2450BDAF">
            <w:pPr>
              <w:spacing w:line="320" w:lineRule="exact"/>
              <w:rPr>
                <w:rFonts w:ascii="宋体" w:hAnsi="宋体" w:cs="宋体"/>
                <w:szCs w:val="21"/>
                <w:highlight w:val="none"/>
              </w:rPr>
            </w:pPr>
          </w:p>
        </w:tc>
        <w:tc>
          <w:tcPr>
            <w:tcW w:w="4051" w:type="dxa"/>
            <w:vAlign w:val="center"/>
          </w:tcPr>
          <w:p w14:paraId="6088C644">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《商用燃气灶具能效限定值及能效等级》（GB30531）</w:t>
            </w:r>
          </w:p>
        </w:tc>
      </w:tr>
      <w:tr w14:paraId="6EAA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vAlign w:val="center"/>
          </w:tcPr>
          <w:p w14:paraId="7A5CFE71">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15</w:t>
            </w:r>
          </w:p>
          <w:p w14:paraId="32AB60AA">
            <w:pPr>
              <w:spacing w:line="320" w:lineRule="exact"/>
              <w:rPr>
                <w:rFonts w:ascii="宋体" w:hAnsi="宋体" w:cs="宋体"/>
                <w:szCs w:val="21"/>
                <w:highlight w:val="none"/>
              </w:rPr>
            </w:pPr>
          </w:p>
        </w:tc>
        <w:tc>
          <w:tcPr>
            <w:tcW w:w="1000" w:type="dxa"/>
            <w:vMerge w:val="restart"/>
            <w:vAlign w:val="center"/>
          </w:tcPr>
          <w:p w14:paraId="6BF10BEF">
            <w:pPr>
              <w:pStyle w:val="120"/>
              <w:spacing w:line="320" w:lineRule="exact"/>
              <w:jc w:val="both"/>
              <w:rPr>
                <w:rFonts w:ascii="宋体" w:hAnsi="宋体" w:cs="宋体"/>
                <w:kern w:val="2"/>
                <w:sz w:val="21"/>
                <w:szCs w:val="21"/>
                <w:highlight w:val="none"/>
              </w:rPr>
            </w:pPr>
            <w:r>
              <w:rPr>
                <w:rFonts w:hint="eastAsia" w:ascii="宋体" w:hAnsi="宋体" w:cs="宋体"/>
                <w:kern w:val="2"/>
                <w:sz w:val="21"/>
                <w:szCs w:val="21"/>
                <w:highlight w:val="none"/>
                <w:lang w:eastAsia="zh-CN"/>
              </w:rPr>
              <w:t>★A060805便器</w:t>
            </w:r>
          </w:p>
          <w:p w14:paraId="11E95F3B">
            <w:pPr>
              <w:spacing w:line="320" w:lineRule="exact"/>
              <w:rPr>
                <w:rFonts w:ascii="宋体" w:hAnsi="宋体" w:cs="宋体"/>
                <w:szCs w:val="21"/>
                <w:highlight w:val="none"/>
              </w:rPr>
            </w:pPr>
          </w:p>
        </w:tc>
        <w:tc>
          <w:tcPr>
            <w:tcW w:w="1875" w:type="dxa"/>
            <w:vAlign w:val="center"/>
          </w:tcPr>
          <w:p w14:paraId="44237F64">
            <w:pPr>
              <w:pStyle w:val="120"/>
              <w:spacing w:line="320" w:lineRule="exact"/>
              <w:jc w:val="both"/>
              <w:rPr>
                <w:rFonts w:ascii="宋体" w:hAnsi="宋体" w:cs="宋体"/>
                <w:kern w:val="2"/>
                <w:sz w:val="21"/>
                <w:szCs w:val="21"/>
                <w:highlight w:val="none"/>
                <w:lang w:eastAsia="zh-CN"/>
              </w:rPr>
            </w:pPr>
          </w:p>
          <w:p w14:paraId="0969C87F">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坐便器</w:t>
            </w:r>
          </w:p>
        </w:tc>
        <w:tc>
          <w:tcPr>
            <w:tcW w:w="1581" w:type="dxa"/>
            <w:vAlign w:val="center"/>
          </w:tcPr>
          <w:p w14:paraId="5156F847">
            <w:pPr>
              <w:spacing w:line="320" w:lineRule="exact"/>
              <w:rPr>
                <w:rFonts w:ascii="宋体" w:hAnsi="宋体" w:cs="宋体"/>
                <w:szCs w:val="21"/>
                <w:highlight w:val="none"/>
              </w:rPr>
            </w:pPr>
          </w:p>
        </w:tc>
        <w:tc>
          <w:tcPr>
            <w:tcW w:w="4051" w:type="dxa"/>
            <w:vAlign w:val="center"/>
          </w:tcPr>
          <w:p w14:paraId="6FBC9FF9">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《坐便器水效限定值及水效等级</w:t>
            </w:r>
          </w:p>
          <w:p w14:paraId="0967F19C">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（GB25502）</w:t>
            </w:r>
          </w:p>
        </w:tc>
      </w:tr>
      <w:tr w14:paraId="60E4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center"/>
          </w:tcPr>
          <w:p w14:paraId="142B4773">
            <w:pPr>
              <w:spacing w:line="320" w:lineRule="exact"/>
              <w:rPr>
                <w:rFonts w:ascii="宋体" w:hAnsi="宋体" w:cs="宋体"/>
                <w:szCs w:val="21"/>
                <w:highlight w:val="none"/>
              </w:rPr>
            </w:pPr>
          </w:p>
        </w:tc>
        <w:tc>
          <w:tcPr>
            <w:tcW w:w="1000" w:type="dxa"/>
            <w:vMerge w:val="continue"/>
            <w:vAlign w:val="center"/>
          </w:tcPr>
          <w:p w14:paraId="6C7485A1">
            <w:pPr>
              <w:spacing w:line="320" w:lineRule="exact"/>
              <w:rPr>
                <w:rFonts w:ascii="宋体" w:hAnsi="宋体" w:cs="宋体"/>
                <w:szCs w:val="21"/>
                <w:highlight w:val="none"/>
              </w:rPr>
            </w:pPr>
          </w:p>
        </w:tc>
        <w:tc>
          <w:tcPr>
            <w:tcW w:w="1875" w:type="dxa"/>
            <w:vAlign w:val="center"/>
          </w:tcPr>
          <w:p w14:paraId="1CC26AC8">
            <w:pPr>
              <w:spacing w:line="320" w:lineRule="exact"/>
              <w:rPr>
                <w:rFonts w:ascii="宋体" w:hAnsi="宋体" w:cs="宋体"/>
                <w:szCs w:val="21"/>
                <w:highlight w:val="none"/>
              </w:rPr>
            </w:pPr>
          </w:p>
          <w:p w14:paraId="4ACDD679">
            <w:pPr>
              <w:spacing w:line="320" w:lineRule="exact"/>
              <w:rPr>
                <w:rFonts w:ascii="宋体" w:hAnsi="宋体" w:cs="宋体"/>
                <w:szCs w:val="21"/>
                <w:highlight w:val="none"/>
              </w:rPr>
            </w:pPr>
            <w:r>
              <w:rPr>
                <w:rFonts w:hint="eastAsia" w:ascii="宋体" w:hAnsi="宋体" w:cs="宋体"/>
                <w:szCs w:val="21"/>
                <w:highlight w:val="none"/>
              </w:rPr>
              <w:t>蹲便器</w:t>
            </w:r>
          </w:p>
        </w:tc>
        <w:tc>
          <w:tcPr>
            <w:tcW w:w="1581" w:type="dxa"/>
            <w:vAlign w:val="center"/>
          </w:tcPr>
          <w:p w14:paraId="6FFFBDF1">
            <w:pPr>
              <w:spacing w:line="320" w:lineRule="exact"/>
              <w:rPr>
                <w:rFonts w:ascii="宋体" w:hAnsi="宋体" w:cs="宋体"/>
                <w:szCs w:val="21"/>
                <w:highlight w:val="none"/>
              </w:rPr>
            </w:pPr>
          </w:p>
        </w:tc>
        <w:tc>
          <w:tcPr>
            <w:tcW w:w="4051" w:type="dxa"/>
            <w:vAlign w:val="center"/>
          </w:tcPr>
          <w:p w14:paraId="6D1B84D8">
            <w:pPr>
              <w:spacing w:line="320" w:lineRule="exact"/>
              <w:rPr>
                <w:rFonts w:ascii="宋体" w:hAnsi="宋体" w:cs="宋体"/>
                <w:szCs w:val="21"/>
                <w:highlight w:val="none"/>
              </w:rPr>
            </w:pPr>
            <w:r>
              <w:rPr>
                <w:rFonts w:hint="eastAsia" w:ascii="宋体" w:hAnsi="宋体" w:cs="宋体"/>
                <w:szCs w:val="21"/>
                <w:highlight w:val="none"/>
              </w:rPr>
              <w:t>《蹲便器用水效率限定值及用水效率等级》（GB30717）</w:t>
            </w:r>
          </w:p>
        </w:tc>
      </w:tr>
      <w:tr w14:paraId="2C1D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Merge w:val="continue"/>
            <w:vAlign w:val="center"/>
          </w:tcPr>
          <w:p w14:paraId="41138425">
            <w:pPr>
              <w:spacing w:line="320" w:lineRule="exact"/>
              <w:rPr>
                <w:rFonts w:ascii="宋体" w:hAnsi="宋体" w:cs="宋体"/>
                <w:szCs w:val="21"/>
                <w:highlight w:val="none"/>
              </w:rPr>
            </w:pPr>
          </w:p>
        </w:tc>
        <w:tc>
          <w:tcPr>
            <w:tcW w:w="1000" w:type="dxa"/>
            <w:vMerge w:val="continue"/>
            <w:vAlign w:val="center"/>
          </w:tcPr>
          <w:p w14:paraId="748F940E">
            <w:pPr>
              <w:spacing w:line="320" w:lineRule="exact"/>
              <w:rPr>
                <w:rFonts w:ascii="宋体" w:hAnsi="宋体" w:cs="宋体"/>
                <w:szCs w:val="21"/>
                <w:highlight w:val="none"/>
              </w:rPr>
            </w:pPr>
          </w:p>
        </w:tc>
        <w:tc>
          <w:tcPr>
            <w:tcW w:w="1875" w:type="dxa"/>
            <w:vAlign w:val="center"/>
          </w:tcPr>
          <w:p w14:paraId="4470049E">
            <w:pPr>
              <w:spacing w:line="320" w:lineRule="exact"/>
              <w:rPr>
                <w:rFonts w:ascii="宋体" w:hAnsi="宋体" w:cs="宋体"/>
                <w:szCs w:val="21"/>
                <w:highlight w:val="none"/>
              </w:rPr>
            </w:pPr>
          </w:p>
          <w:p w14:paraId="4FDD2218">
            <w:pPr>
              <w:spacing w:line="320" w:lineRule="exact"/>
              <w:rPr>
                <w:rFonts w:ascii="宋体" w:hAnsi="宋体" w:cs="宋体"/>
                <w:szCs w:val="21"/>
                <w:highlight w:val="none"/>
              </w:rPr>
            </w:pPr>
            <w:r>
              <w:rPr>
                <w:rFonts w:hint="eastAsia" w:ascii="宋体" w:hAnsi="宋体" w:cs="宋体"/>
                <w:szCs w:val="21"/>
                <w:highlight w:val="none"/>
              </w:rPr>
              <w:t>小便器</w:t>
            </w:r>
          </w:p>
        </w:tc>
        <w:tc>
          <w:tcPr>
            <w:tcW w:w="1581" w:type="dxa"/>
            <w:vAlign w:val="center"/>
          </w:tcPr>
          <w:p w14:paraId="77EDE1F0">
            <w:pPr>
              <w:spacing w:line="320" w:lineRule="exact"/>
              <w:rPr>
                <w:rFonts w:ascii="宋体" w:hAnsi="宋体" w:cs="宋体"/>
                <w:szCs w:val="21"/>
                <w:highlight w:val="none"/>
              </w:rPr>
            </w:pPr>
          </w:p>
        </w:tc>
        <w:tc>
          <w:tcPr>
            <w:tcW w:w="4051" w:type="dxa"/>
            <w:vAlign w:val="center"/>
          </w:tcPr>
          <w:p w14:paraId="3107C884">
            <w:pPr>
              <w:spacing w:line="320" w:lineRule="exact"/>
              <w:rPr>
                <w:rFonts w:ascii="宋体" w:hAnsi="宋体" w:cs="宋体"/>
                <w:szCs w:val="21"/>
                <w:highlight w:val="none"/>
              </w:rPr>
            </w:pPr>
            <w:r>
              <w:rPr>
                <w:rFonts w:hint="eastAsia" w:ascii="宋体" w:hAnsi="宋体" w:cs="宋体"/>
                <w:szCs w:val="21"/>
                <w:highlight w:val="none"/>
              </w:rPr>
              <w:t>《小便器用水效率限定值及用水效率等级》（GB28377）</w:t>
            </w:r>
          </w:p>
        </w:tc>
      </w:tr>
      <w:tr w14:paraId="0EF6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5CA7FA0A">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16</w:t>
            </w:r>
          </w:p>
        </w:tc>
        <w:tc>
          <w:tcPr>
            <w:tcW w:w="1000" w:type="dxa"/>
            <w:vAlign w:val="center"/>
          </w:tcPr>
          <w:p w14:paraId="20AF24E0">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★A060806水嘴</w:t>
            </w:r>
          </w:p>
        </w:tc>
        <w:tc>
          <w:tcPr>
            <w:tcW w:w="1875" w:type="dxa"/>
            <w:vAlign w:val="center"/>
          </w:tcPr>
          <w:p w14:paraId="7DCA4B5D">
            <w:pPr>
              <w:spacing w:line="320" w:lineRule="exact"/>
              <w:rPr>
                <w:rFonts w:ascii="宋体" w:hAnsi="宋体" w:cs="宋体"/>
                <w:szCs w:val="21"/>
                <w:highlight w:val="none"/>
              </w:rPr>
            </w:pPr>
          </w:p>
        </w:tc>
        <w:tc>
          <w:tcPr>
            <w:tcW w:w="1581" w:type="dxa"/>
            <w:vAlign w:val="center"/>
          </w:tcPr>
          <w:p w14:paraId="242E4355">
            <w:pPr>
              <w:spacing w:line="320" w:lineRule="exact"/>
              <w:rPr>
                <w:rFonts w:ascii="宋体" w:hAnsi="宋体" w:cs="宋体"/>
                <w:szCs w:val="21"/>
                <w:highlight w:val="none"/>
              </w:rPr>
            </w:pPr>
          </w:p>
        </w:tc>
        <w:tc>
          <w:tcPr>
            <w:tcW w:w="4051" w:type="dxa"/>
            <w:vAlign w:val="center"/>
          </w:tcPr>
          <w:p w14:paraId="00F82D02">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《水嘴用水效率限定值及用水效率等级》（GB 25501）</w:t>
            </w:r>
          </w:p>
        </w:tc>
      </w:tr>
      <w:tr w14:paraId="3057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2D3B35CF">
            <w:pPr>
              <w:pStyle w:val="120"/>
              <w:spacing w:line="320" w:lineRule="exact"/>
              <w:jc w:val="both"/>
              <w:rPr>
                <w:rFonts w:ascii="宋体" w:hAnsi="宋体" w:cs="宋体"/>
                <w:kern w:val="2"/>
                <w:sz w:val="21"/>
                <w:szCs w:val="21"/>
                <w:highlight w:val="none"/>
                <w:lang w:eastAsia="zh-CN"/>
              </w:rPr>
            </w:pPr>
          </w:p>
          <w:p w14:paraId="77EB6088">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17</w:t>
            </w:r>
          </w:p>
        </w:tc>
        <w:tc>
          <w:tcPr>
            <w:tcW w:w="1000" w:type="dxa"/>
            <w:vAlign w:val="center"/>
          </w:tcPr>
          <w:p w14:paraId="11E246A8">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A060807便器冲洗阀</w:t>
            </w:r>
          </w:p>
        </w:tc>
        <w:tc>
          <w:tcPr>
            <w:tcW w:w="1875" w:type="dxa"/>
            <w:vAlign w:val="center"/>
          </w:tcPr>
          <w:p w14:paraId="16A9616C">
            <w:pPr>
              <w:spacing w:line="320" w:lineRule="exact"/>
              <w:rPr>
                <w:rFonts w:ascii="宋体" w:hAnsi="宋体" w:cs="宋体"/>
                <w:szCs w:val="21"/>
                <w:highlight w:val="none"/>
              </w:rPr>
            </w:pPr>
          </w:p>
        </w:tc>
        <w:tc>
          <w:tcPr>
            <w:tcW w:w="1581" w:type="dxa"/>
            <w:vAlign w:val="center"/>
          </w:tcPr>
          <w:p w14:paraId="4B60D165">
            <w:pPr>
              <w:spacing w:line="320" w:lineRule="exact"/>
              <w:rPr>
                <w:rFonts w:ascii="宋体" w:hAnsi="宋体" w:cs="宋体"/>
                <w:szCs w:val="21"/>
                <w:highlight w:val="none"/>
              </w:rPr>
            </w:pPr>
          </w:p>
        </w:tc>
        <w:tc>
          <w:tcPr>
            <w:tcW w:w="4051" w:type="dxa"/>
            <w:vAlign w:val="center"/>
          </w:tcPr>
          <w:p w14:paraId="1793CF90">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《便器冲洗阀用水效率限定值及用水效率等级》（GB28379）</w:t>
            </w:r>
          </w:p>
        </w:tc>
      </w:tr>
      <w:tr w14:paraId="7A08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24A2C853">
            <w:pPr>
              <w:pStyle w:val="120"/>
              <w:spacing w:line="320" w:lineRule="exact"/>
              <w:jc w:val="both"/>
              <w:rPr>
                <w:rFonts w:ascii="宋体" w:hAnsi="宋体" w:cs="宋体"/>
                <w:kern w:val="2"/>
                <w:sz w:val="21"/>
                <w:szCs w:val="21"/>
                <w:highlight w:val="none"/>
                <w:lang w:eastAsia="zh-CN"/>
              </w:rPr>
            </w:pPr>
          </w:p>
          <w:p w14:paraId="1EC988E8">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18</w:t>
            </w:r>
          </w:p>
        </w:tc>
        <w:tc>
          <w:tcPr>
            <w:tcW w:w="1000" w:type="dxa"/>
            <w:vAlign w:val="center"/>
          </w:tcPr>
          <w:p w14:paraId="053CF3DB">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A060810淋浴器</w:t>
            </w:r>
          </w:p>
        </w:tc>
        <w:tc>
          <w:tcPr>
            <w:tcW w:w="1875" w:type="dxa"/>
            <w:vAlign w:val="center"/>
          </w:tcPr>
          <w:p w14:paraId="56CEC342">
            <w:pPr>
              <w:spacing w:line="320" w:lineRule="exact"/>
              <w:rPr>
                <w:rFonts w:ascii="宋体" w:hAnsi="宋体" w:cs="宋体"/>
                <w:szCs w:val="21"/>
                <w:highlight w:val="none"/>
              </w:rPr>
            </w:pPr>
          </w:p>
        </w:tc>
        <w:tc>
          <w:tcPr>
            <w:tcW w:w="1581" w:type="dxa"/>
            <w:vAlign w:val="center"/>
          </w:tcPr>
          <w:p w14:paraId="0325A257">
            <w:pPr>
              <w:spacing w:line="320" w:lineRule="exact"/>
              <w:rPr>
                <w:rFonts w:ascii="宋体" w:hAnsi="宋体" w:cs="宋体"/>
                <w:szCs w:val="21"/>
                <w:highlight w:val="none"/>
              </w:rPr>
            </w:pPr>
          </w:p>
        </w:tc>
        <w:tc>
          <w:tcPr>
            <w:tcW w:w="4051" w:type="dxa"/>
            <w:vAlign w:val="center"/>
          </w:tcPr>
          <w:p w14:paraId="652B48DB">
            <w:pPr>
              <w:pStyle w:val="120"/>
              <w:spacing w:line="320" w:lineRule="exact"/>
              <w:jc w:val="both"/>
              <w:rPr>
                <w:rFonts w:ascii="宋体" w:hAnsi="宋体" w:cs="宋体"/>
                <w:kern w:val="2"/>
                <w:sz w:val="21"/>
                <w:szCs w:val="21"/>
                <w:highlight w:val="none"/>
                <w:lang w:eastAsia="zh-CN"/>
              </w:rPr>
            </w:pPr>
            <w:r>
              <w:rPr>
                <w:rFonts w:hint="eastAsia" w:ascii="宋体" w:hAnsi="宋体" w:cs="宋体"/>
                <w:kern w:val="2"/>
                <w:sz w:val="21"/>
                <w:szCs w:val="21"/>
                <w:highlight w:val="none"/>
                <w:lang w:eastAsia="zh-CN"/>
              </w:rPr>
              <w:t>《淋浴器用水效率限定值及用水效率等级》（GB28378）</w:t>
            </w:r>
          </w:p>
        </w:tc>
      </w:tr>
    </w:tbl>
    <w:p w14:paraId="5E4F598D">
      <w:pPr>
        <w:pStyle w:val="19"/>
        <w:spacing w:line="360" w:lineRule="auto"/>
        <w:rPr>
          <w:rFonts w:ascii="宋体" w:hAnsi="宋体" w:cs="宋体"/>
          <w:sz w:val="21"/>
          <w:szCs w:val="21"/>
          <w:highlight w:val="none"/>
        </w:rPr>
      </w:pPr>
      <w:r>
        <w:rPr>
          <w:rFonts w:hint="eastAsia" w:ascii="宋体" w:hAnsi="宋体" w:cs="宋体"/>
          <w:spacing w:val="-3"/>
          <w:sz w:val="21"/>
          <w:szCs w:val="21"/>
          <w:highlight w:val="none"/>
        </w:rPr>
        <w:t>注：1.节能产品认证应依据相关国家标准的最新版本，依据国家标准中二级能效（水效）</w:t>
      </w:r>
      <w:r>
        <w:rPr>
          <w:rFonts w:hint="eastAsia" w:ascii="宋体" w:hAnsi="宋体" w:cs="宋体"/>
          <w:sz w:val="21"/>
          <w:szCs w:val="21"/>
          <w:highlight w:val="none"/>
        </w:rPr>
        <w:t>指标。</w:t>
      </w:r>
    </w:p>
    <w:p w14:paraId="63AFC911">
      <w:pPr>
        <w:pStyle w:val="19"/>
        <w:spacing w:line="360" w:lineRule="auto"/>
        <w:rPr>
          <w:rFonts w:ascii="宋体" w:hAnsi="宋体" w:cs="宋体"/>
          <w:sz w:val="21"/>
          <w:szCs w:val="21"/>
          <w:highlight w:val="none"/>
        </w:rPr>
      </w:pPr>
      <w:r>
        <w:rPr>
          <w:rFonts w:hint="eastAsia" w:ascii="宋体" w:hAnsi="宋体" w:cs="宋体"/>
          <w:sz w:val="21"/>
          <w:szCs w:val="21"/>
          <w:highlight w:val="none"/>
        </w:rPr>
        <w:t xml:space="preserve">    2.上述产品中认证标准发生变更的，依据原认证标准获得的、仍在有效期内的认证证书可使用至2019年6月1日。</w:t>
      </w:r>
    </w:p>
    <w:p w14:paraId="2F9FADC9">
      <w:pPr>
        <w:widowControl/>
        <w:jc w:val="left"/>
        <w:rPr>
          <w:rFonts w:ascii="宋体" w:hAnsi="宋体" w:cs="宋体"/>
          <w:szCs w:val="21"/>
          <w:highlight w:val="none"/>
        </w:rPr>
      </w:pPr>
      <w:r>
        <w:rPr>
          <w:rFonts w:hint="eastAsia" w:ascii="宋体" w:hAnsi="宋体" w:cs="宋体"/>
          <w:szCs w:val="21"/>
          <w:highlight w:val="none"/>
        </w:rPr>
        <w:t xml:space="preserve">    3.以“★”标注的为政府强制采购产品。</w:t>
      </w:r>
    </w:p>
    <w:p w14:paraId="3B935384">
      <w:pPr>
        <w:spacing w:line="528" w:lineRule="exact"/>
        <w:ind w:left="1871"/>
        <w:rPr>
          <w:rFonts w:ascii="微软雅黑" w:hAnsi="微软雅黑" w:eastAsia="微软雅黑" w:cs="微软雅黑"/>
          <w:sz w:val="40"/>
          <w:szCs w:val="40"/>
          <w:highlight w:val="none"/>
        </w:rPr>
      </w:pPr>
    </w:p>
    <w:p w14:paraId="3046BAED">
      <w:pPr>
        <w:rPr>
          <w:rFonts w:ascii="微软雅黑" w:hAnsi="微软雅黑" w:eastAsia="微软雅黑" w:cs="微软雅黑"/>
          <w:sz w:val="40"/>
          <w:szCs w:val="40"/>
          <w:highlight w:val="none"/>
        </w:rPr>
      </w:pPr>
      <w:r>
        <w:rPr>
          <w:rFonts w:ascii="微软雅黑" w:hAnsi="微软雅黑" w:eastAsia="微软雅黑" w:cs="微软雅黑"/>
          <w:sz w:val="40"/>
          <w:szCs w:val="40"/>
          <w:highlight w:val="none"/>
        </w:rPr>
        <w:br w:type="page"/>
      </w:r>
    </w:p>
    <w:p w14:paraId="15CE1219">
      <w:pPr>
        <w:pStyle w:val="31"/>
        <w:rPr>
          <w:rFonts w:hint="eastAsia"/>
          <w:b/>
          <w:bCs/>
          <w:sz w:val="32"/>
          <w:szCs w:val="32"/>
          <w:highlight w:val="none"/>
        </w:rPr>
      </w:pPr>
      <w:r>
        <w:rPr>
          <w:rFonts w:hint="eastAsia" w:ascii="宋体" w:hAnsi="宋体" w:eastAsia="宋体" w:cs="宋体"/>
          <w:b/>
          <w:bCs/>
          <w:color w:val="auto"/>
          <w:sz w:val="32"/>
          <w:szCs w:val="32"/>
          <w:highlight w:val="none"/>
        </w:rPr>
        <w:t>附件</w:t>
      </w:r>
      <w:r>
        <w:rPr>
          <w:rFonts w:hint="eastAsia" w:ascii="宋体" w:hAnsi="宋体" w:eastAsia="宋体" w:cs="宋体"/>
          <w:b/>
          <w:bCs/>
          <w:color w:val="auto"/>
          <w:sz w:val="32"/>
          <w:szCs w:val="32"/>
          <w:highlight w:val="none"/>
          <w:lang w:val="en-US" w:eastAsia="zh-CN"/>
        </w:rPr>
        <w:t>4</w:t>
      </w:r>
      <w:r>
        <w:rPr>
          <w:rFonts w:hint="eastAsia" w:ascii="宋体" w:hAnsi="宋体" w:eastAsia="宋体" w:cs="宋体"/>
          <w:b/>
          <w:bCs/>
          <w:color w:val="auto"/>
          <w:sz w:val="32"/>
          <w:szCs w:val="32"/>
          <w:highlight w:val="none"/>
        </w:rPr>
        <w:t>：</w:t>
      </w:r>
    </w:p>
    <w:p w14:paraId="4E6E8591">
      <w:pPr>
        <w:bidi w:val="0"/>
        <w:jc w:val="center"/>
        <w:rPr>
          <w:rFonts w:hint="eastAsia" w:ascii="宋体" w:hAnsi="宋体" w:eastAsia="宋体" w:cs="宋体"/>
          <w:b/>
          <w:bCs/>
          <w:sz w:val="32"/>
          <w:szCs w:val="32"/>
          <w:highlight w:val="none"/>
          <w:lang w:val="en-US" w:eastAsia="zh-CN"/>
        </w:rPr>
      </w:pPr>
      <w:r>
        <w:rPr>
          <w:rFonts w:hint="eastAsia" w:ascii="宋体" w:hAnsi="宋体" w:eastAsia="宋体" w:cs="宋体"/>
          <w:b/>
          <w:bCs/>
          <w:kern w:val="0"/>
          <w:sz w:val="32"/>
          <w:szCs w:val="32"/>
          <w:highlight w:val="none"/>
          <w:lang w:val="en-US" w:eastAsia="zh-CN" w:bidi="ar-SA"/>
        </w:rPr>
        <w:t>网络关键设备和网络安全专用产品目录</w:t>
      </w:r>
    </w:p>
    <w:p w14:paraId="7DFF214C">
      <w:pPr>
        <w:spacing w:line="240" w:lineRule="auto"/>
        <w:rPr>
          <w:rFonts w:ascii="微软雅黑" w:hAnsi="微软雅黑" w:eastAsia="微软雅黑" w:cs="微软雅黑"/>
          <w:sz w:val="40"/>
          <w:szCs w:val="40"/>
          <w:highlight w:val="none"/>
        </w:rPr>
      </w:pPr>
      <w:r>
        <w:rPr>
          <w:rFonts w:hint="eastAsia"/>
          <w:highlight w:val="none"/>
          <w:lang w:val="en-US" w:eastAsia="zh-CN"/>
        </w:rPr>
        <w:drawing>
          <wp:inline distT="0" distB="0" distL="114300" distR="114300">
            <wp:extent cx="5202555" cy="7714615"/>
            <wp:effectExtent l="0" t="0" r="17145" b="635"/>
            <wp:docPr id="9" name="图片 1" descr="网络关键设备和网络安全专用产品目录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网络关键设备和网络安全专用产品目录_01"/>
                    <pic:cNvPicPr>
                      <a:picLocks noChangeAspect="1"/>
                    </pic:cNvPicPr>
                  </pic:nvPicPr>
                  <pic:blipFill>
                    <a:blip r:embed="rId14"/>
                    <a:stretch>
                      <a:fillRect/>
                    </a:stretch>
                  </pic:blipFill>
                  <pic:spPr>
                    <a:xfrm>
                      <a:off x="0" y="0"/>
                      <a:ext cx="5202555" cy="7714615"/>
                    </a:xfrm>
                    <a:prstGeom prst="rect">
                      <a:avLst/>
                    </a:prstGeom>
                    <a:noFill/>
                    <a:ln>
                      <a:noFill/>
                    </a:ln>
                  </pic:spPr>
                </pic:pic>
              </a:graphicData>
            </a:graphic>
          </wp:inline>
        </w:drawing>
      </w:r>
    </w:p>
    <w:p w14:paraId="77B263DF">
      <w:pPr>
        <w:spacing w:line="528" w:lineRule="exact"/>
        <w:ind w:left="1871"/>
        <w:rPr>
          <w:rFonts w:ascii="微软雅黑" w:hAnsi="微软雅黑" w:eastAsia="微软雅黑" w:cs="微软雅黑"/>
          <w:sz w:val="40"/>
          <w:szCs w:val="40"/>
          <w:highlight w:val="none"/>
        </w:rPr>
      </w:pPr>
    </w:p>
    <w:p w14:paraId="310760E1">
      <w:pPr>
        <w:rPr>
          <w:rFonts w:ascii="微软雅黑" w:hAnsi="微软雅黑" w:eastAsia="微软雅黑" w:cs="微软雅黑"/>
          <w:sz w:val="40"/>
          <w:szCs w:val="40"/>
          <w:highlight w:val="none"/>
        </w:rPr>
      </w:pPr>
      <w:r>
        <w:rPr>
          <w:rFonts w:ascii="微软雅黑" w:hAnsi="微软雅黑" w:eastAsia="微软雅黑" w:cs="微软雅黑"/>
          <w:sz w:val="40"/>
          <w:szCs w:val="40"/>
          <w:highlight w:val="none"/>
        </w:rPr>
        <w:br w:type="page"/>
      </w:r>
    </w:p>
    <w:p w14:paraId="4622AB34">
      <w:pPr>
        <w:rPr>
          <w:highlight w:val="none"/>
        </w:rPr>
      </w:pPr>
    </w:p>
    <w:p w14:paraId="085D2CFD">
      <w:pPr>
        <w:rPr>
          <w:highlight w:val="none"/>
        </w:rPr>
        <w:sectPr>
          <w:pgSz w:w="11906" w:h="16838"/>
          <w:pgMar w:top="1304" w:right="1418" w:bottom="1304" w:left="1418" w:header="851" w:footer="992" w:gutter="0"/>
          <w:cols w:space="720" w:num="1"/>
          <w:docGrid w:linePitch="312" w:charSpace="0"/>
        </w:sectPr>
      </w:pPr>
      <w:r>
        <w:rPr>
          <w:rFonts w:hint="eastAsia"/>
          <w:highlight w:val="none"/>
          <w:lang w:val="en-US" w:eastAsia="zh-CN"/>
        </w:rPr>
        <w:drawing>
          <wp:inline distT="0" distB="0" distL="114300" distR="114300">
            <wp:extent cx="5587365" cy="8284845"/>
            <wp:effectExtent l="0" t="0" r="13335" b="1905"/>
            <wp:docPr id="7" name="图片 2" descr="网络关键设备和网络安全专用产品目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网络关键设备和网络安全专用产品目录_02"/>
                    <pic:cNvPicPr>
                      <a:picLocks noChangeAspect="1"/>
                    </pic:cNvPicPr>
                  </pic:nvPicPr>
                  <pic:blipFill>
                    <a:blip r:embed="rId15"/>
                    <a:stretch>
                      <a:fillRect/>
                    </a:stretch>
                  </pic:blipFill>
                  <pic:spPr>
                    <a:xfrm>
                      <a:off x="0" y="0"/>
                      <a:ext cx="5587365" cy="8284845"/>
                    </a:xfrm>
                    <a:prstGeom prst="rect">
                      <a:avLst/>
                    </a:prstGeom>
                    <a:noFill/>
                    <a:ln>
                      <a:noFill/>
                    </a:ln>
                  </pic:spPr>
                </pic:pic>
              </a:graphicData>
            </a:graphic>
          </wp:inline>
        </w:drawing>
      </w:r>
      <w:r>
        <w:rPr>
          <w:rFonts w:hint="eastAsia"/>
          <w:highlight w:val="none"/>
          <w:lang w:val="en-US" w:eastAsia="zh-CN"/>
        </w:rPr>
        <w:drawing>
          <wp:inline distT="0" distB="0" distL="114300" distR="114300">
            <wp:extent cx="5812155" cy="8618220"/>
            <wp:effectExtent l="0" t="0" r="17145" b="11430"/>
            <wp:docPr id="8" name="图片 3" descr="网络关键设备和网络安全专用产品目录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网络关键设备和网络安全专用产品目录_03"/>
                    <pic:cNvPicPr>
                      <a:picLocks noChangeAspect="1"/>
                    </pic:cNvPicPr>
                  </pic:nvPicPr>
                  <pic:blipFill>
                    <a:blip r:embed="rId16"/>
                    <a:stretch>
                      <a:fillRect/>
                    </a:stretch>
                  </pic:blipFill>
                  <pic:spPr>
                    <a:xfrm>
                      <a:off x="0" y="0"/>
                      <a:ext cx="5812155" cy="8618220"/>
                    </a:xfrm>
                    <a:prstGeom prst="rect">
                      <a:avLst/>
                    </a:prstGeom>
                    <a:noFill/>
                    <a:ln>
                      <a:noFill/>
                    </a:ln>
                  </pic:spPr>
                </pic:pic>
              </a:graphicData>
            </a:graphic>
          </wp:inline>
        </w:drawing>
      </w:r>
      <w:r>
        <w:rPr>
          <w:rFonts w:hint="eastAsia"/>
          <w:highlight w:val="none"/>
          <w:lang w:val="en-US" w:eastAsia="zh-CN"/>
        </w:rPr>
        <w:drawing>
          <wp:inline distT="0" distB="0" distL="114300" distR="114300">
            <wp:extent cx="5812155" cy="8357235"/>
            <wp:effectExtent l="0" t="0" r="17145" b="5715"/>
            <wp:docPr id="6" name="图片 4" descr="网络关键设备和网络安全专用产品目录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网络关键设备和网络安全专用产品目录_04"/>
                    <pic:cNvPicPr>
                      <a:picLocks noChangeAspect="1"/>
                    </pic:cNvPicPr>
                  </pic:nvPicPr>
                  <pic:blipFill>
                    <a:blip r:embed="rId17"/>
                    <a:stretch>
                      <a:fillRect/>
                    </a:stretch>
                  </pic:blipFill>
                  <pic:spPr>
                    <a:xfrm>
                      <a:off x="0" y="0"/>
                      <a:ext cx="5812155" cy="8357235"/>
                    </a:xfrm>
                    <a:prstGeom prst="rect">
                      <a:avLst/>
                    </a:prstGeom>
                    <a:noFill/>
                    <a:ln>
                      <a:noFill/>
                    </a:ln>
                  </pic:spPr>
                </pic:pic>
              </a:graphicData>
            </a:graphic>
          </wp:inline>
        </w:drawing>
      </w:r>
    </w:p>
    <w:p w14:paraId="69581AF7">
      <w:pPr>
        <w:widowControl/>
        <w:jc w:val="left"/>
        <w:rPr>
          <w:rFonts w:ascii="宋体" w:hAnsi="宋体" w:cs="宋体"/>
          <w:b/>
          <w:bCs/>
          <w:sz w:val="32"/>
          <w:szCs w:val="32"/>
          <w:highlight w:val="none"/>
        </w:rPr>
      </w:pPr>
      <w:r>
        <w:rPr>
          <w:rFonts w:hint="eastAsia" w:ascii="宋体" w:hAnsi="宋体" w:cs="宋体"/>
          <w:b/>
          <w:bCs/>
          <w:sz w:val="32"/>
          <w:szCs w:val="32"/>
          <w:highlight w:val="none"/>
        </w:rPr>
        <w:t>附件</w:t>
      </w:r>
      <w:r>
        <w:rPr>
          <w:rFonts w:hint="eastAsia" w:ascii="宋体" w:hAnsi="宋体" w:cs="宋体"/>
          <w:b/>
          <w:bCs/>
          <w:sz w:val="32"/>
          <w:szCs w:val="32"/>
          <w:highlight w:val="none"/>
          <w:lang w:val="en-US" w:eastAsia="zh-CN"/>
        </w:rPr>
        <w:t>5</w:t>
      </w:r>
      <w:r>
        <w:rPr>
          <w:rFonts w:hint="eastAsia" w:ascii="宋体" w:hAnsi="宋体" w:cs="宋体"/>
          <w:b/>
          <w:bCs/>
          <w:sz w:val="32"/>
          <w:szCs w:val="32"/>
          <w:highlight w:val="none"/>
        </w:rPr>
        <w:t>：</w:t>
      </w:r>
    </w:p>
    <w:p w14:paraId="12EE19C7">
      <w:pPr>
        <w:pStyle w:val="19"/>
        <w:spacing w:line="360" w:lineRule="auto"/>
        <w:jc w:val="center"/>
        <w:rPr>
          <w:rFonts w:ascii="宋体" w:hAnsi="宋体" w:cs="宋体"/>
          <w:b/>
          <w:sz w:val="28"/>
          <w:szCs w:val="28"/>
          <w:highlight w:val="none"/>
        </w:rPr>
      </w:pPr>
      <w:r>
        <w:rPr>
          <w:rFonts w:hint="eastAsia" w:ascii="宋体" w:hAnsi="宋体" w:cs="宋体"/>
          <w:b/>
          <w:sz w:val="28"/>
          <w:szCs w:val="28"/>
          <w:highlight w:val="none"/>
        </w:rPr>
        <w:t>中小企业划型标准规定</w:t>
      </w:r>
    </w:p>
    <w:p w14:paraId="1CB65DE4">
      <w:pPr>
        <w:pStyle w:val="19"/>
        <w:spacing w:line="360" w:lineRule="auto"/>
        <w:jc w:val="center"/>
        <w:rPr>
          <w:rFonts w:ascii="宋体" w:hAnsi="宋体" w:cs="宋体"/>
          <w:sz w:val="21"/>
          <w:szCs w:val="21"/>
          <w:highlight w:val="none"/>
        </w:rPr>
      </w:pPr>
      <w:r>
        <w:rPr>
          <w:rFonts w:hint="eastAsia" w:ascii="宋体" w:hAnsi="宋体" w:cs="宋体"/>
          <w:szCs w:val="21"/>
          <w:highlight w:val="none"/>
        </w:rPr>
        <w:t>工信部联企业</w:t>
      </w:r>
      <w:r>
        <w:rPr>
          <w:rFonts w:hint="eastAsia" w:ascii="宋体" w:hAnsi="宋体" w:cs="宋体"/>
          <w:szCs w:val="21"/>
          <w:highlight w:val="none"/>
          <w:lang w:eastAsia="zh-CN"/>
        </w:rPr>
        <w:t>〔2011〕300号</w:t>
      </w:r>
    </w:p>
    <w:p w14:paraId="5931E5B0">
      <w:pPr>
        <w:pStyle w:val="19"/>
        <w:spacing w:line="360" w:lineRule="auto"/>
        <w:rPr>
          <w:rFonts w:ascii="宋体" w:hAnsi="宋体" w:cs="宋体"/>
          <w:szCs w:val="21"/>
          <w:highlight w:val="none"/>
        </w:rPr>
      </w:pPr>
    </w:p>
    <w:p w14:paraId="279A5CE7">
      <w:pPr>
        <w:pStyle w:val="19"/>
        <w:spacing w:line="420" w:lineRule="exact"/>
        <w:rPr>
          <w:rFonts w:ascii="宋体" w:hAnsi="宋体" w:cs="宋体"/>
          <w:szCs w:val="21"/>
          <w:highlight w:val="none"/>
        </w:rPr>
      </w:pPr>
      <w:r>
        <w:rPr>
          <w:rFonts w:hint="eastAsia" w:ascii="宋体" w:hAnsi="宋体" w:cs="宋体"/>
          <w:szCs w:val="21"/>
          <w:highlight w:val="none"/>
        </w:rPr>
        <w:t>　　一、根据《中华人民共和国中小企业促进法》和《国务院关于进一步促进中小企业发展的若干意见》(国发</w:t>
      </w:r>
      <w:r>
        <w:rPr>
          <w:rFonts w:hint="eastAsia" w:ascii="宋体" w:hAnsi="宋体" w:cs="宋体"/>
          <w:szCs w:val="21"/>
          <w:highlight w:val="none"/>
          <w:lang w:eastAsia="zh-CN"/>
        </w:rPr>
        <w:t>〔2009〕36号</w:t>
      </w:r>
      <w:r>
        <w:rPr>
          <w:rFonts w:hint="eastAsia" w:ascii="宋体" w:hAnsi="宋体" w:cs="宋体"/>
          <w:szCs w:val="21"/>
          <w:highlight w:val="none"/>
        </w:rPr>
        <w:t>)，制定本规定。</w:t>
      </w:r>
    </w:p>
    <w:p w14:paraId="621F51DB">
      <w:pPr>
        <w:pStyle w:val="19"/>
        <w:spacing w:line="420" w:lineRule="exact"/>
        <w:rPr>
          <w:rFonts w:ascii="宋体" w:hAnsi="宋体" w:cs="宋体"/>
          <w:szCs w:val="21"/>
          <w:highlight w:val="none"/>
        </w:rPr>
      </w:pPr>
      <w:r>
        <w:rPr>
          <w:rFonts w:hint="eastAsia" w:ascii="宋体" w:hAnsi="宋体" w:cs="宋体"/>
          <w:szCs w:val="21"/>
          <w:highlight w:val="none"/>
        </w:rPr>
        <w:t>　　二、中小企业划分为中型、小型、微型三种类型，具体标准根据企业从业人员、营业收入、资产总额等指标，结合行业特点制定。</w:t>
      </w:r>
    </w:p>
    <w:p w14:paraId="09344C26">
      <w:pPr>
        <w:pStyle w:val="19"/>
        <w:spacing w:line="420" w:lineRule="exact"/>
        <w:rPr>
          <w:rFonts w:ascii="宋体" w:hAnsi="宋体" w:cs="宋体"/>
          <w:szCs w:val="21"/>
          <w:highlight w:val="none"/>
        </w:rPr>
      </w:pPr>
      <w:r>
        <w:rPr>
          <w:rFonts w:hint="eastAsia" w:ascii="宋体" w:hAnsi="宋体" w:cs="宋体"/>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3961B4F">
      <w:pPr>
        <w:pStyle w:val="19"/>
        <w:spacing w:line="420" w:lineRule="exact"/>
        <w:rPr>
          <w:rFonts w:ascii="宋体" w:hAnsi="宋体" w:cs="宋体"/>
          <w:szCs w:val="21"/>
          <w:highlight w:val="none"/>
        </w:rPr>
      </w:pPr>
      <w:r>
        <w:rPr>
          <w:rFonts w:hint="eastAsia" w:ascii="宋体" w:hAnsi="宋体" w:cs="宋体"/>
          <w:szCs w:val="21"/>
          <w:highlight w:val="none"/>
        </w:rPr>
        <w:t>　　四、各行业划型标准为：</w:t>
      </w:r>
    </w:p>
    <w:p w14:paraId="23B37299">
      <w:pPr>
        <w:pStyle w:val="19"/>
        <w:spacing w:line="420" w:lineRule="exact"/>
        <w:rPr>
          <w:rFonts w:ascii="宋体" w:hAnsi="宋体" w:cs="宋体"/>
          <w:szCs w:val="21"/>
          <w:highlight w:val="none"/>
        </w:rPr>
      </w:pPr>
      <w:r>
        <w:rPr>
          <w:rFonts w:hint="eastAsia" w:ascii="宋体" w:hAnsi="宋体" w:cs="宋体"/>
          <w:szCs w:val="21"/>
          <w:highlight w:val="none"/>
        </w:rPr>
        <w:t>　　（一）农、林、牧、渔业。营业收入20000万元以下的为中小微型企业。其中，营业收入500万元及以上的为中型企业，营业收入50万元及以上的为小型企业，营业收入50万元以下的为微型企业。</w:t>
      </w:r>
    </w:p>
    <w:p w14:paraId="5F78B5B1">
      <w:pPr>
        <w:pStyle w:val="19"/>
        <w:spacing w:line="420" w:lineRule="exact"/>
        <w:rPr>
          <w:rFonts w:ascii="宋体" w:hAnsi="宋体" w:cs="宋体"/>
          <w:szCs w:val="21"/>
          <w:highlight w:val="none"/>
        </w:rPr>
      </w:pPr>
      <w:r>
        <w:rPr>
          <w:rFonts w:hint="eastAsia" w:ascii="宋体" w:hAnsi="宋体" w:cs="宋体"/>
          <w:szCs w:val="21"/>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282CD87">
      <w:pPr>
        <w:pStyle w:val="19"/>
        <w:spacing w:line="420" w:lineRule="exact"/>
        <w:rPr>
          <w:rFonts w:ascii="宋体" w:hAnsi="宋体" w:cs="宋体"/>
          <w:szCs w:val="21"/>
          <w:highlight w:val="none"/>
        </w:rPr>
      </w:pPr>
      <w:r>
        <w:rPr>
          <w:rFonts w:hint="eastAsia" w:ascii="宋体" w:hAnsi="宋体" w:cs="宋体"/>
          <w:szCs w:val="21"/>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BFF2E59">
      <w:pPr>
        <w:pStyle w:val="19"/>
        <w:spacing w:line="420" w:lineRule="exact"/>
        <w:rPr>
          <w:rFonts w:ascii="宋体" w:hAnsi="宋体" w:cs="宋体"/>
          <w:szCs w:val="21"/>
          <w:highlight w:val="none"/>
        </w:rPr>
      </w:pPr>
      <w:r>
        <w:rPr>
          <w:rFonts w:hint="eastAsia" w:ascii="宋体" w:hAnsi="宋体" w:cs="宋体"/>
          <w:szCs w:val="21"/>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6EAE29A">
      <w:pPr>
        <w:pStyle w:val="19"/>
        <w:spacing w:line="420" w:lineRule="exact"/>
        <w:rPr>
          <w:rFonts w:ascii="宋体" w:hAnsi="宋体" w:cs="宋体"/>
          <w:szCs w:val="21"/>
          <w:highlight w:val="none"/>
        </w:rPr>
      </w:pPr>
      <w:r>
        <w:rPr>
          <w:rFonts w:hint="eastAsia" w:ascii="宋体" w:hAnsi="宋体" w:cs="宋体"/>
          <w:szCs w:val="21"/>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5EC32F6A">
      <w:pPr>
        <w:pStyle w:val="19"/>
        <w:spacing w:line="420" w:lineRule="exact"/>
        <w:rPr>
          <w:rFonts w:ascii="宋体" w:hAnsi="宋体" w:cs="宋体"/>
          <w:szCs w:val="21"/>
          <w:highlight w:val="none"/>
        </w:rPr>
      </w:pPr>
      <w:r>
        <w:rPr>
          <w:rFonts w:hint="eastAsia" w:ascii="宋体" w:hAnsi="宋体" w:cs="宋体"/>
          <w:szCs w:val="21"/>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1472761">
      <w:pPr>
        <w:pStyle w:val="19"/>
        <w:spacing w:line="420" w:lineRule="exact"/>
        <w:rPr>
          <w:rFonts w:ascii="宋体" w:hAnsi="宋体" w:cs="宋体"/>
          <w:szCs w:val="21"/>
          <w:highlight w:val="none"/>
        </w:rPr>
      </w:pPr>
      <w:r>
        <w:rPr>
          <w:rFonts w:hint="eastAsia" w:ascii="宋体" w:hAnsi="宋体" w:cs="宋体"/>
          <w:szCs w:val="21"/>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5D8F150">
      <w:pPr>
        <w:pStyle w:val="19"/>
        <w:spacing w:line="420" w:lineRule="exact"/>
        <w:rPr>
          <w:rFonts w:ascii="宋体" w:hAnsi="宋体" w:cs="宋体"/>
          <w:szCs w:val="21"/>
          <w:highlight w:val="none"/>
        </w:rPr>
      </w:pPr>
      <w:r>
        <w:rPr>
          <w:rFonts w:hint="eastAsia" w:ascii="宋体" w:hAnsi="宋体" w:cs="宋体"/>
          <w:szCs w:val="21"/>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A9FB982">
      <w:pPr>
        <w:pStyle w:val="19"/>
        <w:spacing w:line="420" w:lineRule="exact"/>
        <w:rPr>
          <w:rFonts w:ascii="宋体" w:hAnsi="宋体" w:cs="宋体"/>
          <w:szCs w:val="21"/>
          <w:highlight w:val="none"/>
        </w:rPr>
      </w:pPr>
      <w:r>
        <w:rPr>
          <w:rFonts w:hint="eastAsia" w:ascii="宋体" w:hAnsi="宋体" w:cs="宋体"/>
          <w:szCs w:val="21"/>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5ACB093">
      <w:pPr>
        <w:pStyle w:val="19"/>
        <w:spacing w:line="420" w:lineRule="exact"/>
        <w:rPr>
          <w:rFonts w:ascii="宋体" w:hAnsi="宋体" w:cs="宋体"/>
          <w:szCs w:val="21"/>
          <w:highlight w:val="none"/>
        </w:rPr>
      </w:pPr>
      <w:r>
        <w:rPr>
          <w:rFonts w:hint="eastAsia" w:ascii="宋体" w:hAnsi="宋体" w:cs="宋体"/>
          <w:szCs w:val="21"/>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B140368">
      <w:pPr>
        <w:pStyle w:val="19"/>
        <w:spacing w:line="420" w:lineRule="exact"/>
        <w:rPr>
          <w:rFonts w:ascii="宋体" w:hAnsi="宋体" w:cs="宋体"/>
          <w:szCs w:val="21"/>
          <w:highlight w:val="none"/>
        </w:rPr>
      </w:pPr>
      <w:r>
        <w:rPr>
          <w:rFonts w:hint="eastAsia" w:ascii="宋体" w:hAnsi="宋体" w:cs="宋体"/>
          <w:szCs w:val="21"/>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CD5AF04">
      <w:pPr>
        <w:pStyle w:val="19"/>
        <w:spacing w:line="420" w:lineRule="exact"/>
        <w:rPr>
          <w:rFonts w:ascii="宋体" w:hAnsi="宋体" w:cs="宋体"/>
          <w:szCs w:val="21"/>
          <w:highlight w:val="none"/>
        </w:rPr>
      </w:pPr>
      <w:r>
        <w:rPr>
          <w:rFonts w:hint="eastAsia" w:ascii="宋体" w:hAnsi="宋体" w:cs="宋体"/>
          <w:szCs w:val="21"/>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434363F">
      <w:pPr>
        <w:pStyle w:val="19"/>
        <w:spacing w:line="420" w:lineRule="exact"/>
        <w:rPr>
          <w:rFonts w:ascii="宋体" w:hAnsi="宋体" w:cs="宋体"/>
          <w:szCs w:val="21"/>
          <w:highlight w:val="none"/>
        </w:rPr>
      </w:pPr>
      <w:r>
        <w:rPr>
          <w:rFonts w:hint="eastAsia" w:ascii="宋体" w:hAnsi="宋体" w:cs="宋体"/>
          <w:szCs w:val="21"/>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7141A5D">
      <w:pPr>
        <w:pStyle w:val="19"/>
        <w:spacing w:line="420" w:lineRule="exact"/>
        <w:rPr>
          <w:rFonts w:ascii="宋体" w:hAnsi="宋体" w:cs="宋体"/>
          <w:szCs w:val="21"/>
          <w:highlight w:val="none"/>
        </w:rPr>
      </w:pPr>
      <w:r>
        <w:rPr>
          <w:rFonts w:hint="eastAsia" w:ascii="宋体" w:hAnsi="宋体" w:cs="宋体"/>
          <w:szCs w:val="21"/>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8C2747E">
      <w:pPr>
        <w:pStyle w:val="19"/>
        <w:spacing w:line="420" w:lineRule="exact"/>
        <w:rPr>
          <w:rFonts w:ascii="宋体" w:hAnsi="宋体" w:cs="宋体"/>
          <w:szCs w:val="21"/>
          <w:highlight w:val="none"/>
        </w:rPr>
      </w:pPr>
      <w:r>
        <w:rPr>
          <w:rFonts w:hint="eastAsia" w:ascii="宋体" w:hAnsi="宋体" w:cs="宋体"/>
          <w:szCs w:val="21"/>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ACE794C">
      <w:pPr>
        <w:pStyle w:val="19"/>
        <w:spacing w:line="420" w:lineRule="exact"/>
        <w:rPr>
          <w:rFonts w:ascii="宋体" w:hAnsi="宋体" w:cs="宋体"/>
          <w:szCs w:val="21"/>
          <w:highlight w:val="none"/>
        </w:rPr>
      </w:pPr>
      <w:r>
        <w:rPr>
          <w:rFonts w:hint="eastAsia" w:ascii="宋体" w:hAnsi="宋体" w:cs="宋体"/>
          <w:szCs w:val="21"/>
          <w:highlight w:val="none"/>
        </w:rPr>
        <w:t>　　（十六）其他未列明行业。从业人员300人以下的为中小微型企业。其中，从业人员100人及以上的为中型企业；从业人员10人及以上的为小型企业；从业人员10人以下的为微型企业。</w:t>
      </w:r>
    </w:p>
    <w:p w14:paraId="4AF96A85">
      <w:pPr>
        <w:pStyle w:val="19"/>
        <w:spacing w:line="420" w:lineRule="exact"/>
        <w:rPr>
          <w:rFonts w:ascii="宋体" w:hAnsi="宋体" w:cs="宋体"/>
          <w:szCs w:val="21"/>
          <w:highlight w:val="none"/>
        </w:rPr>
      </w:pPr>
      <w:r>
        <w:rPr>
          <w:rFonts w:hint="eastAsia" w:ascii="宋体" w:hAnsi="宋体" w:cs="宋体"/>
          <w:szCs w:val="21"/>
          <w:highlight w:val="none"/>
        </w:rPr>
        <w:t>　　五、企业类型的划分以统计部门的统计数据为依据。</w:t>
      </w:r>
    </w:p>
    <w:p w14:paraId="5EA54831">
      <w:pPr>
        <w:pStyle w:val="19"/>
        <w:spacing w:line="420" w:lineRule="exact"/>
        <w:rPr>
          <w:rFonts w:ascii="宋体" w:hAnsi="宋体" w:cs="宋体"/>
          <w:szCs w:val="21"/>
          <w:highlight w:val="none"/>
        </w:rPr>
      </w:pPr>
      <w:r>
        <w:rPr>
          <w:rFonts w:hint="eastAsia" w:ascii="宋体" w:hAnsi="宋体" w:cs="宋体"/>
          <w:szCs w:val="21"/>
          <w:highlight w:val="none"/>
        </w:rPr>
        <w:t>　　六、本规定适用于在中华人民共和国境内依法设立的各类所有制和各种组织形式的企业。个体工商户和本规定以外的行业，参照本规定进行划型。</w:t>
      </w:r>
    </w:p>
    <w:p w14:paraId="6ABBC06A">
      <w:pPr>
        <w:pStyle w:val="19"/>
        <w:spacing w:line="420" w:lineRule="exact"/>
        <w:rPr>
          <w:rFonts w:ascii="宋体" w:hAnsi="宋体" w:cs="宋体"/>
          <w:szCs w:val="21"/>
          <w:highlight w:val="none"/>
        </w:rPr>
      </w:pPr>
      <w:r>
        <w:rPr>
          <w:rFonts w:hint="eastAsia" w:ascii="宋体" w:hAnsi="宋体" w:cs="宋体"/>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4E2FE05E">
      <w:pPr>
        <w:pStyle w:val="19"/>
        <w:spacing w:line="420" w:lineRule="exact"/>
        <w:rPr>
          <w:rFonts w:ascii="宋体" w:hAnsi="宋体" w:cs="宋体"/>
          <w:szCs w:val="21"/>
          <w:highlight w:val="none"/>
        </w:rPr>
      </w:pPr>
      <w:r>
        <w:rPr>
          <w:rFonts w:hint="eastAsia" w:ascii="宋体" w:hAnsi="宋体" w:cs="宋体"/>
          <w:szCs w:val="21"/>
          <w:highlight w:val="none"/>
        </w:rPr>
        <w:t>　　八、本规定由工业和信息化部、国家统计局会同有关部门根据《国民经济行业分类》修订情况和企业发展变化情况适时修订。</w:t>
      </w:r>
    </w:p>
    <w:p w14:paraId="683EC757">
      <w:pPr>
        <w:pStyle w:val="19"/>
        <w:spacing w:line="420" w:lineRule="exact"/>
        <w:rPr>
          <w:rFonts w:ascii="宋体" w:hAnsi="宋体" w:cs="宋体"/>
          <w:szCs w:val="21"/>
          <w:highlight w:val="none"/>
        </w:rPr>
      </w:pPr>
      <w:r>
        <w:rPr>
          <w:rFonts w:hint="eastAsia" w:ascii="宋体" w:hAnsi="宋体" w:cs="宋体"/>
          <w:szCs w:val="21"/>
          <w:highlight w:val="none"/>
        </w:rPr>
        <w:t>　　九、本规定由工业和信息化部、国家统计局会同有关部门负责解释。</w:t>
      </w:r>
    </w:p>
    <w:p w14:paraId="50775943">
      <w:pPr>
        <w:pStyle w:val="19"/>
        <w:spacing w:line="420" w:lineRule="exact"/>
        <w:ind w:firstLine="420"/>
        <w:rPr>
          <w:rFonts w:ascii="宋体" w:hAnsi="宋体" w:cs="宋体"/>
          <w:szCs w:val="21"/>
          <w:highlight w:val="none"/>
        </w:rPr>
      </w:pPr>
      <w:r>
        <w:rPr>
          <w:rFonts w:hint="eastAsia" w:ascii="宋体" w:hAnsi="宋体" w:cs="宋体"/>
          <w:szCs w:val="21"/>
          <w:highlight w:val="none"/>
        </w:rPr>
        <w:t>十、本规定自发布之日起执行，原国家经贸委、原国家计委、财政部和国家统计局2003年颁布的《中小企业标准暂行规定》同时废止。</w:t>
      </w:r>
    </w:p>
    <w:p w14:paraId="6AC95234">
      <w:pPr>
        <w:pStyle w:val="2"/>
        <w:spacing w:before="0" w:after="0" w:line="360" w:lineRule="auto"/>
        <w:jc w:val="left"/>
        <w:rPr>
          <w:highlight w:val="none"/>
        </w:rPr>
        <w:sectPr>
          <w:pgSz w:w="11906" w:h="16838"/>
          <w:pgMar w:top="1304" w:right="1418" w:bottom="1304" w:left="1418" w:header="851" w:footer="992" w:gutter="0"/>
          <w:cols w:space="720" w:num="1"/>
          <w:docGrid w:linePitch="312" w:charSpace="0"/>
        </w:sectPr>
      </w:pPr>
    </w:p>
    <w:p w14:paraId="60317BC7">
      <w:pPr>
        <w:pStyle w:val="2"/>
        <w:spacing w:before="0" w:after="0" w:line="360" w:lineRule="auto"/>
        <w:jc w:val="center"/>
        <w:rPr>
          <w:color w:val="000000"/>
          <w:highlight w:val="none"/>
        </w:rPr>
      </w:pPr>
      <w:bookmarkStart w:id="59" w:name="_Toc12083"/>
      <w:r>
        <w:rPr>
          <w:rFonts w:hint="eastAsia"/>
          <w:color w:val="000000"/>
          <w:highlight w:val="none"/>
        </w:rPr>
        <w:t>第三章  投标人须知</w:t>
      </w:r>
      <w:bookmarkEnd w:id="59"/>
    </w:p>
    <w:p w14:paraId="5F19854D">
      <w:pPr>
        <w:jc w:val="center"/>
        <w:rPr>
          <w:color w:val="000000"/>
          <w:sz w:val="36"/>
          <w:szCs w:val="36"/>
          <w:highlight w:val="none"/>
        </w:rPr>
      </w:pPr>
      <w:bookmarkStart w:id="60" w:name="_Toc254970526"/>
      <w:bookmarkStart w:id="61" w:name="_Toc254970667"/>
      <w:r>
        <w:rPr>
          <w:rFonts w:hint="eastAsia"/>
          <w:color w:val="000000"/>
          <w:sz w:val="36"/>
          <w:szCs w:val="36"/>
          <w:highlight w:val="none"/>
        </w:rPr>
        <w:t>投标人须知前附表</w:t>
      </w:r>
      <w:bookmarkEnd w:id="60"/>
      <w:bookmarkEnd w:id="61"/>
    </w:p>
    <w:tbl>
      <w:tblPr>
        <w:tblStyle w:val="4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7654"/>
      </w:tblGrid>
      <w:tr w14:paraId="112201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765973AB">
            <w:pPr>
              <w:snapToGrid w:val="0"/>
              <w:spacing w:line="400" w:lineRule="exact"/>
              <w:jc w:val="left"/>
              <w:rPr>
                <w:rFonts w:ascii="宋体" w:hAnsi="宋体"/>
                <w:color w:val="000000"/>
                <w:szCs w:val="21"/>
                <w:highlight w:val="none"/>
              </w:rPr>
            </w:pPr>
            <w:r>
              <w:rPr>
                <w:rFonts w:hint="eastAsia" w:ascii="宋体" w:hAnsi="宋体"/>
                <w:color w:val="000000"/>
                <w:szCs w:val="21"/>
                <w:highlight w:val="none"/>
              </w:rPr>
              <w:t>条款号</w:t>
            </w:r>
          </w:p>
        </w:tc>
        <w:tc>
          <w:tcPr>
            <w:tcW w:w="7654" w:type="dxa"/>
            <w:tcBorders>
              <w:top w:val="single" w:color="auto" w:sz="4" w:space="0"/>
              <w:left w:val="single" w:color="auto" w:sz="4" w:space="0"/>
              <w:bottom w:val="single" w:color="auto" w:sz="4" w:space="0"/>
              <w:right w:val="single" w:color="auto" w:sz="4" w:space="0"/>
            </w:tcBorders>
            <w:vAlign w:val="center"/>
          </w:tcPr>
          <w:p w14:paraId="631BF97A">
            <w:pPr>
              <w:snapToGrid w:val="0"/>
              <w:spacing w:line="400" w:lineRule="exact"/>
              <w:jc w:val="center"/>
              <w:rPr>
                <w:rFonts w:ascii="宋体" w:hAnsi="宋体"/>
                <w:color w:val="000000"/>
                <w:szCs w:val="21"/>
                <w:highlight w:val="none"/>
              </w:rPr>
            </w:pPr>
            <w:r>
              <w:rPr>
                <w:rFonts w:hint="eastAsia" w:ascii="宋体" w:hAnsi="宋体"/>
                <w:color w:val="000000"/>
                <w:szCs w:val="21"/>
                <w:highlight w:val="none"/>
              </w:rPr>
              <w:t>编列内容</w:t>
            </w:r>
          </w:p>
        </w:tc>
      </w:tr>
      <w:tr w14:paraId="2F8F9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60BC965F">
            <w:pPr>
              <w:spacing w:line="400" w:lineRule="exact"/>
              <w:jc w:val="center"/>
              <w:rPr>
                <w:rFonts w:ascii="宋体" w:hAnsi="宋体"/>
                <w:color w:val="000000"/>
                <w:szCs w:val="21"/>
                <w:highlight w:val="none"/>
              </w:rPr>
            </w:pPr>
            <w:r>
              <w:rPr>
                <w:rFonts w:hint="eastAsia" w:ascii="宋体" w:hAnsi="宋体"/>
                <w:color w:val="000000"/>
                <w:szCs w:val="21"/>
                <w:highlight w:val="none"/>
              </w:rPr>
              <w:t>3</w:t>
            </w:r>
          </w:p>
        </w:tc>
        <w:tc>
          <w:tcPr>
            <w:tcW w:w="7654" w:type="dxa"/>
            <w:tcBorders>
              <w:top w:val="single" w:color="auto" w:sz="4" w:space="0"/>
              <w:left w:val="single" w:color="auto" w:sz="4" w:space="0"/>
              <w:bottom w:val="single" w:color="auto" w:sz="4" w:space="0"/>
              <w:right w:val="single" w:color="auto" w:sz="4" w:space="0"/>
            </w:tcBorders>
            <w:vAlign w:val="center"/>
          </w:tcPr>
          <w:p w14:paraId="72C6DDC3">
            <w:pPr>
              <w:snapToGrid w:val="0"/>
              <w:spacing w:line="400" w:lineRule="exact"/>
              <w:jc w:val="left"/>
              <w:rPr>
                <w:rFonts w:ascii="宋体" w:hAnsi="宋体"/>
                <w:color w:val="000000"/>
                <w:szCs w:val="21"/>
                <w:highlight w:val="none"/>
              </w:rPr>
            </w:pPr>
            <w:r>
              <w:rPr>
                <w:rFonts w:hint="eastAsia" w:ascii="宋体" w:hAnsi="宋体"/>
                <w:color w:val="000000"/>
                <w:szCs w:val="21"/>
                <w:highlight w:val="none"/>
              </w:rPr>
              <w:t>1</w:t>
            </w:r>
            <w:r>
              <w:rPr>
                <w:rFonts w:ascii="宋体" w:hAnsi="宋体"/>
                <w:color w:val="000000"/>
                <w:szCs w:val="21"/>
                <w:highlight w:val="none"/>
              </w:rPr>
              <w:t>.</w:t>
            </w:r>
            <w:r>
              <w:rPr>
                <w:rFonts w:hint="eastAsia" w:ascii="宋体" w:hAnsi="宋体"/>
                <w:color w:val="000000"/>
                <w:szCs w:val="21"/>
                <w:highlight w:val="none"/>
              </w:rPr>
              <w:t>投标人的资格要求详见招标公告。</w:t>
            </w:r>
          </w:p>
          <w:p w14:paraId="45D29131">
            <w:pPr>
              <w:snapToGrid w:val="0"/>
              <w:spacing w:line="400" w:lineRule="exact"/>
              <w:jc w:val="left"/>
              <w:rPr>
                <w:rFonts w:ascii="宋体" w:hAnsi="宋体"/>
                <w:color w:val="000000"/>
                <w:szCs w:val="21"/>
                <w:highlight w:val="none"/>
              </w:rPr>
            </w:pPr>
            <w:r>
              <w:rPr>
                <w:rFonts w:hint="eastAsia" w:ascii="宋体" w:hAnsi="宋体"/>
                <w:color w:val="000000"/>
                <w:szCs w:val="21"/>
                <w:highlight w:val="none"/>
              </w:rPr>
              <w:t>2</w:t>
            </w:r>
            <w:r>
              <w:rPr>
                <w:rFonts w:ascii="宋体" w:hAnsi="宋体"/>
                <w:color w:val="000000"/>
                <w:szCs w:val="21"/>
                <w:highlight w:val="none"/>
              </w:rPr>
              <w:t>.</w:t>
            </w:r>
            <w:r>
              <w:rPr>
                <w:rFonts w:hint="eastAsia" w:ascii="宋体" w:hAnsi="宋体"/>
                <w:color w:val="000000"/>
                <w:szCs w:val="21"/>
                <w:highlight w:val="none"/>
              </w:rPr>
              <w:t>投标人出现下列情形之一的，不得参加政府采购活动：</w:t>
            </w:r>
          </w:p>
          <w:p w14:paraId="699110CD">
            <w:pPr>
              <w:snapToGrid w:val="0"/>
              <w:spacing w:line="400" w:lineRule="exact"/>
              <w:jc w:val="left"/>
              <w:rPr>
                <w:rFonts w:ascii="宋体" w:hAnsi="宋体"/>
                <w:color w:val="000000"/>
                <w:szCs w:val="21"/>
                <w:highlight w:val="none"/>
              </w:rPr>
            </w:pPr>
            <w:r>
              <w:rPr>
                <w:rFonts w:ascii="宋体" w:hAnsi="宋体"/>
                <w:color w:val="000000"/>
                <w:szCs w:val="21"/>
                <w:highlight w:val="none"/>
              </w:rPr>
              <w:t>2.1</w:t>
            </w:r>
            <w:r>
              <w:rPr>
                <w:rFonts w:hint="eastAsia" w:ascii="宋体" w:hAnsi="宋体"/>
                <w:color w:val="000000"/>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442FB7C">
            <w:pPr>
              <w:snapToGrid w:val="0"/>
              <w:spacing w:line="400" w:lineRule="exact"/>
              <w:jc w:val="left"/>
              <w:rPr>
                <w:rFonts w:ascii="宋体" w:hAnsi="宋体"/>
                <w:color w:val="000000"/>
                <w:szCs w:val="21"/>
                <w:highlight w:val="none"/>
              </w:rPr>
            </w:pPr>
            <w:r>
              <w:rPr>
                <w:rFonts w:ascii="宋体" w:hAnsi="宋体"/>
                <w:color w:val="000000"/>
                <w:szCs w:val="21"/>
                <w:highlight w:val="none"/>
              </w:rPr>
              <w:t>2.2</w:t>
            </w:r>
            <w:r>
              <w:rPr>
                <w:rFonts w:hint="eastAsia" w:ascii="宋体" w:hAnsi="宋体"/>
                <w:color w:val="000000"/>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0396A099">
            <w:pPr>
              <w:pStyle w:val="19"/>
              <w:rPr>
                <w:color w:val="000000"/>
                <w:highlight w:val="none"/>
              </w:rPr>
            </w:pPr>
            <w:r>
              <w:rPr>
                <w:rFonts w:hint="eastAsia" w:ascii="宋体" w:hAnsi="宋体"/>
                <w:color w:val="000000"/>
                <w:kern w:val="2"/>
                <w:sz w:val="21"/>
                <w:szCs w:val="21"/>
                <w:highlight w:val="none"/>
              </w:rPr>
              <w:t>2.3本项目不接受未购买本招标文件的投标人参与投标。</w:t>
            </w:r>
          </w:p>
        </w:tc>
      </w:tr>
      <w:tr w14:paraId="3D30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959" w:type="dxa"/>
            <w:tcBorders>
              <w:top w:val="single" w:color="auto" w:sz="4" w:space="0"/>
              <w:left w:val="single" w:color="auto" w:sz="4" w:space="0"/>
              <w:bottom w:val="single" w:color="auto" w:sz="4" w:space="0"/>
              <w:right w:val="single" w:color="auto" w:sz="4" w:space="0"/>
            </w:tcBorders>
            <w:vAlign w:val="center"/>
          </w:tcPr>
          <w:p w14:paraId="084EF51B">
            <w:pPr>
              <w:spacing w:line="400" w:lineRule="exact"/>
              <w:jc w:val="center"/>
              <w:rPr>
                <w:rFonts w:ascii="宋体" w:hAnsi="宋体"/>
                <w:color w:val="000000"/>
                <w:szCs w:val="21"/>
                <w:highlight w:val="none"/>
              </w:rPr>
            </w:pPr>
            <w:bookmarkStart w:id="62" w:name="_8.1"/>
            <w:bookmarkEnd w:id="62"/>
            <w:bookmarkStart w:id="63" w:name="_9.2"/>
            <w:bookmarkEnd w:id="63"/>
            <w:bookmarkStart w:id="64" w:name="_5"/>
            <w:bookmarkEnd w:id="64"/>
            <w:r>
              <w:rPr>
                <w:rFonts w:hint="eastAsia" w:ascii="宋体" w:hAnsi="宋体"/>
                <w:color w:val="000000"/>
                <w:szCs w:val="21"/>
                <w:highlight w:val="none"/>
              </w:rPr>
              <w:t>6.1</w:t>
            </w:r>
          </w:p>
        </w:tc>
        <w:tc>
          <w:tcPr>
            <w:tcW w:w="7654" w:type="dxa"/>
            <w:tcBorders>
              <w:top w:val="single" w:color="auto" w:sz="4" w:space="0"/>
              <w:left w:val="single" w:color="auto" w:sz="4" w:space="0"/>
              <w:bottom w:val="single" w:color="auto" w:sz="4" w:space="0"/>
              <w:right w:val="single" w:color="auto" w:sz="4" w:space="0"/>
            </w:tcBorders>
            <w:vAlign w:val="center"/>
          </w:tcPr>
          <w:p w14:paraId="51F8B35E">
            <w:pPr>
              <w:pStyle w:val="17"/>
              <w:spacing w:line="400" w:lineRule="exact"/>
              <w:rPr>
                <w:rFonts w:ascii="宋体" w:hAnsi="宋体"/>
                <w:color w:val="000000"/>
                <w:szCs w:val="21"/>
                <w:highlight w:val="none"/>
              </w:rPr>
            </w:pPr>
            <w:r>
              <w:rPr>
                <w:rFonts w:hint="eastAsia" w:ascii="宋体" w:hAnsi="宋体"/>
                <w:color w:val="000000"/>
                <w:szCs w:val="21"/>
                <w:highlight w:val="none"/>
              </w:rPr>
              <w:t>本项目是否接受联合体投标：详见招标公告。</w:t>
            </w:r>
          </w:p>
        </w:tc>
      </w:tr>
      <w:tr w14:paraId="7B3547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6F0D69EE">
            <w:pPr>
              <w:spacing w:line="400" w:lineRule="exact"/>
              <w:jc w:val="center"/>
              <w:rPr>
                <w:rFonts w:ascii="宋体" w:hAnsi="宋体"/>
                <w:color w:val="000000"/>
                <w:szCs w:val="21"/>
                <w:highlight w:val="none"/>
              </w:rPr>
            </w:pPr>
            <w:r>
              <w:rPr>
                <w:rFonts w:ascii="宋体" w:hAnsi="宋体"/>
                <w:color w:val="000000"/>
                <w:szCs w:val="21"/>
                <w:highlight w:val="none"/>
              </w:rPr>
              <w:t>6.2</w:t>
            </w:r>
          </w:p>
        </w:tc>
        <w:tc>
          <w:tcPr>
            <w:tcW w:w="7654" w:type="dxa"/>
            <w:tcBorders>
              <w:top w:val="single" w:color="auto" w:sz="4" w:space="0"/>
              <w:left w:val="single" w:color="auto" w:sz="4" w:space="0"/>
              <w:bottom w:val="single" w:color="auto" w:sz="4" w:space="0"/>
              <w:right w:val="single" w:color="auto" w:sz="4" w:space="0"/>
            </w:tcBorders>
            <w:vAlign w:val="center"/>
          </w:tcPr>
          <w:p w14:paraId="2D590CB3">
            <w:pPr>
              <w:pStyle w:val="17"/>
              <w:spacing w:line="400" w:lineRule="exact"/>
              <w:rPr>
                <w:rFonts w:ascii="宋体" w:hAnsi="宋体"/>
                <w:color w:val="000000"/>
                <w:szCs w:val="21"/>
                <w:highlight w:val="none"/>
              </w:rPr>
            </w:pPr>
            <w:bookmarkStart w:id="65" w:name="_Hlk54105293"/>
            <w:r>
              <w:rPr>
                <w:rFonts w:hint="eastAsia" w:ascii="宋体" w:hAnsi="宋体"/>
                <w:color w:val="000000"/>
                <w:szCs w:val="21"/>
                <w:highlight w:val="none"/>
              </w:rPr>
              <w:t>如接受联合体投标，</w:t>
            </w:r>
            <w:bookmarkEnd w:id="65"/>
            <w:r>
              <w:rPr>
                <w:rFonts w:hint="eastAsia" w:ascii="宋体" w:hAnsi="宋体"/>
                <w:color w:val="000000"/>
                <w:szCs w:val="21"/>
                <w:highlight w:val="none"/>
              </w:rPr>
              <w:t>联合体投标要求如下：</w:t>
            </w:r>
          </w:p>
          <w:p w14:paraId="725F73E4">
            <w:pPr>
              <w:pStyle w:val="17"/>
              <w:spacing w:line="400" w:lineRule="exact"/>
              <w:rPr>
                <w:rFonts w:ascii="宋体" w:hAnsi="宋体"/>
                <w:color w:val="000000"/>
                <w:szCs w:val="21"/>
                <w:highlight w:val="none"/>
              </w:rPr>
            </w:pPr>
            <w:r>
              <w:rPr>
                <w:rFonts w:hint="eastAsia" w:ascii="宋体" w:hAnsi="宋体"/>
                <w:color w:val="000000"/>
                <w:szCs w:val="21"/>
                <w:highlight w:val="none"/>
              </w:rPr>
              <w:t>1</w:t>
            </w:r>
            <w:r>
              <w:rPr>
                <w:rFonts w:ascii="宋体" w:hAnsi="宋体"/>
                <w:color w:val="000000"/>
                <w:szCs w:val="21"/>
                <w:highlight w:val="none"/>
              </w:rPr>
              <w:t>.</w:t>
            </w:r>
            <w:r>
              <w:rPr>
                <w:rFonts w:hint="eastAsia" w:ascii="宋体" w:hAnsi="宋体"/>
                <w:color w:val="000000"/>
                <w:szCs w:val="21"/>
                <w:highlight w:val="none"/>
              </w:rPr>
              <w:t>两个以上投标人可以组成一个投标联合体，以一个投标人的身份共同参加投标。联合体投标的，须提供《联合体投标协议书》（格式后附）。</w:t>
            </w:r>
          </w:p>
          <w:p w14:paraId="0B9023FD">
            <w:pPr>
              <w:pStyle w:val="17"/>
              <w:spacing w:line="400" w:lineRule="exact"/>
              <w:rPr>
                <w:rFonts w:ascii="宋体" w:hAnsi="宋体"/>
                <w:color w:val="000000"/>
                <w:szCs w:val="21"/>
                <w:highlight w:val="none"/>
              </w:rPr>
            </w:pPr>
            <w:r>
              <w:rPr>
                <w:rFonts w:hint="eastAsia" w:ascii="宋体" w:hAnsi="宋体"/>
                <w:color w:val="000000"/>
                <w:szCs w:val="21"/>
                <w:highlight w:val="none"/>
              </w:rPr>
              <w:t>2</w:t>
            </w:r>
            <w:r>
              <w:rPr>
                <w:rFonts w:ascii="宋体" w:hAnsi="宋体"/>
                <w:color w:val="000000"/>
                <w:szCs w:val="21"/>
                <w:highlight w:val="none"/>
              </w:rPr>
              <w:t>.</w:t>
            </w:r>
            <w:r>
              <w:rPr>
                <w:rFonts w:hint="eastAsia" w:ascii="宋体" w:hAnsi="宋体"/>
                <w:color w:val="000000"/>
                <w:szCs w:val="21"/>
                <w:highlight w:val="none"/>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1A5B7A18">
            <w:pPr>
              <w:pStyle w:val="17"/>
              <w:spacing w:line="400" w:lineRule="exact"/>
              <w:rPr>
                <w:rFonts w:ascii="宋体" w:hAnsi="宋体"/>
                <w:color w:val="000000"/>
                <w:szCs w:val="21"/>
                <w:highlight w:val="none"/>
              </w:rPr>
            </w:pPr>
            <w:r>
              <w:rPr>
                <w:rFonts w:hint="eastAsia" w:ascii="宋体" w:hAnsi="宋体"/>
                <w:color w:val="000000"/>
                <w:szCs w:val="21"/>
                <w:highlight w:val="none"/>
              </w:rPr>
              <w:t>3</w:t>
            </w:r>
            <w:r>
              <w:rPr>
                <w:rFonts w:ascii="宋体" w:hAnsi="宋体"/>
                <w:color w:val="000000"/>
                <w:szCs w:val="21"/>
                <w:highlight w:val="none"/>
              </w:rPr>
              <w:t>.</w:t>
            </w:r>
            <w:r>
              <w:rPr>
                <w:rFonts w:hint="eastAsia" w:ascii="宋体" w:hAnsi="宋体"/>
                <w:color w:val="000000"/>
                <w:szCs w:val="21"/>
                <w:highlight w:val="none"/>
              </w:rPr>
              <w:t>联合体各方之间必须签订联合投标协议，协议书必须明确主体方（或者牵头方）并明确约定联合体各方承担的工作和相应的责任（各方承担责任与义务的分工必须符合采购需求，否则，</w:t>
            </w:r>
            <w:r>
              <w:rPr>
                <w:rFonts w:hint="eastAsia" w:ascii="宋体" w:hAnsi="宋体"/>
                <w:b/>
                <w:bCs/>
                <w:color w:val="000000"/>
                <w:szCs w:val="21"/>
                <w:highlight w:val="none"/>
              </w:rPr>
              <w:t>联合体投标无效</w:t>
            </w:r>
            <w:r>
              <w:rPr>
                <w:rFonts w:hint="eastAsia" w:ascii="宋体" w:hAnsi="宋体"/>
                <w:color w:val="000000"/>
                <w:szCs w:val="21"/>
                <w:highlight w:val="none"/>
              </w:rPr>
              <w:t>），并将联合投标协议放入投标文件。联合体各方必须共同与采购人签订采购合同，就采购合同约定的事项对采购人承担连带责任。</w:t>
            </w:r>
          </w:p>
          <w:p w14:paraId="1264ECB0">
            <w:pPr>
              <w:pStyle w:val="17"/>
              <w:spacing w:line="400" w:lineRule="exact"/>
              <w:rPr>
                <w:rFonts w:ascii="宋体" w:hAnsi="宋体"/>
                <w:color w:val="000000"/>
                <w:szCs w:val="21"/>
                <w:highlight w:val="none"/>
              </w:rPr>
            </w:pPr>
            <w:r>
              <w:rPr>
                <w:rFonts w:hint="eastAsia" w:ascii="宋体" w:hAnsi="宋体"/>
                <w:color w:val="000000"/>
                <w:szCs w:val="21"/>
                <w:highlight w:val="none"/>
              </w:rPr>
              <w:t>4</w:t>
            </w:r>
            <w:r>
              <w:rPr>
                <w:rFonts w:ascii="宋体" w:hAnsi="宋体"/>
                <w:color w:val="000000"/>
                <w:szCs w:val="21"/>
                <w:highlight w:val="none"/>
              </w:rPr>
              <w:t>.</w:t>
            </w:r>
            <w:r>
              <w:rPr>
                <w:rFonts w:hint="eastAsia" w:ascii="宋体" w:hAnsi="宋体"/>
                <w:color w:val="000000"/>
                <w:szCs w:val="21"/>
                <w:highlight w:val="none"/>
              </w:rPr>
              <w:t>以联合体形式参加政府采购活动的，联合体各方不得再单独参加或者与其他投标人另外组成联合体参加同一合同项下的政府采购活动。</w:t>
            </w:r>
          </w:p>
          <w:p w14:paraId="6A2405B1">
            <w:pPr>
              <w:pStyle w:val="17"/>
              <w:spacing w:line="400" w:lineRule="exact"/>
              <w:rPr>
                <w:rFonts w:ascii="宋体" w:hAnsi="宋体"/>
                <w:color w:val="000000"/>
                <w:szCs w:val="21"/>
                <w:highlight w:val="none"/>
              </w:rPr>
            </w:pPr>
            <w:r>
              <w:rPr>
                <w:rFonts w:hint="eastAsia" w:ascii="宋体" w:hAnsi="宋体"/>
                <w:color w:val="000000"/>
                <w:szCs w:val="21"/>
                <w:highlight w:val="none"/>
              </w:rPr>
              <w:t>5</w:t>
            </w:r>
            <w:r>
              <w:rPr>
                <w:rFonts w:ascii="宋体" w:hAnsi="宋体"/>
                <w:color w:val="000000"/>
                <w:szCs w:val="21"/>
                <w:highlight w:val="none"/>
              </w:rPr>
              <w:t>.</w:t>
            </w:r>
            <w:r>
              <w:rPr>
                <w:rFonts w:hint="eastAsia" w:ascii="宋体" w:hAnsi="宋体"/>
                <w:color w:val="000000"/>
                <w:szCs w:val="21"/>
                <w:highlight w:val="none"/>
              </w:rPr>
              <w:t>联合体中有同类资质的投标人按照联合体分工承担相同工作的，应当按照资质等级较低的投标人确定资质等级。</w:t>
            </w:r>
          </w:p>
          <w:p w14:paraId="69CC11E1">
            <w:pPr>
              <w:pStyle w:val="17"/>
              <w:spacing w:line="400" w:lineRule="exact"/>
              <w:rPr>
                <w:rFonts w:ascii="宋体" w:hAnsi="宋体"/>
                <w:color w:val="000000"/>
                <w:szCs w:val="21"/>
                <w:highlight w:val="none"/>
              </w:rPr>
            </w:pPr>
            <w:r>
              <w:rPr>
                <w:rFonts w:hint="eastAsia" w:ascii="宋体" w:hAnsi="宋体"/>
                <w:color w:val="000000"/>
                <w:szCs w:val="21"/>
                <w:highlight w:val="none"/>
              </w:rPr>
              <w:t>6</w:t>
            </w:r>
            <w:r>
              <w:rPr>
                <w:rFonts w:ascii="宋体" w:hAnsi="宋体"/>
                <w:color w:val="000000"/>
                <w:szCs w:val="21"/>
                <w:highlight w:val="none"/>
              </w:rPr>
              <w:t>.</w:t>
            </w:r>
            <w:r>
              <w:rPr>
                <w:rFonts w:hint="eastAsia" w:ascii="宋体" w:hAnsi="宋体"/>
                <w:color w:val="000000"/>
                <w:szCs w:val="21"/>
                <w:highlight w:val="none"/>
              </w:rPr>
              <w:t>联合体投标业绩、履约能力按照联合体各方其中较高的一方认定并计算（招标文件另有规定的除外）。</w:t>
            </w:r>
          </w:p>
          <w:p w14:paraId="4D6E033E">
            <w:pPr>
              <w:pStyle w:val="17"/>
              <w:spacing w:line="400" w:lineRule="exact"/>
              <w:rPr>
                <w:rFonts w:ascii="宋体" w:hAnsi="宋体"/>
                <w:color w:val="000000"/>
                <w:szCs w:val="21"/>
                <w:highlight w:val="none"/>
              </w:rPr>
            </w:pPr>
            <w:r>
              <w:rPr>
                <w:rFonts w:hint="eastAsia" w:ascii="宋体" w:hAnsi="宋体"/>
                <w:color w:val="000000"/>
                <w:szCs w:val="21"/>
                <w:highlight w:val="none"/>
              </w:rPr>
              <w:t>7</w:t>
            </w:r>
            <w:r>
              <w:rPr>
                <w:rFonts w:ascii="宋体" w:hAnsi="宋体"/>
                <w:color w:val="000000"/>
                <w:szCs w:val="21"/>
                <w:highlight w:val="none"/>
              </w:rPr>
              <w:t>.</w:t>
            </w:r>
            <w:r>
              <w:rPr>
                <w:rFonts w:hint="eastAsia" w:ascii="宋体" w:hAnsi="宋体"/>
                <w:color w:val="000000"/>
                <w:szCs w:val="21"/>
                <w:highlight w:val="none"/>
              </w:rPr>
              <w:t>投标人为联合体的，可以由联合体中的一方或者多方共同交纳投标保证金，其交纳的保证金对联合体各方均具有约束力。</w:t>
            </w:r>
          </w:p>
          <w:p w14:paraId="0BFDD62E">
            <w:pPr>
              <w:pStyle w:val="17"/>
              <w:spacing w:line="400" w:lineRule="exact"/>
              <w:rPr>
                <w:rFonts w:ascii="宋体" w:hAnsi="宋体"/>
                <w:color w:val="000000"/>
                <w:szCs w:val="21"/>
                <w:highlight w:val="none"/>
              </w:rPr>
            </w:pPr>
            <w:r>
              <w:rPr>
                <w:rFonts w:hint="eastAsia" w:ascii="宋体" w:hAnsi="宋体"/>
                <w:color w:val="000000"/>
                <w:szCs w:val="21"/>
                <w:highlight w:val="none"/>
              </w:rPr>
              <w:t>8</w:t>
            </w:r>
            <w:r>
              <w:rPr>
                <w:rFonts w:ascii="宋体" w:hAnsi="宋体"/>
                <w:color w:val="000000"/>
                <w:szCs w:val="21"/>
                <w:highlight w:val="none"/>
              </w:rPr>
              <w:t>.</w:t>
            </w:r>
            <w:r>
              <w:rPr>
                <w:rFonts w:hint="eastAsia" w:ascii="宋体" w:hAnsi="宋体"/>
                <w:color w:val="000000"/>
                <w:szCs w:val="21"/>
                <w:highlight w:val="none"/>
              </w:rPr>
              <w:t>联合体各方均应按照招标文件的规定提交资格证明文件。</w:t>
            </w:r>
          </w:p>
        </w:tc>
      </w:tr>
      <w:tr w14:paraId="5A673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3F6D8629">
            <w:pPr>
              <w:spacing w:line="400" w:lineRule="exact"/>
              <w:jc w:val="center"/>
              <w:rPr>
                <w:rFonts w:ascii="宋体" w:hAnsi="宋体"/>
                <w:color w:val="000000"/>
                <w:szCs w:val="21"/>
                <w:highlight w:val="none"/>
              </w:rPr>
            </w:pPr>
            <w:r>
              <w:rPr>
                <w:rFonts w:hint="eastAsia" w:ascii="宋体" w:hAnsi="宋体"/>
                <w:color w:val="000000"/>
                <w:szCs w:val="21"/>
                <w:highlight w:val="none"/>
              </w:rPr>
              <w:t>7.2</w:t>
            </w:r>
          </w:p>
        </w:tc>
        <w:tc>
          <w:tcPr>
            <w:tcW w:w="7654" w:type="dxa"/>
            <w:tcBorders>
              <w:top w:val="single" w:color="auto" w:sz="4" w:space="0"/>
              <w:left w:val="single" w:color="auto" w:sz="4" w:space="0"/>
              <w:bottom w:val="single" w:color="auto" w:sz="4" w:space="0"/>
              <w:right w:val="single" w:color="auto" w:sz="4" w:space="0"/>
            </w:tcBorders>
            <w:vAlign w:val="center"/>
          </w:tcPr>
          <w:p w14:paraId="2E979716">
            <w:pPr>
              <w:pStyle w:val="17"/>
              <w:spacing w:line="400" w:lineRule="exact"/>
              <w:rPr>
                <w:rFonts w:ascii="宋体" w:hAnsi="宋体"/>
                <w:color w:val="000000"/>
                <w:szCs w:val="21"/>
                <w:highlight w:val="none"/>
              </w:rPr>
            </w:pPr>
            <w:r>
              <w:rPr>
                <w:rFonts w:hint="eastAsia" w:ascii="宋体" w:hAnsi="宋体"/>
                <w:color w:val="000000"/>
                <w:szCs w:val="21"/>
                <w:highlight w:val="none"/>
                <w:lang w:eastAsia="zh-CN"/>
              </w:rPr>
              <w:t>□</w:t>
            </w:r>
            <w:r>
              <w:rPr>
                <w:rFonts w:hint="eastAsia" w:ascii="宋体" w:hAnsi="宋体"/>
                <w:color w:val="000000"/>
                <w:szCs w:val="21"/>
                <w:highlight w:val="none"/>
              </w:rPr>
              <w:t>不允许分包</w:t>
            </w:r>
          </w:p>
          <w:p w14:paraId="77A77E38">
            <w:pPr>
              <w:pStyle w:val="17"/>
              <w:spacing w:line="400" w:lineRule="exact"/>
              <w:rPr>
                <w:rFonts w:ascii="宋体" w:hAnsi="宋体"/>
                <w:color w:val="000000"/>
                <w:szCs w:val="21"/>
                <w:highlight w:val="none"/>
              </w:rPr>
            </w:pPr>
            <w:r>
              <w:rPr>
                <w:rFonts w:hint="eastAsia" w:ascii="宋体" w:hAnsi="宋体"/>
                <w:color w:val="000000"/>
                <w:szCs w:val="21"/>
                <w:highlight w:val="none"/>
                <w:lang w:eastAsia="zh-CN"/>
              </w:rPr>
              <w:t>☑</w:t>
            </w:r>
            <w:r>
              <w:rPr>
                <w:rFonts w:hint="eastAsia" w:ascii="宋体" w:hAnsi="宋体"/>
                <w:color w:val="000000"/>
                <w:szCs w:val="21"/>
                <w:highlight w:val="none"/>
              </w:rPr>
              <w:t>允许分包</w:t>
            </w:r>
          </w:p>
          <w:p w14:paraId="3B6FABC1">
            <w:pPr>
              <w:pStyle w:val="17"/>
              <w:spacing w:line="400" w:lineRule="exact"/>
              <w:jc w:val="both"/>
              <w:rPr>
                <w:rFonts w:hint="eastAsia" w:ascii="宋体" w:hAnsi="宋体"/>
                <w:color w:val="000000"/>
                <w:szCs w:val="21"/>
                <w:highlight w:val="none"/>
                <w:u w:val="single"/>
              </w:rPr>
            </w:pPr>
            <w:r>
              <w:rPr>
                <w:rFonts w:hint="eastAsia" w:ascii="宋体" w:hAnsi="宋体"/>
                <w:color w:val="000000"/>
                <w:szCs w:val="21"/>
                <w:highlight w:val="none"/>
              </w:rPr>
              <w:t>分包内容：</w:t>
            </w:r>
          </w:p>
          <w:p w14:paraId="1B640AC7">
            <w:pPr>
              <w:pStyle w:val="17"/>
              <w:spacing w:line="400" w:lineRule="exact"/>
              <w:jc w:val="both"/>
              <w:rPr>
                <w:rFonts w:hint="eastAsia" w:ascii="宋体" w:hAnsi="宋体"/>
                <w:color w:val="000000"/>
                <w:szCs w:val="21"/>
                <w:highlight w:val="none"/>
                <w:u w:val="single"/>
                <w:lang w:val="en-US" w:eastAsia="zh-CN"/>
              </w:rPr>
            </w:pPr>
            <w:r>
              <w:rPr>
                <w:rFonts w:hint="eastAsia" w:ascii="宋体" w:hAnsi="宋体"/>
                <w:color w:val="000000"/>
                <w:szCs w:val="21"/>
                <w:highlight w:val="none"/>
                <w:u w:val="single"/>
                <w:lang w:eastAsia="zh-CN"/>
              </w:rPr>
              <w:t>分标</w:t>
            </w:r>
            <w:r>
              <w:rPr>
                <w:rFonts w:hint="eastAsia" w:ascii="宋体" w:hAnsi="宋体"/>
                <w:color w:val="000000"/>
                <w:szCs w:val="21"/>
                <w:highlight w:val="none"/>
                <w:u w:val="single"/>
                <w:lang w:val="en-US" w:eastAsia="zh-CN"/>
              </w:rPr>
              <w:t>1/分标2：</w:t>
            </w:r>
          </w:p>
          <w:p w14:paraId="64E2B000">
            <w:pPr>
              <w:pStyle w:val="17"/>
              <w:spacing w:line="400" w:lineRule="exact"/>
              <w:jc w:val="both"/>
              <w:rPr>
                <w:rFonts w:hint="default" w:ascii="宋体" w:hAnsi="宋体"/>
                <w:color w:val="000000"/>
                <w:szCs w:val="21"/>
                <w:highlight w:val="none"/>
                <w:u w:val="single"/>
                <w:lang w:val="en-US" w:eastAsia="zh-CN"/>
              </w:rPr>
            </w:pPr>
            <w:r>
              <w:rPr>
                <w:rFonts w:hint="default" w:ascii="宋体" w:hAnsi="宋体"/>
                <w:color w:val="000000"/>
                <w:szCs w:val="21"/>
                <w:highlight w:val="none"/>
                <w:u w:val="single"/>
                <w:lang w:val="en-US" w:eastAsia="zh-CN"/>
              </w:rPr>
              <w:t>（一）分包内容</w:t>
            </w:r>
          </w:p>
          <w:p w14:paraId="567D74D2">
            <w:pPr>
              <w:pStyle w:val="17"/>
              <w:spacing w:line="400" w:lineRule="exact"/>
              <w:jc w:val="both"/>
              <w:rPr>
                <w:rFonts w:hint="default" w:ascii="宋体" w:hAnsi="宋体"/>
                <w:color w:val="000000"/>
                <w:szCs w:val="21"/>
                <w:highlight w:val="none"/>
                <w:u w:val="single"/>
                <w:lang w:val="en-US" w:eastAsia="zh-CN"/>
              </w:rPr>
            </w:pPr>
            <w:r>
              <w:rPr>
                <w:rFonts w:hint="default" w:ascii="宋体" w:hAnsi="宋体"/>
                <w:color w:val="000000"/>
                <w:szCs w:val="21"/>
                <w:highlight w:val="none"/>
                <w:u w:val="single"/>
                <w:lang w:val="en-US" w:eastAsia="zh-CN"/>
              </w:rPr>
              <w:t>中标供应商可根据自身情况，将本项目的实训室文化及氛围建设（分标1第12项）或实训室基础改造建设（分标2第16项）分包给具备有效施工资质的供应商承接。该部分工作产生的所有费用均已包含在投标总报价中，采购人不再另行支付。</w:t>
            </w:r>
          </w:p>
          <w:p w14:paraId="30E56025">
            <w:pPr>
              <w:pStyle w:val="17"/>
              <w:spacing w:line="400" w:lineRule="exact"/>
              <w:jc w:val="both"/>
              <w:rPr>
                <w:rFonts w:hint="default" w:ascii="宋体" w:hAnsi="宋体"/>
                <w:color w:val="000000"/>
                <w:szCs w:val="21"/>
                <w:highlight w:val="none"/>
                <w:u w:val="single"/>
                <w:lang w:val="en-US" w:eastAsia="zh-CN"/>
              </w:rPr>
            </w:pPr>
            <w:r>
              <w:rPr>
                <w:rFonts w:hint="eastAsia" w:ascii="宋体" w:hAnsi="宋体"/>
                <w:color w:val="000000"/>
                <w:szCs w:val="21"/>
                <w:highlight w:val="none"/>
                <w:u w:val="single"/>
                <w:lang w:val="en-US" w:eastAsia="zh-CN"/>
              </w:rPr>
              <w:t>（二）分包供应商资格要求</w:t>
            </w:r>
          </w:p>
          <w:p w14:paraId="6F8268D2">
            <w:pPr>
              <w:pStyle w:val="17"/>
              <w:spacing w:line="400" w:lineRule="exact"/>
              <w:jc w:val="both"/>
              <w:rPr>
                <w:rFonts w:hint="default" w:ascii="宋体" w:hAnsi="宋体"/>
                <w:color w:val="000000"/>
                <w:szCs w:val="21"/>
                <w:highlight w:val="none"/>
                <w:u w:val="single"/>
                <w:lang w:val="en-US" w:eastAsia="zh-CN"/>
              </w:rPr>
            </w:pPr>
            <w:r>
              <w:rPr>
                <w:rFonts w:hint="default" w:ascii="宋体" w:hAnsi="宋体"/>
                <w:color w:val="000000"/>
                <w:szCs w:val="21"/>
                <w:highlight w:val="none"/>
                <w:u w:val="single"/>
                <w:lang w:val="en-US" w:eastAsia="zh-CN"/>
              </w:rPr>
              <w:t>拟承接本项目施工分包任务的供应商，须同时满足以下条件：</w:t>
            </w:r>
            <w:r>
              <w:rPr>
                <w:rFonts w:hint="eastAsia" w:ascii="宋体" w:hAnsi="宋体"/>
                <w:color w:val="000000"/>
                <w:szCs w:val="21"/>
                <w:highlight w:val="none"/>
                <w:u w:val="single"/>
                <w:lang w:val="en-US" w:eastAsia="zh-CN"/>
              </w:rPr>
              <w:t>1.</w:t>
            </w:r>
            <w:r>
              <w:rPr>
                <w:rFonts w:hint="default" w:ascii="宋体" w:hAnsi="宋体"/>
                <w:color w:val="000000"/>
                <w:szCs w:val="21"/>
                <w:highlight w:val="none"/>
                <w:u w:val="single"/>
                <w:lang w:val="en-US" w:eastAsia="zh-CN"/>
              </w:rPr>
              <w:t>持有行政主管部门核发的有效施工资质证书；</w:t>
            </w:r>
            <w:r>
              <w:rPr>
                <w:rFonts w:hint="eastAsia" w:ascii="宋体" w:hAnsi="宋体"/>
                <w:color w:val="000000"/>
                <w:szCs w:val="21"/>
                <w:highlight w:val="none"/>
                <w:u w:val="single"/>
                <w:lang w:val="en-US" w:eastAsia="zh-CN"/>
              </w:rPr>
              <w:t>2.</w:t>
            </w:r>
            <w:r>
              <w:rPr>
                <w:rFonts w:hint="default" w:ascii="宋体" w:hAnsi="宋体"/>
                <w:color w:val="000000"/>
                <w:szCs w:val="21"/>
                <w:highlight w:val="none"/>
                <w:u w:val="single"/>
                <w:lang w:val="en-US" w:eastAsia="zh-CN"/>
              </w:rPr>
              <w:t>符合国家及地方有关工程建设管理的相关法规要求；</w:t>
            </w:r>
            <w:r>
              <w:rPr>
                <w:rFonts w:hint="eastAsia" w:ascii="宋体" w:hAnsi="宋体"/>
                <w:color w:val="000000"/>
                <w:szCs w:val="21"/>
                <w:highlight w:val="none"/>
                <w:u w:val="single"/>
                <w:lang w:val="en-US" w:eastAsia="zh-CN"/>
              </w:rPr>
              <w:t>3.</w:t>
            </w:r>
            <w:r>
              <w:rPr>
                <w:rFonts w:hint="default" w:ascii="宋体" w:hAnsi="宋体"/>
                <w:color w:val="000000"/>
                <w:szCs w:val="21"/>
                <w:highlight w:val="none"/>
                <w:u w:val="single"/>
                <w:lang w:val="en-US" w:eastAsia="zh-CN"/>
              </w:rPr>
              <w:t>具备承担本项目施工任务的履约能力。</w:t>
            </w:r>
          </w:p>
          <w:p w14:paraId="18DDF88D">
            <w:pPr>
              <w:pStyle w:val="17"/>
              <w:spacing w:line="400" w:lineRule="exact"/>
              <w:jc w:val="both"/>
              <w:rPr>
                <w:rFonts w:hint="default" w:ascii="宋体" w:hAnsi="宋体"/>
                <w:color w:val="000000"/>
                <w:szCs w:val="21"/>
                <w:highlight w:val="none"/>
                <w:u w:val="single"/>
                <w:lang w:val="en-US" w:eastAsia="zh-CN"/>
              </w:rPr>
            </w:pPr>
            <w:r>
              <w:rPr>
                <w:rFonts w:hint="default" w:ascii="宋体" w:hAnsi="宋体"/>
                <w:color w:val="000000"/>
                <w:szCs w:val="21"/>
                <w:highlight w:val="none"/>
                <w:u w:val="single"/>
                <w:lang w:val="en-US" w:eastAsia="zh-CN"/>
              </w:rPr>
              <w:t>（三）分包投标要求</w:t>
            </w:r>
          </w:p>
          <w:p w14:paraId="2CFF3503">
            <w:pPr>
              <w:pStyle w:val="17"/>
              <w:spacing w:line="400" w:lineRule="exact"/>
              <w:jc w:val="both"/>
              <w:rPr>
                <w:rFonts w:hint="default" w:ascii="宋体" w:hAnsi="宋体"/>
                <w:color w:val="000000"/>
                <w:szCs w:val="21"/>
                <w:highlight w:val="none"/>
                <w:u w:val="single"/>
                <w:lang w:val="en-US" w:eastAsia="zh-CN"/>
              </w:rPr>
            </w:pPr>
            <w:r>
              <w:rPr>
                <w:rFonts w:hint="default" w:ascii="宋体" w:hAnsi="宋体"/>
                <w:color w:val="000000"/>
                <w:szCs w:val="21"/>
                <w:highlight w:val="none"/>
                <w:u w:val="single"/>
                <w:lang w:val="en-US" w:eastAsia="zh-CN"/>
              </w:rPr>
              <w:t>投标人若计划在中标后将上述施工业务进行分包，必须在投标文件中提前载明：</w:t>
            </w:r>
          </w:p>
          <w:p w14:paraId="3B8FA8FC">
            <w:pPr>
              <w:pStyle w:val="17"/>
              <w:spacing w:line="400" w:lineRule="exact"/>
              <w:jc w:val="both"/>
              <w:rPr>
                <w:rFonts w:hint="default" w:ascii="宋体" w:hAnsi="宋体"/>
                <w:color w:val="000000"/>
                <w:szCs w:val="21"/>
                <w:highlight w:val="none"/>
                <w:u w:val="single"/>
                <w:lang w:val="en-US" w:eastAsia="zh-CN"/>
              </w:rPr>
            </w:pPr>
            <w:r>
              <w:rPr>
                <w:rFonts w:hint="eastAsia" w:ascii="宋体" w:hAnsi="宋体"/>
                <w:color w:val="000000"/>
                <w:szCs w:val="21"/>
                <w:highlight w:val="none"/>
                <w:u w:val="single"/>
                <w:lang w:val="en-US" w:eastAsia="zh-CN"/>
              </w:rPr>
              <w:t>1.</w:t>
            </w:r>
            <w:r>
              <w:rPr>
                <w:rFonts w:hint="default" w:ascii="宋体" w:hAnsi="宋体"/>
                <w:color w:val="000000"/>
                <w:szCs w:val="21"/>
                <w:highlight w:val="none"/>
                <w:u w:val="single"/>
                <w:lang w:val="en-US" w:eastAsia="zh-CN"/>
              </w:rPr>
              <w:t>拟分包的工作内容（明确为实训室文化及氛围建设或实训室基础改造建设）；</w:t>
            </w:r>
          </w:p>
          <w:p w14:paraId="0A1ADE8A">
            <w:pPr>
              <w:pStyle w:val="17"/>
              <w:spacing w:line="400" w:lineRule="exact"/>
              <w:jc w:val="both"/>
              <w:rPr>
                <w:rFonts w:hint="default" w:ascii="宋体" w:hAnsi="宋体"/>
                <w:color w:val="000000"/>
                <w:szCs w:val="21"/>
                <w:highlight w:val="none"/>
                <w:u w:val="single"/>
                <w:lang w:val="en-US" w:eastAsia="zh-CN"/>
              </w:rPr>
            </w:pPr>
            <w:r>
              <w:rPr>
                <w:rFonts w:hint="eastAsia" w:ascii="宋体" w:hAnsi="宋体"/>
                <w:color w:val="000000"/>
                <w:szCs w:val="21"/>
                <w:highlight w:val="none"/>
                <w:u w:val="single"/>
                <w:lang w:val="en-US" w:eastAsia="zh-CN"/>
              </w:rPr>
              <w:t>2.</w:t>
            </w:r>
            <w:r>
              <w:rPr>
                <w:rFonts w:hint="default" w:ascii="宋体" w:hAnsi="宋体"/>
                <w:color w:val="000000"/>
                <w:szCs w:val="21"/>
                <w:highlight w:val="none"/>
                <w:u w:val="single"/>
                <w:lang w:val="en-US" w:eastAsia="zh-CN"/>
              </w:rPr>
              <w:t>分包金额及占投标总价的比例；</w:t>
            </w:r>
            <w:r>
              <w:rPr>
                <w:rFonts w:hint="eastAsia" w:ascii="宋体" w:hAnsi="宋体"/>
                <w:color w:val="000000"/>
                <w:szCs w:val="21"/>
                <w:highlight w:val="none"/>
                <w:u w:val="single"/>
                <w:lang w:val="en-US" w:eastAsia="zh-CN"/>
              </w:rPr>
              <w:t>3.</w:t>
            </w:r>
            <w:r>
              <w:rPr>
                <w:rFonts w:hint="default" w:ascii="宋体" w:hAnsi="宋体"/>
                <w:color w:val="000000"/>
                <w:szCs w:val="21"/>
                <w:highlight w:val="none"/>
                <w:u w:val="single"/>
                <w:lang w:val="en-US" w:eastAsia="zh-CN"/>
              </w:rPr>
              <w:t>拟分包供应商的基本情况（含有效的施工资质证书复印件）。</w:t>
            </w:r>
            <w:r>
              <w:rPr>
                <w:rFonts w:hint="eastAsia" w:ascii="宋体" w:hAnsi="宋体"/>
                <w:color w:val="000000"/>
                <w:szCs w:val="21"/>
                <w:highlight w:val="none"/>
                <w:u w:val="single"/>
                <w:lang w:val="en-US" w:eastAsia="zh-CN"/>
              </w:rPr>
              <w:t>4.</w:t>
            </w:r>
            <w:r>
              <w:rPr>
                <w:rFonts w:hint="default" w:ascii="宋体" w:hAnsi="宋体"/>
                <w:color w:val="000000"/>
                <w:szCs w:val="21"/>
                <w:highlight w:val="none"/>
                <w:u w:val="single"/>
                <w:lang w:val="en-US" w:eastAsia="zh-CN"/>
              </w:rPr>
              <w:t>未在投标文件中载明上述分包安排的，视为中标后不得分包，中标人须自行具备相应施工资质完成相关工作。</w:t>
            </w:r>
          </w:p>
          <w:p w14:paraId="43C73313">
            <w:pPr>
              <w:pStyle w:val="17"/>
              <w:spacing w:line="400" w:lineRule="exact"/>
              <w:jc w:val="both"/>
              <w:rPr>
                <w:rFonts w:hint="default" w:ascii="宋体" w:hAnsi="宋体"/>
                <w:color w:val="000000"/>
                <w:szCs w:val="21"/>
                <w:highlight w:val="none"/>
                <w:u w:val="single"/>
                <w:lang w:val="en-US" w:eastAsia="zh-CN"/>
              </w:rPr>
            </w:pPr>
            <w:r>
              <w:rPr>
                <w:rFonts w:hint="default" w:ascii="宋体" w:hAnsi="宋体"/>
                <w:color w:val="000000"/>
                <w:szCs w:val="21"/>
                <w:highlight w:val="none"/>
                <w:u w:val="single"/>
                <w:lang w:val="en-US" w:eastAsia="zh-CN"/>
              </w:rPr>
              <w:t>（四）禁止转包与再分包</w:t>
            </w:r>
          </w:p>
          <w:p w14:paraId="4C72053C">
            <w:pPr>
              <w:pStyle w:val="17"/>
              <w:spacing w:line="400" w:lineRule="exact"/>
              <w:jc w:val="both"/>
              <w:rPr>
                <w:rFonts w:hint="default" w:ascii="宋体" w:hAnsi="宋体"/>
                <w:color w:val="000000"/>
                <w:szCs w:val="21"/>
                <w:highlight w:val="none"/>
                <w:u w:val="single"/>
                <w:lang w:val="en-US" w:eastAsia="zh-CN"/>
              </w:rPr>
            </w:pPr>
            <w:r>
              <w:rPr>
                <w:rFonts w:hint="default" w:ascii="宋体" w:hAnsi="宋体"/>
                <w:color w:val="000000"/>
                <w:szCs w:val="21"/>
                <w:highlight w:val="none"/>
                <w:u w:val="single"/>
                <w:lang w:val="en-US" w:eastAsia="zh-CN"/>
              </w:rPr>
              <w:t>承接分包的供应商不得将其承接的施工工作再次分包或转包给第三方。</w:t>
            </w:r>
          </w:p>
          <w:p w14:paraId="6994955B">
            <w:pPr>
              <w:pStyle w:val="17"/>
              <w:spacing w:line="400" w:lineRule="exact"/>
              <w:jc w:val="both"/>
              <w:rPr>
                <w:rFonts w:hint="default" w:ascii="宋体" w:hAnsi="宋体"/>
                <w:color w:val="000000"/>
                <w:szCs w:val="21"/>
                <w:highlight w:val="none"/>
                <w:u w:val="single"/>
                <w:lang w:val="en-US" w:eastAsia="zh-CN"/>
              </w:rPr>
            </w:pPr>
            <w:r>
              <w:rPr>
                <w:rFonts w:hint="default" w:ascii="宋体" w:hAnsi="宋体"/>
                <w:color w:val="000000"/>
                <w:szCs w:val="21"/>
                <w:highlight w:val="none"/>
                <w:u w:val="single"/>
                <w:lang w:val="en-US" w:eastAsia="zh-CN"/>
              </w:rPr>
              <w:t>（五）责任划分</w:t>
            </w:r>
          </w:p>
          <w:p w14:paraId="3F3B01C3">
            <w:pPr>
              <w:pStyle w:val="17"/>
              <w:spacing w:line="400" w:lineRule="exact"/>
              <w:jc w:val="both"/>
              <w:rPr>
                <w:rFonts w:hint="default" w:ascii="宋体" w:hAnsi="宋体"/>
                <w:color w:val="000000"/>
                <w:szCs w:val="21"/>
                <w:highlight w:val="none"/>
                <w:u w:val="single"/>
                <w:lang w:val="en-US" w:eastAsia="zh-CN"/>
              </w:rPr>
            </w:pPr>
            <w:r>
              <w:rPr>
                <w:rFonts w:hint="default" w:ascii="宋体" w:hAnsi="宋体"/>
                <w:color w:val="000000"/>
                <w:szCs w:val="21"/>
                <w:highlight w:val="none"/>
                <w:u w:val="single"/>
                <w:lang w:val="en-US" w:eastAsia="zh-CN"/>
              </w:rPr>
              <w:t>中标供应商就本项目分包部分向采购人承担全部责任。分包供应商就其承接的施工项目与中标供应商一并向采购人承担连带责任。若施工部分出现延期、质量不达标或劳务纠纷等履约问题，采购人有权向中标供应商或分包供应商追责。</w:t>
            </w:r>
          </w:p>
          <w:p w14:paraId="41B61B8D">
            <w:pPr>
              <w:pStyle w:val="137"/>
              <w:spacing w:before="161" w:line="302" w:lineRule="auto"/>
              <w:ind w:left="0" w:right="110" w:firstLine="0"/>
              <w:rPr>
                <w:rFonts w:hint="eastAsia" w:cs="Times New Roman"/>
                <w:color w:val="000000"/>
                <w:sz w:val="21"/>
                <w:szCs w:val="21"/>
                <w:highlight w:val="none"/>
                <w:u w:val="single"/>
                <w:lang w:eastAsia="zh-CN"/>
              </w:rPr>
            </w:pPr>
            <w:r>
              <w:rPr>
                <w:rFonts w:hint="eastAsia" w:cs="Times New Roman"/>
                <w:color w:val="000000"/>
                <w:spacing w:val="0"/>
                <w:sz w:val="21"/>
                <w:szCs w:val="21"/>
                <w:highlight w:val="none"/>
                <w:u w:val="single"/>
                <w:lang w:val="en-US" w:eastAsia="zh-CN"/>
              </w:rPr>
              <w:t>分标</w:t>
            </w:r>
            <w:r>
              <w:rPr>
                <w:rFonts w:hint="eastAsia" w:cs="Times New Roman"/>
                <w:color w:val="000000"/>
                <w:spacing w:val="0"/>
                <w:sz w:val="21"/>
                <w:szCs w:val="21"/>
                <w:highlight w:val="none"/>
                <w:u w:val="single"/>
                <w:lang w:eastAsia="zh-CN"/>
              </w:rPr>
              <w:t>3：</w:t>
            </w:r>
            <w:r>
              <w:rPr>
                <w:rFonts w:hint="eastAsia" w:ascii="宋体" w:hAnsi="宋体" w:eastAsia="宋体" w:cs="Times New Roman"/>
                <w:b w:val="0"/>
                <w:bCs w:val="0"/>
                <w:snapToGrid/>
                <w:color w:val="000000"/>
                <w:spacing w:val="0"/>
                <w:kern w:val="2"/>
                <w:sz w:val="21"/>
                <w:szCs w:val="21"/>
                <w:highlight w:val="none"/>
                <w:u w:val="single"/>
                <w:lang w:val="en-US" w:eastAsia="zh-CN" w:bidi="ar-SA"/>
              </w:rPr>
              <w:t>《数控多轴加工技术》《逆向工程与测量技术》</w:t>
            </w:r>
            <w:r>
              <w:rPr>
                <w:rFonts w:hint="eastAsia" w:eastAsia="宋体" w:cs="Times New Roman"/>
                <w:color w:val="000000"/>
                <w:spacing w:val="0"/>
                <w:sz w:val="21"/>
                <w:szCs w:val="21"/>
                <w:highlight w:val="none"/>
                <w:u w:val="single"/>
                <w:lang w:val="en-US" w:eastAsia="zh-CN"/>
              </w:rPr>
              <w:t>2</w:t>
            </w:r>
            <w:r>
              <w:rPr>
                <w:rFonts w:hint="eastAsia" w:cs="Times New Roman"/>
                <w:color w:val="000000"/>
                <w:spacing w:val="0"/>
                <w:sz w:val="21"/>
                <w:szCs w:val="21"/>
                <w:highlight w:val="none"/>
                <w:u w:val="single"/>
                <w:lang w:eastAsia="zh-CN"/>
              </w:rPr>
              <w:t xml:space="preserve"> 门数字教材出版。</w:t>
            </w:r>
          </w:p>
          <w:p w14:paraId="15031160">
            <w:pPr>
              <w:pStyle w:val="137"/>
              <w:spacing w:before="161" w:line="302" w:lineRule="auto"/>
              <w:ind w:left="0" w:right="110" w:firstLine="0"/>
              <w:rPr>
                <w:rFonts w:hint="eastAsia" w:cs="Times New Roman"/>
                <w:color w:val="000000"/>
                <w:sz w:val="21"/>
                <w:szCs w:val="21"/>
                <w:highlight w:val="none"/>
                <w:u w:val="single"/>
                <w:lang w:eastAsia="zh-CN"/>
              </w:rPr>
            </w:pPr>
            <w:r>
              <w:rPr>
                <w:rFonts w:hint="eastAsia" w:cs="Times New Roman"/>
                <w:color w:val="000000"/>
                <w:spacing w:val="0"/>
                <w:sz w:val="21"/>
                <w:szCs w:val="21"/>
                <w:highlight w:val="none"/>
                <w:u w:val="single"/>
                <w:lang w:val="en-US" w:eastAsia="zh-CN"/>
              </w:rPr>
              <w:t>分标4</w:t>
            </w:r>
            <w:r>
              <w:rPr>
                <w:rFonts w:hint="eastAsia" w:cs="Times New Roman"/>
                <w:color w:val="000000"/>
                <w:spacing w:val="0"/>
                <w:sz w:val="21"/>
                <w:szCs w:val="21"/>
                <w:highlight w:val="none"/>
                <w:u w:val="single"/>
                <w:lang w:eastAsia="zh-CN"/>
              </w:rPr>
              <w:t>：</w:t>
            </w:r>
            <w:r>
              <w:rPr>
                <w:rFonts w:hint="eastAsia" w:ascii="宋体" w:hAnsi="宋体" w:eastAsia="宋体" w:cs="Times New Roman"/>
                <w:bCs w:val="0"/>
                <w:snapToGrid/>
                <w:color w:val="000000"/>
                <w:sz w:val="21"/>
                <w:szCs w:val="21"/>
                <w:highlight w:val="none"/>
                <w:u w:val="single"/>
                <w:lang w:val="en-US" w:eastAsia="zh-CN"/>
              </w:rPr>
              <w:t>《电工电子技术》《工控网络及组态技术》2门纸质</w:t>
            </w:r>
            <w:r>
              <w:rPr>
                <w:rFonts w:hint="eastAsia" w:cs="Times New Roman"/>
                <w:color w:val="000000"/>
                <w:spacing w:val="0"/>
                <w:sz w:val="21"/>
                <w:szCs w:val="21"/>
                <w:highlight w:val="none"/>
                <w:u w:val="single"/>
                <w:lang w:eastAsia="zh-CN"/>
              </w:rPr>
              <w:t>教材出版。</w:t>
            </w:r>
          </w:p>
          <w:p w14:paraId="60B34A01">
            <w:pPr>
              <w:pStyle w:val="137"/>
              <w:spacing w:before="65" w:line="369" w:lineRule="auto"/>
              <w:ind w:left="0" w:right="146"/>
              <w:rPr>
                <w:rFonts w:hint="eastAsia" w:cs="Times New Roman"/>
                <w:color w:val="000000"/>
                <w:sz w:val="21"/>
                <w:szCs w:val="21"/>
                <w:highlight w:val="none"/>
                <w:u w:val="single"/>
                <w:lang w:eastAsia="zh-CN"/>
              </w:rPr>
            </w:pPr>
            <w:r>
              <w:rPr>
                <w:rFonts w:hint="eastAsia" w:cs="Times New Roman"/>
                <w:b w:val="0"/>
                <w:bCs w:val="0"/>
                <w:color w:val="000000"/>
                <w:spacing w:val="0"/>
                <w:sz w:val="21"/>
                <w:szCs w:val="21"/>
                <w:highlight w:val="none"/>
                <w:u w:val="single" w:color="auto"/>
                <w:lang w:eastAsia="zh-CN"/>
              </w:rPr>
              <w:t>分包工作要求：</w:t>
            </w:r>
            <w:r>
              <w:rPr>
                <w:rFonts w:hint="eastAsia" w:cs="Times New Roman"/>
                <w:color w:val="000000"/>
                <w:spacing w:val="0"/>
                <w:sz w:val="21"/>
                <w:szCs w:val="21"/>
                <w:highlight w:val="none"/>
                <w:u w:val="single" w:color="auto"/>
                <w:lang w:eastAsia="zh-CN"/>
              </w:rPr>
              <w:t>中标供应商可根据自身情况将本项目允许分包部分教材给具有国</w:t>
            </w:r>
            <w:r>
              <w:rPr>
                <w:rFonts w:hint="eastAsia" w:cs="Times New Roman"/>
                <w:color w:val="000000"/>
                <w:spacing w:val="0"/>
                <w:sz w:val="21"/>
                <w:szCs w:val="21"/>
                <w:highlight w:val="none"/>
                <w:u w:val="single"/>
                <w:lang w:eastAsia="zh-CN"/>
              </w:rPr>
              <w:t xml:space="preserve"> </w:t>
            </w:r>
            <w:r>
              <w:rPr>
                <w:rFonts w:hint="eastAsia" w:cs="Times New Roman"/>
                <w:color w:val="000000"/>
                <w:spacing w:val="0"/>
                <w:sz w:val="21"/>
                <w:szCs w:val="21"/>
                <w:highlight w:val="none"/>
                <w:u w:val="single" w:color="auto"/>
                <w:lang w:eastAsia="zh-CN"/>
              </w:rPr>
              <w:t>家法定图书出版资质的出版社负责出版，由有资质的出版社完成从选题报批、书</w:t>
            </w:r>
            <w:r>
              <w:rPr>
                <w:rFonts w:hint="eastAsia" w:cs="Times New Roman"/>
                <w:color w:val="000000"/>
                <w:sz w:val="21"/>
                <w:szCs w:val="21"/>
                <w:highlight w:val="none"/>
                <w:u w:val="single"/>
                <w:lang w:eastAsia="zh-CN"/>
              </w:rPr>
              <w:t xml:space="preserve"> </w:t>
            </w:r>
            <w:r>
              <w:rPr>
                <w:rFonts w:hint="eastAsia" w:cs="Times New Roman"/>
                <w:color w:val="000000"/>
                <w:spacing w:val="0"/>
                <w:sz w:val="21"/>
                <w:szCs w:val="21"/>
                <w:highlight w:val="none"/>
                <w:u w:val="single" w:color="auto"/>
                <w:lang w:eastAsia="zh-CN"/>
              </w:rPr>
              <w:t>号申请、三审三校、封面与版式设计、排版印刷到最终出版发行的全流程工作。</w:t>
            </w:r>
            <w:r>
              <w:rPr>
                <w:rFonts w:hint="eastAsia" w:cs="Times New Roman"/>
                <w:color w:val="000000"/>
                <w:sz w:val="21"/>
                <w:szCs w:val="21"/>
                <w:highlight w:val="none"/>
                <w:u w:val="single"/>
                <w:lang w:eastAsia="zh-CN"/>
              </w:rPr>
              <w:t xml:space="preserve"> </w:t>
            </w:r>
            <w:r>
              <w:rPr>
                <w:rFonts w:hint="eastAsia" w:cs="Times New Roman"/>
                <w:color w:val="000000"/>
                <w:spacing w:val="0"/>
                <w:sz w:val="21"/>
                <w:szCs w:val="21"/>
                <w:highlight w:val="none"/>
                <w:u w:val="single" w:color="auto"/>
                <w:lang w:eastAsia="zh-CN"/>
              </w:rPr>
              <w:t>该部分工作产生的所有费用均已包含在投标总报价中，采购人不再另行支付。</w:t>
            </w:r>
          </w:p>
          <w:p w14:paraId="6F8110AB">
            <w:pPr>
              <w:pStyle w:val="137"/>
              <w:spacing w:before="35" w:line="373" w:lineRule="auto"/>
              <w:ind w:left="0" w:right="37" w:firstLine="0"/>
              <w:rPr>
                <w:rFonts w:hint="eastAsia" w:cs="Times New Roman"/>
                <w:color w:val="000000"/>
                <w:sz w:val="21"/>
                <w:szCs w:val="21"/>
                <w:highlight w:val="none"/>
                <w:u w:val="single"/>
                <w:lang w:eastAsia="zh-CN"/>
              </w:rPr>
            </w:pPr>
            <w:r>
              <w:rPr>
                <w:rFonts w:hint="eastAsia" w:cs="Times New Roman"/>
                <w:b w:val="0"/>
                <w:bCs w:val="0"/>
                <w:color w:val="000000"/>
                <w:spacing w:val="0"/>
                <w:sz w:val="21"/>
                <w:szCs w:val="21"/>
                <w:highlight w:val="none"/>
                <w:u w:val="single" w:color="auto"/>
                <w:lang w:eastAsia="zh-CN"/>
              </w:rPr>
              <w:t>分包供应商资格要求：</w:t>
            </w:r>
            <w:r>
              <w:rPr>
                <w:rFonts w:hint="eastAsia" w:cs="Times New Roman"/>
                <w:color w:val="000000"/>
                <w:spacing w:val="0"/>
                <w:sz w:val="21"/>
                <w:szCs w:val="21"/>
                <w:highlight w:val="none"/>
                <w:u w:val="single" w:color="auto"/>
                <w:lang w:eastAsia="zh-CN"/>
              </w:rPr>
              <w:t>拟承接本项目图书出版分包任务的供应商（即出版社），</w:t>
            </w:r>
            <w:r>
              <w:rPr>
                <w:rFonts w:hint="eastAsia" w:cs="Times New Roman"/>
                <w:color w:val="000000"/>
                <w:sz w:val="21"/>
                <w:szCs w:val="21"/>
                <w:highlight w:val="none"/>
                <w:u w:val="single"/>
                <w:lang w:eastAsia="zh-CN"/>
              </w:rPr>
              <w:t xml:space="preserve">  </w:t>
            </w:r>
            <w:r>
              <w:rPr>
                <w:rFonts w:hint="eastAsia" w:cs="Times New Roman"/>
                <w:color w:val="000000"/>
                <w:spacing w:val="0"/>
                <w:sz w:val="21"/>
                <w:szCs w:val="21"/>
                <w:highlight w:val="none"/>
                <w:u w:val="single" w:color="auto"/>
                <w:lang w:eastAsia="zh-CN"/>
              </w:rPr>
              <w:t>必须具备行政主管部门核发的有效《出版许可证》（或同等效力的出版资质证明，符合《出版管理条例》要求），并具备承担本项目出版任务的履约能力。</w:t>
            </w:r>
            <w:r>
              <w:rPr>
                <w:rFonts w:hint="eastAsia" w:cs="Times New Roman"/>
                <w:color w:val="000000"/>
                <w:sz w:val="21"/>
                <w:szCs w:val="21"/>
                <w:highlight w:val="none"/>
                <w:u w:val="single"/>
                <w:lang w:eastAsia="zh-CN"/>
              </w:rPr>
              <w:t xml:space="preserve"> </w:t>
            </w:r>
            <w:r>
              <w:rPr>
                <w:rFonts w:hint="eastAsia" w:cs="Times New Roman"/>
                <w:b w:val="0"/>
                <w:bCs w:val="0"/>
                <w:color w:val="000000"/>
                <w:spacing w:val="0"/>
                <w:sz w:val="21"/>
                <w:szCs w:val="21"/>
                <w:highlight w:val="none"/>
                <w:u w:val="single" w:color="auto"/>
                <w:lang w:eastAsia="zh-CN"/>
              </w:rPr>
              <w:t>分包投标要求：</w:t>
            </w:r>
            <w:r>
              <w:rPr>
                <w:rFonts w:hint="eastAsia" w:cs="Times New Roman"/>
                <w:color w:val="000000"/>
                <w:spacing w:val="0"/>
                <w:sz w:val="21"/>
                <w:szCs w:val="21"/>
                <w:highlight w:val="none"/>
                <w:u w:val="single" w:color="auto"/>
                <w:lang w:eastAsia="zh-CN"/>
              </w:rPr>
              <w:t>投标人若计划在中标后将图书出版业务进行分包，必须在投标文件中提前载明拟分包的工作内容、分包金额占比以及拟分包供应商（出版社）的基本情况和资质证明文件。未在投标文件中载明分包安排的，视为中标后不得分</w:t>
            </w:r>
            <w:r>
              <w:rPr>
                <w:rFonts w:hint="eastAsia" w:cs="Times New Roman"/>
                <w:color w:val="000000"/>
                <w:sz w:val="21"/>
                <w:szCs w:val="21"/>
                <w:highlight w:val="none"/>
                <w:u w:val="single"/>
                <w:lang w:eastAsia="zh-CN"/>
              </w:rPr>
              <w:t xml:space="preserve">  </w:t>
            </w:r>
            <w:r>
              <w:rPr>
                <w:rFonts w:hint="eastAsia" w:cs="Times New Roman"/>
                <w:color w:val="000000"/>
                <w:spacing w:val="0"/>
                <w:sz w:val="21"/>
                <w:szCs w:val="21"/>
                <w:highlight w:val="none"/>
                <w:u w:val="single" w:color="auto"/>
                <w:lang w:eastAsia="zh-CN"/>
              </w:rPr>
              <w:t xml:space="preserve">包，中标人须自行具备相应出版资质完成相关工作。  </w:t>
            </w:r>
          </w:p>
          <w:p w14:paraId="7C2FAA0E">
            <w:pPr>
              <w:pStyle w:val="137"/>
              <w:spacing w:before="30" w:line="363" w:lineRule="auto"/>
              <w:ind w:left="0" w:right="148"/>
              <w:rPr>
                <w:rFonts w:hint="eastAsia" w:cs="Times New Roman"/>
                <w:color w:val="000000"/>
                <w:sz w:val="21"/>
                <w:szCs w:val="21"/>
                <w:highlight w:val="none"/>
                <w:u w:val="single"/>
                <w:lang w:eastAsia="zh-CN"/>
              </w:rPr>
            </w:pPr>
            <w:r>
              <w:rPr>
                <w:rFonts w:hint="eastAsia" w:cs="Times New Roman"/>
                <w:b w:val="0"/>
                <w:bCs w:val="0"/>
                <w:color w:val="000000"/>
                <w:spacing w:val="0"/>
                <w:sz w:val="21"/>
                <w:szCs w:val="21"/>
                <w:highlight w:val="none"/>
                <w:u w:val="single" w:color="auto"/>
                <w:lang w:eastAsia="zh-CN"/>
              </w:rPr>
              <w:t>禁止二次分包</w:t>
            </w:r>
            <w:r>
              <w:rPr>
                <w:rFonts w:hint="eastAsia" w:cs="Times New Roman"/>
                <w:color w:val="000000"/>
                <w:spacing w:val="0"/>
                <w:sz w:val="21"/>
                <w:szCs w:val="21"/>
                <w:highlight w:val="none"/>
                <w:u w:val="single" w:color="auto"/>
                <w:lang w:eastAsia="zh-CN"/>
              </w:rPr>
              <w:t>：接受分包的出版社不得将其承接的出版工作再次分包或转包给第</w:t>
            </w:r>
            <w:r>
              <w:rPr>
                <w:rFonts w:hint="eastAsia" w:cs="Times New Roman"/>
                <w:color w:val="000000"/>
                <w:spacing w:val="0"/>
                <w:sz w:val="21"/>
                <w:szCs w:val="21"/>
                <w:highlight w:val="none"/>
                <w:u w:val="single"/>
                <w:lang w:eastAsia="zh-CN"/>
              </w:rPr>
              <w:t xml:space="preserve"> </w:t>
            </w:r>
            <w:r>
              <w:rPr>
                <w:rFonts w:hint="eastAsia" w:cs="Times New Roman"/>
                <w:color w:val="000000"/>
                <w:spacing w:val="0"/>
                <w:sz w:val="21"/>
                <w:szCs w:val="21"/>
                <w:highlight w:val="none"/>
                <w:u w:val="single" w:color="auto"/>
                <w:lang w:eastAsia="zh-CN"/>
              </w:rPr>
              <w:t>三方。</w:t>
            </w:r>
          </w:p>
          <w:p w14:paraId="6F9C01E4">
            <w:pPr>
              <w:pStyle w:val="17"/>
              <w:spacing w:line="400" w:lineRule="exact"/>
              <w:jc w:val="both"/>
              <w:rPr>
                <w:rFonts w:hint="eastAsia" w:ascii="宋体" w:hAnsi="宋体"/>
                <w:color w:val="000000"/>
                <w:szCs w:val="21"/>
                <w:highlight w:val="none"/>
                <w:u w:val="single"/>
              </w:rPr>
            </w:pPr>
            <w:r>
              <w:rPr>
                <w:rFonts w:hint="eastAsia" w:ascii="宋体" w:hAnsi="宋体"/>
                <w:b w:val="0"/>
                <w:bCs w:val="0"/>
                <w:color w:val="000000"/>
                <w:spacing w:val="0"/>
                <w:szCs w:val="21"/>
                <w:highlight w:val="none"/>
                <w:u w:val="single" w:color="auto"/>
              </w:rPr>
              <w:t>履约责任划分：</w:t>
            </w:r>
            <w:r>
              <w:rPr>
                <w:rFonts w:hint="eastAsia" w:ascii="宋体" w:hAnsi="宋体"/>
                <w:color w:val="000000"/>
                <w:spacing w:val="0"/>
                <w:szCs w:val="21"/>
                <w:highlight w:val="none"/>
                <w:u w:val="single" w:color="auto"/>
              </w:rPr>
              <w:t>中标供应商应当就本项目分包部分内容向采购人承担全部责任。分包供应商（出版社）就其承接的图书出版分包项目与中标供应商向采购人承担</w:t>
            </w:r>
            <w:r>
              <w:rPr>
                <w:rFonts w:hint="eastAsia" w:ascii="宋体" w:hAnsi="宋体"/>
                <w:color w:val="000000"/>
                <w:szCs w:val="21"/>
                <w:highlight w:val="none"/>
                <w:u w:val="single"/>
              </w:rPr>
              <w:t xml:space="preserve"> </w:t>
            </w:r>
            <w:r>
              <w:rPr>
                <w:rFonts w:hint="eastAsia" w:ascii="宋体" w:hAnsi="宋体"/>
                <w:color w:val="000000"/>
                <w:spacing w:val="0"/>
                <w:szCs w:val="21"/>
                <w:highlight w:val="none"/>
                <w:u w:val="single" w:color="auto"/>
              </w:rPr>
              <w:t>连带责任。若图书出版部分出现延期、质量不达标或版权纠纷等履约问题，采购人有权直接向中标供应商或分包出版社追责。</w:t>
            </w:r>
          </w:p>
        </w:tc>
      </w:tr>
      <w:tr w14:paraId="29319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5590412E">
            <w:pPr>
              <w:spacing w:line="400" w:lineRule="exact"/>
              <w:jc w:val="center"/>
              <w:rPr>
                <w:rFonts w:ascii="宋体" w:hAnsi="宋体"/>
                <w:color w:val="000000"/>
                <w:szCs w:val="21"/>
                <w:highlight w:val="none"/>
              </w:rPr>
            </w:pPr>
            <w:r>
              <w:rPr>
                <w:rFonts w:hint="eastAsia" w:ascii="宋体" w:hAnsi="宋体"/>
                <w:color w:val="000000"/>
                <w:szCs w:val="21"/>
                <w:highlight w:val="none"/>
              </w:rPr>
              <w:t>8.1</w:t>
            </w:r>
          </w:p>
        </w:tc>
        <w:tc>
          <w:tcPr>
            <w:tcW w:w="7654" w:type="dxa"/>
            <w:tcBorders>
              <w:top w:val="single" w:color="auto" w:sz="4" w:space="0"/>
              <w:left w:val="single" w:color="auto" w:sz="4" w:space="0"/>
              <w:bottom w:val="single" w:color="auto" w:sz="4" w:space="0"/>
              <w:right w:val="single" w:color="auto" w:sz="4" w:space="0"/>
            </w:tcBorders>
            <w:vAlign w:val="center"/>
          </w:tcPr>
          <w:p w14:paraId="424FC29A">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采用综合评分法的采购项目，提供相同品牌产品（非单一产品采购项目的，指核心产品）的不同投标人评审得分相同时，按照下列方式确定一个投标人获得中标人推荐资格：</w:t>
            </w:r>
          </w:p>
          <w:p w14:paraId="542A9D91">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bdr w:val="single" w:color="auto" w:sz="4" w:space="0"/>
              </w:rPr>
              <w:t>√</w:t>
            </w:r>
            <w:r>
              <w:rPr>
                <w:rFonts w:hint="eastAsia" w:ascii="宋体" w:hAnsi="宋体"/>
                <w:color w:val="000000"/>
                <w:szCs w:val="21"/>
                <w:highlight w:val="none"/>
              </w:rPr>
              <w:t>依次按投标报价低的优先、政策分得分高的优先、技术评分高的优先、商务评分高的优先、保修期长优先、交货期短优先、故障响应时间短优先的顺序推荐；</w:t>
            </w:r>
          </w:p>
          <w:p w14:paraId="38A48B22">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□随机抽取；</w:t>
            </w:r>
          </w:p>
        </w:tc>
      </w:tr>
      <w:tr w14:paraId="4438F7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959" w:type="dxa"/>
            <w:vMerge w:val="restart"/>
            <w:tcBorders>
              <w:top w:val="single" w:color="auto" w:sz="4" w:space="0"/>
              <w:left w:val="single" w:color="auto" w:sz="4" w:space="0"/>
              <w:right w:val="single" w:color="auto" w:sz="4" w:space="0"/>
            </w:tcBorders>
            <w:vAlign w:val="center"/>
          </w:tcPr>
          <w:p w14:paraId="36560CEE">
            <w:pPr>
              <w:spacing w:line="400" w:lineRule="exact"/>
              <w:jc w:val="center"/>
              <w:rPr>
                <w:rFonts w:ascii="宋体" w:hAnsi="宋体"/>
                <w:color w:val="000000"/>
                <w:szCs w:val="21"/>
                <w:highlight w:val="none"/>
              </w:rPr>
            </w:pPr>
            <w:r>
              <w:rPr>
                <w:rFonts w:hint="eastAsia" w:ascii="宋体" w:hAnsi="宋体"/>
                <w:color w:val="000000"/>
                <w:szCs w:val="21"/>
                <w:highlight w:val="none"/>
              </w:rPr>
              <w:t>1</w:t>
            </w:r>
            <w:r>
              <w:rPr>
                <w:rFonts w:ascii="宋体" w:hAnsi="宋体"/>
                <w:color w:val="000000"/>
                <w:szCs w:val="21"/>
                <w:highlight w:val="none"/>
              </w:rPr>
              <w:t>1.2</w:t>
            </w:r>
          </w:p>
        </w:tc>
        <w:tc>
          <w:tcPr>
            <w:tcW w:w="7654" w:type="dxa"/>
            <w:tcBorders>
              <w:top w:val="single" w:color="auto" w:sz="4" w:space="0"/>
              <w:left w:val="single" w:color="auto" w:sz="4" w:space="0"/>
              <w:bottom w:val="single" w:color="auto" w:sz="4" w:space="0"/>
              <w:right w:val="single" w:color="auto" w:sz="4" w:space="0"/>
            </w:tcBorders>
            <w:vAlign w:val="center"/>
          </w:tcPr>
          <w:p w14:paraId="23070C1B">
            <w:pPr>
              <w:snapToGrid w:val="0"/>
              <w:spacing w:line="400" w:lineRule="exact"/>
              <w:rPr>
                <w:rFonts w:ascii="宋体" w:hAnsi="宋体"/>
                <w:color w:val="000000"/>
                <w:szCs w:val="21"/>
                <w:highlight w:val="none"/>
              </w:rPr>
            </w:pPr>
            <w:r>
              <w:rPr>
                <w:rFonts w:hint="eastAsia" w:ascii="宋体" w:hAnsi="宋体"/>
                <w:color w:val="000000"/>
                <w:szCs w:val="21"/>
                <w:highlight w:val="none"/>
              </w:rPr>
              <w:t>是否组织现场考察详见第二章《采购需求》中的《</w:t>
            </w:r>
            <w:r>
              <w:rPr>
                <w:rFonts w:hint="eastAsia" w:ascii="宋体" w:hAnsi="宋体" w:cs="宋体"/>
                <w:szCs w:val="21"/>
                <w:highlight w:val="none"/>
              </w:rPr>
              <w:t>涉及项目的其他要求及说明</w:t>
            </w:r>
            <w:r>
              <w:rPr>
                <w:rFonts w:hint="eastAsia" w:ascii="宋体" w:hAnsi="宋体"/>
                <w:color w:val="000000"/>
                <w:szCs w:val="21"/>
                <w:highlight w:val="none"/>
              </w:rPr>
              <w:t>》。</w:t>
            </w:r>
          </w:p>
        </w:tc>
      </w:tr>
      <w:tr w14:paraId="705E2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959" w:type="dxa"/>
            <w:vMerge w:val="continue"/>
            <w:tcBorders>
              <w:left w:val="single" w:color="auto" w:sz="4" w:space="0"/>
              <w:bottom w:val="single" w:color="auto" w:sz="4" w:space="0"/>
              <w:right w:val="single" w:color="auto" w:sz="4" w:space="0"/>
            </w:tcBorders>
            <w:vAlign w:val="center"/>
          </w:tcPr>
          <w:p w14:paraId="53A863B6">
            <w:pPr>
              <w:spacing w:line="400" w:lineRule="exact"/>
              <w:jc w:val="center"/>
              <w:rPr>
                <w:rFonts w:ascii="宋体" w:hAnsi="宋体"/>
                <w:color w:val="000000"/>
                <w:szCs w:val="21"/>
                <w:highlight w:val="none"/>
              </w:rPr>
            </w:pPr>
          </w:p>
        </w:tc>
        <w:tc>
          <w:tcPr>
            <w:tcW w:w="7654" w:type="dxa"/>
            <w:tcBorders>
              <w:top w:val="single" w:color="auto" w:sz="4" w:space="0"/>
              <w:left w:val="single" w:color="auto" w:sz="4" w:space="0"/>
              <w:bottom w:val="single" w:color="auto" w:sz="4" w:space="0"/>
              <w:right w:val="single" w:color="auto" w:sz="4" w:space="0"/>
            </w:tcBorders>
            <w:vAlign w:val="center"/>
          </w:tcPr>
          <w:p w14:paraId="76CFEF77">
            <w:pPr>
              <w:snapToGrid w:val="0"/>
              <w:spacing w:line="400" w:lineRule="exact"/>
              <w:rPr>
                <w:rFonts w:ascii="宋体" w:hAnsi="宋体"/>
                <w:color w:val="000000"/>
                <w:szCs w:val="21"/>
                <w:highlight w:val="none"/>
              </w:rPr>
            </w:pPr>
            <w:r>
              <w:rPr>
                <w:rFonts w:hint="eastAsia" w:ascii="宋体" w:hAnsi="宋体"/>
                <w:color w:val="000000"/>
                <w:szCs w:val="21"/>
                <w:highlight w:val="none"/>
                <w:bdr w:val="single" w:color="auto" w:sz="4" w:space="0"/>
              </w:rPr>
              <w:t>√</w:t>
            </w:r>
            <w:r>
              <w:rPr>
                <w:rFonts w:hint="eastAsia" w:ascii="宋体" w:hAnsi="宋体"/>
                <w:color w:val="000000"/>
                <w:szCs w:val="21"/>
                <w:highlight w:val="none"/>
              </w:rPr>
              <w:t>不组织召开开标前答疑会</w:t>
            </w:r>
          </w:p>
          <w:p w14:paraId="613D01C0">
            <w:pPr>
              <w:snapToGrid w:val="0"/>
              <w:spacing w:line="400" w:lineRule="exact"/>
              <w:rPr>
                <w:rFonts w:ascii="宋体" w:hAnsi="宋体"/>
                <w:color w:val="000000"/>
                <w:szCs w:val="21"/>
                <w:highlight w:val="none"/>
              </w:rPr>
            </w:pPr>
            <w:r>
              <w:rPr>
                <w:rFonts w:hint="eastAsia" w:ascii="宋体" w:hAnsi="宋体"/>
                <w:color w:val="000000"/>
                <w:szCs w:val="21"/>
                <w:highlight w:val="none"/>
              </w:rPr>
              <w:t>□组织召开开标前答疑会</w:t>
            </w:r>
          </w:p>
          <w:p w14:paraId="32135EDB">
            <w:pPr>
              <w:snapToGrid w:val="0"/>
              <w:spacing w:line="400" w:lineRule="exact"/>
              <w:rPr>
                <w:rFonts w:ascii="宋体" w:hAnsi="宋体"/>
                <w:color w:val="000000"/>
                <w:szCs w:val="21"/>
                <w:highlight w:val="none"/>
              </w:rPr>
            </w:pPr>
            <w:r>
              <w:rPr>
                <w:rFonts w:hint="eastAsia" w:ascii="宋体" w:hAnsi="宋体"/>
                <w:color w:val="000000"/>
                <w:szCs w:val="21"/>
                <w:highlight w:val="none"/>
              </w:rPr>
              <w:t>会议开始时间：</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日 </w:t>
            </w:r>
            <w:r>
              <w:rPr>
                <w:rFonts w:hint="eastAsia" w:ascii="宋体" w:hAnsi="宋体"/>
                <w:color w:val="000000"/>
                <w:szCs w:val="21"/>
                <w:highlight w:val="none"/>
                <w:u w:val="single"/>
              </w:rPr>
              <w:t xml:space="preserve">  </w:t>
            </w:r>
            <w:r>
              <w:rPr>
                <w:rFonts w:hint="eastAsia" w:ascii="宋体" w:hAnsi="宋体"/>
                <w:color w:val="000000"/>
                <w:szCs w:val="21"/>
                <w:highlight w:val="none"/>
              </w:rPr>
              <w:t>时</w:t>
            </w:r>
            <w:r>
              <w:rPr>
                <w:rFonts w:hint="eastAsia" w:ascii="宋体" w:hAnsi="宋体"/>
                <w:color w:val="000000"/>
                <w:szCs w:val="21"/>
                <w:highlight w:val="none"/>
                <w:u w:val="single"/>
              </w:rPr>
              <w:t xml:space="preserve">  分</w:t>
            </w:r>
            <w:r>
              <w:rPr>
                <w:rFonts w:hint="eastAsia" w:ascii="宋体" w:hAnsi="宋体"/>
                <w:color w:val="000000"/>
                <w:szCs w:val="21"/>
                <w:highlight w:val="none"/>
              </w:rPr>
              <w:t>，逾期后果自负。会议地点：</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p>
        </w:tc>
      </w:tr>
      <w:tr w14:paraId="456D9E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vMerge w:val="restart"/>
            <w:tcBorders>
              <w:top w:val="single" w:color="auto" w:sz="4" w:space="0"/>
              <w:left w:val="single" w:color="auto" w:sz="4" w:space="0"/>
              <w:right w:val="single" w:color="auto" w:sz="4" w:space="0"/>
            </w:tcBorders>
            <w:vAlign w:val="center"/>
          </w:tcPr>
          <w:p w14:paraId="44D09157">
            <w:pPr>
              <w:spacing w:line="400" w:lineRule="exact"/>
              <w:jc w:val="center"/>
              <w:rPr>
                <w:rFonts w:ascii="宋体" w:hAnsi="宋体"/>
                <w:color w:val="000000"/>
                <w:szCs w:val="21"/>
                <w:highlight w:val="none"/>
              </w:rPr>
            </w:pPr>
            <w:bookmarkStart w:id="66" w:name="_13.1"/>
            <w:bookmarkEnd w:id="66"/>
            <w:r>
              <w:rPr>
                <w:rFonts w:hint="eastAsia" w:ascii="宋体" w:hAnsi="宋体"/>
                <w:color w:val="000000"/>
                <w:szCs w:val="21"/>
                <w:highlight w:val="none"/>
              </w:rPr>
              <w:t>13</w:t>
            </w:r>
          </w:p>
        </w:tc>
        <w:tc>
          <w:tcPr>
            <w:tcW w:w="7654" w:type="dxa"/>
            <w:tcBorders>
              <w:top w:val="single" w:color="auto" w:sz="4" w:space="0"/>
              <w:left w:val="single" w:color="auto" w:sz="4" w:space="0"/>
              <w:bottom w:val="single" w:color="auto" w:sz="4" w:space="0"/>
              <w:right w:val="single" w:color="auto" w:sz="4" w:space="0"/>
            </w:tcBorders>
            <w:vAlign w:val="center"/>
          </w:tcPr>
          <w:p w14:paraId="1FC36990">
            <w:pPr>
              <w:snapToGrid w:val="0"/>
              <w:spacing w:line="400" w:lineRule="exact"/>
              <w:jc w:val="left"/>
              <w:rPr>
                <w:rFonts w:ascii="宋体" w:hAnsi="宋体" w:cs="Courier New"/>
                <w:b/>
                <w:color w:val="000000"/>
                <w:szCs w:val="21"/>
                <w:highlight w:val="none"/>
              </w:rPr>
            </w:pPr>
            <w:r>
              <w:rPr>
                <w:rFonts w:hint="eastAsia" w:ascii="宋体" w:hAnsi="宋体" w:cs="Courier New"/>
                <w:b/>
                <w:color w:val="000000"/>
                <w:szCs w:val="21"/>
                <w:highlight w:val="none"/>
              </w:rPr>
              <w:t>报价文件：</w:t>
            </w:r>
          </w:p>
          <w:p w14:paraId="18292184">
            <w:pPr>
              <w:tabs>
                <w:tab w:val="left" w:pos="34"/>
              </w:tabs>
              <w:snapToGrid w:val="0"/>
              <w:spacing w:line="400" w:lineRule="exact"/>
              <w:jc w:val="left"/>
              <w:rPr>
                <w:rFonts w:ascii="宋体" w:hAnsi="宋体"/>
                <w:color w:val="000000"/>
                <w:szCs w:val="21"/>
                <w:highlight w:val="none"/>
              </w:rPr>
            </w:pPr>
            <w:r>
              <w:rPr>
                <w:rFonts w:ascii="宋体" w:hAnsi="宋体"/>
                <w:color w:val="000000"/>
                <w:sz w:val="24"/>
                <w:highlight w:val="none"/>
              </w:rPr>
              <w:t>1.</w:t>
            </w:r>
            <w:r>
              <w:rPr>
                <w:rFonts w:hint="eastAsia" w:ascii="宋体" w:hAnsi="宋体"/>
                <w:color w:val="000000"/>
                <w:szCs w:val="21"/>
                <w:highlight w:val="none"/>
              </w:rPr>
              <w:t>投标函（格式后附）；</w:t>
            </w:r>
            <w:r>
              <w:rPr>
                <w:rFonts w:hint="eastAsia" w:ascii="宋体" w:hAnsi="宋体"/>
                <w:b/>
                <w:color w:val="000000"/>
                <w:szCs w:val="21"/>
                <w:highlight w:val="none"/>
              </w:rPr>
              <w:t>（必须提供，否则按无效投标处理）</w:t>
            </w:r>
          </w:p>
          <w:p w14:paraId="40155A9B">
            <w:pPr>
              <w:tabs>
                <w:tab w:val="left" w:pos="34"/>
              </w:tabs>
              <w:snapToGrid w:val="0"/>
              <w:spacing w:line="400" w:lineRule="exact"/>
              <w:jc w:val="left"/>
              <w:rPr>
                <w:rFonts w:ascii="宋体" w:hAnsi="宋体"/>
                <w:color w:val="000000"/>
                <w:szCs w:val="21"/>
                <w:highlight w:val="none"/>
              </w:rPr>
            </w:pPr>
            <w:bookmarkStart w:id="67" w:name="_Hlk71299233"/>
            <w:r>
              <w:rPr>
                <w:rFonts w:ascii="宋体" w:hAnsi="宋体"/>
                <w:color w:val="000000"/>
                <w:sz w:val="24"/>
                <w:highlight w:val="none"/>
              </w:rPr>
              <w:t>2.</w:t>
            </w:r>
            <w:r>
              <w:rPr>
                <w:rFonts w:hint="eastAsia" w:ascii="宋体" w:hAnsi="宋体"/>
                <w:color w:val="000000"/>
                <w:szCs w:val="21"/>
                <w:highlight w:val="none"/>
              </w:rPr>
              <w:t>开标一览表</w:t>
            </w:r>
            <w:bookmarkEnd w:id="67"/>
            <w:r>
              <w:rPr>
                <w:rFonts w:hint="eastAsia" w:ascii="宋体" w:hAnsi="宋体"/>
                <w:color w:val="000000"/>
                <w:szCs w:val="21"/>
                <w:highlight w:val="none"/>
              </w:rPr>
              <w:t>（格式后附）； （</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04413083">
            <w:pPr>
              <w:tabs>
                <w:tab w:val="left" w:pos="34"/>
              </w:tabs>
              <w:snapToGrid w:val="0"/>
              <w:spacing w:line="400" w:lineRule="exact"/>
              <w:jc w:val="left"/>
              <w:rPr>
                <w:rFonts w:ascii="宋体" w:hAnsi="宋体"/>
                <w:color w:val="000000"/>
                <w:szCs w:val="21"/>
                <w:highlight w:val="none"/>
              </w:rPr>
            </w:pPr>
            <w:r>
              <w:rPr>
                <w:rFonts w:ascii="宋体" w:hAnsi="宋体"/>
                <w:color w:val="000000"/>
                <w:sz w:val="24"/>
                <w:highlight w:val="none"/>
              </w:rPr>
              <w:t>3.</w:t>
            </w:r>
            <w:r>
              <w:rPr>
                <w:rFonts w:hint="eastAsia" w:ascii="宋体" w:hAnsi="宋体"/>
                <w:color w:val="000000"/>
                <w:szCs w:val="21"/>
                <w:highlight w:val="none"/>
              </w:rPr>
              <w:t>投标人针对报价需要说明的其他文件和说明（格式自拟）。</w:t>
            </w:r>
          </w:p>
          <w:p w14:paraId="68373EDF">
            <w:pPr>
              <w:tabs>
                <w:tab w:val="left" w:pos="34"/>
              </w:tabs>
              <w:snapToGrid w:val="0"/>
              <w:spacing w:line="400" w:lineRule="exact"/>
              <w:jc w:val="left"/>
              <w:rPr>
                <w:rFonts w:ascii="宋体" w:hAnsi="宋体"/>
                <w:color w:val="000000"/>
                <w:szCs w:val="21"/>
                <w:highlight w:val="none"/>
              </w:rPr>
            </w:pPr>
            <w:r>
              <w:rPr>
                <w:rFonts w:hint="eastAsia" w:ascii="宋体" w:hAnsi="宋体"/>
                <w:b/>
                <w:bCs/>
                <w:color w:val="000000"/>
                <w:szCs w:val="21"/>
                <w:highlight w:val="none"/>
              </w:rPr>
              <w:t>注：投标函、开标一览表必须由法定代表人（或负责人）或者委托代理人在规定签章处逐一签字或者电子签名并加盖投标人公章，否则按无效投标</w:t>
            </w:r>
            <w:r>
              <w:rPr>
                <w:rFonts w:hint="eastAsia" w:ascii="宋体" w:hAnsi="宋体" w:cs="Courier New"/>
                <w:b/>
                <w:color w:val="000000"/>
                <w:szCs w:val="21"/>
                <w:highlight w:val="none"/>
              </w:rPr>
              <w:t>处理</w:t>
            </w:r>
            <w:r>
              <w:rPr>
                <w:rFonts w:hint="eastAsia" w:ascii="宋体" w:hAnsi="宋体"/>
                <w:b/>
                <w:bCs/>
                <w:color w:val="000000"/>
                <w:szCs w:val="21"/>
                <w:highlight w:val="none"/>
              </w:rPr>
              <w:t>。</w:t>
            </w:r>
          </w:p>
        </w:tc>
      </w:tr>
      <w:tr w14:paraId="4FC49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vMerge w:val="continue"/>
            <w:tcBorders>
              <w:left w:val="single" w:color="auto" w:sz="4" w:space="0"/>
              <w:right w:val="single" w:color="auto" w:sz="4" w:space="0"/>
            </w:tcBorders>
            <w:vAlign w:val="center"/>
          </w:tcPr>
          <w:p w14:paraId="4CEF9814">
            <w:pPr>
              <w:spacing w:line="400" w:lineRule="exact"/>
              <w:rPr>
                <w:rFonts w:ascii="宋体" w:hAnsi="宋体"/>
                <w:color w:val="000000"/>
                <w:szCs w:val="21"/>
                <w:highlight w:val="none"/>
              </w:rPr>
            </w:pPr>
            <w:bookmarkStart w:id="68" w:name="_13.2"/>
            <w:bookmarkEnd w:id="68"/>
          </w:p>
        </w:tc>
        <w:tc>
          <w:tcPr>
            <w:tcW w:w="7654" w:type="dxa"/>
            <w:tcBorders>
              <w:top w:val="single" w:color="auto" w:sz="4" w:space="0"/>
              <w:left w:val="single" w:color="auto" w:sz="4" w:space="0"/>
              <w:bottom w:val="single" w:color="auto" w:sz="4" w:space="0"/>
              <w:right w:val="single" w:color="auto" w:sz="4" w:space="0"/>
            </w:tcBorders>
            <w:vAlign w:val="center"/>
          </w:tcPr>
          <w:p w14:paraId="70B19AB0">
            <w:pPr>
              <w:snapToGrid w:val="0"/>
              <w:spacing w:line="400" w:lineRule="exact"/>
              <w:jc w:val="left"/>
              <w:rPr>
                <w:rFonts w:ascii="宋体" w:hAnsi="宋体" w:cs="Courier New"/>
                <w:b/>
                <w:color w:val="000000"/>
                <w:szCs w:val="21"/>
                <w:highlight w:val="none"/>
              </w:rPr>
            </w:pPr>
            <w:r>
              <w:rPr>
                <w:rFonts w:hint="eastAsia" w:ascii="宋体" w:hAnsi="宋体" w:cs="Courier New"/>
                <w:b/>
                <w:color w:val="000000"/>
                <w:szCs w:val="21"/>
                <w:highlight w:val="none"/>
              </w:rPr>
              <w:t>资格证明文件</w:t>
            </w:r>
          </w:p>
          <w:p w14:paraId="60894DCE">
            <w:pPr>
              <w:snapToGrid w:val="0"/>
              <w:spacing w:line="400" w:lineRule="exact"/>
              <w:jc w:val="left"/>
              <w:rPr>
                <w:rFonts w:ascii="宋体" w:hAnsi="宋体" w:cs="Courier New"/>
                <w:b/>
                <w:color w:val="000000"/>
                <w:szCs w:val="21"/>
                <w:highlight w:val="none"/>
              </w:rPr>
            </w:pPr>
            <w:r>
              <w:rPr>
                <w:rFonts w:hint="eastAsia" w:ascii="宋体" w:hAnsi="宋体"/>
                <w:color w:val="000000"/>
                <w:szCs w:val="21"/>
                <w:highlight w:val="none"/>
              </w:rPr>
              <w:t>1.投标人为法人或者其他组织的，提供营业执照等证明文件</w:t>
            </w:r>
            <w:r>
              <w:rPr>
                <w:rFonts w:hint="eastAsia" w:ascii="宋体" w:hAnsi="宋体" w:cs="宋体"/>
                <w:color w:val="000000"/>
                <w:szCs w:val="21"/>
                <w:highlight w:val="none"/>
              </w:rPr>
              <w:t>（如营业执照或者事业单位法人证书或者</w:t>
            </w:r>
            <w:r>
              <w:rPr>
                <w:rStyle w:val="107"/>
                <w:sz w:val="21"/>
                <w:szCs w:val="21"/>
                <w:highlight w:val="none"/>
              </w:rPr>
              <w:t>执业许可证</w:t>
            </w:r>
            <w:r>
              <w:rPr>
                <w:rFonts w:hint="eastAsia" w:ascii="宋体" w:hAnsi="宋体" w:cs="宋体"/>
                <w:color w:val="000000"/>
                <w:szCs w:val="21"/>
                <w:highlight w:val="none"/>
              </w:rPr>
              <w:t>或者登记证书等）</w:t>
            </w:r>
            <w:r>
              <w:rPr>
                <w:rFonts w:hint="eastAsia" w:ascii="宋体" w:hAnsi="宋体"/>
                <w:color w:val="000000"/>
                <w:szCs w:val="21"/>
                <w:highlight w:val="none"/>
              </w:rPr>
              <w:t>，投标人为自然人的，提供身份证</w:t>
            </w:r>
            <w:r>
              <w:rPr>
                <w:rFonts w:hint="eastAsia" w:ascii="宋体" w:hAnsi="宋体" w:cs="宋体"/>
                <w:color w:val="000000"/>
                <w:szCs w:val="21"/>
                <w:highlight w:val="none"/>
              </w:rPr>
              <w:t>复印件</w:t>
            </w:r>
            <w:r>
              <w:rPr>
                <w:rFonts w:hint="eastAsia" w:ascii="宋体" w:hAnsi="宋体"/>
                <w:color w:val="000000"/>
                <w:szCs w:val="21"/>
                <w:highlight w:val="none"/>
              </w:rPr>
              <w:t>；（</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5F93DE72">
            <w:pPr>
              <w:snapToGrid w:val="0"/>
              <w:spacing w:line="400" w:lineRule="exact"/>
              <w:jc w:val="left"/>
              <w:rPr>
                <w:rFonts w:ascii="宋体" w:hAnsi="宋体" w:cs="Courier New"/>
                <w:b/>
                <w:color w:val="000000"/>
                <w:szCs w:val="21"/>
                <w:highlight w:val="none"/>
              </w:rPr>
            </w:pPr>
            <w:r>
              <w:rPr>
                <w:rFonts w:hint="eastAsia" w:ascii="宋体" w:hAnsi="宋体" w:cs="宋体"/>
                <w:color w:val="000000"/>
                <w:szCs w:val="21"/>
                <w:highlight w:val="none"/>
              </w:rPr>
              <w:t>2.投标人依法缴纳税收的相关材料（20</w:t>
            </w:r>
            <w:r>
              <w:rPr>
                <w:rFonts w:hint="eastAsia" w:ascii="宋体" w:hAnsi="宋体" w:cs="宋体"/>
                <w:color w:val="000000"/>
                <w:szCs w:val="21"/>
                <w:highlight w:val="none"/>
                <w:lang w:val="en-US" w:eastAsia="zh-CN"/>
              </w:rPr>
              <w:t>26</w:t>
            </w:r>
            <w:r>
              <w:rPr>
                <w:rFonts w:hint="eastAsia" w:ascii="宋体" w:hAnsi="宋体" w:cs="宋体"/>
                <w:color w:val="000000"/>
                <w:szCs w:val="21"/>
                <w:highlight w:val="none"/>
              </w:rPr>
              <w:t>年</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月至20</w:t>
            </w:r>
            <w:r>
              <w:rPr>
                <w:rFonts w:hint="eastAsia" w:ascii="宋体" w:hAnsi="宋体" w:cs="宋体"/>
                <w:color w:val="000000"/>
                <w:szCs w:val="21"/>
                <w:highlight w:val="none"/>
                <w:lang w:val="en-US" w:eastAsia="zh-CN"/>
              </w:rPr>
              <w:t>26</w:t>
            </w:r>
            <w:r>
              <w:rPr>
                <w:rFonts w:hint="eastAsia" w:ascii="宋体" w:hAnsi="宋体" w:cs="宋体"/>
                <w:color w:val="000000"/>
                <w:szCs w:val="21"/>
                <w:highlight w:val="none"/>
              </w:rPr>
              <w:t>年</w:t>
            </w: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月内任意</w:t>
            </w:r>
            <w:r>
              <w:rPr>
                <w:rFonts w:hint="eastAsia" w:ascii="宋体" w:hAnsi="宋体" w:cs="宋体"/>
                <w:color w:val="000000"/>
                <w:szCs w:val="21"/>
                <w:highlight w:val="none"/>
                <w:u w:val="single"/>
              </w:rPr>
              <w:t xml:space="preserve"> 1</w:t>
            </w:r>
            <w:r>
              <w:rPr>
                <w:rFonts w:hint="eastAsia" w:ascii="宋体" w:hAnsi="宋体" w:cs="宋体"/>
                <w:color w:val="000000"/>
                <w:szCs w:val="21"/>
                <w:highlight w:val="none"/>
              </w:rPr>
              <w:t>个月的依法缴纳税收的凭据复印件；</w:t>
            </w:r>
            <w:r>
              <w:rPr>
                <w:rFonts w:hint="eastAsia" w:ascii="宋体" w:hAnsi="宋体"/>
                <w:color w:val="000000"/>
                <w:szCs w:val="21"/>
                <w:highlight w:val="none"/>
              </w:rPr>
              <w:t>依法免税的供应商，必须提供相应文件证明其依法免税。</w:t>
            </w:r>
            <w:r>
              <w:rPr>
                <w:rFonts w:hint="eastAsia" w:ascii="宋体" w:hAnsi="宋体" w:cs="宋体"/>
                <w:color w:val="000000"/>
                <w:szCs w:val="21"/>
                <w:highlight w:val="none"/>
              </w:rPr>
              <w:t>从</w:t>
            </w:r>
            <w:r>
              <w:rPr>
                <w:rFonts w:hint="eastAsia" w:ascii="宋体" w:hAnsi="宋体"/>
                <w:color w:val="000000"/>
                <w:szCs w:val="21"/>
                <w:highlight w:val="none"/>
              </w:rPr>
              <w:t>成立之日</w:t>
            </w:r>
            <w:r>
              <w:rPr>
                <w:rFonts w:hint="eastAsia" w:ascii="宋体" w:hAnsi="宋体" w:cs="宋体"/>
                <w:color w:val="000000"/>
                <w:szCs w:val="21"/>
                <w:highlight w:val="none"/>
              </w:rPr>
              <w:t>起到投标文件提交截止时间止不足要求月数的，只需提供从</w:t>
            </w:r>
            <w:r>
              <w:rPr>
                <w:rFonts w:hint="eastAsia" w:ascii="宋体" w:hAnsi="宋体"/>
                <w:color w:val="000000"/>
                <w:szCs w:val="21"/>
                <w:highlight w:val="none"/>
              </w:rPr>
              <w:t>成立之日起</w:t>
            </w:r>
            <w:r>
              <w:rPr>
                <w:rFonts w:hint="eastAsia" w:ascii="宋体" w:hAnsi="宋体" w:cs="宋体"/>
                <w:color w:val="000000"/>
                <w:szCs w:val="21"/>
                <w:highlight w:val="none"/>
              </w:rPr>
              <w:t>的依法缴纳税收</w:t>
            </w:r>
            <w:r>
              <w:rPr>
                <w:rFonts w:hint="eastAsia" w:ascii="宋体" w:hAnsi="宋体"/>
                <w:color w:val="000000"/>
                <w:szCs w:val="21"/>
                <w:highlight w:val="none"/>
              </w:rPr>
              <w:t>相应证明文件</w:t>
            </w:r>
            <w:r>
              <w:rPr>
                <w:rFonts w:hint="eastAsia" w:ascii="宋体" w:hAnsi="宋体" w:cs="宋体"/>
                <w:color w:val="000000"/>
                <w:szCs w:val="21"/>
                <w:highlight w:val="none"/>
              </w:rPr>
              <w:t>）</w:t>
            </w:r>
            <w:r>
              <w:rPr>
                <w:rFonts w:hint="eastAsia" w:ascii="宋体" w:hAnsi="宋体"/>
                <w:color w:val="000000"/>
                <w:szCs w:val="21"/>
                <w:highlight w:val="none"/>
              </w:rPr>
              <w:t>；（</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01F47B01">
            <w:pPr>
              <w:snapToGrid w:val="0"/>
              <w:spacing w:line="400" w:lineRule="exact"/>
              <w:jc w:val="left"/>
              <w:rPr>
                <w:rFonts w:ascii="宋体" w:hAnsi="宋体" w:cs="Courier New"/>
                <w:b/>
                <w:color w:val="000000"/>
                <w:szCs w:val="21"/>
                <w:highlight w:val="none"/>
              </w:rPr>
            </w:pPr>
            <w:r>
              <w:rPr>
                <w:rFonts w:hint="eastAsia" w:ascii="宋体" w:hAnsi="宋体" w:cs="宋体"/>
                <w:color w:val="000000"/>
                <w:szCs w:val="21"/>
                <w:highlight w:val="none"/>
              </w:rPr>
              <w:t>3.投标人依法缴纳社会保障资金的相关材料[20</w:t>
            </w:r>
            <w:r>
              <w:rPr>
                <w:rFonts w:hint="eastAsia" w:ascii="宋体" w:hAnsi="宋体" w:cs="宋体"/>
                <w:color w:val="000000"/>
                <w:szCs w:val="21"/>
                <w:highlight w:val="none"/>
                <w:lang w:val="en-US" w:eastAsia="zh-CN"/>
              </w:rPr>
              <w:t>26</w:t>
            </w:r>
            <w:r>
              <w:rPr>
                <w:rFonts w:hint="eastAsia" w:ascii="宋体" w:hAnsi="宋体" w:cs="宋体"/>
                <w:color w:val="000000"/>
                <w:szCs w:val="21"/>
                <w:highlight w:val="none"/>
              </w:rPr>
              <w:t>年</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月至202</w:t>
            </w: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年</w:t>
            </w: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月内任意</w:t>
            </w:r>
            <w:r>
              <w:rPr>
                <w:rFonts w:hint="eastAsia" w:ascii="宋体" w:hAnsi="宋体" w:cs="宋体"/>
                <w:color w:val="000000"/>
                <w:szCs w:val="21"/>
                <w:highlight w:val="none"/>
                <w:u w:val="single"/>
              </w:rPr>
              <w:t>1</w:t>
            </w:r>
            <w:r>
              <w:rPr>
                <w:rFonts w:hint="eastAsia" w:ascii="宋体" w:hAnsi="宋体" w:cs="宋体"/>
                <w:color w:val="000000"/>
                <w:szCs w:val="21"/>
                <w:highlight w:val="none"/>
              </w:rPr>
              <w:t>个月的依法缴纳社会保障资金的缴费凭证（专用收据或者社会保险缴纳清单）复印件；</w:t>
            </w:r>
            <w:r>
              <w:rPr>
                <w:rFonts w:hint="eastAsia" w:ascii="宋体" w:hAnsi="宋体"/>
                <w:color w:val="000000"/>
                <w:szCs w:val="21"/>
                <w:highlight w:val="none"/>
              </w:rPr>
              <w:t>依法不需要缴纳社会保障资金的供应商，必须提供相应文件证明不需要缴纳社会保障资金。</w:t>
            </w:r>
            <w:r>
              <w:rPr>
                <w:rFonts w:hint="eastAsia" w:ascii="宋体" w:hAnsi="宋体" w:cs="宋体"/>
                <w:color w:val="000000"/>
                <w:szCs w:val="21"/>
                <w:highlight w:val="none"/>
              </w:rPr>
              <w:t>从</w:t>
            </w:r>
            <w:r>
              <w:rPr>
                <w:rFonts w:hint="eastAsia" w:ascii="宋体" w:hAnsi="宋体"/>
                <w:color w:val="000000"/>
                <w:szCs w:val="21"/>
                <w:highlight w:val="none"/>
              </w:rPr>
              <w:t>成立之日起</w:t>
            </w:r>
            <w:r>
              <w:rPr>
                <w:rFonts w:hint="eastAsia" w:ascii="宋体" w:hAnsi="宋体" w:cs="宋体"/>
                <w:color w:val="000000"/>
                <w:szCs w:val="21"/>
                <w:highlight w:val="none"/>
              </w:rPr>
              <w:t>到投标文件提交截止时间止不足要求月数的只需提供从</w:t>
            </w:r>
            <w:r>
              <w:rPr>
                <w:rFonts w:hint="eastAsia" w:ascii="宋体" w:hAnsi="宋体"/>
                <w:color w:val="000000"/>
                <w:szCs w:val="21"/>
                <w:highlight w:val="none"/>
              </w:rPr>
              <w:t>成立之日起</w:t>
            </w:r>
            <w:r>
              <w:rPr>
                <w:rFonts w:hint="eastAsia" w:ascii="宋体" w:hAnsi="宋体" w:cs="宋体"/>
                <w:color w:val="000000"/>
                <w:szCs w:val="21"/>
                <w:highlight w:val="none"/>
              </w:rPr>
              <w:t>的依法缴纳社会保障资金的</w:t>
            </w:r>
            <w:r>
              <w:rPr>
                <w:rFonts w:hint="eastAsia" w:ascii="宋体" w:hAnsi="宋体"/>
                <w:color w:val="000000"/>
                <w:szCs w:val="21"/>
                <w:highlight w:val="none"/>
              </w:rPr>
              <w:t>相应证明文件</w:t>
            </w:r>
            <w:r>
              <w:rPr>
                <w:rFonts w:hint="eastAsia" w:ascii="宋体" w:hAnsi="宋体" w:cs="宋体"/>
                <w:color w:val="000000"/>
                <w:szCs w:val="21"/>
                <w:highlight w:val="none"/>
              </w:rPr>
              <w:t>]</w:t>
            </w:r>
            <w:r>
              <w:rPr>
                <w:rFonts w:hint="eastAsia" w:ascii="宋体" w:hAnsi="宋体"/>
                <w:color w:val="000000"/>
                <w:szCs w:val="21"/>
                <w:highlight w:val="none"/>
              </w:rPr>
              <w:t>；（</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3286C0A0">
            <w:pPr>
              <w:snapToGrid w:val="0"/>
              <w:spacing w:line="400" w:lineRule="exact"/>
              <w:jc w:val="left"/>
              <w:rPr>
                <w:rFonts w:ascii="宋体" w:hAnsi="宋体" w:cs="Courier New"/>
                <w:b/>
                <w:color w:val="000000"/>
                <w:szCs w:val="21"/>
                <w:highlight w:val="none"/>
              </w:rPr>
            </w:pPr>
            <w:r>
              <w:rPr>
                <w:rFonts w:hint="eastAsia" w:ascii="宋体" w:hAnsi="宋体" w:cs="宋体"/>
                <w:color w:val="000000"/>
                <w:szCs w:val="21"/>
                <w:highlight w:val="none"/>
              </w:rPr>
              <w:t>4.</w:t>
            </w:r>
            <w:r>
              <w:rPr>
                <w:rFonts w:hint="eastAsia" w:ascii="宋体" w:hAnsi="宋体" w:cs="宋体"/>
                <w:color w:val="auto"/>
                <w:szCs w:val="21"/>
                <w:highlight w:val="none"/>
              </w:rPr>
              <w:t>投标人财务状况报告（</w:t>
            </w:r>
            <w:r>
              <w:rPr>
                <w:rFonts w:hint="eastAsia" w:ascii="宋体" w:hAnsi="宋体" w:cs="宋体"/>
                <w:color w:val="auto"/>
                <w:szCs w:val="21"/>
                <w:highlight w:val="none"/>
                <w:u w:val="single"/>
                <w:lang w:val="en-US" w:eastAsia="zh-CN"/>
              </w:rPr>
              <w:t>2025</w:t>
            </w:r>
            <w:r>
              <w:rPr>
                <w:rFonts w:hint="eastAsia" w:ascii="宋体" w:hAnsi="宋体" w:cs="宋体"/>
                <w:color w:val="auto"/>
                <w:szCs w:val="21"/>
                <w:highlight w:val="none"/>
              </w:rPr>
              <w:t>年度财务报表复印件，或者银行出具的资信证明，或者中国人民银行征信中心出具的信用报告（企业投标的提供企业信用报告，自然人投标的提供个人信用报告</w:t>
            </w:r>
            <w:r>
              <w:rPr>
                <w:rFonts w:hint="eastAsia" w:ascii="宋体" w:hAnsi="宋体" w:cs="宋体"/>
                <w:color w:val="auto"/>
                <w:highlight w:val="none"/>
              </w:rPr>
              <w:t>，投标人属于成立时间在规定年度之后的法人或其他组织，需提供成立之日起至投标截止时间前的月报表</w:t>
            </w:r>
            <w:r>
              <w:rPr>
                <w:rFonts w:hint="eastAsia" w:ascii="宋体" w:hAnsi="宋体" w:cs="宋体"/>
                <w:color w:val="auto"/>
                <w:szCs w:val="21"/>
                <w:highlight w:val="none"/>
              </w:rPr>
              <w:t>或银行出具的资信证明或者中国人民银行征信中心出具的企业信用报告；资信证明应在有效期内，未注明有效期的，银行出具时间至投标截止时间不超过一年）；（上述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32C6FF7">
            <w:pPr>
              <w:snapToGrid w:val="0"/>
              <w:spacing w:line="400" w:lineRule="exact"/>
              <w:jc w:val="left"/>
              <w:rPr>
                <w:rFonts w:ascii="宋体" w:hAnsi="宋体"/>
                <w:color w:val="000000"/>
                <w:szCs w:val="21"/>
                <w:highlight w:val="none"/>
              </w:rPr>
            </w:pPr>
            <w:r>
              <w:rPr>
                <w:rFonts w:hint="eastAsia" w:ascii="宋体" w:hAnsi="宋体"/>
                <w:color w:val="000000"/>
                <w:szCs w:val="21"/>
                <w:highlight w:val="none"/>
              </w:rPr>
              <w:t>5.投标人直接控股、管理关系信息表（格式后附）；（</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375223EA">
            <w:pPr>
              <w:snapToGrid w:val="0"/>
              <w:spacing w:line="400" w:lineRule="exact"/>
              <w:jc w:val="left"/>
              <w:rPr>
                <w:rFonts w:ascii="宋体" w:hAnsi="宋体" w:cs="Courier New"/>
                <w:b/>
                <w:color w:val="000000"/>
                <w:szCs w:val="21"/>
                <w:highlight w:val="none"/>
              </w:rPr>
            </w:pPr>
            <w:r>
              <w:rPr>
                <w:rFonts w:hint="eastAsia" w:ascii="宋体" w:hAnsi="宋体"/>
                <w:color w:val="000000"/>
                <w:szCs w:val="21"/>
                <w:highlight w:val="none"/>
              </w:rPr>
              <w:t>6.投标声明（格式后附）；（</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5CE304DE">
            <w:pPr>
              <w:snapToGrid w:val="0"/>
              <w:spacing w:line="400" w:lineRule="exact"/>
              <w:jc w:val="left"/>
              <w:rPr>
                <w:rFonts w:ascii="宋体" w:hAnsi="宋体" w:cs="Courier New"/>
                <w:b/>
                <w:color w:val="000000"/>
                <w:szCs w:val="21"/>
                <w:highlight w:val="none"/>
              </w:rPr>
            </w:pPr>
            <w:r>
              <w:rPr>
                <w:rFonts w:hint="eastAsia" w:ascii="宋体" w:hAnsi="宋体"/>
                <w:color w:val="000000"/>
                <w:szCs w:val="21"/>
                <w:highlight w:val="none"/>
              </w:rPr>
              <w:t>7.联合体协议书（格式后附）；（</w:t>
            </w:r>
            <w:r>
              <w:rPr>
                <w:rFonts w:hint="eastAsia" w:ascii="宋体" w:hAnsi="宋体"/>
                <w:b/>
                <w:color w:val="000000"/>
                <w:szCs w:val="21"/>
                <w:highlight w:val="none"/>
              </w:rPr>
              <w:t>联合体投标时必须提供，否则按无效投标处理</w:t>
            </w:r>
            <w:r>
              <w:rPr>
                <w:rFonts w:hint="eastAsia" w:ascii="宋体" w:hAnsi="宋体"/>
                <w:color w:val="000000"/>
                <w:szCs w:val="21"/>
                <w:highlight w:val="none"/>
              </w:rPr>
              <w:t>）</w:t>
            </w:r>
          </w:p>
          <w:p w14:paraId="333F5D77">
            <w:pPr>
              <w:snapToGrid w:val="0"/>
              <w:spacing w:line="400" w:lineRule="exact"/>
              <w:jc w:val="left"/>
              <w:rPr>
                <w:rFonts w:ascii="宋体" w:hAnsi="宋体" w:cs="Courier New"/>
                <w:b/>
                <w:color w:val="000000"/>
                <w:szCs w:val="21"/>
                <w:highlight w:val="none"/>
              </w:rPr>
            </w:pPr>
            <w:r>
              <w:rPr>
                <w:rFonts w:hint="eastAsia" w:ascii="宋体" w:hAnsi="宋体"/>
                <w:color w:val="000000"/>
                <w:szCs w:val="21"/>
                <w:highlight w:val="none"/>
              </w:rPr>
              <w:t>8.除招标文件规定必须提供以外，投标人认为需要提供的其他证明材料。</w:t>
            </w:r>
          </w:p>
          <w:p w14:paraId="7F34763B">
            <w:pPr>
              <w:tabs>
                <w:tab w:val="left" w:pos="0"/>
              </w:tabs>
              <w:snapToGrid w:val="0"/>
              <w:spacing w:line="400" w:lineRule="exact"/>
              <w:jc w:val="left"/>
              <w:rPr>
                <w:rFonts w:ascii="宋体" w:hAnsi="宋体" w:cs="Courier New"/>
                <w:b/>
                <w:color w:val="000000"/>
                <w:szCs w:val="21"/>
                <w:highlight w:val="none"/>
              </w:rPr>
            </w:pPr>
            <w:r>
              <w:rPr>
                <w:rFonts w:hint="eastAsia" w:ascii="宋体" w:hAnsi="宋体"/>
                <w:b/>
                <w:bCs/>
                <w:color w:val="000000"/>
                <w:szCs w:val="21"/>
                <w:highlight w:val="none"/>
              </w:rPr>
              <w:t>注：1.</w:t>
            </w:r>
            <w:r>
              <w:rPr>
                <w:rFonts w:hint="eastAsia" w:ascii="宋体" w:hAnsi="宋体"/>
                <w:color w:val="000000"/>
                <w:szCs w:val="21"/>
                <w:highlight w:val="none"/>
              </w:rPr>
              <w:t xml:space="preserve"> </w:t>
            </w:r>
            <w:r>
              <w:rPr>
                <w:rFonts w:hint="eastAsia" w:ascii="宋体" w:hAnsi="宋体"/>
                <w:b/>
                <w:bCs/>
                <w:color w:val="000000"/>
                <w:szCs w:val="21"/>
                <w:highlight w:val="none"/>
              </w:rPr>
              <w:t>以上标明“必须提供”的材料属于复印件的，必须加盖投标人公章，否则按无效投标</w:t>
            </w:r>
            <w:r>
              <w:rPr>
                <w:rFonts w:hint="eastAsia" w:ascii="宋体" w:hAnsi="宋体" w:cs="Courier New"/>
                <w:b/>
                <w:color w:val="000000"/>
                <w:szCs w:val="21"/>
                <w:highlight w:val="none"/>
              </w:rPr>
              <w:t>处理。</w:t>
            </w:r>
          </w:p>
          <w:p w14:paraId="54C76028">
            <w:pPr>
              <w:tabs>
                <w:tab w:val="left" w:pos="0"/>
              </w:tabs>
              <w:snapToGrid w:val="0"/>
              <w:spacing w:line="400" w:lineRule="exact"/>
              <w:ind w:firstLine="422" w:firstLineChars="200"/>
              <w:jc w:val="left"/>
              <w:rPr>
                <w:rFonts w:ascii="宋体" w:hAnsi="宋体"/>
                <w:b/>
                <w:bCs/>
                <w:color w:val="000000"/>
                <w:szCs w:val="21"/>
                <w:highlight w:val="none"/>
              </w:rPr>
            </w:pPr>
            <w:r>
              <w:rPr>
                <w:rFonts w:hint="eastAsia" w:ascii="宋体" w:hAnsi="宋体" w:cs="Courier New"/>
                <w:b/>
                <w:color w:val="000000"/>
                <w:szCs w:val="21"/>
                <w:highlight w:val="none"/>
              </w:rPr>
              <w:t>2.</w:t>
            </w:r>
            <w:r>
              <w:rPr>
                <w:rFonts w:hint="eastAsia" w:ascii="宋体" w:hAnsi="宋体"/>
                <w:b/>
                <w:bCs/>
                <w:color w:val="000000"/>
                <w:szCs w:val="21"/>
                <w:highlight w:val="none"/>
              </w:rPr>
              <w:t>投标声明必须由法定代表人（或负责人）在规定签章处签字或者电子签名并加盖投标人公章，否则按无效投标处理。</w:t>
            </w:r>
          </w:p>
          <w:p w14:paraId="48D73839">
            <w:pPr>
              <w:tabs>
                <w:tab w:val="left" w:pos="0"/>
              </w:tabs>
              <w:snapToGrid w:val="0"/>
              <w:spacing w:line="400" w:lineRule="exact"/>
              <w:ind w:firstLine="422" w:firstLineChars="200"/>
              <w:jc w:val="left"/>
              <w:rPr>
                <w:rFonts w:ascii="宋体" w:hAnsi="宋体"/>
                <w:b/>
                <w:bCs/>
                <w:color w:val="000000"/>
                <w:szCs w:val="21"/>
                <w:highlight w:val="none"/>
              </w:rPr>
            </w:pPr>
            <w:r>
              <w:rPr>
                <w:rFonts w:hint="eastAsia" w:ascii="宋体" w:hAnsi="宋体"/>
                <w:b/>
                <w:bCs/>
                <w:color w:val="000000"/>
                <w:szCs w:val="21"/>
                <w:highlight w:val="none"/>
              </w:rPr>
              <w:t>3.投标人直接控股、管理关系信息表必须由法定代表人（或负责人）或者委托代理人在规定签章处签字或者电子签名并加盖投标人公章，否则按无效投标</w:t>
            </w:r>
            <w:r>
              <w:rPr>
                <w:rFonts w:hint="eastAsia" w:ascii="宋体" w:hAnsi="宋体" w:cs="Courier New"/>
                <w:b/>
                <w:color w:val="000000"/>
                <w:szCs w:val="21"/>
                <w:highlight w:val="none"/>
              </w:rPr>
              <w:t>处理</w:t>
            </w:r>
            <w:r>
              <w:rPr>
                <w:rFonts w:hint="eastAsia" w:ascii="宋体" w:hAnsi="宋体"/>
                <w:b/>
                <w:bCs/>
                <w:color w:val="000000"/>
                <w:szCs w:val="21"/>
                <w:highlight w:val="none"/>
              </w:rPr>
              <w:t>。</w:t>
            </w:r>
          </w:p>
          <w:p w14:paraId="5FBF515F">
            <w:pPr>
              <w:tabs>
                <w:tab w:val="left" w:pos="0"/>
              </w:tabs>
              <w:snapToGrid w:val="0"/>
              <w:spacing w:line="400" w:lineRule="exact"/>
              <w:ind w:firstLine="422" w:firstLineChars="200"/>
              <w:jc w:val="left"/>
              <w:rPr>
                <w:rFonts w:ascii="宋体" w:hAnsi="宋体"/>
                <w:b/>
                <w:bCs/>
                <w:color w:val="000000"/>
                <w:szCs w:val="21"/>
                <w:highlight w:val="none"/>
              </w:rPr>
            </w:pPr>
            <w:r>
              <w:rPr>
                <w:rFonts w:hint="eastAsia" w:ascii="宋体" w:hAnsi="宋体"/>
                <w:b/>
                <w:bCs/>
                <w:color w:val="000000"/>
                <w:szCs w:val="21"/>
                <w:highlight w:val="none"/>
              </w:rPr>
              <w:t>4.联合体投标时，第1-5项资格证明文件联合体各方均必须分别提供，联合体各方分别盖章和签字（或者电子签名），否则按无效投标</w:t>
            </w:r>
            <w:r>
              <w:rPr>
                <w:rFonts w:hint="eastAsia" w:ascii="宋体" w:hAnsi="宋体" w:cs="Courier New"/>
                <w:b/>
                <w:color w:val="000000"/>
                <w:szCs w:val="21"/>
                <w:highlight w:val="none"/>
              </w:rPr>
              <w:t>处理</w:t>
            </w:r>
            <w:r>
              <w:rPr>
                <w:rFonts w:hint="eastAsia" w:ascii="宋体" w:hAnsi="宋体"/>
                <w:b/>
                <w:bCs/>
                <w:color w:val="000000"/>
                <w:szCs w:val="21"/>
                <w:highlight w:val="none"/>
              </w:rPr>
              <w:t>。</w:t>
            </w:r>
          </w:p>
          <w:p w14:paraId="52DF6A45">
            <w:pPr>
              <w:tabs>
                <w:tab w:val="left" w:pos="0"/>
              </w:tabs>
              <w:snapToGrid w:val="0"/>
              <w:spacing w:line="400" w:lineRule="exact"/>
              <w:ind w:firstLine="422" w:firstLineChars="200"/>
              <w:jc w:val="left"/>
              <w:rPr>
                <w:rFonts w:ascii="宋体" w:hAnsi="宋体"/>
                <w:b/>
                <w:bCs/>
                <w:color w:val="000000"/>
                <w:szCs w:val="21"/>
                <w:highlight w:val="none"/>
              </w:rPr>
            </w:pPr>
            <w:r>
              <w:rPr>
                <w:rFonts w:hint="eastAsia" w:ascii="宋体" w:hAnsi="宋体"/>
                <w:b/>
                <w:bCs/>
                <w:color w:val="000000"/>
                <w:szCs w:val="21"/>
                <w:highlight w:val="none"/>
              </w:rPr>
              <w:t>5.分公司参加投标的，应当取得总公司授权。</w:t>
            </w:r>
          </w:p>
        </w:tc>
      </w:tr>
      <w:tr w14:paraId="20CA53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vMerge w:val="continue"/>
            <w:tcBorders>
              <w:left w:val="single" w:color="auto" w:sz="4" w:space="0"/>
              <w:right w:val="single" w:color="auto" w:sz="4" w:space="0"/>
            </w:tcBorders>
            <w:vAlign w:val="center"/>
          </w:tcPr>
          <w:p w14:paraId="48308686">
            <w:pPr>
              <w:spacing w:line="400" w:lineRule="exact"/>
              <w:rPr>
                <w:rFonts w:ascii="宋体" w:hAnsi="宋体"/>
                <w:color w:val="000000"/>
                <w:szCs w:val="21"/>
                <w:highlight w:val="none"/>
              </w:rPr>
            </w:pPr>
            <w:bookmarkStart w:id="69" w:name="_13.3"/>
            <w:bookmarkEnd w:id="69"/>
          </w:p>
        </w:tc>
        <w:tc>
          <w:tcPr>
            <w:tcW w:w="7654" w:type="dxa"/>
            <w:tcBorders>
              <w:top w:val="single" w:color="auto" w:sz="4" w:space="0"/>
              <w:left w:val="single" w:color="auto" w:sz="4" w:space="0"/>
              <w:bottom w:val="single" w:color="auto" w:sz="4" w:space="0"/>
              <w:right w:val="single" w:color="auto" w:sz="4" w:space="0"/>
            </w:tcBorders>
            <w:vAlign w:val="center"/>
          </w:tcPr>
          <w:p w14:paraId="2A64D3E0">
            <w:pPr>
              <w:snapToGrid w:val="0"/>
              <w:spacing w:line="400" w:lineRule="exact"/>
              <w:jc w:val="left"/>
              <w:rPr>
                <w:rFonts w:ascii="宋体" w:hAnsi="宋体" w:cs="Courier New"/>
                <w:b/>
                <w:color w:val="000000"/>
                <w:szCs w:val="21"/>
                <w:highlight w:val="none"/>
              </w:rPr>
            </w:pPr>
            <w:r>
              <w:rPr>
                <w:rFonts w:hint="eastAsia" w:ascii="宋体" w:hAnsi="宋体" w:cs="Courier New"/>
                <w:b/>
                <w:color w:val="000000"/>
                <w:szCs w:val="21"/>
                <w:highlight w:val="none"/>
              </w:rPr>
              <w:t>商务文件：</w:t>
            </w:r>
          </w:p>
          <w:p w14:paraId="0A6F2D16">
            <w:pPr>
              <w:snapToGrid w:val="0"/>
              <w:spacing w:line="400" w:lineRule="exact"/>
              <w:jc w:val="left"/>
              <w:rPr>
                <w:rFonts w:ascii="宋体" w:hAnsi="宋体"/>
                <w:color w:val="000000"/>
                <w:szCs w:val="21"/>
                <w:highlight w:val="none"/>
              </w:rPr>
            </w:pPr>
            <w:r>
              <w:rPr>
                <w:rFonts w:hint="eastAsia" w:ascii="宋体" w:hAnsi="宋体"/>
                <w:color w:val="000000"/>
                <w:szCs w:val="21"/>
                <w:highlight w:val="none"/>
              </w:rPr>
              <w:t>1.无串通投标行为的承诺函（格式后附）；（</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66E6A3C7">
            <w:pPr>
              <w:pStyle w:val="59"/>
              <w:spacing w:line="400" w:lineRule="exact"/>
              <w:rPr>
                <w:rFonts w:ascii="宋体" w:hAnsi="宋体" w:cs="Times New Roman"/>
                <w:kern w:val="2"/>
                <w:sz w:val="21"/>
                <w:szCs w:val="21"/>
                <w:highlight w:val="none"/>
              </w:rPr>
            </w:pPr>
            <w:r>
              <w:rPr>
                <w:rFonts w:hint="eastAsia" w:ascii="宋体" w:hAnsi="宋体" w:cs="Times New Roman"/>
                <w:kern w:val="2"/>
                <w:sz w:val="21"/>
                <w:szCs w:val="21"/>
                <w:highlight w:val="none"/>
              </w:rPr>
              <w:t>2.投标保证金提交凭证；</w:t>
            </w:r>
            <w:r>
              <w:rPr>
                <w:rFonts w:hint="eastAsia" w:ascii="宋体" w:hAnsi="宋体" w:cs="Times New Roman"/>
                <w:b/>
                <w:bCs/>
                <w:kern w:val="2"/>
                <w:sz w:val="21"/>
                <w:szCs w:val="21"/>
                <w:highlight w:val="none"/>
              </w:rPr>
              <w:t>（必须提供，否则按无效投标处理）</w:t>
            </w:r>
          </w:p>
          <w:p w14:paraId="3FDED9F7">
            <w:pPr>
              <w:snapToGrid w:val="0"/>
              <w:spacing w:line="400" w:lineRule="exact"/>
              <w:ind w:left="34"/>
              <w:jc w:val="left"/>
              <w:rPr>
                <w:rFonts w:ascii="宋体" w:hAnsi="宋体"/>
                <w:color w:val="000000"/>
                <w:szCs w:val="21"/>
                <w:highlight w:val="none"/>
              </w:rPr>
            </w:pPr>
            <w:r>
              <w:rPr>
                <w:rFonts w:hint="eastAsia" w:ascii="宋体" w:hAnsi="宋体"/>
                <w:color w:val="000000"/>
                <w:szCs w:val="21"/>
                <w:highlight w:val="none"/>
              </w:rPr>
              <w:t>3.法定代表人（或负责人）身份证明及法定代表人（或负责人）有效身份证正反面复印件（格式后附）；</w:t>
            </w:r>
            <w:r>
              <w:rPr>
                <w:rFonts w:hint="eastAsia" w:ascii="宋体" w:hAnsi="宋体"/>
                <w:b/>
                <w:bCs/>
                <w:color w:val="000000"/>
                <w:szCs w:val="21"/>
                <w:highlight w:val="none"/>
              </w:rPr>
              <w:t>（除自然人投标外必须提供，否则按无效投标处理）</w:t>
            </w:r>
          </w:p>
          <w:p w14:paraId="29C41D88">
            <w:pPr>
              <w:snapToGrid w:val="0"/>
              <w:spacing w:line="400" w:lineRule="exact"/>
              <w:ind w:left="34"/>
              <w:jc w:val="left"/>
              <w:rPr>
                <w:rFonts w:ascii="宋体" w:hAnsi="宋体"/>
                <w:color w:val="000000"/>
                <w:szCs w:val="21"/>
                <w:highlight w:val="none"/>
              </w:rPr>
            </w:pPr>
            <w:r>
              <w:rPr>
                <w:rFonts w:hint="eastAsia" w:ascii="宋体" w:hAnsi="宋体"/>
                <w:color w:val="000000"/>
                <w:szCs w:val="21"/>
                <w:highlight w:val="none"/>
              </w:rPr>
              <w:t>4.授权委托书及委托代理人有效身份证正反面复印件（格式后附）；（</w:t>
            </w:r>
            <w:r>
              <w:rPr>
                <w:rFonts w:hint="eastAsia" w:ascii="宋体" w:hAnsi="宋体"/>
                <w:b/>
                <w:color w:val="000000"/>
                <w:szCs w:val="21"/>
                <w:highlight w:val="none"/>
              </w:rPr>
              <w:t>委托时必须提供，否则按无效投标处理</w:t>
            </w:r>
            <w:r>
              <w:rPr>
                <w:rFonts w:hint="eastAsia" w:ascii="宋体" w:hAnsi="宋体"/>
                <w:color w:val="000000"/>
                <w:szCs w:val="21"/>
                <w:highlight w:val="none"/>
              </w:rPr>
              <w:t>）</w:t>
            </w:r>
          </w:p>
          <w:p w14:paraId="6583E6EF">
            <w:pPr>
              <w:snapToGrid w:val="0"/>
              <w:spacing w:line="400" w:lineRule="exact"/>
              <w:ind w:left="34"/>
              <w:jc w:val="left"/>
              <w:rPr>
                <w:highlight w:val="none"/>
              </w:rPr>
            </w:pPr>
            <w:r>
              <w:rPr>
                <w:rFonts w:hint="eastAsia" w:ascii="宋体" w:hAnsi="宋体"/>
                <w:color w:val="000000"/>
                <w:szCs w:val="21"/>
                <w:highlight w:val="none"/>
              </w:rPr>
              <w:t>5</w:t>
            </w:r>
            <w:r>
              <w:rPr>
                <w:rFonts w:ascii="宋体" w:hAnsi="宋体"/>
                <w:color w:val="000000"/>
                <w:szCs w:val="21"/>
                <w:highlight w:val="none"/>
              </w:rPr>
              <w:t>.</w:t>
            </w:r>
            <w:r>
              <w:rPr>
                <w:rFonts w:hint="eastAsia" w:ascii="宋体" w:hAnsi="宋体"/>
                <w:color w:val="000000"/>
                <w:szCs w:val="21"/>
                <w:highlight w:val="none"/>
              </w:rPr>
              <w:t>商务要求偏离表（格式后附）；（</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6A191CE8">
            <w:pPr>
              <w:snapToGrid w:val="0"/>
              <w:spacing w:line="400" w:lineRule="exact"/>
              <w:ind w:left="34"/>
              <w:jc w:val="left"/>
              <w:rPr>
                <w:rFonts w:ascii="宋体" w:hAnsi="宋体"/>
                <w:color w:val="000000"/>
                <w:szCs w:val="21"/>
                <w:highlight w:val="none"/>
              </w:rPr>
            </w:pPr>
            <w:r>
              <w:rPr>
                <w:rFonts w:hint="eastAsia" w:ascii="宋体" w:hAnsi="宋体"/>
                <w:color w:val="000000"/>
                <w:szCs w:val="21"/>
                <w:highlight w:val="none"/>
              </w:rPr>
              <w:t>6.投标人情况介绍（格式自拟）；</w:t>
            </w:r>
          </w:p>
          <w:p w14:paraId="1DD5CCBA">
            <w:pPr>
              <w:snapToGrid w:val="0"/>
              <w:spacing w:line="400" w:lineRule="exact"/>
              <w:ind w:left="34"/>
              <w:jc w:val="left"/>
              <w:rPr>
                <w:rFonts w:ascii="宋体" w:hAnsi="宋体"/>
                <w:color w:val="000000"/>
                <w:szCs w:val="21"/>
                <w:highlight w:val="none"/>
              </w:rPr>
            </w:pPr>
            <w:r>
              <w:rPr>
                <w:rFonts w:hint="eastAsia" w:ascii="宋体" w:hAnsi="宋体"/>
                <w:color w:val="000000"/>
                <w:szCs w:val="21"/>
                <w:highlight w:val="none"/>
              </w:rPr>
              <w:t>7.联合体协议书（格式后附）；（</w:t>
            </w:r>
            <w:r>
              <w:rPr>
                <w:rFonts w:hint="eastAsia" w:ascii="宋体" w:hAnsi="宋体"/>
                <w:b/>
                <w:color w:val="000000"/>
                <w:szCs w:val="21"/>
                <w:highlight w:val="none"/>
              </w:rPr>
              <w:t>联合体投标时必须提供，否则按无效投标处理</w:t>
            </w:r>
            <w:r>
              <w:rPr>
                <w:rFonts w:hint="eastAsia" w:ascii="宋体" w:hAnsi="宋体"/>
                <w:color w:val="000000"/>
                <w:szCs w:val="21"/>
                <w:highlight w:val="none"/>
              </w:rPr>
              <w:t>）</w:t>
            </w:r>
          </w:p>
          <w:p w14:paraId="5C309F39">
            <w:pPr>
              <w:snapToGrid w:val="0"/>
              <w:spacing w:line="400" w:lineRule="exact"/>
              <w:ind w:left="34"/>
              <w:jc w:val="left"/>
              <w:rPr>
                <w:rFonts w:ascii="宋体" w:hAnsi="宋体"/>
                <w:color w:val="000000"/>
                <w:szCs w:val="21"/>
                <w:highlight w:val="none"/>
              </w:rPr>
            </w:pPr>
            <w:r>
              <w:rPr>
                <w:rFonts w:hint="eastAsia" w:ascii="宋体" w:hAnsi="宋体"/>
                <w:color w:val="000000"/>
                <w:szCs w:val="21"/>
                <w:highlight w:val="none"/>
              </w:rPr>
              <w:t>8.除招标文件规定必须提供以外，投标人认为需要提供的其他证明材料（格式自拟）。（投标人根据“第二章 采购需求”及“第四章 评标方法及评标标准”提供有关证明材料）。</w:t>
            </w:r>
          </w:p>
          <w:p w14:paraId="48D7A927">
            <w:pPr>
              <w:snapToGrid w:val="0"/>
              <w:spacing w:line="400" w:lineRule="exact"/>
              <w:jc w:val="left"/>
              <w:rPr>
                <w:rFonts w:ascii="宋体" w:hAnsi="宋体"/>
                <w:color w:val="000000"/>
                <w:szCs w:val="21"/>
                <w:highlight w:val="none"/>
              </w:rPr>
            </w:pPr>
            <w:r>
              <w:rPr>
                <w:rFonts w:hint="eastAsia" w:ascii="宋体" w:hAnsi="宋体"/>
                <w:b/>
                <w:bCs/>
                <w:color w:val="000000"/>
                <w:szCs w:val="21"/>
                <w:highlight w:val="none"/>
              </w:rPr>
              <w:t>注：以上标明“必须提供”的材料属于复印件的，必须加盖投标人公章，否则按无效投标</w:t>
            </w:r>
            <w:r>
              <w:rPr>
                <w:rFonts w:hint="eastAsia" w:ascii="宋体" w:hAnsi="宋体" w:cs="Courier New"/>
                <w:b/>
                <w:color w:val="000000"/>
                <w:szCs w:val="21"/>
                <w:highlight w:val="none"/>
              </w:rPr>
              <w:t>处理</w:t>
            </w:r>
            <w:r>
              <w:rPr>
                <w:rFonts w:hint="eastAsia" w:ascii="宋体" w:hAnsi="宋体"/>
                <w:b/>
                <w:bCs/>
                <w:color w:val="000000"/>
                <w:szCs w:val="21"/>
                <w:highlight w:val="none"/>
              </w:rPr>
              <w:t>。</w:t>
            </w:r>
          </w:p>
        </w:tc>
      </w:tr>
      <w:tr w14:paraId="4E8553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vMerge w:val="continue"/>
            <w:tcBorders>
              <w:left w:val="single" w:color="auto" w:sz="4" w:space="0"/>
              <w:bottom w:val="single" w:color="auto" w:sz="4" w:space="0"/>
              <w:right w:val="single" w:color="auto" w:sz="4" w:space="0"/>
            </w:tcBorders>
            <w:vAlign w:val="center"/>
          </w:tcPr>
          <w:p w14:paraId="12317581">
            <w:pPr>
              <w:spacing w:line="400" w:lineRule="exact"/>
              <w:rPr>
                <w:rFonts w:ascii="宋体" w:hAnsi="宋体"/>
                <w:color w:val="000000"/>
                <w:szCs w:val="21"/>
                <w:highlight w:val="none"/>
              </w:rPr>
            </w:pPr>
            <w:bookmarkStart w:id="70" w:name="_13.4"/>
            <w:bookmarkEnd w:id="70"/>
          </w:p>
        </w:tc>
        <w:tc>
          <w:tcPr>
            <w:tcW w:w="7654" w:type="dxa"/>
            <w:tcBorders>
              <w:top w:val="single" w:color="auto" w:sz="4" w:space="0"/>
              <w:left w:val="single" w:color="auto" w:sz="4" w:space="0"/>
              <w:bottom w:val="single" w:color="auto" w:sz="4" w:space="0"/>
              <w:right w:val="single" w:color="auto" w:sz="4" w:space="0"/>
            </w:tcBorders>
            <w:vAlign w:val="center"/>
          </w:tcPr>
          <w:p w14:paraId="07BBA128">
            <w:pPr>
              <w:snapToGrid w:val="0"/>
              <w:spacing w:line="400" w:lineRule="exact"/>
              <w:jc w:val="left"/>
              <w:rPr>
                <w:rFonts w:ascii="宋体" w:hAnsi="宋体" w:cs="Courier New"/>
                <w:b/>
                <w:color w:val="000000"/>
                <w:szCs w:val="21"/>
                <w:highlight w:val="none"/>
              </w:rPr>
            </w:pPr>
            <w:r>
              <w:rPr>
                <w:rFonts w:hint="eastAsia" w:ascii="宋体" w:hAnsi="宋体" w:cs="Courier New"/>
                <w:b/>
                <w:color w:val="000000"/>
                <w:szCs w:val="21"/>
                <w:highlight w:val="none"/>
              </w:rPr>
              <w:t>技术文件：</w:t>
            </w:r>
          </w:p>
          <w:p w14:paraId="57F07669">
            <w:pPr>
              <w:snapToGrid w:val="0"/>
              <w:spacing w:line="400" w:lineRule="exact"/>
              <w:ind w:left="-2" w:leftChars="-1"/>
              <w:jc w:val="left"/>
              <w:rPr>
                <w:rFonts w:ascii="宋体" w:hAnsi="宋体" w:cs="宋体"/>
                <w:color w:val="000000"/>
                <w:szCs w:val="21"/>
                <w:highlight w:val="none"/>
              </w:rPr>
            </w:pPr>
            <w:r>
              <w:rPr>
                <w:rFonts w:hint="eastAsia" w:ascii="宋体" w:hAnsi="宋体" w:cs="宋体"/>
                <w:color w:val="000000"/>
                <w:szCs w:val="21"/>
                <w:highlight w:val="none"/>
              </w:rPr>
              <w:t>1.设备性能配置清单（格式后附）；（</w:t>
            </w:r>
            <w:r>
              <w:rPr>
                <w:rFonts w:hint="eastAsia" w:ascii="宋体" w:hAnsi="宋体" w:cs="宋体"/>
                <w:b/>
                <w:bCs/>
                <w:color w:val="000000"/>
                <w:szCs w:val="21"/>
                <w:highlight w:val="none"/>
                <w:lang w:eastAsia="zh-CN"/>
              </w:rPr>
              <w:t>适用于</w:t>
            </w:r>
            <w:r>
              <w:rPr>
                <w:rFonts w:hint="eastAsia" w:ascii="宋体" w:hAnsi="宋体" w:eastAsia="宋体" w:cs="宋体"/>
                <w:b/>
                <w:bCs/>
                <w:color w:val="000000"/>
                <w:szCs w:val="21"/>
                <w:highlight w:val="none"/>
                <w:lang w:val="en-US" w:eastAsia="zh-CN"/>
              </w:rPr>
              <w:t>分标</w:t>
            </w:r>
            <w:r>
              <w:rPr>
                <w:rFonts w:hint="eastAsia" w:ascii="宋体" w:hAnsi="宋体" w:cs="宋体"/>
                <w:b/>
                <w:bCs/>
                <w:color w:val="000000"/>
                <w:szCs w:val="21"/>
                <w:highlight w:val="none"/>
                <w:lang w:val="en-US" w:eastAsia="zh-CN"/>
              </w:rPr>
              <w:t>1/分标2</w:t>
            </w:r>
            <w:r>
              <w:rPr>
                <w:rFonts w:hint="eastAsia" w:ascii="宋体" w:hAnsi="宋体" w:eastAsia="宋体" w:cs="宋体"/>
                <w:b/>
                <w:color w:val="000000"/>
                <w:szCs w:val="21"/>
                <w:highlight w:val="none"/>
                <w:lang w:val="en-US" w:eastAsia="zh-CN"/>
              </w:rPr>
              <w:t>，</w:t>
            </w:r>
            <w:r>
              <w:rPr>
                <w:rFonts w:hint="eastAsia" w:ascii="宋体" w:hAnsi="宋体" w:eastAsia="宋体" w:cs="宋体"/>
                <w:b/>
                <w:color w:val="000000"/>
                <w:szCs w:val="21"/>
                <w:highlight w:val="none"/>
              </w:rPr>
              <w:t>必</w:t>
            </w:r>
            <w:r>
              <w:rPr>
                <w:rFonts w:hint="eastAsia" w:ascii="宋体" w:hAnsi="宋体" w:cs="宋体"/>
                <w:b/>
                <w:color w:val="000000"/>
                <w:szCs w:val="21"/>
                <w:highlight w:val="none"/>
              </w:rPr>
              <w:t>须提供，否则按无效投标处理</w:t>
            </w:r>
            <w:r>
              <w:rPr>
                <w:rFonts w:hint="eastAsia" w:ascii="宋体" w:hAnsi="宋体" w:cs="宋体"/>
                <w:color w:val="000000"/>
                <w:szCs w:val="21"/>
                <w:highlight w:val="none"/>
              </w:rPr>
              <w:t>）</w:t>
            </w:r>
          </w:p>
          <w:p w14:paraId="5BB9C464">
            <w:pPr>
              <w:snapToGrid w:val="0"/>
              <w:spacing w:line="400" w:lineRule="exact"/>
              <w:ind w:left="-2" w:leftChars="-1"/>
              <w:jc w:val="left"/>
              <w:rPr>
                <w:rFonts w:ascii="宋体" w:hAnsi="宋体" w:cs="宋体"/>
                <w:color w:val="000000"/>
                <w:szCs w:val="21"/>
                <w:highlight w:val="none"/>
              </w:rPr>
            </w:pPr>
            <w:r>
              <w:rPr>
                <w:rFonts w:hint="eastAsia" w:ascii="宋体" w:hAnsi="宋体" w:cs="宋体"/>
                <w:color w:val="000000"/>
                <w:szCs w:val="21"/>
                <w:highlight w:val="none"/>
              </w:rPr>
              <w:t>2.技术要求偏离表（格式后附）；（</w:t>
            </w:r>
            <w:r>
              <w:rPr>
                <w:rFonts w:hint="eastAsia" w:ascii="宋体" w:hAnsi="宋体" w:cs="宋体"/>
                <w:b/>
                <w:color w:val="000000"/>
                <w:szCs w:val="21"/>
                <w:highlight w:val="none"/>
              </w:rPr>
              <w:t>必须提供，否则按无效投标处理</w:t>
            </w:r>
            <w:r>
              <w:rPr>
                <w:rFonts w:hint="eastAsia" w:ascii="宋体" w:hAnsi="宋体" w:cs="宋体"/>
                <w:color w:val="000000"/>
                <w:szCs w:val="21"/>
                <w:highlight w:val="none"/>
              </w:rPr>
              <w:t>）</w:t>
            </w:r>
          </w:p>
          <w:p w14:paraId="2BC4B6AF">
            <w:pPr>
              <w:snapToGrid w:val="0"/>
              <w:spacing w:line="400" w:lineRule="exact"/>
              <w:ind w:left="-2" w:leftChars="-1"/>
              <w:jc w:val="left"/>
              <w:rPr>
                <w:rFonts w:ascii="宋体" w:hAnsi="宋体" w:cs="宋体"/>
                <w:color w:val="000000"/>
                <w:szCs w:val="21"/>
                <w:highlight w:val="none"/>
              </w:rPr>
            </w:pPr>
            <w:r>
              <w:rPr>
                <w:rFonts w:hint="eastAsia" w:ascii="宋体" w:hAnsi="宋体" w:cs="宋体"/>
                <w:color w:val="000000"/>
                <w:szCs w:val="21"/>
                <w:highlight w:val="none"/>
              </w:rPr>
              <w:t>3.项目实施方案（如有，请提供，格式自拟）；</w:t>
            </w:r>
          </w:p>
          <w:p w14:paraId="458E6127">
            <w:pPr>
              <w:snapToGrid w:val="0"/>
              <w:spacing w:line="400" w:lineRule="exact"/>
              <w:ind w:left="-2" w:leftChars="-1"/>
              <w:jc w:val="left"/>
              <w:rPr>
                <w:rFonts w:ascii="宋体" w:hAnsi="宋体" w:cs="宋体"/>
                <w:color w:val="000000"/>
                <w:szCs w:val="21"/>
                <w:highlight w:val="none"/>
              </w:rPr>
            </w:pPr>
            <w:r>
              <w:rPr>
                <w:rFonts w:hint="eastAsia" w:ascii="宋体" w:hAnsi="宋体" w:cs="宋体"/>
                <w:color w:val="000000"/>
                <w:szCs w:val="21"/>
                <w:highlight w:val="none"/>
              </w:rPr>
              <w:t>4.售后服务方案（如有，请提供，格式自拟）；</w:t>
            </w:r>
          </w:p>
          <w:p w14:paraId="1C4CBDC6">
            <w:pPr>
              <w:snapToGrid w:val="0"/>
              <w:spacing w:line="400" w:lineRule="exact"/>
              <w:ind w:left="-2" w:leftChars="-1"/>
              <w:jc w:val="left"/>
              <w:rPr>
                <w:rFonts w:ascii="宋体" w:hAnsi="宋体" w:cs="宋体"/>
                <w:color w:val="000000"/>
                <w:szCs w:val="21"/>
                <w:highlight w:val="none"/>
              </w:rPr>
            </w:pPr>
            <w:r>
              <w:rPr>
                <w:rFonts w:hint="eastAsia" w:ascii="宋体" w:hAnsi="宋体" w:cs="宋体"/>
                <w:color w:val="000000"/>
                <w:szCs w:val="21"/>
                <w:highlight w:val="none"/>
              </w:rPr>
              <w:t>5.拟投入人员一览表（如有，请提供，格式自拟）；</w:t>
            </w:r>
          </w:p>
          <w:p w14:paraId="7FCE0B30">
            <w:pPr>
              <w:snapToGrid w:val="0"/>
              <w:spacing w:line="400" w:lineRule="exact"/>
              <w:ind w:left="-2" w:leftChars="-1"/>
              <w:jc w:val="left"/>
              <w:rPr>
                <w:rFonts w:ascii="宋体" w:hAnsi="宋体" w:cs="宋体"/>
                <w:color w:val="000000"/>
                <w:szCs w:val="21"/>
                <w:highlight w:val="none"/>
              </w:rPr>
            </w:pPr>
            <w:r>
              <w:rPr>
                <w:rFonts w:hint="eastAsia" w:ascii="宋体" w:hAnsi="宋体" w:cs="宋体"/>
                <w:color w:val="000000"/>
                <w:szCs w:val="21"/>
                <w:highlight w:val="none"/>
              </w:rPr>
              <w:t>6.产品出厂标准、质量检测报告【其中有精度要求的仪器设备类政府采购项目，应当要求投标人提供精度数据（国家认可的有资质的第三方检测机构出具的检测报告复印件或者由采购人在投标前组织的实测获得）】（视项目情况设置是否必须提供）</w:t>
            </w:r>
          </w:p>
          <w:p w14:paraId="27C20975">
            <w:pPr>
              <w:snapToGrid w:val="0"/>
              <w:spacing w:line="400" w:lineRule="exact"/>
              <w:ind w:left="-2" w:leftChars="-1"/>
              <w:jc w:val="left"/>
              <w:rPr>
                <w:rFonts w:ascii="宋体" w:hAnsi="宋体" w:cs="宋体"/>
                <w:color w:val="000000"/>
                <w:szCs w:val="21"/>
                <w:highlight w:val="none"/>
              </w:rPr>
            </w:pPr>
            <w:r>
              <w:rPr>
                <w:rFonts w:hint="eastAsia" w:ascii="宋体" w:hAnsi="宋体" w:cs="宋体"/>
                <w:color w:val="000000"/>
                <w:szCs w:val="21"/>
                <w:highlight w:val="none"/>
              </w:rPr>
              <w:t>7.优惠条件：投标人承诺给予招标人的各种优惠条件，包括售后服务、备品备件、专用耗材等方面的优惠；投标人不得给予赠品或者与采购无关的其他商品、服务；</w:t>
            </w:r>
          </w:p>
          <w:p w14:paraId="0C4AEB5D">
            <w:pPr>
              <w:snapToGrid w:val="0"/>
              <w:spacing w:line="400" w:lineRule="exact"/>
              <w:ind w:left="-2" w:leftChars="-1"/>
              <w:jc w:val="left"/>
              <w:rPr>
                <w:rFonts w:ascii="宋体" w:hAnsi="宋体" w:cs="宋体"/>
                <w:color w:val="000000"/>
                <w:szCs w:val="21"/>
                <w:highlight w:val="none"/>
              </w:rPr>
            </w:pPr>
            <w:r>
              <w:rPr>
                <w:rFonts w:hint="eastAsia" w:ascii="宋体" w:hAnsi="宋体" w:cs="宋体"/>
                <w:color w:val="000000"/>
                <w:szCs w:val="21"/>
                <w:highlight w:val="none"/>
              </w:rPr>
              <w:t>8.投标人对本项目的合理化建议和改进措施（格式自拟）；</w:t>
            </w:r>
          </w:p>
          <w:p w14:paraId="528779D1">
            <w:pPr>
              <w:snapToGrid w:val="0"/>
              <w:spacing w:line="400" w:lineRule="exact"/>
              <w:ind w:left="-2" w:leftChars="-1"/>
              <w:jc w:val="left"/>
              <w:rPr>
                <w:rFonts w:ascii="宋体" w:hAnsi="宋体" w:cs="宋体"/>
                <w:bCs/>
                <w:color w:val="000000"/>
                <w:szCs w:val="21"/>
                <w:highlight w:val="none"/>
              </w:rPr>
            </w:pPr>
            <w:r>
              <w:rPr>
                <w:rFonts w:hint="eastAsia" w:ascii="宋体" w:hAnsi="宋体" w:cs="宋体"/>
                <w:color w:val="000000"/>
                <w:szCs w:val="21"/>
                <w:highlight w:val="none"/>
              </w:rPr>
              <w:t>9.除招标文件规定必须提供以外，投标人需要说明的其他文件和说明（格式自拟）。</w:t>
            </w:r>
          </w:p>
          <w:p w14:paraId="3555603C">
            <w:pPr>
              <w:snapToGrid w:val="0"/>
              <w:spacing w:line="400" w:lineRule="exact"/>
              <w:jc w:val="left"/>
              <w:rPr>
                <w:rFonts w:ascii="宋体" w:hAnsi="宋体"/>
                <w:b/>
                <w:bCs/>
                <w:color w:val="000000"/>
                <w:szCs w:val="21"/>
                <w:highlight w:val="none"/>
              </w:rPr>
            </w:pPr>
            <w:r>
              <w:rPr>
                <w:rFonts w:hint="eastAsia" w:ascii="宋体" w:hAnsi="宋体"/>
                <w:b/>
                <w:bCs/>
                <w:color w:val="000000"/>
                <w:szCs w:val="21"/>
                <w:highlight w:val="none"/>
              </w:rPr>
              <w:t>注：以上标明“必须提供”的材料属于复印件的，必须加盖投标人公章，否则按无效投标</w:t>
            </w:r>
            <w:r>
              <w:rPr>
                <w:rFonts w:hint="eastAsia" w:ascii="宋体" w:hAnsi="宋体" w:cs="Courier New"/>
                <w:b/>
                <w:color w:val="000000"/>
                <w:szCs w:val="21"/>
                <w:highlight w:val="none"/>
              </w:rPr>
              <w:t>处理</w:t>
            </w:r>
            <w:r>
              <w:rPr>
                <w:rFonts w:hint="eastAsia" w:ascii="宋体" w:hAnsi="宋体"/>
                <w:b/>
                <w:bCs/>
                <w:color w:val="000000"/>
                <w:szCs w:val="21"/>
                <w:highlight w:val="none"/>
              </w:rPr>
              <w:t>。</w:t>
            </w:r>
          </w:p>
        </w:tc>
      </w:tr>
      <w:tr w14:paraId="68C792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59DFE8F3">
            <w:pPr>
              <w:spacing w:line="400" w:lineRule="exact"/>
              <w:jc w:val="center"/>
              <w:rPr>
                <w:rFonts w:ascii="宋体" w:hAnsi="宋体"/>
                <w:color w:val="000000"/>
                <w:szCs w:val="21"/>
                <w:highlight w:val="none"/>
              </w:rPr>
            </w:pPr>
            <w:bookmarkStart w:id="71" w:name="_16.2"/>
            <w:bookmarkEnd w:id="71"/>
            <w:bookmarkStart w:id="72" w:name="_13.5"/>
            <w:bookmarkEnd w:id="72"/>
            <w:r>
              <w:rPr>
                <w:rFonts w:hint="eastAsia" w:ascii="宋体" w:hAnsi="宋体"/>
                <w:color w:val="000000"/>
                <w:szCs w:val="21"/>
                <w:highlight w:val="none"/>
              </w:rPr>
              <w:t>16</w:t>
            </w:r>
            <w:bookmarkStart w:id="73" w:name="_Hlt19194067"/>
            <w:bookmarkStart w:id="74" w:name="_Hlt19693759"/>
            <w:bookmarkStart w:id="75" w:name="_Hlt19693758"/>
            <w:bookmarkStart w:id="76" w:name="_Hlt19194066"/>
            <w:r>
              <w:rPr>
                <w:rFonts w:hint="eastAsia" w:ascii="宋体" w:hAnsi="宋体"/>
                <w:color w:val="000000"/>
                <w:szCs w:val="21"/>
                <w:highlight w:val="none"/>
              </w:rPr>
              <w:t>.</w:t>
            </w:r>
            <w:bookmarkEnd w:id="73"/>
            <w:bookmarkEnd w:id="74"/>
            <w:bookmarkEnd w:id="75"/>
            <w:bookmarkEnd w:id="76"/>
            <w:r>
              <w:rPr>
                <w:rFonts w:hint="eastAsia" w:ascii="宋体" w:hAnsi="宋体"/>
                <w:color w:val="000000"/>
                <w:szCs w:val="21"/>
                <w:highlight w:val="none"/>
              </w:rPr>
              <w:t>2</w:t>
            </w:r>
          </w:p>
        </w:tc>
        <w:tc>
          <w:tcPr>
            <w:tcW w:w="7654" w:type="dxa"/>
            <w:tcBorders>
              <w:top w:val="single" w:color="auto" w:sz="4" w:space="0"/>
              <w:left w:val="single" w:color="auto" w:sz="4" w:space="0"/>
              <w:bottom w:val="single" w:color="auto" w:sz="4" w:space="0"/>
              <w:right w:val="single" w:color="auto" w:sz="4" w:space="0"/>
            </w:tcBorders>
            <w:vAlign w:val="center"/>
          </w:tcPr>
          <w:p w14:paraId="0C0BE88B">
            <w:pPr>
              <w:snapToGrid w:val="0"/>
              <w:spacing w:line="360" w:lineRule="auto"/>
              <w:rPr>
                <w:rFonts w:hint="eastAsia" w:ascii="宋体" w:hAnsi="宋体" w:eastAsia="宋体" w:cs="宋体"/>
                <w:szCs w:val="21"/>
                <w:highlight w:val="none"/>
              </w:rPr>
            </w:pPr>
            <w:r>
              <w:rPr>
                <w:rFonts w:hint="eastAsia" w:ascii="宋体" w:hAnsi="宋体"/>
                <w:b/>
                <w:color w:val="000000"/>
                <w:szCs w:val="21"/>
                <w:highlight w:val="none"/>
                <w:lang w:val="en-US" w:eastAsia="zh-CN"/>
              </w:rPr>
              <w:t>分标1/分标2：</w:t>
            </w:r>
            <w:r>
              <w:rPr>
                <w:rFonts w:hint="eastAsia" w:ascii="宋体" w:hAnsi="宋体" w:eastAsia="宋体" w:cs="宋体"/>
                <w:szCs w:val="21"/>
                <w:highlight w:val="none"/>
              </w:rPr>
              <w:t>报价要求：本次报价须为人民币报价，包括投标货物（包括备品备件、专用工具等）的价格，投标货物运输（含保险）、安装（如有）、调试、检验、技术服务、培训和</w:t>
            </w:r>
            <w:r>
              <w:rPr>
                <w:rFonts w:hint="eastAsia" w:ascii="宋体" w:hAnsi="宋体" w:cs="宋体"/>
                <w:bCs/>
                <w:color w:val="000000"/>
                <w:szCs w:val="21"/>
                <w:highlight w:val="none"/>
                <w:lang w:eastAsia="zh-CN"/>
              </w:rPr>
              <w:t>招标</w:t>
            </w:r>
            <w:r>
              <w:rPr>
                <w:rFonts w:hint="eastAsia" w:ascii="宋体" w:hAnsi="宋体" w:eastAsia="宋体" w:cs="宋体"/>
                <w:szCs w:val="21"/>
                <w:highlight w:val="none"/>
              </w:rPr>
              <w:t>文件要求提供的所有伴随服务、工程等费用和税费。对于本文件中未列明，而供应商认为必需的费用也需列入总报价。在合同实施时，采购人将不予支付</w:t>
            </w:r>
            <w:r>
              <w:rPr>
                <w:rFonts w:hint="eastAsia" w:ascii="宋体" w:hAnsi="宋体" w:eastAsia="宋体" w:cs="宋体"/>
                <w:szCs w:val="21"/>
                <w:highlight w:val="none"/>
                <w:lang w:eastAsia="zh-CN"/>
              </w:rPr>
              <w:t>中标人</w:t>
            </w:r>
            <w:r>
              <w:rPr>
                <w:rFonts w:hint="eastAsia" w:ascii="宋体" w:hAnsi="宋体" w:eastAsia="宋体" w:cs="宋体"/>
                <w:szCs w:val="21"/>
                <w:highlight w:val="none"/>
              </w:rPr>
              <w:t>没有列入的项目费用，并认为此项目的费用已包括在</w:t>
            </w:r>
            <w:r>
              <w:rPr>
                <w:rFonts w:hint="eastAsia" w:ascii="宋体" w:hAnsi="宋体" w:eastAsia="宋体" w:cs="宋体"/>
                <w:kern w:val="0"/>
                <w:szCs w:val="21"/>
                <w:highlight w:val="none"/>
                <w:lang w:bidi="ar"/>
              </w:rPr>
              <w:t>投</w:t>
            </w:r>
            <w:r>
              <w:rPr>
                <w:rFonts w:hint="eastAsia" w:ascii="宋体" w:hAnsi="宋体" w:eastAsia="宋体" w:cs="宋体"/>
                <w:szCs w:val="21"/>
                <w:highlight w:val="none"/>
              </w:rPr>
              <w:t>标总报价中。</w:t>
            </w:r>
          </w:p>
          <w:p w14:paraId="023DF1A0">
            <w:pPr>
              <w:snapToGrid w:val="0"/>
              <w:spacing w:line="360" w:lineRule="auto"/>
              <w:rPr>
                <w:rFonts w:ascii="宋体" w:hAnsi="宋体"/>
                <w:b/>
                <w:color w:val="000000"/>
                <w:szCs w:val="21"/>
                <w:highlight w:val="none"/>
              </w:rPr>
            </w:pPr>
            <w:r>
              <w:rPr>
                <w:rFonts w:hint="eastAsia" w:ascii="宋体" w:hAnsi="宋体"/>
                <w:b/>
                <w:color w:val="000000"/>
                <w:szCs w:val="21"/>
                <w:highlight w:val="none"/>
                <w:lang w:val="en-US" w:eastAsia="zh-CN"/>
              </w:rPr>
              <w:t>分标3/分标4</w:t>
            </w:r>
            <w:r>
              <w:rPr>
                <w:rFonts w:hint="eastAsia" w:ascii="宋体" w:hAnsi="宋体" w:eastAsia="宋体" w:cs="宋体"/>
                <w:b/>
                <w:bCs/>
                <w:szCs w:val="21"/>
                <w:highlight w:val="none"/>
                <w:lang w:val="en-US" w:eastAsia="zh-CN"/>
              </w:rPr>
              <w:t>：</w:t>
            </w:r>
            <w:r>
              <w:rPr>
                <w:rFonts w:hint="eastAsia" w:ascii="宋体" w:hAnsi="宋体" w:eastAsia="宋体" w:cs="宋体"/>
                <w:szCs w:val="21"/>
                <w:highlight w:val="none"/>
                <w:lang w:val="en-US" w:eastAsia="zh-CN"/>
              </w:rPr>
              <w:t>报价要求：本次报价须为人民币报价，包括完成服务实施所需的费用（包含但不限于课程开发设计、视频拍摄制作、培训、技术支持、售后服务、课程申报、人工道具、专家聘请等费用）、保险费用和各项税金等完成本项目所产生的全部费用。对于本文件中未列明，而供应商认为必需的费用也需列入总报价。在合同实施时，采购人将不予支付中标人没有列入的项目费用，并认为此项目的费用已包括在投标总报价中。</w:t>
            </w:r>
          </w:p>
        </w:tc>
      </w:tr>
      <w:tr w14:paraId="6C42B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4D309243">
            <w:pPr>
              <w:spacing w:line="400" w:lineRule="exact"/>
              <w:jc w:val="center"/>
              <w:rPr>
                <w:rFonts w:ascii="宋体" w:hAnsi="宋体"/>
                <w:color w:val="000000"/>
                <w:szCs w:val="21"/>
                <w:highlight w:val="none"/>
              </w:rPr>
            </w:pPr>
            <w:bookmarkStart w:id="77" w:name="_17.1"/>
            <w:bookmarkEnd w:id="77"/>
            <w:r>
              <w:rPr>
                <w:rFonts w:hint="eastAsia" w:ascii="宋体" w:hAnsi="宋体"/>
                <w:color w:val="000000"/>
                <w:szCs w:val="21"/>
                <w:highlight w:val="none"/>
              </w:rPr>
              <w:t>17.</w:t>
            </w:r>
            <w:r>
              <w:rPr>
                <w:rFonts w:ascii="宋体" w:hAnsi="宋体"/>
                <w:color w:val="000000"/>
                <w:szCs w:val="21"/>
                <w:highlight w:val="none"/>
              </w:rPr>
              <w:t>2</w:t>
            </w:r>
          </w:p>
        </w:tc>
        <w:tc>
          <w:tcPr>
            <w:tcW w:w="7654" w:type="dxa"/>
            <w:tcBorders>
              <w:top w:val="single" w:color="auto" w:sz="4" w:space="0"/>
              <w:left w:val="single" w:color="auto" w:sz="4" w:space="0"/>
              <w:bottom w:val="single" w:color="auto" w:sz="4" w:space="0"/>
              <w:right w:val="single" w:color="auto" w:sz="4" w:space="0"/>
            </w:tcBorders>
            <w:vAlign w:val="center"/>
          </w:tcPr>
          <w:p w14:paraId="6EB6414A">
            <w:pPr>
              <w:snapToGrid w:val="0"/>
              <w:spacing w:line="400" w:lineRule="exact"/>
              <w:rPr>
                <w:rFonts w:ascii="宋体" w:hAnsi="宋体"/>
                <w:color w:val="000000"/>
                <w:szCs w:val="21"/>
                <w:highlight w:val="none"/>
              </w:rPr>
            </w:pPr>
            <w:r>
              <w:rPr>
                <w:rFonts w:hint="eastAsia" w:ascii="宋体" w:hAnsi="宋体"/>
                <w:color w:val="000000"/>
                <w:szCs w:val="21"/>
                <w:highlight w:val="none"/>
              </w:rPr>
              <w:t>投标有效期：自投标截止之日起</w:t>
            </w:r>
            <w:r>
              <w:rPr>
                <w:rFonts w:hint="eastAsia" w:ascii="宋体" w:hAnsi="宋体"/>
                <w:color w:val="000000"/>
                <w:szCs w:val="21"/>
                <w:highlight w:val="none"/>
                <w:u w:val="single"/>
              </w:rPr>
              <w:t>120</w:t>
            </w:r>
            <w:r>
              <w:rPr>
                <w:rFonts w:hint="eastAsia" w:ascii="宋体" w:hAnsi="宋体"/>
                <w:color w:val="000000"/>
                <w:szCs w:val="21"/>
                <w:highlight w:val="none"/>
              </w:rPr>
              <w:t>日。</w:t>
            </w:r>
          </w:p>
        </w:tc>
      </w:tr>
      <w:tr w14:paraId="23E0B0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74FAAE69">
            <w:pPr>
              <w:spacing w:line="400" w:lineRule="exact"/>
              <w:jc w:val="center"/>
              <w:rPr>
                <w:rFonts w:ascii="宋体" w:hAnsi="宋体"/>
                <w:color w:val="000000"/>
                <w:szCs w:val="21"/>
                <w:highlight w:val="none"/>
              </w:rPr>
            </w:pPr>
            <w:bookmarkStart w:id="78" w:name="_18"/>
            <w:bookmarkEnd w:id="78"/>
            <w:r>
              <w:rPr>
                <w:rFonts w:hint="eastAsia" w:ascii="宋体" w:hAnsi="宋体"/>
                <w:color w:val="000000"/>
                <w:szCs w:val="21"/>
                <w:highlight w:val="none"/>
              </w:rPr>
              <w:t>18</w:t>
            </w:r>
            <w:r>
              <w:rPr>
                <w:rFonts w:ascii="宋体" w:hAnsi="宋体"/>
                <w:color w:val="000000"/>
                <w:szCs w:val="21"/>
                <w:highlight w:val="none"/>
              </w:rPr>
              <w:t>.1</w:t>
            </w:r>
          </w:p>
        </w:tc>
        <w:tc>
          <w:tcPr>
            <w:tcW w:w="7654" w:type="dxa"/>
            <w:tcBorders>
              <w:top w:val="single" w:color="auto" w:sz="4" w:space="0"/>
              <w:left w:val="single" w:color="auto" w:sz="4" w:space="0"/>
              <w:bottom w:val="single" w:color="auto" w:sz="4" w:space="0"/>
              <w:right w:val="single" w:color="auto" w:sz="4" w:space="0"/>
            </w:tcBorders>
            <w:vAlign w:val="center"/>
          </w:tcPr>
          <w:p w14:paraId="3698221A">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□本项目不收取投标保证金。</w:t>
            </w:r>
          </w:p>
          <w:p w14:paraId="7D61B23D">
            <w:pPr>
              <w:snapToGrid w:val="0"/>
              <w:spacing w:line="400" w:lineRule="exact"/>
              <w:rPr>
                <w:rFonts w:ascii="宋体" w:hAnsi="宋体"/>
                <w:b/>
                <w:bCs/>
                <w:color w:val="000000"/>
                <w:szCs w:val="21"/>
                <w:highlight w:val="none"/>
              </w:rPr>
            </w:pPr>
            <w:r>
              <w:rPr>
                <w:rFonts w:ascii="Segoe UI Symbol" w:hAnsi="Segoe UI Symbol" w:cs="Segoe UI Symbol"/>
                <w:b/>
                <w:bCs/>
                <w:color w:val="000000"/>
                <w:szCs w:val="21"/>
                <w:highlight w:val="none"/>
              </w:rPr>
              <w:t>☑</w:t>
            </w:r>
            <w:r>
              <w:rPr>
                <w:rFonts w:hint="eastAsia" w:ascii="宋体" w:hAnsi="宋体"/>
                <w:b/>
                <w:bCs/>
                <w:color w:val="000000"/>
                <w:szCs w:val="21"/>
                <w:highlight w:val="none"/>
              </w:rPr>
              <w:t>本项目收取投标保证金，具体规定如下：</w:t>
            </w:r>
          </w:p>
          <w:p w14:paraId="4A73D708">
            <w:pPr>
              <w:snapToGrid w:val="0"/>
              <w:spacing w:line="400" w:lineRule="exact"/>
              <w:rPr>
                <w:rFonts w:hint="eastAsia" w:ascii="宋体" w:hAnsi="宋体" w:eastAsia="宋体" w:cs="宋体"/>
                <w:b/>
                <w:bCs/>
                <w:color w:val="000000"/>
                <w:kern w:val="0"/>
                <w:szCs w:val="21"/>
                <w:highlight w:val="none"/>
                <w:lang w:val="en-US" w:eastAsia="zh-CN"/>
              </w:rPr>
            </w:pPr>
            <w:r>
              <w:rPr>
                <w:rFonts w:hint="eastAsia" w:ascii="宋体" w:hAnsi="宋体" w:cs="宋体"/>
                <w:b/>
                <w:bCs/>
                <w:color w:val="000000"/>
                <w:kern w:val="0"/>
                <w:szCs w:val="21"/>
                <w:highlight w:val="none"/>
              </w:rPr>
              <w:t>投标保证金：</w:t>
            </w:r>
            <w:r>
              <w:rPr>
                <w:rFonts w:hint="eastAsia" w:ascii="宋体" w:hAnsi="宋体" w:cs="宋体"/>
                <w:b/>
                <w:bCs/>
                <w:color w:val="000000"/>
                <w:kern w:val="0"/>
                <w:szCs w:val="21"/>
                <w:highlight w:val="none"/>
                <w:lang w:val="en-US" w:eastAsia="zh-CN"/>
              </w:rPr>
              <w:t>分标1：贰万叁仟元整（</w:t>
            </w:r>
            <w:r>
              <w:rPr>
                <w:rFonts w:hint="default" w:ascii="Arial" w:hAnsi="Arial" w:cs="Arial"/>
                <w:b/>
                <w:bCs/>
                <w:color w:val="000000"/>
                <w:kern w:val="0"/>
                <w:szCs w:val="21"/>
                <w:highlight w:val="none"/>
                <w:lang w:val="en-US" w:eastAsia="zh-CN"/>
              </w:rPr>
              <w:t>¥</w:t>
            </w:r>
            <w:r>
              <w:rPr>
                <w:rFonts w:hint="eastAsia" w:ascii="宋体" w:hAnsi="宋体" w:cs="宋体"/>
                <w:b/>
                <w:bCs/>
                <w:color w:val="000000"/>
                <w:kern w:val="0"/>
                <w:szCs w:val="21"/>
                <w:highlight w:val="none"/>
                <w:lang w:val="en-US" w:eastAsia="zh-CN"/>
              </w:rPr>
              <w:t>23000.00）</w:t>
            </w:r>
            <w:r>
              <w:rPr>
                <w:rFonts w:hint="eastAsia" w:ascii="宋体" w:hAnsi="宋体" w:cs="宋体"/>
                <w:b/>
                <w:bCs/>
                <w:color w:val="000000"/>
                <w:kern w:val="0"/>
                <w:szCs w:val="21"/>
                <w:highlight w:val="none"/>
              </w:rPr>
              <w:t>：</w:t>
            </w:r>
            <w:r>
              <w:rPr>
                <w:rFonts w:hint="eastAsia" w:ascii="宋体" w:hAnsi="宋体" w:cs="宋体"/>
                <w:b/>
                <w:bCs/>
                <w:color w:val="000000"/>
                <w:kern w:val="0"/>
                <w:szCs w:val="21"/>
                <w:highlight w:val="none"/>
                <w:lang w:val="en-US" w:eastAsia="zh-CN"/>
              </w:rPr>
              <w:t>分标2：贰万元整（</w:t>
            </w:r>
            <w:r>
              <w:rPr>
                <w:rFonts w:hint="default" w:ascii="Arial" w:hAnsi="Arial" w:cs="Arial"/>
                <w:b/>
                <w:bCs/>
                <w:color w:val="000000"/>
                <w:kern w:val="0"/>
                <w:szCs w:val="21"/>
                <w:highlight w:val="none"/>
                <w:lang w:val="en-US" w:eastAsia="zh-CN"/>
              </w:rPr>
              <w:t>¥</w:t>
            </w:r>
            <w:r>
              <w:rPr>
                <w:rFonts w:hint="eastAsia" w:ascii="宋体" w:hAnsi="宋体" w:cs="宋体"/>
                <w:b/>
                <w:bCs/>
                <w:color w:val="000000"/>
                <w:kern w:val="0"/>
                <w:szCs w:val="21"/>
                <w:highlight w:val="none"/>
                <w:lang w:val="en-US" w:eastAsia="zh-CN"/>
              </w:rPr>
              <w:t>20000.00）</w:t>
            </w:r>
            <w:r>
              <w:rPr>
                <w:rFonts w:hint="eastAsia" w:ascii="宋体" w:hAnsi="宋体" w:cs="宋体"/>
                <w:b/>
                <w:bCs/>
                <w:color w:val="000000"/>
                <w:kern w:val="0"/>
                <w:szCs w:val="21"/>
                <w:highlight w:val="none"/>
              </w:rPr>
              <w:t>；</w:t>
            </w:r>
            <w:r>
              <w:rPr>
                <w:rFonts w:hint="eastAsia" w:ascii="宋体" w:hAnsi="宋体" w:cs="宋体"/>
                <w:b/>
                <w:bCs/>
                <w:color w:val="000000"/>
                <w:kern w:val="0"/>
                <w:szCs w:val="21"/>
                <w:highlight w:val="none"/>
                <w:lang w:val="en-US" w:eastAsia="zh-CN"/>
              </w:rPr>
              <w:t>分标3：玖仟元整（</w:t>
            </w:r>
            <w:r>
              <w:rPr>
                <w:rFonts w:hint="default" w:ascii="Arial" w:hAnsi="Arial" w:cs="Arial"/>
                <w:b/>
                <w:bCs/>
                <w:color w:val="000000"/>
                <w:kern w:val="0"/>
                <w:szCs w:val="21"/>
                <w:highlight w:val="none"/>
                <w:lang w:val="en-US" w:eastAsia="zh-CN"/>
              </w:rPr>
              <w:t>¥</w:t>
            </w:r>
            <w:r>
              <w:rPr>
                <w:rFonts w:hint="eastAsia" w:ascii="宋体" w:hAnsi="宋体" w:cs="宋体"/>
                <w:b/>
                <w:bCs/>
                <w:color w:val="000000"/>
                <w:kern w:val="0"/>
                <w:szCs w:val="21"/>
                <w:highlight w:val="none"/>
                <w:lang w:val="en-US" w:eastAsia="zh-CN"/>
              </w:rPr>
              <w:t>9000.00）；分标4：伍仟元整（</w:t>
            </w:r>
            <w:r>
              <w:rPr>
                <w:rFonts w:hint="default" w:ascii="Arial" w:hAnsi="Arial" w:cs="Arial"/>
                <w:b/>
                <w:bCs/>
                <w:color w:val="000000"/>
                <w:kern w:val="0"/>
                <w:szCs w:val="21"/>
                <w:highlight w:val="none"/>
                <w:lang w:val="en-US" w:eastAsia="zh-CN"/>
              </w:rPr>
              <w:t>¥</w:t>
            </w:r>
            <w:r>
              <w:rPr>
                <w:rFonts w:hint="eastAsia" w:ascii="宋体" w:hAnsi="宋体" w:cs="宋体"/>
                <w:b/>
                <w:bCs/>
                <w:color w:val="000000"/>
                <w:kern w:val="0"/>
                <w:szCs w:val="21"/>
                <w:highlight w:val="none"/>
                <w:lang w:val="en-US" w:eastAsia="zh-CN"/>
              </w:rPr>
              <w:t>5000.00）。</w:t>
            </w:r>
          </w:p>
          <w:p w14:paraId="5394D7B7">
            <w:pPr>
              <w:snapToGrid w:val="0"/>
              <w:spacing w:line="400" w:lineRule="exact"/>
              <w:ind w:firstLine="420" w:firstLineChars="200"/>
              <w:rPr>
                <w:rFonts w:ascii="宋体" w:hAnsi="宋体"/>
                <w:b/>
                <w:bCs/>
                <w:color w:val="000000"/>
                <w:szCs w:val="21"/>
                <w:highlight w:val="none"/>
              </w:rPr>
            </w:pPr>
            <w:r>
              <w:rPr>
                <w:rFonts w:hint="eastAsia" w:ascii="宋体" w:hAnsi="宋体" w:cs="宋体"/>
                <w:color w:val="000000"/>
                <w:kern w:val="0"/>
                <w:szCs w:val="21"/>
                <w:highlight w:val="none"/>
              </w:rPr>
              <w:t>投标保证金的交纳方式：</w:t>
            </w:r>
            <w:r>
              <w:rPr>
                <w:rFonts w:hint="eastAsia" w:ascii="宋体" w:hAnsi="宋体" w:cs="宋体"/>
                <w:highlight w:val="none"/>
              </w:rPr>
              <w:t>支票、汇票、本票、银行转账或者金融机构、担保机构出具的保函（含电子保函）</w:t>
            </w:r>
            <w:r>
              <w:rPr>
                <w:rFonts w:hint="eastAsia" w:ascii="宋体" w:hAnsi="宋体" w:cs="宋体"/>
                <w:color w:val="000000"/>
                <w:kern w:val="0"/>
                <w:szCs w:val="21"/>
                <w:highlight w:val="none"/>
              </w:rPr>
              <w:t>，禁止采用现钞方式。采用银行转账方式的，在投标截止时间前交至指定账户并且到账【开户名称：广西正海招标有限公司，开户银行：广西北部湾银行南宁市兴宁支行，银行账号：800105504300012，行号：313611014014】；采用支票、汇票、本票</w:t>
            </w:r>
            <w:r>
              <w:rPr>
                <w:rFonts w:hint="eastAsia" w:ascii="宋体" w:hAnsi="宋体" w:cs="宋体"/>
                <w:highlight w:val="none"/>
              </w:rPr>
              <w:t>或者金融机构、担保机构出具的保函（含电子保函）</w:t>
            </w:r>
            <w:r>
              <w:rPr>
                <w:rFonts w:hint="eastAsia" w:ascii="宋体" w:hAnsi="宋体" w:cs="宋体"/>
                <w:color w:val="000000"/>
                <w:kern w:val="0"/>
                <w:szCs w:val="21"/>
                <w:highlight w:val="none"/>
              </w:rPr>
              <w:t>，在投标截止时间前，投标人必须递交单独密封的支票、汇票、本票</w:t>
            </w:r>
            <w:r>
              <w:rPr>
                <w:rFonts w:hint="eastAsia" w:ascii="宋体" w:hAnsi="宋体" w:cs="宋体"/>
                <w:highlight w:val="none"/>
              </w:rPr>
              <w:t>或者金融机构、担保机构出具的保函（含电子保函）</w:t>
            </w:r>
            <w:r>
              <w:rPr>
                <w:rFonts w:hint="eastAsia" w:ascii="宋体" w:hAnsi="宋体" w:cs="宋体"/>
                <w:color w:val="000000"/>
                <w:kern w:val="0"/>
                <w:szCs w:val="21"/>
                <w:highlight w:val="none"/>
              </w:rPr>
              <w:t>原件。否则视为无效投标保证金。</w:t>
            </w:r>
            <w:r>
              <w:rPr>
                <w:rFonts w:hint="eastAsia" w:ascii="宋体" w:hAnsi="宋体" w:cs="宋体"/>
                <w:b/>
                <w:bCs/>
                <w:color w:val="000000"/>
                <w:kern w:val="0"/>
                <w:szCs w:val="21"/>
                <w:highlight w:val="none"/>
              </w:rPr>
              <w:t>注：投标保证金转账时请备注“</w:t>
            </w:r>
            <w:r>
              <w:rPr>
                <w:rFonts w:hint="eastAsia" w:ascii="宋体" w:hAnsi="宋体" w:cs="宋体"/>
                <w:b/>
                <w:bCs/>
                <w:color w:val="000000"/>
                <w:kern w:val="0"/>
                <w:szCs w:val="21"/>
                <w:highlight w:val="none"/>
                <w:lang w:eastAsia="zh-CN"/>
              </w:rPr>
              <w:t>项目编号</w:t>
            </w:r>
            <w:r>
              <w:rPr>
                <w:rFonts w:hint="eastAsia" w:ascii="宋体" w:hAnsi="宋体" w:cs="宋体"/>
                <w:b/>
                <w:bCs/>
                <w:color w:val="000000"/>
                <w:kern w:val="0"/>
                <w:szCs w:val="21"/>
                <w:highlight w:val="none"/>
              </w:rPr>
              <w:t>+分标号”等字样。</w:t>
            </w:r>
          </w:p>
          <w:p w14:paraId="690727E2">
            <w:pPr>
              <w:snapToGrid w:val="0"/>
              <w:spacing w:line="400" w:lineRule="exact"/>
              <w:rPr>
                <w:rFonts w:ascii="宋体" w:hAnsi="宋体"/>
                <w:color w:val="000000"/>
                <w:szCs w:val="21"/>
                <w:highlight w:val="none"/>
              </w:rPr>
            </w:pPr>
            <w:r>
              <w:rPr>
                <w:rFonts w:hint="eastAsia" w:ascii="宋体" w:hAnsi="宋体"/>
                <w:color w:val="000000"/>
                <w:szCs w:val="21"/>
                <w:highlight w:val="none"/>
              </w:rPr>
              <w:t>相关要求：</w:t>
            </w:r>
          </w:p>
          <w:p w14:paraId="50F1B6C9">
            <w:pPr>
              <w:pStyle w:val="17"/>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1.投标保证金采用银行转账交纳方式的，在投标截止时间前交至指定账户并且到账，投标人应将银行转账底单的复印件作为投标保证金提交凭证，</w:t>
            </w:r>
            <w:r>
              <w:rPr>
                <w:rFonts w:ascii="宋体" w:hAnsi="宋体"/>
                <w:color w:val="000000"/>
                <w:szCs w:val="21"/>
                <w:highlight w:val="none"/>
              </w:rPr>
              <w:t>放置于</w:t>
            </w:r>
            <w:r>
              <w:rPr>
                <w:rFonts w:hint="eastAsia" w:ascii="宋体" w:hAnsi="宋体"/>
                <w:color w:val="000000"/>
                <w:szCs w:val="21"/>
                <w:highlight w:val="none"/>
              </w:rPr>
              <w:t>商务文件</w:t>
            </w:r>
            <w:r>
              <w:rPr>
                <w:rFonts w:ascii="宋体" w:hAnsi="宋体"/>
                <w:color w:val="000000"/>
                <w:szCs w:val="21"/>
                <w:highlight w:val="none"/>
              </w:rPr>
              <w:t>中</w:t>
            </w:r>
            <w:r>
              <w:rPr>
                <w:rFonts w:hint="eastAsia" w:ascii="宋体" w:hAnsi="宋体"/>
                <w:color w:val="000000"/>
                <w:szCs w:val="21"/>
                <w:highlight w:val="none"/>
              </w:rPr>
              <w:t>，</w:t>
            </w:r>
            <w:r>
              <w:rPr>
                <w:rFonts w:hint="eastAsia" w:ascii="宋体" w:hAnsi="宋体"/>
                <w:b/>
                <w:color w:val="000000"/>
                <w:szCs w:val="21"/>
                <w:highlight w:val="none"/>
              </w:rPr>
              <w:t>否则投标无效</w:t>
            </w:r>
            <w:r>
              <w:rPr>
                <w:rFonts w:hint="eastAsia" w:ascii="宋体" w:hAnsi="宋体"/>
                <w:color w:val="000000"/>
                <w:szCs w:val="21"/>
                <w:highlight w:val="none"/>
              </w:rPr>
              <w:t>。</w:t>
            </w:r>
          </w:p>
          <w:p w14:paraId="686A7DD9">
            <w:pPr>
              <w:pStyle w:val="17"/>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2.投标保证金采用支票、汇票、本票或者</w:t>
            </w:r>
            <w:r>
              <w:rPr>
                <w:rFonts w:hint="eastAsia" w:ascii="宋体" w:hAnsi="宋体" w:cs="宋体"/>
                <w:highlight w:val="none"/>
              </w:rPr>
              <w:t>金融机构、担保机构出具</w:t>
            </w:r>
            <w:r>
              <w:rPr>
                <w:rFonts w:hint="eastAsia" w:ascii="宋体" w:hAnsi="宋体"/>
                <w:color w:val="000000"/>
                <w:szCs w:val="21"/>
                <w:highlight w:val="none"/>
              </w:rPr>
              <w:t>的保函</w:t>
            </w:r>
            <w:r>
              <w:rPr>
                <w:rFonts w:hint="eastAsia" w:ascii="宋体" w:hAnsi="宋体"/>
                <w:color w:val="000000"/>
                <w:szCs w:val="21"/>
                <w:highlight w:val="none"/>
                <w:lang w:eastAsia="zh-CN"/>
              </w:rPr>
              <w:t>（含电子保函）</w:t>
            </w:r>
            <w:r>
              <w:rPr>
                <w:rFonts w:hint="eastAsia" w:ascii="宋体" w:hAnsi="宋体"/>
                <w:color w:val="000000"/>
                <w:szCs w:val="21"/>
                <w:highlight w:val="none"/>
              </w:rPr>
              <w:t>交纳方式的，投标人应在投标截止时间前采用现场或邮寄方式（现场提交地址：</w:t>
            </w:r>
            <w:r>
              <w:rPr>
                <w:rFonts w:hint="eastAsia" w:ascii="宋体" w:hAnsi="宋体"/>
                <w:color w:val="000000"/>
                <w:szCs w:val="21"/>
                <w:highlight w:val="none"/>
                <w:u w:val="single"/>
              </w:rPr>
              <w:t>广西正海招标有限公司（</w:t>
            </w:r>
            <w:r>
              <w:rPr>
                <w:rFonts w:hint="eastAsia" w:ascii="宋体" w:hAnsi="宋体"/>
                <w:color w:val="000000"/>
                <w:szCs w:val="21"/>
                <w:highlight w:val="none"/>
                <w:u w:val="single"/>
                <w:lang w:eastAsia="zh-CN"/>
              </w:rPr>
              <w:t>南宁市青秀区茅桥路2号习艺基地A栋1号电梯3楼</w:t>
            </w:r>
            <w:r>
              <w:rPr>
                <w:rFonts w:hint="eastAsia" w:ascii="宋体" w:hAnsi="宋体"/>
                <w:color w:val="000000"/>
                <w:szCs w:val="21"/>
                <w:highlight w:val="none"/>
                <w:u w:val="single"/>
              </w:rPr>
              <w:t>）</w:t>
            </w:r>
            <w:r>
              <w:rPr>
                <w:rFonts w:hint="eastAsia" w:ascii="宋体" w:hAnsi="宋体"/>
                <w:color w:val="000000"/>
                <w:szCs w:val="21"/>
                <w:highlight w:val="none"/>
              </w:rPr>
              <w:t>；邮寄地址：</w:t>
            </w:r>
            <w:r>
              <w:rPr>
                <w:rFonts w:hint="eastAsia" w:ascii="宋体" w:hAnsi="宋体"/>
                <w:color w:val="000000"/>
                <w:szCs w:val="21"/>
                <w:highlight w:val="none"/>
                <w:u w:val="single"/>
                <w:lang w:eastAsia="zh-CN"/>
              </w:rPr>
              <w:t>南宁市青秀区茅桥路2号习艺基地A栋1号电梯3楼</w:t>
            </w:r>
            <w:r>
              <w:rPr>
                <w:rFonts w:hint="eastAsia" w:ascii="宋体" w:hAnsi="宋体"/>
                <w:color w:val="000000"/>
                <w:szCs w:val="21"/>
                <w:highlight w:val="none"/>
              </w:rPr>
              <w:t>，收件人：</w:t>
            </w:r>
            <w:r>
              <w:rPr>
                <w:rFonts w:hint="eastAsia" w:ascii="宋体" w:hAnsi="宋体"/>
                <w:color w:val="000000"/>
                <w:szCs w:val="21"/>
                <w:highlight w:val="none"/>
                <w:u w:val="single"/>
                <w:lang w:eastAsia="zh-CN"/>
              </w:rPr>
              <w:t>覃旭理、谭斯少、王玉娇</w:t>
            </w:r>
            <w:r>
              <w:rPr>
                <w:rFonts w:hint="eastAsia" w:ascii="宋体" w:hAnsi="宋体"/>
                <w:color w:val="000000"/>
                <w:szCs w:val="21"/>
                <w:highlight w:val="none"/>
              </w:rPr>
              <w:t>，联系方式：</w:t>
            </w:r>
            <w:r>
              <w:rPr>
                <w:rFonts w:hint="eastAsia" w:ascii="宋体" w:hAnsi="宋体"/>
                <w:color w:val="000000"/>
                <w:szCs w:val="21"/>
                <w:highlight w:val="none"/>
                <w:u w:val="single"/>
              </w:rPr>
              <w:t>0771-2865989</w:t>
            </w:r>
            <w:r>
              <w:rPr>
                <w:rFonts w:hint="eastAsia" w:ascii="宋体" w:hAnsi="宋体"/>
                <w:color w:val="000000"/>
                <w:szCs w:val="21"/>
                <w:highlight w:val="none"/>
              </w:rPr>
              <w:t>）将</w:t>
            </w:r>
            <w:r>
              <w:rPr>
                <w:rFonts w:hint="eastAsia" w:ascii="宋体" w:hAnsi="宋体" w:cs="宋体"/>
                <w:color w:val="000000"/>
                <w:kern w:val="0"/>
                <w:szCs w:val="21"/>
                <w:highlight w:val="none"/>
              </w:rPr>
              <w:t>单独密封的</w:t>
            </w:r>
            <w:r>
              <w:rPr>
                <w:rFonts w:hint="eastAsia" w:ascii="宋体" w:hAnsi="宋体"/>
                <w:color w:val="000000"/>
                <w:szCs w:val="21"/>
                <w:highlight w:val="none"/>
              </w:rPr>
              <w:t>支票、汇票、本票或者</w:t>
            </w:r>
            <w:r>
              <w:rPr>
                <w:rFonts w:hint="eastAsia" w:ascii="宋体" w:hAnsi="宋体" w:cs="宋体"/>
                <w:highlight w:val="none"/>
              </w:rPr>
              <w:t>金融机构、担保机构出具</w:t>
            </w:r>
            <w:r>
              <w:rPr>
                <w:rFonts w:hint="eastAsia" w:ascii="宋体" w:hAnsi="宋体"/>
                <w:color w:val="000000"/>
                <w:szCs w:val="21"/>
                <w:highlight w:val="none"/>
              </w:rPr>
              <w:t>的保函</w:t>
            </w:r>
            <w:r>
              <w:rPr>
                <w:rFonts w:hint="eastAsia" w:ascii="宋体" w:hAnsi="宋体"/>
                <w:color w:val="000000"/>
                <w:szCs w:val="21"/>
                <w:highlight w:val="none"/>
                <w:lang w:eastAsia="zh-CN"/>
              </w:rPr>
              <w:t>（含电子保函）</w:t>
            </w:r>
            <w:r>
              <w:rPr>
                <w:rFonts w:hint="eastAsia" w:ascii="宋体" w:hAnsi="宋体"/>
                <w:color w:val="000000"/>
                <w:szCs w:val="21"/>
                <w:highlight w:val="none"/>
              </w:rPr>
              <w:t>原件提交给采购人或者采购代理机构，由采购人或者采购代理机构向投标人出具回执（邮寄方式的除外），并妥善保管。</w:t>
            </w:r>
          </w:p>
          <w:p w14:paraId="1DD3AEBB">
            <w:pPr>
              <w:snapToGrid w:val="0"/>
              <w:spacing w:line="400" w:lineRule="exact"/>
              <w:rPr>
                <w:rFonts w:ascii="宋体" w:hAnsi="宋体"/>
                <w:b/>
                <w:color w:val="000000"/>
                <w:szCs w:val="21"/>
                <w:highlight w:val="none"/>
              </w:rPr>
            </w:pPr>
            <w:r>
              <w:rPr>
                <w:rFonts w:hint="eastAsia" w:ascii="宋体" w:hAnsi="宋体"/>
                <w:b/>
                <w:color w:val="000000"/>
                <w:szCs w:val="21"/>
                <w:highlight w:val="none"/>
              </w:rPr>
              <w:t xml:space="preserve">备注： </w:t>
            </w:r>
          </w:p>
          <w:p w14:paraId="3C4D9DFA">
            <w:pPr>
              <w:snapToGrid w:val="0"/>
              <w:spacing w:line="400" w:lineRule="exact"/>
              <w:rPr>
                <w:rFonts w:ascii="宋体" w:hAnsi="宋体"/>
                <w:b/>
                <w:color w:val="000000"/>
                <w:szCs w:val="21"/>
                <w:highlight w:val="none"/>
              </w:rPr>
            </w:pPr>
            <w:r>
              <w:rPr>
                <w:rFonts w:hint="eastAsia" w:ascii="宋体" w:hAnsi="宋体"/>
                <w:b/>
                <w:color w:val="000000"/>
                <w:szCs w:val="21"/>
                <w:highlight w:val="none"/>
              </w:rPr>
              <w:t>1.投标保证金在投标截止时间后提交的，或者不按规定交纳方式交纳的，或者未足额交纳的（包含保函额度不足的），视为无效投标保证金。</w:t>
            </w:r>
          </w:p>
          <w:p w14:paraId="40408A7B">
            <w:pPr>
              <w:snapToGrid w:val="0"/>
              <w:spacing w:line="400" w:lineRule="exact"/>
              <w:rPr>
                <w:rFonts w:ascii="宋体" w:hAnsi="宋体"/>
                <w:b/>
                <w:color w:val="000000"/>
                <w:szCs w:val="21"/>
                <w:highlight w:val="none"/>
              </w:rPr>
            </w:pPr>
            <w:r>
              <w:rPr>
                <w:rFonts w:hint="eastAsia" w:ascii="宋体" w:hAnsi="宋体"/>
                <w:b/>
                <w:color w:val="000000"/>
                <w:szCs w:val="21"/>
                <w:highlight w:val="none"/>
              </w:rPr>
              <w:t>2.投标人采用现钞方式或者从个人账户（自然人投标除外）转出的投标保证金，视为无效投标保证金。</w:t>
            </w:r>
          </w:p>
          <w:p w14:paraId="491B26D3">
            <w:pPr>
              <w:snapToGrid w:val="0"/>
              <w:spacing w:line="400" w:lineRule="exact"/>
              <w:rPr>
                <w:rFonts w:ascii="宋体" w:hAnsi="宋体"/>
                <w:b/>
                <w:color w:val="000000"/>
                <w:szCs w:val="21"/>
                <w:highlight w:val="none"/>
              </w:rPr>
            </w:pPr>
            <w:r>
              <w:rPr>
                <w:rFonts w:hint="eastAsia" w:ascii="宋体" w:hAnsi="宋体"/>
                <w:b/>
                <w:color w:val="000000"/>
                <w:szCs w:val="21"/>
                <w:highlight w:val="none"/>
              </w:rPr>
              <w:t>3.支票、汇票或者本票出现无效或者背书情形的，视为无效投标保证金。</w:t>
            </w:r>
          </w:p>
          <w:p w14:paraId="305B135F">
            <w:pPr>
              <w:snapToGrid w:val="0"/>
              <w:spacing w:line="400" w:lineRule="exact"/>
              <w:rPr>
                <w:rFonts w:ascii="宋体" w:hAnsi="宋体"/>
                <w:b/>
                <w:color w:val="000000"/>
                <w:szCs w:val="21"/>
                <w:highlight w:val="none"/>
              </w:rPr>
            </w:pPr>
            <w:r>
              <w:rPr>
                <w:rFonts w:hint="eastAsia" w:ascii="宋体" w:hAnsi="宋体"/>
                <w:b/>
                <w:color w:val="000000"/>
                <w:szCs w:val="21"/>
                <w:highlight w:val="none"/>
              </w:rPr>
              <w:t>4.保函</w:t>
            </w:r>
            <w:r>
              <w:rPr>
                <w:rFonts w:hint="eastAsia" w:ascii="宋体" w:hAnsi="宋体"/>
                <w:b/>
                <w:color w:val="000000"/>
                <w:szCs w:val="21"/>
                <w:highlight w:val="none"/>
                <w:lang w:eastAsia="zh-CN"/>
              </w:rPr>
              <w:t>（含电子保函）</w:t>
            </w:r>
            <w:r>
              <w:rPr>
                <w:rFonts w:hint="eastAsia" w:ascii="宋体" w:hAnsi="宋体"/>
                <w:b/>
                <w:color w:val="000000"/>
                <w:szCs w:val="21"/>
                <w:highlight w:val="none"/>
              </w:rPr>
              <w:t>有效期低于投标有效期的，视为无效投标保证金。</w:t>
            </w:r>
          </w:p>
          <w:p w14:paraId="6073EBBF">
            <w:pPr>
              <w:snapToGrid w:val="0"/>
              <w:spacing w:line="400" w:lineRule="exact"/>
              <w:rPr>
                <w:highlight w:val="none"/>
              </w:rPr>
            </w:pPr>
            <w:r>
              <w:rPr>
                <w:rFonts w:hint="eastAsia" w:ascii="宋体" w:hAnsi="宋体"/>
                <w:b/>
                <w:color w:val="000000"/>
                <w:szCs w:val="21"/>
                <w:highlight w:val="none"/>
              </w:rPr>
              <w:t>5.采用银行、保险机构出具保函</w:t>
            </w:r>
            <w:r>
              <w:rPr>
                <w:rFonts w:hint="eastAsia" w:ascii="宋体" w:hAnsi="宋体"/>
                <w:b/>
                <w:color w:val="000000"/>
                <w:szCs w:val="21"/>
                <w:highlight w:val="none"/>
                <w:lang w:eastAsia="zh-CN"/>
              </w:rPr>
              <w:t>（含电子保函）</w:t>
            </w:r>
            <w:r>
              <w:rPr>
                <w:rFonts w:hint="eastAsia" w:ascii="宋体" w:hAnsi="宋体"/>
                <w:b/>
                <w:color w:val="000000"/>
                <w:szCs w:val="21"/>
                <w:highlight w:val="none"/>
              </w:rPr>
              <w:t>的，必须为无条件保函，否则视为无效投标保证金。</w:t>
            </w:r>
          </w:p>
        </w:tc>
      </w:tr>
      <w:tr w14:paraId="05DD3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643D55A8">
            <w:pPr>
              <w:spacing w:line="400" w:lineRule="exact"/>
              <w:jc w:val="center"/>
              <w:rPr>
                <w:rFonts w:ascii="宋体" w:hAnsi="宋体"/>
                <w:color w:val="000000"/>
                <w:szCs w:val="21"/>
                <w:highlight w:val="none"/>
              </w:rPr>
            </w:pPr>
            <w:bookmarkStart w:id="79" w:name="_19.2"/>
            <w:bookmarkEnd w:id="79"/>
            <w:r>
              <w:rPr>
                <w:rFonts w:hint="eastAsia" w:ascii="宋体" w:hAnsi="宋体"/>
                <w:color w:val="000000"/>
                <w:szCs w:val="21"/>
                <w:highlight w:val="none"/>
              </w:rPr>
              <w:t>20</w:t>
            </w:r>
          </w:p>
        </w:tc>
        <w:tc>
          <w:tcPr>
            <w:tcW w:w="7654" w:type="dxa"/>
            <w:tcBorders>
              <w:top w:val="single" w:color="auto" w:sz="4" w:space="0"/>
              <w:left w:val="single" w:color="auto" w:sz="4" w:space="0"/>
              <w:bottom w:val="single" w:color="auto" w:sz="4" w:space="0"/>
              <w:right w:val="single" w:color="auto" w:sz="4" w:space="0"/>
            </w:tcBorders>
            <w:vAlign w:val="center"/>
          </w:tcPr>
          <w:p w14:paraId="03146FAE">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bdr w:val="single" w:color="auto" w:sz="4" w:space="0"/>
              </w:rPr>
              <w:t>√</w:t>
            </w:r>
            <w:r>
              <w:rPr>
                <w:rFonts w:hint="eastAsia" w:ascii="宋体" w:hAnsi="宋体"/>
                <w:color w:val="000000"/>
                <w:szCs w:val="21"/>
                <w:highlight w:val="none"/>
              </w:rPr>
              <w:t>本项目不接受电子备份投标文件；</w:t>
            </w:r>
          </w:p>
          <w:p w14:paraId="360EDEAC">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sym w:font="Wingdings 2" w:char="00A3"/>
            </w:r>
            <w:r>
              <w:rPr>
                <w:rFonts w:hint="eastAsia" w:ascii="宋体" w:hAnsi="宋体"/>
                <w:color w:val="000000"/>
                <w:szCs w:val="21"/>
                <w:highlight w:val="none"/>
              </w:rPr>
              <w:t>本项目接受电子备份投标文件。</w:t>
            </w:r>
          </w:p>
        </w:tc>
      </w:tr>
      <w:tr w14:paraId="30C39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59" w:type="dxa"/>
            <w:tcBorders>
              <w:top w:val="single" w:color="auto" w:sz="4" w:space="0"/>
              <w:left w:val="single" w:color="auto" w:sz="4" w:space="0"/>
              <w:bottom w:val="single" w:color="auto" w:sz="4" w:space="0"/>
              <w:right w:val="single" w:color="auto" w:sz="4" w:space="0"/>
            </w:tcBorders>
            <w:vAlign w:val="center"/>
          </w:tcPr>
          <w:p w14:paraId="51C32439">
            <w:pPr>
              <w:spacing w:line="400" w:lineRule="exact"/>
              <w:jc w:val="center"/>
              <w:rPr>
                <w:rFonts w:ascii="宋体" w:hAnsi="宋体"/>
                <w:color w:val="000000"/>
                <w:szCs w:val="21"/>
                <w:highlight w:val="none"/>
              </w:rPr>
            </w:pPr>
            <w:bookmarkStart w:id="80" w:name="_21.1"/>
            <w:bookmarkEnd w:id="80"/>
            <w:r>
              <w:rPr>
                <w:rFonts w:hint="eastAsia" w:ascii="宋体" w:hAnsi="宋体"/>
                <w:color w:val="000000"/>
                <w:szCs w:val="21"/>
                <w:highlight w:val="none"/>
              </w:rPr>
              <w:t>21.1</w:t>
            </w:r>
          </w:p>
        </w:tc>
        <w:tc>
          <w:tcPr>
            <w:tcW w:w="7654" w:type="dxa"/>
            <w:tcBorders>
              <w:top w:val="single" w:color="auto" w:sz="4" w:space="0"/>
              <w:left w:val="single" w:color="auto" w:sz="4" w:space="0"/>
              <w:bottom w:val="single" w:color="auto" w:sz="4" w:space="0"/>
              <w:right w:val="single" w:color="auto" w:sz="4" w:space="0"/>
            </w:tcBorders>
            <w:vAlign w:val="center"/>
          </w:tcPr>
          <w:p w14:paraId="1EFAC023">
            <w:pPr>
              <w:snapToGrid w:val="0"/>
              <w:spacing w:line="400" w:lineRule="exact"/>
              <w:rPr>
                <w:rFonts w:ascii="宋体" w:hAnsi="宋体"/>
                <w:color w:val="000000"/>
                <w:szCs w:val="21"/>
                <w:highlight w:val="none"/>
                <w:u w:val="single"/>
              </w:rPr>
            </w:pPr>
            <w:r>
              <w:rPr>
                <w:rFonts w:hint="eastAsia" w:ascii="宋体" w:hAnsi="宋体"/>
                <w:color w:val="000000"/>
                <w:szCs w:val="21"/>
                <w:highlight w:val="none"/>
              </w:rPr>
              <w:t>1.投标文件提交截止时间：详见招标公告</w:t>
            </w:r>
          </w:p>
          <w:p w14:paraId="7084ACFD">
            <w:pPr>
              <w:snapToGrid w:val="0"/>
              <w:spacing w:line="400" w:lineRule="exact"/>
              <w:rPr>
                <w:rFonts w:ascii="宋体" w:hAnsi="宋体"/>
                <w:color w:val="000000"/>
                <w:szCs w:val="21"/>
                <w:highlight w:val="none"/>
              </w:rPr>
            </w:pPr>
            <w:r>
              <w:rPr>
                <w:rFonts w:hint="eastAsia" w:ascii="宋体" w:hAnsi="宋体"/>
                <w:color w:val="000000"/>
                <w:szCs w:val="21"/>
                <w:highlight w:val="none"/>
              </w:rPr>
              <w:t>2.投标地点：详见招标公告</w:t>
            </w:r>
          </w:p>
        </w:tc>
      </w:tr>
      <w:tr w14:paraId="440B4F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170480D8">
            <w:pPr>
              <w:spacing w:line="400" w:lineRule="exact"/>
              <w:jc w:val="center"/>
              <w:rPr>
                <w:rFonts w:ascii="宋体" w:hAnsi="宋体"/>
                <w:color w:val="000000"/>
                <w:szCs w:val="21"/>
                <w:highlight w:val="none"/>
              </w:rPr>
            </w:pPr>
            <w:bookmarkStart w:id="81" w:name="_23"/>
            <w:bookmarkEnd w:id="81"/>
            <w:r>
              <w:rPr>
                <w:rFonts w:hint="eastAsia" w:ascii="宋体" w:hAnsi="宋体"/>
                <w:color w:val="000000"/>
                <w:szCs w:val="21"/>
                <w:highlight w:val="none"/>
              </w:rPr>
              <w:t>23</w:t>
            </w:r>
          </w:p>
        </w:tc>
        <w:tc>
          <w:tcPr>
            <w:tcW w:w="7654" w:type="dxa"/>
            <w:tcBorders>
              <w:top w:val="single" w:color="auto" w:sz="4" w:space="0"/>
              <w:left w:val="single" w:color="auto" w:sz="4" w:space="0"/>
              <w:bottom w:val="single" w:color="auto" w:sz="4" w:space="0"/>
              <w:right w:val="single" w:color="auto" w:sz="4" w:space="0"/>
            </w:tcBorders>
            <w:vAlign w:val="center"/>
          </w:tcPr>
          <w:p w14:paraId="6BA84108">
            <w:pPr>
              <w:snapToGrid w:val="0"/>
              <w:spacing w:line="400" w:lineRule="exact"/>
              <w:rPr>
                <w:rFonts w:ascii="宋体" w:hAnsi="宋体"/>
                <w:color w:val="000000"/>
                <w:szCs w:val="21"/>
                <w:highlight w:val="none"/>
              </w:rPr>
            </w:pPr>
            <w:r>
              <w:rPr>
                <w:rFonts w:hint="eastAsia" w:ascii="宋体" w:hAnsi="宋体"/>
                <w:color w:val="000000"/>
                <w:szCs w:val="21"/>
                <w:highlight w:val="none"/>
              </w:rPr>
              <w:t>1.开标时间：详见招标公告</w:t>
            </w:r>
          </w:p>
          <w:p w14:paraId="3D8295F7">
            <w:pPr>
              <w:snapToGrid w:val="0"/>
              <w:spacing w:line="400" w:lineRule="exact"/>
              <w:rPr>
                <w:rFonts w:ascii="宋体" w:hAnsi="宋体"/>
                <w:color w:val="000000"/>
                <w:szCs w:val="21"/>
                <w:highlight w:val="none"/>
              </w:rPr>
            </w:pPr>
            <w:r>
              <w:rPr>
                <w:rFonts w:hint="eastAsia" w:ascii="宋体" w:hAnsi="宋体"/>
                <w:color w:val="000000"/>
                <w:szCs w:val="21"/>
                <w:highlight w:val="none"/>
              </w:rPr>
              <w:t>2.开标地点：详见招标公告</w:t>
            </w:r>
          </w:p>
        </w:tc>
      </w:tr>
      <w:tr w14:paraId="3A5AD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5E6E5110">
            <w:pPr>
              <w:spacing w:line="400" w:lineRule="exact"/>
              <w:jc w:val="center"/>
              <w:rPr>
                <w:rFonts w:ascii="宋体" w:hAnsi="宋体"/>
                <w:color w:val="000000"/>
                <w:szCs w:val="21"/>
                <w:highlight w:val="none"/>
              </w:rPr>
            </w:pPr>
            <w:r>
              <w:rPr>
                <w:rFonts w:hint="eastAsia" w:ascii="宋体" w:hAnsi="宋体"/>
                <w:color w:val="000000"/>
                <w:szCs w:val="21"/>
                <w:highlight w:val="none"/>
              </w:rPr>
              <w:t>24.3（1）</w:t>
            </w:r>
          </w:p>
        </w:tc>
        <w:tc>
          <w:tcPr>
            <w:tcW w:w="7654" w:type="dxa"/>
            <w:tcBorders>
              <w:top w:val="single" w:color="auto" w:sz="4" w:space="0"/>
              <w:left w:val="single" w:color="auto" w:sz="4" w:space="0"/>
              <w:bottom w:val="single" w:color="auto" w:sz="4" w:space="0"/>
              <w:right w:val="single" w:color="auto" w:sz="4" w:space="0"/>
            </w:tcBorders>
            <w:vAlign w:val="center"/>
          </w:tcPr>
          <w:p w14:paraId="40191932">
            <w:pPr>
              <w:snapToGrid w:val="0"/>
              <w:spacing w:line="400" w:lineRule="exact"/>
              <w:rPr>
                <w:rFonts w:ascii="宋体" w:hAnsi="宋体"/>
                <w:color w:val="000000"/>
                <w:szCs w:val="21"/>
                <w:highlight w:val="none"/>
                <w:u w:val="single"/>
              </w:rPr>
            </w:pPr>
            <w:r>
              <w:rPr>
                <w:rFonts w:hint="eastAsia" w:ascii="宋体" w:hAnsi="宋体"/>
                <w:color w:val="000000"/>
                <w:szCs w:val="21"/>
                <w:highlight w:val="none"/>
              </w:rPr>
              <w:t>电子投标文件解密时间：</w:t>
            </w:r>
            <w:r>
              <w:rPr>
                <w:rFonts w:hint="eastAsia" w:ascii="宋体" w:hAnsi="宋体"/>
                <w:color w:val="000000"/>
                <w:szCs w:val="21"/>
                <w:highlight w:val="none"/>
                <w:u w:val="single"/>
              </w:rPr>
              <w:t>30</w:t>
            </w:r>
            <w:r>
              <w:rPr>
                <w:rFonts w:hint="eastAsia" w:ascii="宋体" w:hAnsi="宋体"/>
                <w:color w:val="000000"/>
                <w:szCs w:val="21"/>
                <w:highlight w:val="none"/>
              </w:rPr>
              <w:t>分钟</w:t>
            </w:r>
          </w:p>
        </w:tc>
      </w:tr>
      <w:tr w14:paraId="1C97F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2F717EFB">
            <w:pPr>
              <w:spacing w:line="400" w:lineRule="exact"/>
              <w:jc w:val="center"/>
              <w:rPr>
                <w:rFonts w:ascii="宋体" w:hAnsi="宋体"/>
                <w:color w:val="000000"/>
                <w:szCs w:val="21"/>
                <w:highlight w:val="none"/>
              </w:rPr>
            </w:pPr>
            <w:r>
              <w:rPr>
                <w:rFonts w:hint="eastAsia" w:ascii="宋体" w:hAnsi="宋体"/>
                <w:color w:val="000000"/>
                <w:szCs w:val="21"/>
                <w:highlight w:val="none"/>
              </w:rPr>
              <w:t>24</w:t>
            </w:r>
            <w:r>
              <w:rPr>
                <w:rFonts w:ascii="宋体" w:hAnsi="宋体"/>
                <w:color w:val="000000"/>
                <w:szCs w:val="21"/>
                <w:highlight w:val="none"/>
              </w:rPr>
              <w:t>.3</w:t>
            </w:r>
            <w:r>
              <w:rPr>
                <w:rFonts w:hint="eastAsia" w:ascii="宋体" w:hAnsi="宋体"/>
                <w:color w:val="000000"/>
                <w:szCs w:val="21"/>
                <w:highlight w:val="none"/>
              </w:rPr>
              <w:t>（</w:t>
            </w:r>
            <w:r>
              <w:rPr>
                <w:rFonts w:ascii="宋体" w:hAnsi="宋体"/>
                <w:color w:val="000000"/>
                <w:szCs w:val="21"/>
                <w:highlight w:val="none"/>
              </w:rPr>
              <w:t>2</w:t>
            </w:r>
            <w:r>
              <w:rPr>
                <w:rFonts w:hint="eastAsia" w:ascii="宋体" w:hAnsi="宋体"/>
                <w:color w:val="000000"/>
                <w:szCs w:val="21"/>
                <w:highlight w:val="none"/>
              </w:rPr>
              <w:t>）</w:t>
            </w:r>
          </w:p>
        </w:tc>
        <w:tc>
          <w:tcPr>
            <w:tcW w:w="7654" w:type="dxa"/>
            <w:tcBorders>
              <w:top w:val="single" w:color="auto" w:sz="4" w:space="0"/>
              <w:left w:val="single" w:color="auto" w:sz="4" w:space="0"/>
              <w:bottom w:val="single" w:color="auto" w:sz="4" w:space="0"/>
              <w:right w:val="single" w:color="auto" w:sz="4" w:space="0"/>
            </w:tcBorders>
            <w:vAlign w:val="center"/>
          </w:tcPr>
          <w:p w14:paraId="23CAFE86">
            <w:pPr>
              <w:snapToGrid w:val="0"/>
              <w:spacing w:line="400" w:lineRule="exact"/>
              <w:rPr>
                <w:rFonts w:ascii="宋体" w:hAnsi="宋体"/>
                <w:color w:val="000000"/>
                <w:szCs w:val="21"/>
                <w:highlight w:val="none"/>
              </w:rPr>
            </w:pPr>
            <w:r>
              <w:rPr>
                <w:rFonts w:hint="eastAsia" w:ascii="宋体" w:hAnsi="宋体"/>
                <w:color w:val="000000"/>
                <w:szCs w:val="21"/>
                <w:highlight w:val="none"/>
              </w:rPr>
              <w:t>宣布的内容：投标人名称、投标价格</w:t>
            </w:r>
            <w:r>
              <w:rPr>
                <w:rFonts w:ascii="宋体" w:hAnsi="宋体"/>
                <w:color w:val="000000"/>
                <w:szCs w:val="21"/>
                <w:highlight w:val="none"/>
              </w:rPr>
              <w:t xml:space="preserve"> </w:t>
            </w:r>
          </w:p>
        </w:tc>
      </w:tr>
      <w:tr w14:paraId="5D25B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0A47A0E6">
            <w:pPr>
              <w:spacing w:line="400" w:lineRule="exact"/>
              <w:jc w:val="center"/>
              <w:rPr>
                <w:rFonts w:ascii="宋体" w:hAnsi="宋体"/>
                <w:color w:val="000000"/>
                <w:szCs w:val="21"/>
                <w:highlight w:val="none"/>
              </w:rPr>
            </w:pPr>
            <w:bookmarkStart w:id="82" w:name="_25.3"/>
            <w:bookmarkEnd w:id="82"/>
            <w:r>
              <w:rPr>
                <w:rFonts w:hint="eastAsia" w:ascii="宋体" w:hAnsi="宋体"/>
                <w:color w:val="000000"/>
                <w:szCs w:val="21"/>
                <w:highlight w:val="none"/>
              </w:rPr>
              <w:t>25.3（</w:t>
            </w:r>
            <w:r>
              <w:rPr>
                <w:rFonts w:ascii="宋体" w:hAnsi="宋体"/>
                <w:color w:val="000000"/>
                <w:szCs w:val="21"/>
                <w:highlight w:val="none"/>
              </w:rPr>
              <w:t>2</w:t>
            </w:r>
            <w:r>
              <w:rPr>
                <w:rFonts w:hint="eastAsia" w:ascii="宋体" w:hAnsi="宋体"/>
                <w:color w:val="000000"/>
                <w:szCs w:val="21"/>
                <w:highlight w:val="none"/>
              </w:rPr>
              <w:t>）</w:t>
            </w:r>
          </w:p>
        </w:tc>
        <w:tc>
          <w:tcPr>
            <w:tcW w:w="7654" w:type="dxa"/>
            <w:tcBorders>
              <w:top w:val="single" w:color="auto" w:sz="4" w:space="0"/>
              <w:left w:val="single" w:color="auto" w:sz="4" w:space="0"/>
              <w:bottom w:val="single" w:color="auto" w:sz="4" w:space="0"/>
              <w:right w:val="single" w:color="auto" w:sz="4" w:space="0"/>
            </w:tcBorders>
            <w:vAlign w:val="center"/>
          </w:tcPr>
          <w:p w14:paraId="7C37DE43">
            <w:pPr>
              <w:snapToGrid w:val="0"/>
              <w:spacing w:line="400" w:lineRule="exact"/>
              <w:rPr>
                <w:rFonts w:ascii="宋体" w:hAnsi="宋体"/>
                <w:color w:val="000000"/>
                <w:szCs w:val="21"/>
                <w:highlight w:val="none"/>
              </w:rPr>
            </w:pPr>
            <w:r>
              <w:rPr>
                <w:rFonts w:hint="eastAsia" w:ascii="宋体" w:hAnsi="宋体"/>
                <w:color w:val="000000"/>
                <w:szCs w:val="21"/>
                <w:highlight w:val="none"/>
              </w:rPr>
              <w:t>采购人或者采购代理机构在资格审查结束前，对投标人进行信用查询。</w:t>
            </w:r>
          </w:p>
          <w:p w14:paraId="3AD5BA60">
            <w:pPr>
              <w:snapToGrid w:val="0"/>
              <w:spacing w:line="400" w:lineRule="exact"/>
              <w:rPr>
                <w:rFonts w:ascii="宋体" w:hAnsi="宋体"/>
                <w:color w:val="000000"/>
                <w:szCs w:val="21"/>
                <w:highlight w:val="none"/>
              </w:rPr>
            </w:pPr>
            <w:r>
              <w:rPr>
                <w:rFonts w:hint="eastAsia" w:ascii="宋体" w:hAnsi="宋体"/>
                <w:color w:val="000000"/>
                <w:szCs w:val="21"/>
                <w:highlight w:val="none"/>
              </w:rPr>
              <w:t>查询渠道：“信用中国”网站（www.creditchina.gov.cn） 、中国政府采购网（www.ccgp.gov.cn）。</w:t>
            </w:r>
          </w:p>
          <w:p w14:paraId="43D46072">
            <w:pPr>
              <w:snapToGrid w:val="0"/>
              <w:spacing w:line="400" w:lineRule="exact"/>
              <w:rPr>
                <w:rFonts w:ascii="宋体" w:hAnsi="宋体"/>
                <w:color w:val="000000"/>
                <w:szCs w:val="21"/>
                <w:highlight w:val="none"/>
              </w:rPr>
            </w:pPr>
            <w:r>
              <w:rPr>
                <w:rFonts w:hint="eastAsia" w:ascii="宋体" w:hAnsi="宋体"/>
                <w:color w:val="000000"/>
                <w:szCs w:val="21"/>
                <w:highlight w:val="none"/>
              </w:rPr>
              <w:t>信用查询截止时点：资格审查结束前</w:t>
            </w:r>
          </w:p>
          <w:p w14:paraId="7678F6D5">
            <w:pPr>
              <w:snapToGrid w:val="0"/>
              <w:spacing w:line="400" w:lineRule="exact"/>
              <w:rPr>
                <w:rFonts w:ascii="宋体" w:hAnsi="宋体"/>
                <w:color w:val="000000"/>
                <w:szCs w:val="21"/>
                <w:highlight w:val="none"/>
              </w:rPr>
            </w:pPr>
            <w:r>
              <w:rPr>
                <w:rFonts w:hint="eastAsia" w:ascii="宋体" w:hAnsi="宋体"/>
                <w:color w:val="000000"/>
                <w:szCs w:val="21"/>
                <w:highlight w:val="none"/>
              </w:rPr>
              <w:t>查询记录和证据留存方式：在查询网站中直接截图查询记录，截图作为在广西政府采购云平台作为附件上传保存。</w:t>
            </w:r>
          </w:p>
          <w:p w14:paraId="32B6C628">
            <w:pPr>
              <w:snapToGrid w:val="0"/>
              <w:spacing w:line="400" w:lineRule="exact"/>
              <w:rPr>
                <w:rFonts w:ascii="宋体" w:hAnsi="宋体"/>
                <w:b/>
                <w:color w:val="000000"/>
                <w:szCs w:val="21"/>
                <w:highlight w:val="none"/>
              </w:rPr>
            </w:pPr>
            <w:r>
              <w:rPr>
                <w:rFonts w:hint="eastAsia" w:ascii="宋体" w:hAnsi="宋体"/>
                <w:color w:val="000000"/>
                <w:szCs w:val="21"/>
                <w:highlight w:val="none"/>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tc>
      </w:tr>
      <w:tr w14:paraId="7008C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59C13FDB">
            <w:pPr>
              <w:spacing w:line="400" w:lineRule="exact"/>
              <w:jc w:val="center"/>
              <w:rPr>
                <w:rFonts w:ascii="宋体" w:hAnsi="宋体"/>
                <w:color w:val="000000"/>
                <w:szCs w:val="21"/>
                <w:highlight w:val="none"/>
              </w:rPr>
            </w:pPr>
            <w:bookmarkStart w:id="83" w:name="_26"/>
            <w:bookmarkEnd w:id="83"/>
            <w:r>
              <w:rPr>
                <w:rFonts w:hint="eastAsia" w:ascii="宋体" w:hAnsi="宋体"/>
                <w:color w:val="000000"/>
                <w:szCs w:val="21"/>
                <w:highlight w:val="none"/>
              </w:rPr>
              <w:t>26</w:t>
            </w:r>
            <w:r>
              <w:rPr>
                <w:rFonts w:ascii="宋体" w:hAnsi="宋体"/>
                <w:color w:val="000000"/>
                <w:szCs w:val="21"/>
                <w:highlight w:val="none"/>
              </w:rPr>
              <w:t>.1</w:t>
            </w:r>
          </w:p>
        </w:tc>
        <w:tc>
          <w:tcPr>
            <w:tcW w:w="7654" w:type="dxa"/>
            <w:tcBorders>
              <w:top w:val="single" w:color="auto" w:sz="4" w:space="0"/>
              <w:left w:val="single" w:color="auto" w:sz="4" w:space="0"/>
              <w:bottom w:val="single" w:color="auto" w:sz="4" w:space="0"/>
              <w:right w:val="single" w:color="auto" w:sz="4" w:space="0"/>
            </w:tcBorders>
            <w:vAlign w:val="center"/>
          </w:tcPr>
          <w:p w14:paraId="2CF7D359">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评标委员会的人数：</w:t>
            </w:r>
            <w:r>
              <w:rPr>
                <w:rFonts w:hint="eastAsia" w:ascii="宋体" w:hAnsi="宋体"/>
                <w:color w:val="000000"/>
                <w:szCs w:val="21"/>
                <w:highlight w:val="none"/>
                <w:u w:val="single"/>
              </w:rPr>
              <w:t>5</w:t>
            </w:r>
            <w:r>
              <w:rPr>
                <w:rFonts w:hint="eastAsia" w:ascii="宋体" w:hAnsi="宋体"/>
                <w:color w:val="000000"/>
                <w:szCs w:val="21"/>
                <w:highlight w:val="none"/>
              </w:rPr>
              <w:t>人及以上</w:t>
            </w:r>
          </w:p>
        </w:tc>
      </w:tr>
      <w:tr w14:paraId="57DB01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675A8089">
            <w:pPr>
              <w:spacing w:line="400" w:lineRule="exact"/>
              <w:jc w:val="center"/>
              <w:rPr>
                <w:rFonts w:ascii="宋体" w:hAnsi="宋体"/>
                <w:color w:val="000000"/>
                <w:szCs w:val="21"/>
                <w:highlight w:val="none"/>
              </w:rPr>
            </w:pPr>
            <w:bookmarkStart w:id="84" w:name="_28.3"/>
            <w:bookmarkEnd w:id="84"/>
            <w:r>
              <w:rPr>
                <w:rFonts w:ascii="宋体" w:hAnsi="宋体"/>
                <w:color w:val="000000"/>
                <w:szCs w:val="21"/>
                <w:highlight w:val="none"/>
              </w:rPr>
              <w:t>29.1</w:t>
            </w:r>
          </w:p>
        </w:tc>
        <w:tc>
          <w:tcPr>
            <w:tcW w:w="7654" w:type="dxa"/>
            <w:tcBorders>
              <w:top w:val="single" w:color="auto" w:sz="4" w:space="0"/>
              <w:left w:val="single" w:color="auto" w:sz="4" w:space="0"/>
              <w:bottom w:val="single" w:color="auto" w:sz="4" w:space="0"/>
              <w:right w:val="single" w:color="auto" w:sz="4" w:space="0"/>
            </w:tcBorders>
            <w:vAlign w:val="center"/>
          </w:tcPr>
          <w:p w14:paraId="49752246">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评标方法：</w:t>
            </w:r>
          </w:p>
          <w:p w14:paraId="2D0FB93D">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bdr w:val="single" w:color="auto" w:sz="4" w:space="0"/>
              </w:rPr>
              <w:t>√</w:t>
            </w:r>
            <w:r>
              <w:rPr>
                <w:rFonts w:hint="eastAsia" w:ascii="宋体" w:hAnsi="宋体"/>
                <w:color w:val="000000"/>
                <w:szCs w:val="21"/>
                <w:highlight w:val="none"/>
              </w:rPr>
              <w:t>综合评分法</w:t>
            </w:r>
          </w:p>
          <w:p w14:paraId="244485CA">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□最低评标价法</w:t>
            </w:r>
          </w:p>
        </w:tc>
      </w:tr>
      <w:tr w14:paraId="05FCA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59" w:type="dxa"/>
            <w:tcBorders>
              <w:top w:val="single" w:color="auto" w:sz="4" w:space="0"/>
              <w:left w:val="single" w:color="auto" w:sz="4" w:space="0"/>
              <w:bottom w:val="single" w:color="auto" w:sz="4" w:space="0"/>
              <w:right w:val="single" w:color="auto" w:sz="4" w:space="0"/>
            </w:tcBorders>
            <w:vAlign w:val="center"/>
          </w:tcPr>
          <w:p w14:paraId="72FD96CD">
            <w:pPr>
              <w:spacing w:line="400" w:lineRule="exact"/>
              <w:jc w:val="center"/>
              <w:rPr>
                <w:rFonts w:ascii="宋体" w:hAnsi="宋体"/>
                <w:color w:val="000000"/>
                <w:szCs w:val="21"/>
                <w:highlight w:val="none"/>
              </w:rPr>
            </w:pPr>
            <w:bookmarkStart w:id="85" w:name="_29.2.2（2）"/>
            <w:bookmarkEnd w:id="85"/>
            <w:r>
              <w:rPr>
                <w:rFonts w:hint="eastAsia" w:ascii="宋体" w:hAnsi="宋体"/>
                <w:color w:val="000000"/>
                <w:szCs w:val="21"/>
                <w:highlight w:val="none"/>
              </w:rPr>
              <w:t>2</w:t>
            </w:r>
            <w:r>
              <w:rPr>
                <w:rFonts w:ascii="宋体" w:hAnsi="宋体"/>
                <w:color w:val="000000"/>
                <w:szCs w:val="21"/>
                <w:highlight w:val="none"/>
              </w:rPr>
              <w:t>9.2</w:t>
            </w:r>
          </w:p>
        </w:tc>
        <w:tc>
          <w:tcPr>
            <w:tcW w:w="7654" w:type="dxa"/>
            <w:tcBorders>
              <w:top w:val="single" w:color="auto" w:sz="4" w:space="0"/>
              <w:left w:val="single" w:color="auto" w:sz="4" w:space="0"/>
              <w:right w:val="single" w:color="auto" w:sz="4" w:space="0"/>
            </w:tcBorders>
            <w:vAlign w:val="center"/>
          </w:tcPr>
          <w:p w14:paraId="639B8BC4">
            <w:pPr>
              <w:snapToGrid w:val="0"/>
              <w:spacing w:line="400" w:lineRule="exact"/>
              <w:rPr>
                <w:rFonts w:ascii="宋体" w:hAnsi="宋体"/>
                <w:color w:val="000000"/>
                <w:szCs w:val="21"/>
                <w:highlight w:val="none"/>
              </w:rPr>
            </w:pPr>
            <w:r>
              <w:rPr>
                <w:rFonts w:hint="eastAsia" w:ascii="宋体" w:hAnsi="宋体" w:cs="宋体"/>
                <w:color w:val="000000"/>
                <w:szCs w:val="21"/>
                <w:highlight w:val="none"/>
              </w:rPr>
              <w:t>商务要求</w:t>
            </w:r>
            <w:r>
              <w:rPr>
                <w:rFonts w:hint="eastAsia" w:ascii="宋体" w:hAnsi="宋体"/>
                <w:color w:val="000000"/>
                <w:szCs w:val="21"/>
                <w:highlight w:val="none"/>
              </w:rPr>
              <w:t>评审中允许负偏离的条款数为</w:t>
            </w:r>
            <w:r>
              <w:rPr>
                <w:rFonts w:hint="eastAsia" w:ascii="宋体" w:hAnsi="宋体"/>
                <w:color w:val="000000"/>
                <w:szCs w:val="21"/>
                <w:highlight w:val="none"/>
                <w:u w:val="single"/>
              </w:rPr>
              <w:t>0</w:t>
            </w:r>
            <w:r>
              <w:rPr>
                <w:rFonts w:hint="eastAsia" w:ascii="宋体" w:hAnsi="宋体"/>
                <w:color w:val="000000"/>
                <w:szCs w:val="21"/>
                <w:highlight w:val="none"/>
              </w:rPr>
              <w:t>项</w:t>
            </w:r>
            <w:r>
              <w:rPr>
                <w:rFonts w:hint="eastAsia" w:ascii="宋体" w:hAnsi="宋体" w:cs="宋体"/>
                <w:color w:val="000000"/>
                <w:szCs w:val="21"/>
                <w:highlight w:val="none"/>
              </w:rPr>
              <w:t>（负偏离达到1项及以上则投标无效）</w:t>
            </w:r>
            <w:r>
              <w:rPr>
                <w:rFonts w:hint="eastAsia" w:ascii="宋体" w:hAnsi="宋体"/>
                <w:color w:val="000000"/>
                <w:szCs w:val="21"/>
                <w:highlight w:val="none"/>
              </w:rPr>
              <w:t>。</w:t>
            </w:r>
          </w:p>
          <w:p w14:paraId="44999ECE">
            <w:pPr>
              <w:snapToGrid w:val="0"/>
              <w:spacing w:line="400" w:lineRule="exact"/>
              <w:rPr>
                <w:rFonts w:ascii="宋体" w:hAnsi="宋体" w:cs="宋体"/>
                <w:color w:val="000000"/>
                <w:szCs w:val="21"/>
                <w:highlight w:val="none"/>
              </w:rPr>
            </w:pPr>
            <w:r>
              <w:rPr>
                <w:rFonts w:hint="eastAsia" w:ascii="宋体" w:hAnsi="宋体" w:cs="宋体"/>
                <w:color w:val="000000"/>
                <w:szCs w:val="21"/>
                <w:highlight w:val="none"/>
              </w:rPr>
              <w:t>技术评审中允许负偏离的项目数为</w:t>
            </w:r>
            <w:r>
              <w:rPr>
                <w:rFonts w:hint="eastAsia" w:ascii="宋体" w:hAnsi="宋体" w:cs="宋体"/>
                <w:color w:val="000000"/>
                <w:szCs w:val="21"/>
                <w:highlight w:val="none"/>
                <w:u w:val="single"/>
                <w:lang w:val="en-US" w:eastAsia="zh-CN"/>
              </w:rPr>
              <w:t>2</w:t>
            </w:r>
            <w:r>
              <w:rPr>
                <w:rFonts w:hint="eastAsia" w:ascii="宋体" w:hAnsi="宋体" w:cs="宋体"/>
                <w:color w:val="000000"/>
                <w:szCs w:val="21"/>
                <w:highlight w:val="none"/>
              </w:rPr>
              <w:t>项。（负偏离达到</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项及以上则投标无效）。</w:t>
            </w:r>
          </w:p>
        </w:tc>
      </w:tr>
      <w:tr w14:paraId="315789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59" w:type="dxa"/>
            <w:tcBorders>
              <w:top w:val="single" w:color="auto" w:sz="4" w:space="0"/>
              <w:left w:val="single" w:color="auto" w:sz="4" w:space="0"/>
              <w:bottom w:val="single" w:color="auto" w:sz="4" w:space="0"/>
              <w:right w:val="single" w:color="auto" w:sz="4" w:space="0"/>
            </w:tcBorders>
            <w:vAlign w:val="center"/>
          </w:tcPr>
          <w:p w14:paraId="3DDC5D2C">
            <w:pPr>
              <w:spacing w:line="400" w:lineRule="exact"/>
              <w:jc w:val="center"/>
              <w:rPr>
                <w:rFonts w:ascii="宋体" w:hAnsi="宋体"/>
                <w:color w:val="000000"/>
                <w:szCs w:val="21"/>
                <w:highlight w:val="none"/>
              </w:rPr>
            </w:pPr>
            <w:r>
              <w:rPr>
                <w:rFonts w:hint="eastAsia" w:ascii="宋体" w:hAnsi="宋体"/>
                <w:color w:val="000000"/>
                <w:szCs w:val="21"/>
                <w:highlight w:val="none"/>
              </w:rPr>
              <w:t>2</w:t>
            </w:r>
            <w:r>
              <w:rPr>
                <w:rFonts w:ascii="宋体" w:hAnsi="宋体"/>
                <w:color w:val="000000"/>
                <w:szCs w:val="21"/>
                <w:highlight w:val="none"/>
              </w:rPr>
              <w:t>9.3</w:t>
            </w:r>
          </w:p>
        </w:tc>
        <w:tc>
          <w:tcPr>
            <w:tcW w:w="7654" w:type="dxa"/>
            <w:tcBorders>
              <w:top w:val="single" w:color="auto" w:sz="4" w:space="0"/>
              <w:left w:val="single" w:color="auto" w:sz="4" w:space="0"/>
              <w:right w:val="single" w:color="auto" w:sz="4" w:space="0"/>
            </w:tcBorders>
            <w:vAlign w:val="center"/>
          </w:tcPr>
          <w:p w14:paraId="1748F97A">
            <w:pPr>
              <w:snapToGrid w:val="0"/>
              <w:spacing w:line="400" w:lineRule="exact"/>
              <w:rPr>
                <w:rFonts w:ascii="宋体" w:hAnsi="宋体"/>
                <w:color w:val="000000"/>
                <w:szCs w:val="21"/>
                <w:highlight w:val="none"/>
              </w:rPr>
            </w:pPr>
            <w:r>
              <w:rPr>
                <w:rFonts w:ascii="宋体" w:hAnsi="宋体"/>
                <w:color w:val="000000"/>
                <w:szCs w:val="21"/>
                <w:highlight w:val="none"/>
              </w:rPr>
              <w:t>中标候选人推荐数量</w:t>
            </w:r>
            <w:r>
              <w:rPr>
                <w:rFonts w:hint="eastAsia" w:ascii="宋体" w:hAnsi="宋体"/>
                <w:color w:val="000000"/>
                <w:szCs w:val="21"/>
                <w:highlight w:val="none"/>
              </w:rPr>
              <w:t>：</w:t>
            </w:r>
          </w:p>
          <w:p w14:paraId="7B5F9FFD">
            <w:pPr>
              <w:snapToGrid w:val="0"/>
              <w:spacing w:line="400" w:lineRule="exact"/>
              <w:rPr>
                <w:rFonts w:ascii="宋体" w:hAnsi="宋体"/>
                <w:color w:val="000000"/>
                <w:szCs w:val="21"/>
                <w:highlight w:val="none"/>
              </w:rPr>
            </w:pPr>
            <w:r>
              <w:rPr>
                <w:rFonts w:hint="eastAsia" w:ascii="宋体" w:hAnsi="宋体"/>
                <w:color w:val="000000"/>
                <w:szCs w:val="21"/>
                <w:highlight w:val="none"/>
                <w:bdr w:val="single" w:color="auto" w:sz="4" w:space="0"/>
              </w:rPr>
              <w:t>√</w:t>
            </w:r>
            <w:r>
              <w:rPr>
                <w:rFonts w:hint="eastAsia" w:ascii="宋体" w:hAnsi="宋体"/>
                <w:color w:val="000000"/>
                <w:szCs w:val="21"/>
                <w:highlight w:val="none"/>
                <w:u w:val="single"/>
              </w:rPr>
              <w:t>3</w:t>
            </w:r>
            <w:r>
              <w:rPr>
                <w:rFonts w:ascii="宋体" w:hAnsi="宋体"/>
                <w:color w:val="000000"/>
                <w:szCs w:val="21"/>
                <w:highlight w:val="none"/>
              </w:rPr>
              <w:t>名</w:t>
            </w:r>
          </w:p>
          <w:p w14:paraId="5A6A2738">
            <w:pPr>
              <w:snapToGrid w:val="0"/>
              <w:spacing w:line="400" w:lineRule="exact"/>
              <w:rPr>
                <w:rFonts w:ascii="宋体" w:hAnsi="宋体" w:cs="宋体"/>
                <w:color w:val="000000"/>
                <w:szCs w:val="21"/>
                <w:highlight w:val="none"/>
                <w:u w:val="single"/>
              </w:rPr>
            </w:pPr>
            <w:r>
              <w:rPr>
                <w:rFonts w:hint="eastAsia" w:ascii="宋体" w:hAnsi="宋体"/>
                <w:color w:val="000000"/>
                <w:szCs w:val="21"/>
                <w:highlight w:val="none"/>
              </w:rPr>
              <w:t>根据[总得分由高到低排列次序并全部推荐为中标候选人</w:t>
            </w:r>
          </w:p>
        </w:tc>
      </w:tr>
      <w:tr w14:paraId="6ED5FB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39AEDC97">
            <w:pPr>
              <w:spacing w:line="400" w:lineRule="exact"/>
              <w:jc w:val="center"/>
              <w:rPr>
                <w:rFonts w:ascii="宋体" w:hAnsi="宋体"/>
                <w:color w:val="000000"/>
                <w:szCs w:val="21"/>
                <w:highlight w:val="none"/>
              </w:rPr>
            </w:pPr>
            <w:r>
              <w:rPr>
                <w:rFonts w:hint="eastAsia" w:ascii="宋体" w:hAnsi="宋体"/>
                <w:color w:val="000000"/>
                <w:szCs w:val="21"/>
                <w:highlight w:val="none"/>
              </w:rPr>
              <w:t>30</w:t>
            </w:r>
            <w:r>
              <w:rPr>
                <w:rFonts w:ascii="宋体" w:hAnsi="宋体"/>
                <w:color w:val="000000"/>
                <w:szCs w:val="21"/>
                <w:highlight w:val="none"/>
              </w:rPr>
              <w:t>.1</w:t>
            </w:r>
          </w:p>
        </w:tc>
        <w:tc>
          <w:tcPr>
            <w:tcW w:w="7654" w:type="dxa"/>
            <w:tcBorders>
              <w:top w:val="single" w:color="auto" w:sz="4" w:space="0"/>
              <w:left w:val="single" w:color="auto" w:sz="4" w:space="0"/>
              <w:bottom w:val="single" w:color="auto" w:sz="4" w:space="0"/>
              <w:right w:val="single" w:color="auto" w:sz="4" w:space="0"/>
            </w:tcBorders>
            <w:vAlign w:val="center"/>
          </w:tcPr>
          <w:p w14:paraId="61695B1D">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采用综合评分法的采购项目，采购人确定中标人时，出现中标候选人并列的情形，采购人按以下的方式确定中标人：</w:t>
            </w:r>
          </w:p>
          <w:p w14:paraId="1354F15D">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bdr w:val="single" w:color="auto" w:sz="4" w:space="0"/>
              </w:rPr>
              <w:t>√</w:t>
            </w:r>
            <w:r>
              <w:rPr>
                <w:rFonts w:hint="eastAsia" w:ascii="宋体" w:hAnsi="宋体"/>
                <w:color w:val="000000"/>
                <w:szCs w:val="21"/>
                <w:highlight w:val="none"/>
              </w:rPr>
              <w:t>依次按投标报价低的优先、政策分得分高的优先、技术评分高的优先、商务评分高的优先、保修期长优先、交货期短优先、故障响应时间短优先的顺序确定；</w:t>
            </w:r>
          </w:p>
          <w:p w14:paraId="1B34866B">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□随机抽取；</w:t>
            </w:r>
          </w:p>
        </w:tc>
      </w:tr>
      <w:tr w14:paraId="504EB8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59" w:type="dxa"/>
            <w:tcBorders>
              <w:top w:val="single" w:color="auto" w:sz="4" w:space="0"/>
              <w:left w:val="single" w:color="auto" w:sz="4" w:space="0"/>
              <w:bottom w:val="single" w:color="auto" w:sz="4" w:space="0"/>
              <w:right w:val="single" w:color="auto" w:sz="4" w:space="0"/>
            </w:tcBorders>
            <w:vAlign w:val="center"/>
          </w:tcPr>
          <w:p w14:paraId="14BBACFE">
            <w:pPr>
              <w:spacing w:line="400" w:lineRule="exact"/>
              <w:jc w:val="center"/>
              <w:rPr>
                <w:rFonts w:ascii="宋体" w:hAnsi="宋体"/>
                <w:color w:val="000000"/>
                <w:szCs w:val="21"/>
                <w:highlight w:val="none"/>
              </w:rPr>
            </w:pPr>
            <w:bookmarkStart w:id="86" w:name="_39.1"/>
            <w:bookmarkEnd w:id="86"/>
            <w:r>
              <w:rPr>
                <w:rFonts w:hint="eastAsia" w:ascii="宋体" w:hAnsi="宋体"/>
                <w:color w:val="000000"/>
                <w:szCs w:val="21"/>
                <w:highlight w:val="none"/>
              </w:rPr>
              <w:t>35</w:t>
            </w:r>
            <w:r>
              <w:rPr>
                <w:rFonts w:ascii="宋体" w:hAnsi="宋体"/>
                <w:color w:val="000000"/>
                <w:szCs w:val="21"/>
                <w:highlight w:val="none"/>
              </w:rPr>
              <w:t>.1</w:t>
            </w:r>
          </w:p>
        </w:tc>
        <w:tc>
          <w:tcPr>
            <w:tcW w:w="7654" w:type="dxa"/>
            <w:tcBorders>
              <w:top w:val="single" w:color="auto" w:sz="4" w:space="0"/>
              <w:left w:val="single" w:color="auto" w:sz="4" w:space="0"/>
              <w:bottom w:val="single" w:color="auto" w:sz="4" w:space="0"/>
              <w:right w:val="single" w:color="auto" w:sz="4" w:space="0"/>
            </w:tcBorders>
            <w:vAlign w:val="center"/>
          </w:tcPr>
          <w:p w14:paraId="2E3B7868">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sym w:font="Wingdings 2" w:char="00A3"/>
            </w:r>
            <w:r>
              <w:rPr>
                <w:rFonts w:hint="eastAsia" w:ascii="宋体" w:hAnsi="宋体"/>
                <w:color w:val="000000"/>
                <w:szCs w:val="21"/>
                <w:highlight w:val="none"/>
              </w:rPr>
              <w:t>本项目不收取履约保证金。</w:t>
            </w:r>
          </w:p>
          <w:p w14:paraId="316C9541">
            <w:pPr>
              <w:autoSpaceDE w:val="0"/>
              <w:autoSpaceDN w:val="0"/>
              <w:snapToGrid w:val="0"/>
              <w:spacing w:line="400" w:lineRule="exact"/>
              <w:textAlignment w:val="bottom"/>
              <w:rPr>
                <w:rFonts w:ascii="宋体" w:hAnsi="宋体"/>
                <w:b/>
                <w:bCs/>
                <w:color w:val="000000"/>
                <w:szCs w:val="21"/>
                <w:highlight w:val="none"/>
              </w:rPr>
            </w:pPr>
            <w:r>
              <w:rPr>
                <w:rFonts w:hint="eastAsia" w:ascii="宋体" w:hAnsi="宋体"/>
                <w:b/>
                <w:bCs/>
                <w:color w:val="000000"/>
                <w:szCs w:val="21"/>
                <w:highlight w:val="none"/>
              </w:rPr>
              <w:sym w:font="Wingdings 2" w:char="0052"/>
            </w:r>
            <w:r>
              <w:rPr>
                <w:rFonts w:hint="eastAsia" w:ascii="宋体" w:hAnsi="宋体"/>
                <w:b/>
                <w:bCs/>
                <w:color w:val="000000"/>
                <w:szCs w:val="21"/>
                <w:highlight w:val="none"/>
              </w:rPr>
              <w:t>本项目收取履约保证金，具体规定如下：</w:t>
            </w:r>
          </w:p>
          <w:p w14:paraId="617620ED">
            <w:pPr>
              <w:keepNext w:val="0"/>
              <w:keepLines w:val="0"/>
              <w:pageBreakBefore w:val="0"/>
              <w:widowControl/>
              <w:numPr>
                <w:ilvl w:val="0"/>
                <w:numId w:val="0"/>
              </w:numPr>
              <w:suppressLineNumbers w:val="0"/>
              <w:kinsoku/>
              <w:wordWrap/>
              <w:overflowPunct/>
              <w:topLinePunct w:val="0"/>
              <w:bidi w:val="0"/>
              <w:adjustRightInd/>
              <w:snapToGrid/>
              <w:spacing w:line="360" w:lineRule="auto"/>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1.履约保证金金额：中标金额的</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val="en-US" w:eastAsia="zh-CN"/>
              </w:rPr>
              <w:t>%。（若中标人被评标委员会认定为中小企业的，履约保证金数额将按中标金额的2%收取）</w:t>
            </w:r>
          </w:p>
          <w:p w14:paraId="37C1130A">
            <w:pPr>
              <w:keepNext w:val="0"/>
              <w:keepLines w:val="0"/>
              <w:pageBreakBefore w:val="0"/>
              <w:widowControl/>
              <w:numPr>
                <w:ilvl w:val="0"/>
                <w:numId w:val="0"/>
              </w:numPr>
              <w:suppressLineNumbers w:val="0"/>
              <w:kinsoku/>
              <w:wordWrap/>
              <w:overflowPunct/>
              <w:topLinePunct w:val="0"/>
              <w:bidi w:val="0"/>
              <w:adjustRightInd/>
              <w:snapToGrid/>
              <w:spacing w:line="360" w:lineRule="auto"/>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2.履约保证金递交方式：转账或电汇等形式（支持支票、汇票、本票、保函等形式）</w:t>
            </w:r>
          </w:p>
          <w:p w14:paraId="67A1DBC7">
            <w:pPr>
              <w:keepNext w:val="0"/>
              <w:keepLines w:val="0"/>
              <w:pageBreakBefore w:val="0"/>
              <w:widowControl/>
              <w:suppressLineNumbers w:val="0"/>
              <w:kinsoku/>
              <w:wordWrap/>
              <w:overflowPunct/>
              <w:topLinePunct w:val="0"/>
              <w:bidi w:val="0"/>
              <w:adjustRightInd/>
              <w:snapToGrid/>
              <w:spacing w:line="360" w:lineRule="auto"/>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3.履约保证金递交时间：</w:t>
            </w:r>
            <w:r>
              <w:rPr>
                <w:rFonts w:hint="eastAsia" w:ascii="宋体" w:hAnsi="宋体" w:cs="宋体"/>
                <w:b w:val="0"/>
                <w:bCs w:val="0"/>
                <w:color w:val="auto"/>
                <w:sz w:val="21"/>
                <w:szCs w:val="21"/>
                <w:highlight w:val="none"/>
                <w:lang w:val="en-US" w:eastAsia="zh-CN"/>
              </w:rPr>
              <w:t>签订合同后3个工作日内由中标人转入采购人指定保证金账户。</w:t>
            </w:r>
          </w:p>
          <w:p w14:paraId="53EC293A">
            <w:pPr>
              <w:keepNext w:val="0"/>
              <w:keepLines w:val="0"/>
              <w:pageBreakBefore w:val="0"/>
              <w:widowControl/>
              <w:suppressLineNumbers w:val="0"/>
              <w:kinsoku/>
              <w:wordWrap/>
              <w:overflowPunct/>
              <w:topLinePunct w:val="0"/>
              <w:bidi w:val="0"/>
              <w:adjustRightInd/>
              <w:snapToGrid/>
              <w:spacing w:line="360" w:lineRule="auto"/>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4.履约保证金期限：验收合格之日起一年</w:t>
            </w:r>
          </w:p>
          <w:p w14:paraId="0EF40E94">
            <w:pPr>
              <w:keepNext w:val="0"/>
              <w:keepLines w:val="0"/>
              <w:pageBreakBefore w:val="0"/>
              <w:widowControl/>
              <w:suppressLineNumbers w:val="0"/>
              <w:kinsoku/>
              <w:wordWrap/>
              <w:overflowPunct/>
              <w:topLinePunct w:val="0"/>
              <w:bidi w:val="0"/>
              <w:adjustRightInd/>
              <w:snapToGrid/>
              <w:spacing w:line="360" w:lineRule="auto"/>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履约保证金退还：履约保证期满后中标人无违约行为，中标人提供《政府采购项目履约保证金退付意见书》及《政府采购项目合同验收报告》，向采购人提出书面申请退还，采购人在收到申请后5个工作日内按照履约保证金缴纳的具体方式，配合中标人办理无息退还事宜。保证金指定账户：</w:t>
            </w:r>
          </w:p>
          <w:p w14:paraId="1D03A632">
            <w:pPr>
              <w:keepNext w:val="0"/>
              <w:keepLines w:val="0"/>
              <w:pageBreakBefore w:val="0"/>
              <w:widowControl/>
              <w:suppressLineNumbers w:val="0"/>
              <w:kinsoku/>
              <w:wordWrap/>
              <w:overflowPunct/>
              <w:topLinePunct w:val="0"/>
              <w:bidi w:val="0"/>
              <w:adjustRightInd/>
              <w:snapToGrid/>
              <w:spacing w:line="360" w:lineRule="auto"/>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开户名：广西制造工程职业技术学院</w:t>
            </w:r>
          </w:p>
          <w:p w14:paraId="2671AE6D">
            <w:pPr>
              <w:keepNext w:val="0"/>
              <w:keepLines w:val="0"/>
              <w:pageBreakBefore w:val="0"/>
              <w:widowControl/>
              <w:suppressLineNumbers w:val="0"/>
              <w:kinsoku/>
              <w:wordWrap/>
              <w:overflowPunct/>
              <w:topLinePunct w:val="0"/>
              <w:bidi w:val="0"/>
              <w:adjustRightInd/>
              <w:snapToGrid/>
              <w:spacing w:line="360" w:lineRule="auto"/>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开户行：农行南宁东盟经济园区支行</w:t>
            </w:r>
          </w:p>
          <w:p w14:paraId="408313B5">
            <w:pPr>
              <w:spacing w:line="360" w:lineRule="auto"/>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账  号：20036501040014065</w:t>
            </w:r>
          </w:p>
          <w:p w14:paraId="0472FB08">
            <w:pPr>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w:t>
            </w:r>
          </w:p>
          <w:p w14:paraId="3B9E18AF">
            <w:pPr>
              <w:spacing w:line="360" w:lineRule="auto"/>
              <w:contextualSpacing/>
              <w:rPr>
                <w:rFonts w:ascii="宋体" w:hAnsi="宋体" w:cs="宋体"/>
                <w:b/>
                <w:color w:val="000000"/>
                <w:szCs w:val="21"/>
                <w:highlight w:val="none"/>
              </w:rPr>
            </w:pPr>
            <w:r>
              <w:rPr>
                <w:rFonts w:hint="eastAsia" w:ascii="宋体" w:hAnsi="宋体" w:cs="宋体"/>
                <w:b/>
                <w:color w:val="000000"/>
                <w:szCs w:val="21"/>
                <w:highlight w:val="none"/>
              </w:rPr>
              <w:t>1.</w:t>
            </w:r>
            <w:bookmarkStart w:id="87" w:name="_Hlk54170335"/>
            <w:r>
              <w:rPr>
                <w:rFonts w:hint="eastAsia" w:ascii="宋体" w:hAnsi="宋体" w:cs="宋体"/>
                <w:b/>
                <w:color w:val="000000"/>
                <w:szCs w:val="21"/>
                <w:highlight w:val="none"/>
              </w:rPr>
              <w:t>根据《广西壮族自治区财政厅关于持续优化政府采购营商环境推动高质量发展的通知》（</w:t>
            </w:r>
            <w:r>
              <w:rPr>
                <w:rFonts w:hint="eastAsia" w:ascii="宋体" w:hAnsi="宋体" w:cs="宋体"/>
                <w:b/>
                <w:color w:val="000000"/>
                <w:szCs w:val="21"/>
                <w:highlight w:val="none"/>
                <w:lang w:eastAsia="zh-CN"/>
              </w:rPr>
              <w:t>桂财采〔2024〕55号</w:t>
            </w:r>
            <w:r>
              <w:rPr>
                <w:rFonts w:hint="eastAsia" w:ascii="宋体" w:hAnsi="宋体" w:cs="宋体"/>
                <w:b/>
                <w:color w:val="000000"/>
                <w:szCs w:val="21"/>
                <w:highlight w:val="none"/>
              </w:rPr>
              <w:t>）规定，采购人在</w:t>
            </w:r>
            <w:r>
              <w:rPr>
                <w:rFonts w:hint="eastAsia" w:ascii="宋体" w:hAnsi="宋体" w:cs="宋体"/>
                <w:b/>
                <w:color w:val="000000"/>
                <w:szCs w:val="21"/>
                <w:highlight w:val="none"/>
                <w:lang w:eastAsia="zh-CN"/>
              </w:rPr>
              <w:t>招标</w:t>
            </w:r>
            <w:r>
              <w:rPr>
                <w:rFonts w:hint="eastAsia" w:ascii="宋体" w:hAnsi="宋体" w:cs="宋体"/>
                <w:b/>
                <w:color w:val="000000"/>
                <w:szCs w:val="21"/>
                <w:highlight w:val="none"/>
              </w:rPr>
              <w:t>文件中要求提交履约保证金的，履约保证金数额不得超过政府采购合同金额的5%；政府采购要加大对中小企业发展的扶持力度，对中小企业收取的履约保证金数额不得超过政府采购合同金额的2%。</w:t>
            </w:r>
            <w:bookmarkEnd w:id="87"/>
          </w:p>
          <w:p w14:paraId="16B3D763">
            <w:pPr>
              <w:spacing w:line="360" w:lineRule="auto"/>
              <w:jc w:val="left"/>
              <w:rPr>
                <w:rFonts w:ascii="宋体" w:hAnsi="宋体"/>
                <w:b/>
                <w:color w:val="000000"/>
                <w:szCs w:val="21"/>
                <w:highlight w:val="none"/>
              </w:rPr>
            </w:pPr>
            <w:r>
              <w:rPr>
                <w:rFonts w:hint="eastAsia" w:ascii="宋体" w:hAnsi="宋体"/>
                <w:b/>
                <w:color w:val="000000"/>
                <w:szCs w:val="21"/>
                <w:highlight w:val="none"/>
              </w:rPr>
              <w:t>2</w:t>
            </w:r>
            <w:r>
              <w:rPr>
                <w:rFonts w:ascii="宋体" w:hAnsi="宋体"/>
                <w:b/>
                <w:color w:val="000000"/>
                <w:szCs w:val="21"/>
                <w:highlight w:val="none"/>
              </w:rPr>
              <w:t>.</w:t>
            </w:r>
            <w:r>
              <w:rPr>
                <w:rFonts w:hint="eastAsia" w:ascii="宋体" w:hAnsi="宋体"/>
                <w:b/>
                <w:color w:val="000000"/>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61AEDACA">
            <w:pPr>
              <w:spacing w:line="360" w:lineRule="auto"/>
              <w:jc w:val="left"/>
              <w:rPr>
                <w:rFonts w:ascii="宋体" w:hAnsi="宋体"/>
                <w:b/>
                <w:color w:val="000000"/>
                <w:szCs w:val="21"/>
                <w:highlight w:val="none"/>
              </w:rPr>
            </w:pPr>
            <w:r>
              <w:rPr>
                <w:rFonts w:hint="eastAsia" w:ascii="宋体" w:hAnsi="宋体"/>
                <w:b/>
                <w:color w:val="000000"/>
                <w:szCs w:val="21"/>
                <w:highlight w:val="none"/>
              </w:rPr>
              <w:t>3</w:t>
            </w:r>
            <w:r>
              <w:rPr>
                <w:rFonts w:ascii="宋体" w:hAnsi="宋体"/>
                <w:b/>
                <w:color w:val="000000"/>
                <w:szCs w:val="21"/>
                <w:highlight w:val="none"/>
              </w:rPr>
              <w:t>.采用银行、保险机构出具的保函的，必须为无条件保函，否则不予签订合同。</w:t>
            </w:r>
          </w:p>
          <w:p w14:paraId="70E2FAA7">
            <w:pPr>
              <w:spacing w:line="360" w:lineRule="auto"/>
              <w:jc w:val="left"/>
              <w:rPr>
                <w:rFonts w:ascii="宋体" w:hAnsi="宋体" w:cs="宋体"/>
                <w:color w:val="000000"/>
                <w:kern w:val="0"/>
                <w:szCs w:val="21"/>
                <w:highlight w:val="none"/>
              </w:rPr>
            </w:pPr>
            <w:r>
              <w:rPr>
                <w:rFonts w:hint="eastAsia" w:ascii="宋体" w:hAnsi="宋体"/>
                <w:b/>
                <w:color w:val="000000"/>
                <w:szCs w:val="21"/>
                <w:highlight w:val="none"/>
              </w:rPr>
              <w:t>4</w:t>
            </w:r>
            <w:r>
              <w:rPr>
                <w:rFonts w:ascii="宋体" w:hAnsi="宋体"/>
                <w:b/>
                <w:color w:val="000000"/>
                <w:szCs w:val="21"/>
                <w:highlight w:val="none"/>
              </w:rPr>
              <w:t>.</w:t>
            </w:r>
            <w:r>
              <w:rPr>
                <w:rFonts w:hint="eastAsia" w:ascii="宋体" w:hAnsi="宋体"/>
                <w:b/>
                <w:color w:val="000000"/>
                <w:szCs w:val="21"/>
                <w:highlight w:val="none"/>
              </w:rPr>
              <w:t>投标人为联合体的，由联合体其中一方按规定提交的履约保证金，视为有效履约保证金。</w:t>
            </w:r>
          </w:p>
        </w:tc>
      </w:tr>
      <w:tr w14:paraId="5066D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6350E2F1">
            <w:pPr>
              <w:spacing w:line="400" w:lineRule="exact"/>
              <w:jc w:val="center"/>
              <w:rPr>
                <w:rFonts w:ascii="宋体" w:hAnsi="宋体"/>
                <w:color w:val="000000"/>
                <w:szCs w:val="21"/>
                <w:highlight w:val="none"/>
              </w:rPr>
            </w:pPr>
            <w:bookmarkStart w:id="88" w:name="_40.1"/>
            <w:bookmarkEnd w:id="88"/>
            <w:r>
              <w:rPr>
                <w:rFonts w:hint="eastAsia" w:ascii="宋体" w:hAnsi="宋体"/>
                <w:color w:val="000000"/>
                <w:szCs w:val="21"/>
                <w:highlight w:val="none"/>
              </w:rPr>
              <w:t>36.1</w:t>
            </w:r>
          </w:p>
        </w:tc>
        <w:tc>
          <w:tcPr>
            <w:tcW w:w="7654" w:type="dxa"/>
            <w:tcBorders>
              <w:top w:val="single" w:color="auto" w:sz="4" w:space="0"/>
              <w:left w:val="single" w:color="auto" w:sz="4" w:space="0"/>
              <w:bottom w:val="single" w:color="auto" w:sz="4" w:space="0"/>
              <w:right w:val="single" w:color="auto" w:sz="4" w:space="0"/>
            </w:tcBorders>
            <w:vAlign w:val="center"/>
          </w:tcPr>
          <w:p w14:paraId="64F4BEC6">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 xml:space="preserve">签订合同携带的证明材料： </w:t>
            </w:r>
          </w:p>
          <w:p w14:paraId="7E1046BF">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委托代理人负责签订合同的，须携带授权委托书及委托代理人身份证原件等其他资格证件。</w:t>
            </w:r>
          </w:p>
          <w:p w14:paraId="7C06C1EB">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法定代表人（或负责人）负责签订合同的，须携带法定代表人（或负责人）</w:t>
            </w:r>
            <w:r>
              <w:rPr>
                <w:rFonts w:ascii="宋体" w:hAnsi="宋体"/>
                <w:color w:val="000000"/>
                <w:szCs w:val="21"/>
                <w:highlight w:val="none"/>
              </w:rPr>
              <w:t>身份证明原件</w:t>
            </w:r>
            <w:r>
              <w:rPr>
                <w:rFonts w:hint="eastAsia" w:ascii="宋体" w:hAnsi="宋体"/>
                <w:color w:val="000000"/>
                <w:szCs w:val="21"/>
                <w:highlight w:val="none"/>
              </w:rPr>
              <w:t>及</w:t>
            </w:r>
            <w:r>
              <w:rPr>
                <w:rFonts w:ascii="宋体" w:hAnsi="宋体"/>
                <w:color w:val="000000"/>
                <w:szCs w:val="21"/>
                <w:highlight w:val="none"/>
              </w:rPr>
              <w:t>身份证原件</w:t>
            </w:r>
            <w:r>
              <w:rPr>
                <w:rFonts w:hint="eastAsia" w:ascii="宋体" w:hAnsi="宋体"/>
                <w:color w:val="000000"/>
                <w:szCs w:val="21"/>
                <w:highlight w:val="none"/>
              </w:rPr>
              <w:t>等其他证明材料。</w:t>
            </w:r>
          </w:p>
        </w:tc>
      </w:tr>
      <w:tr w14:paraId="067DB4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727BF410">
            <w:pPr>
              <w:spacing w:line="400" w:lineRule="exact"/>
              <w:jc w:val="center"/>
              <w:rPr>
                <w:rFonts w:ascii="宋体" w:hAnsi="宋体"/>
                <w:color w:val="000000"/>
                <w:szCs w:val="21"/>
                <w:highlight w:val="none"/>
              </w:rPr>
            </w:pPr>
            <w:r>
              <w:rPr>
                <w:rFonts w:hint="eastAsia" w:ascii="宋体" w:hAnsi="宋体"/>
                <w:color w:val="000000"/>
                <w:szCs w:val="21"/>
                <w:highlight w:val="none"/>
              </w:rPr>
              <w:t>3</w:t>
            </w:r>
            <w:r>
              <w:rPr>
                <w:rFonts w:ascii="宋体" w:hAnsi="宋体"/>
                <w:color w:val="000000"/>
                <w:szCs w:val="21"/>
                <w:highlight w:val="none"/>
              </w:rPr>
              <w:t>8.2</w:t>
            </w:r>
          </w:p>
        </w:tc>
        <w:tc>
          <w:tcPr>
            <w:tcW w:w="7654" w:type="dxa"/>
            <w:tcBorders>
              <w:top w:val="single" w:color="auto" w:sz="4" w:space="0"/>
              <w:left w:val="single" w:color="auto" w:sz="4" w:space="0"/>
              <w:bottom w:val="single" w:color="auto" w:sz="4" w:space="0"/>
              <w:right w:val="single" w:color="auto" w:sz="4" w:space="0"/>
            </w:tcBorders>
            <w:vAlign w:val="center"/>
          </w:tcPr>
          <w:p w14:paraId="061CC0BA">
            <w:pPr>
              <w:snapToGrid w:val="0"/>
              <w:spacing w:line="400" w:lineRule="exact"/>
              <w:rPr>
                <w:rFonts w:ascii="宋体" w:hAnsi="宋体"/>
                <w:color w:val="000000"/>
                <w:szCs w:val="21"/>
                <w:highlight w:val="none"/>
              </w:rPr>
            </w:pPr>
            <w:r>
              <w:rPr>
                <w:rFonts w:hint="eastAsia" w:ascii="宋体" w:hAnsi="宋体"/>
                <w:color w:val="000000"/>
                <w:szCs w:val="21"/>
                <w:highlight w:val="none"/>
              </w:rPr>
              <w:t>接收质疑函方式：以书面形式</w:t>
            </w:r>
          </w:p>
          <w:p w14:paraId="7A49EE2F">
            <w:pPr>
              <w:snapToGrid w:val="0"/>
              <w:spacing w:line="400" w:lineRule="exact"/>
              <w:rPr>
                <w:rFonts w:ascii="宋体" w:hAnsi="宋体"/>
                <w:color w:val="000000"/>
                <w:szCs w:val="21"/>
                <w:highlight w:val="none"/>
              </w:rPr>
            </w:pPr>
            <w:r>
              <w:rPr>
                <w:rFonts w:hint="eastAsia" w:ascii="宋体" w:hAnsi="宋体"/>
                <w:color w:val="000000"/>
                <w:szCs w:val="21"/>
                <w:highlight w:val="none"/>
              </w:rPr>
              <w:t>质疑联系部门及联系方式：广西正海招标有限公司，</w:t>
            </w:r>
            <w:r>
              <w:rPr>
                <w:rFonts w:ascii="宋体" w:hAnsi="宋体"/>
                <w:color w:val="000000"/>
                <w:szCs w:val="21"/>
                <w:highlight w:val="none"/>
              </w:rPr>
              <w:t>联系电话</w:t>
            </w:r>
            <w:r>
              <w:rPr>
                <w:rFonts w:hint="eastAsia" w:ascii="宋体" w:hAnsi="宋体"/>
                <w:color w:val="000000"/>
                <w:szCs w:val="21"/>
                <w:highlight w:val="none"/>
              </w:rPr>
              <w:t>：0771-2865989，</w:t>
            </w:r>
            <w:r>
              <w:rPr>
                <w:rFonts w:ascii="宋体" w:hAnsi="宋体"/>
                <w:color w:val="000000"/>
                <w:szCs w:val="21"/>
                <w:highlight w:val="none"/>
              </w:rPr>
              <w:t>通讯地址</w:t>
            </w:r>
            <w:r>
              <w:rPr>
                <w:rFonts w:hint="eastAsia" w:ascii="宋体" w:hAnsi="宋体" w:cs="Helvetica"/>
                <w:color w:val="000000"/>
                <w:szCs w:val="21"/>
                <w:highlight w:val="none"/>
              </w:rPr>
              <w:t>：</w:t>
            </w:r>
            <w:r>
              <w:rPr>
                <w:rFonts w:hint="eastAsia" w:ascii="宋体" w:hAnsi="宋体"/>
                <w:color w:val="000000"/>
                <w:szCs w:val="21"/>
                <w:highlight w:val="none"/>
              </w:rPr>
              <w:t>广西正海招标有限公司（</w:t>
            </w:r>
            <w:r>
              <w:rPr>
                <w:rFonts w:hint="eastAsia" w:ascii="宋体" w:hAnsi="宋体"/>
                <w:color w:val="000000"/>
                <w:szCs w:val="21"/>
                <w:highlight w:val="none"/>
                <w:lang w:eastAsia="zh-CN"/>
              </w:rPr>
              <w:t>南宁市青秀区茅桥路2号习艺基地A栋1号电梯3楼</w:t>
            </w:r>
            <w:r>
              <w:rPr>
                <w:rFonts w:hint="eastAsia" w:ascii="宋体" w:hAnsi="宋体"/>
                <w:color w:val="000000"/>
                <w:szCs w:val="21"/>
                <w:highlight w:val="none"/>
              </w:rPr>
              <w:t>）</w:t>
            </w:r>
          </w:p>
          <w:p w14:paraId="007D166A">
            <w:pPr>
              <w:autoSpaceDE w:val="0"/>
              <w:autoSpaceDN w:val="0"/>
              <w:snapToGrid w:val="0"/>
              <w:spacing w:line="400" w:lineRule="exact"/>
              <w:textAlignment w:val="bottom"/>
              <w:rPr>
                <w:rFonts w:ascii="宋体" w:hAnsi="宋体"/>
                <w:color w:val="000000"/>
                <w:szCs w:val="21"/>
                <w:highlight w:val="none"/>
              </w:rPr>
            </w:pPr>
            <w:r>
              <w:rPr>
                <w:rFonts w:hint="eastAsia" w:ascii="宋体" w:hAnsi="宋体"/>
                <w:color w:val="000000"/>
                <w:szCs w:val="21"/>
                <w:highlight w:val="none"/>
              </w:rPr>
              <w:t>现场提交质疑办理业务时间：每天8时00分到12时00分，15时00分到18时00分，业务时间以外、双休日和法定节假日不办理业务。</w:t>
            </w:r>
          </w:p>
        </w:tc>
      </w:tr>
      <w:tr w14:paraId="20193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3E87CD35">
            <w:pPr>
              <w:spacing w:line="400" w:lineRule="exact"/>
              <w:jc w:val="center"/>
              <w:rPr>
                <w:rFonts w:ascii="宋体" w:hAnsi="宋体"/>
                <w:color w:val="000000"/>
                <w:szCs w:val="21"/>
                <w:highlight w:val="none"/>
              </w:rPr>
            </w:pPr>
            <w:bookmarkStart w:id="89" w:name="_42"/>
            <w:bookmarkEnd w:id="89"/>
            <w:bookmarkStart w:id="90" w:name="_41"/>
            <w:bookmarkEnd w:id="90"/>
            <w:bookmarkStart w:id="91" w:name="_Hlt17709148"/>
            <w:r>
              <w:rPr>
                <w:rFonts w:hint="eastAsia" w:ascii="宋体" w:hAnsi="宋体"/>
                <w:color w:val="000000"/>
                <w:szCs w:val="21"/>
                <w:highlight w:val="none"/>
              </w:rPr>
              <w:t>3</w:t>
            </w:r>
            <w:bookmarkEnd w:id="91"/>
            <w:r>
              <w:rPr>
                <w:rFonts w:ascii="宋体" w:hAnsi="宋体"/>
                <w:color w:val="000000"/>
                <w:szCs w:val="21"/>
                <w:highlight w:val="none"/>
              </w:rPr>
              <w:t>9.1</w:t>
            </w:r>
          </w:p>
        </w:tc>
        <w:tc>
          <w:tcPr>
            <w:tcW w:w="7654" w:type="dxa"/>
            <w:tcBorders>
              <w:top w:val="single" w:color="auto" w:sz="4" w:space="0"/>
              <w:left w:val="single" w:color="auto" w:sz="4" w:space="0"/>
              <w:bottom w:val="single" w:color="auto" w:sz="4" w:space="0"/>
              <w:right w:val="single" w:color="auto" w:sz="4" w:space="0"/>
            </w:tcBorders>
            <w:vAlign w:val="center"/>
          </w:tcPr>
          <w:p w14:paraId="067D62EA">
            <w:pPr>
              <w:pStyle w:val="25"/>
              <w:snapToGrid w:val="0"/>
              <w:spacing w:line="400" w:lineRule="exact"/>
              <w:rPr>
                <w:rFonts w:hAnsi="宋体" w:cs="宋体"/>
                <w:color w:val="000000"/>
                <w:sz w:val="21"/>
                <w:highlight w:val="none"/>
              </w:rPr>
            </w:pPr>
            <w:r>
              <w:rPr>
                <w:rFonts w:hint="eastAsia" w:hAnsi="宋体" w:cs="宋体"/>
                <w:color w:val="000000"/>
                <w:sz w:val="21"/>
                <w:highlight w:val="none"/>
              </w:rPr>
              <w:t>1.采购代理费支付方式：</w:t>
            </w:r>
          </w:p>
          <w:p w14:paraId="7CDB289E">
            <w:pPr>
              <w:pStyle w:val="25"/>
              <w:snapToGrid w:val="0"/>
              <w:spacing w:line="400" w:lineRule="exact"/>
              <w:rPr>
                <w:rFonts w:hAnsi="宋体" w:cs="宋体"/>
                <w:color w:val="000000"/>
                <w:sz w:val="21"/>
                <w:highlight w:val="none"/>
              </w:rPr>
            </w:pPr>
            <w:r>
              <w:rPr>
                <w:rFonts w:hint="eastAsia" w:hAnsi="宋体" w:cs="宋体"/>
                <w:color w:val="000000"/>
                <w:sz w:val="21"/>
                <w:highlight w:val="none"/>
              </w:rPr>
              <w:sym w:font="Wingdings 2" w:char="0052"/>
            </w:r>
            <w:r>
              <w:rPr>
                <w:rFonts w:hint="eastAsia" w:hAnsi="宋体" w:cs="宋体"/>
                <w:color w:val="000000"/>
                <w:sz w:val="21"/>
                <w:highlight w:val="none"/>
              </w:rPr>
              <w:t>本项目代理服务费由</w:t>
            </w:r>
            <w:r>
              <w:rPr>
                <w:rFonts w:hint="eastAsia" w:hAnsi="宋体" w:cs="宋体"/>
                <w:color w:val="000000"/>
                <w:sz w:val="21"/>
                <w:highlight w:val="none"/>
                <w:u w:val="single"/>
              </w:rPr>
              <w:t>中标人</w:t>
            </w:r>
            <w:r>
              <w:rPr>
                <w:rFonts w:hint="eastAsia" w:hAnsi="宋体" w:cs="宋体"/>
                <w:color w:val="000000"/>
                <w:sz w:val="21"/>
                <w:highlight w:val="none"/>
              </w:rPr>
              <w:t>在领取中标通知书前，一次性向采购代理机构支付。</w:t>
            </w:r>
          </w:p>
          <w:p w14:paraId="6AF2E09C">
            <w:pPr>
              <w:pStyle w:val="25"/>
              <w:snapToGrid w:val="0"/>
              <w:spacing w:line="400" w:lineRule="exact"/>
              <w:rPr>
                <w:rFonts w:hAnsi="宋体" w:cs="宋体"/>
                <w:color w:val="000000"/>
                <w:sz w:val="21"/>
                <w:highlight w:val="none"/>
              </w:rPr>
            </w:pPr>
            <w:r>
              <w:rPr>
                <w:rFonts w:hint="eastAsia" w:hAnsi="宋体" w:cs="宋体"/>
                <w:color w:val="000000"/>
                <w:sz w:val="21"/>
                <w:highlight w:val="none"/>
              </w:rPr>
              <w:t>□采购人支付。</w:t>
            </w:r>
          </w:p>
          <w:p w14:paraId="210DE548">
            <w:pPr>
              <w:pStyle w:val="25"/>
              <w:snapToGrid w:val="0"/>
              <w:spacing w:line="400" w:lineRule="exact"/>
              <w:rPr>
                <w:rFonts w:hAnsi="宋体" w:cs="宋体"/>
                <w:color w:val="000000"/>
                <w:sz w:val="21"/>
                <w:highlight w:val="none"/>
              </w:rPr>
            </w:pPr>
            <w:r>
              <w:rPr>
                <w:rFonts w:hint="eastAsia" w:hAnsi="宋体" w:cs="宋体"/>
                <w:color w:val="000000"/>
                <w:sz w:val="21"/>
                <w:highlight w:val="none"/>
              </w:rPr>
              <w:t>2.采购代理费收取标准：</w:t>
            </w:r>
          </w:p>
          <w:p w14:paraId="2118AC52">
            <w:pPr>
              <w:pStyle w:val="25"/>
              <w:snapToGrid w:val="0"/>
              <w:spacing w:line="400" w:lineRule="exact"/>
              <w:rPr>
                <w:rFonts w:hAnsi="宋体" w:cs="宋体"/>
                <w:b/>
                <w:bCs/>
                <w:color w:val="000000"/>
                <w:sz w:val="21"/>
                <w:highlight w:val="none"/>
              </w:rPr>
            </w:pPr>
            <w:r>
              <w:rPr>
                <w:rFonts w:hint="eastAsia" w:hAnsi="宋体" w:cs="宋体"/>
                <w:b/>
                <w:bCs/>
                <w:color w:val="000000"/>
                <w:sz w:val="21"/>
                <w:highlight w:val="none"/>
              </w:rPr>
              <w:sym w:font="Wingdings 2" w:char="0052"/>
            </w:r>
            <w:r>
              <w:rPr>
                <w:rFonts w:hint="eastAsia" w:hAnsi="宋体" w:cs="宋体"/>
                <w:b/>
                <w:bCs/>
                <w:color w:val="000000"/>
                <w:sz w:val="21"/>
                <w:highlight w:val="none"/>
              </w:rPr>
              <w:t>以分标（</w:t>
            </w:r>
            <w:r>
              <w:rPr>
                <w:rFonts w:hint="eastAsia" w:hAnsi="宋体" w:cs="宋体"/>
                <w:b/>
                <w:bCs/>
                <w:color w:val="000000"/>
                <w:sz w:val="21"/>
                <w:highlight w:val="none"/>
              </w:rPr>
              <w:sym w:font="Wingdings 2" w:char="0052"/>
            </w:r>
            <w:r>
              <w:rPr>
                <w:rFonts w:hint="eastAsia" w:hAnsi="宋体" w:cs="宋体"/>
                <w:b/>
                <w:bCs/>
                <w:color w:val="000000"/>
                <w:sz w:val="21"/>
                <w:highlight w:val="none"/>
              </w:rPr>
              <w:t>中标金额/□采购预算/□暂定中标金额/□其他</w:t>
            </w:r>
            <w:r>
              <w:rPr>
                <w:rFonts w:hint="eastAsia" w:hAnsi="宋体" w:cs="宋体"/>
                <w:b/>
                <w:bCs/>
                <w:color w:val="000000"/>
                <w:sz w:val="21"/>
                <w:highlight w:val="none"/>
                <w:u w:val="single"/>
              </w:rPr>
              <w:t xml:space="preserve"> </w:t>
            </w:r>
            <w:r>
              <w:rPr>
                <w:rFonts w:hAnsi="宋体" w:cs="宋体"/>
                <w:b/>
                <w:bCs/>
                <w:color w:val="000000"/>
                <w:sz w:val="21"/>
                <w:highlight w:val="none"/>
                <w:u w:val="single"/>
              </w:rPr>
              <w:t xml:space="preserve">  </w:t>
            </w:r>
            <w:r>
              <w:rPr>
                <w:rFonts w:hint="eastAsia" w:hAnsi="宋体" w:cs="宋体"/>
                <w:b/>
                <w:bCs/>
                <w:color w:val="000000"/>
                <w:sz w:val="21"/>
                <w:highlight w:val="none"/>
              </w:rPr>
              <w:t>）为计费额，按本须知正文第</w:t>
            </w:r>
            <w:r>
              <w:rPr>
                <w:rFonts w:hAnsi="宋体" w:cs="宋体"/>
                <w:b/>
                <w:bCs/>
                <w:color w:val="000000"/>
                <w:sz w:val="21"/>
                <w:highlight w:val="none"/>
              </w:rPr>
              <w:t>39</w:t>
            </w:r>
            <w:r>
              <w:rPr>
                <w:rFonts w:hint="eastAsia" w:hAnsi="宋体" w:cs="宋体"/>
                <w:b/>
                <w:bCs/>
                <w:color w:val="000000"/>
                <w:sz w:val="21"/>
                <w:highlight w:val="none"/>
              </w:rPr>
              <w:t>.</w:t>
            </w:r>
            <w:r>
              <w:rPr>
                <w:rFonts w:hAnsi="宋体" w:cs="宋体"/>
                <w:b/>
                <w:bCs/>
                <w:color w:val="000000"/>
                <w:sz w:val="21"/>
                <w:highlight w:val="none"/>
              </w:rPr>
              <w:t>2</w:t>
            </w:r>
            <w:r>
              <w:rPr>
                <w:rFonts w:hint="eastAsia" w:hAnsi="宋体" w:cs="宋体"/>
                <w:b/>
                <w:bCs/>
                <w:color w:val="000000"/>
                <w:sz w:val="21"/>
                <w:highlight w:val="none"/>
              </w:rPr>
              <w:t>条规定的收费计算标准（</w:t>
            </w:r>
            <w:r>
              <w:rPr>
                <w:rFonts w:hint="eastAsia" w:hAnsi="宋体" w:cs="宋体"/>
                <w:b/>
                <w:bCs/>
                <w:color w:val="000000"/>
                <w:sz w:val="21"/>
                <w:highlight w:val="none"/>
                <w:lang w:val="en-US" w:eastAsia="zh-CN"/>
              </w:rPr>
              <w:t>A/B</w:t>
            </w:r>
            <w:r>
              <w:rPr>
                <w:rFonts w:hint="eastAsia" w:hAnsi="宋体" w:cs="宋体"/>
                <w:b/>
                <w:bCs/>
                <w:color w:val="000000"/>
                <w:sz w:val="21"/>
                <w:highlight w:val="none"/>
              </w:rPr>
              <w:sym w:font="Wingdings 2" w:char="0052"/>
            </w:r>
            <w:r>
              <w:rPr>
                <w:rFonts w:hint="eastAsia" w:hAnsi="宋体" w:cs="宋体"/>
                <w:b/>
                <w:bCs/>
                <w:color w:val="000000"/>
                <w:sz w:val="21"/>
                <w:highlight w:val="none"/>
              </w:rPr>
              <w:t>货物招标/</w:t>
            </w:r>
            <w:r>
              <w:rPr>
                <w:rFonts w:hint="eastAsia" w:hAnsi="宋体" w:cs="宋体"/>
                <w:b/>
                <w:bCs/>
                <w:color w:val="000000"/>
                <w:sz w:val="21"/>
                <w:highlight w:val="none"/>
                <w:lang w:eastAsia="zh-CN"/>
              </w:rPr>
              <w:t>；</w:t>
            </w:r>
            <w:r>
              <w:rPr>
                <w:rFonts w:hint="eastAsia" w:hAnsi="宋体" w:cs="宋体"/>
                <w:b/>
                <w:bCs/>
                <w:color w:val="000000"/>
                <w:sz w:val="21"/>
                <w:highlight w:val="none"/>
                <w:lang w:val="en-US" w:eastAsia="zh-CN"/>
              </w:rPr>
              <w:t>C/D</w:t>
            </w:r>
            <w:r>
              <w:rPr>
                <w:rFonts w:hint="eastAsia" w:hAnsi="宋体" w:cs="宋体"/>
                <w:b/>
                <w:bCs/>
                <w:color w:val="000000"/>
                <w:sz w:val="21"/>
                <w:highlight w:val="none"/>
                <w:lang w:eastAsia="zh-CN"/>
              </w:rPr>
              <w:t>☑</w:t>
            </w:r>
            <w:r>
              <w:rPr>
                <w:rFonts w:hint="eastAsia" w:hAnsi="宋体" w:cs="宋体"/>
                <w:b/>
                <w:bCs/>
                <w:color w:val="000000"/>
                <w:sz w:val="21"/>
                <w:highlight w:val="none"/>
              </w:rPr>
              <w:t>服务招标/□工程招标）采用差额定率累进法计算出收费基准价格，采购代理收费以（</w:t>
            </w:r>
            <w:r>
              <w:rPr>
                <w:rFonts w:hint="eastAsia" w:hAnsi="宋体" w:cs="宋体"/>
                <w:b/>
                <w:bCs/>
                <w:color w:val="000000"/>
                <w:sz w:val="21"/>
                <w:highlight w:val="none"/>
              </w:rPr>
              <w:sym w:font="Wingdings 2" w:char="0052"/>
            </w:r>
            <w:r>
              <w:rPr>
                <w:rFonts w:hint="eastAsia" w:hAnsi="宋体" w:cs="宋体"/>
                <w:b/>
                <w:bCs/>
                <w:color w:val="000000"/>
                <w:sz w:val="21"/>
                <w:highlight w:val="none"/>
              </w:rPr>
              <w:t>收费基准价格/</w:t>
            </w:r>
            <w:r>
              <w:rPr>
                <w:rFonts w:hint="eastAsia" w:hAnsi="宋体" w:cs="宋体"/>
                <w:b/>
                <w:bCs/>
                <w:color w:val="000000"/>
                <w:sz w:val="21"/>
                <w:highlight w:val="none"/>
              </w:rPr>
              <w:sym w:font="Wingdings 2" w:char="00A3"/>
            </w:r>
            <w:r>
              <w:rPr>
                <w:rFonts w:hint="eastAsia" w:hAnsi="宋体" w:cs="宋体"/>
                <w:b/>
                <w:bCs/>
                <w:color w:val="000000"/>
                <w:sz w:val="21"/>
                <w:highlight w:val="none"/>
              </w:rPr>
              <w:t>收费基准价格下浮</w:t>
            </w:r>
            <w:r>
              <w:rPr>
                <w:rFonts w:hint="eastAsia" w:hAnsi="宋体" w:cs="宋体"/>
                <w:b/>
                <w:bCs/>
                <w:color w:val="000000"/>
                <w:sz w:val="21"/>
                <w:highlight w:val="none"/>
                <w:u w:val="single"/>
              </w:rPr>
              <w:t xml:space="preserve">  %</w:t>
            </w:r>
            <w:r>
              <w:rPr>
                <w:rFonts w:hAnsi="宋体" w:cs="宋体"/>
                <w:b/>
                <w:bCs/>
                <w:color w:val="000000"/>
                <w:sz w:val="21"/>
                <w:highlight w:val="none"/>
              </w:rPr>
              <w:t>/</w:t>
            </w:r>
            <w:r>
              <w:rPr>
                <w:rFonts w:hint="eastAsia" w:hAnsi="宋体" w:cs="宋体"/>
                <w:b/>
                <w:bCs/>
                <w:color w:val="000000"/>
                <w:sz w:val="21"/>
                <w:highlight w:val="none"/>
              </w:rPr>
              <w:sym w:font="Wingdings 2" w:char="0052"/>
            </w:r>
            <w:r>
              <w:rPr>
                <w:rFonts w:hint="eastAsia" w:hAnsi="宋体" w:cs="宋体"/>
                <w:b/>
                <w:bCs/>
                <w:color w:val="000000"/>
                <w:sz w:val="21"/>
                <w:highlight w:val="none"/>
              </w:rPr>
              <w:t>收费基准价格上浮</w:t>
            </w:r>
            <w:r>
              <w:rPr>
                <w:rFonts w:hint="eastAsia" w:hAnsi="宋体" w:cs="宋体"/>
                <w:b/>
                <w:bCs/>
                <w:color w:val="000000"/>
                <w:sz w:val="21"/>
                <w:highlight w:val="none"/>
                <w:u w:val="single"/>
              </w:rPr>
              <w:t xml:space="preserve"> </w:t>
            </w:r>
            <w:r>
              <w:rPr>
                <w:rFonts w:hAnsi="宋体" w:cs="宋体"/>
                <w:b/>
                <w:bCs/>
                <w:color w:val="000000"/>
                <w:sz w:val="21"/>
                <w:highlight w:val="none"/>
                <w:u w:val="single"/>
              </w:rPr>
              <w:t xml:space="preserve">  </w:t>
            </w:r>
            <w:r>
              <w:rPr>
                <w:rFonts w:hint="eastAsia" w:hAnsi="宋体" w:cs="宋体"/>
                <w:b/>
                <w:bCs/>
                <w:color w:val="000000"/>
                <w:sz w:val="21"/>
                <w:highlight w:val="none"/>
                <w:u w:val="single"/>
              </w:rPr>
              <w:t>%</w:t>
            </w:r>
            <w:r>
              <w:rPr>
                <w:rFonts w:hint="eastAsia" w:hAnsi="宋体" w:cs="宋体"/>
                <w:b/>
                <w:bCs/>
                <w:color w:val="000000"/>
                <w:sz w:val="21"/>
                <w:highlight w:val="none"/>
              </w:rPr>
              <w:t>）收取。</w:t>
            </w:r>
          </w:p>
          <w:p w14:paraId="7A8CD54C">
            <w:pPr>
              <w:pStyle w:val="25"/>
              <w:snapToGrid w:val="0"/>
              <w:spacing w:line="400" w:lineRule="exact"/>
              <w:rPr>
                <w:rFonts w:hAnsi="宋体" w:cs="宋体"/>
                <w:color w:val="000000"/>
                <w:sz w:val="21"/>
                <w:highlight w:val="none"/>
                <w:u w:val="single"/>
              </w:rPr>
            </w:pPr>
            <w:r>
              <w:rPr>
                <w:rFonts w:hint="eastAsia" w:hAnsi="宋体" w:cs="宋体"/>
                <w:color w:val="000000"/>
                <w:sz w:val="21"/>
                <w:highlight w:val="none"/>
              </w:rPr>
              <w:t>□固定采购代理收费</w:t>
            </w:r>
            <w:r>
              <w:rPr>
                <w:rFonts w:hint="eastAsia" w:hAnsi="宋体" w:cs="宋体"/>
                <w:color w:val="000000"/>
                <w:sz w:val="21"/>
                <w:highlight w:val="none"/>
                <w:u w:val="single"/>
              </w:rPr>
              <w:t xml:space="preserve">  </w:t>
            </w:r>
            <w:r>
              <w:rPr>
                <w:rFonts w:hint="eastAsia" w:hAnsi="宋体" w:cs="宋体"/>
                <w:color w:val="000000"/>
                <w:sz w:val="21"/>
                <w:highlight w:val="none"/>
                <w:u w:val="single"/>
                <w:lang w:val="en-US" w:eastAsia="zh-CN"/>
              </w:rPr>
              <w:t>/</w:t>
            </w:r>
            <w:r>
              <w:rPr>
                <w:rFonts w:hint="eastAsia" w:hAnsi="宋体" w:cs="宋体"/>
                <w:color w:val="000000"/>
                <w:sz w:val="21"/>
                <w:highlight w:val="none"/>
                <w:u w:val="single"/>
              </w:rPr>
              <w:t xml:space="preserve">  。</w:t>
            </w:r>
          </w:p>
          <w:p w14:paraId="39CE8831">
            <w:pPr>
              <w:pStyle w:val="25"/>
              <w:snapToGrid w:val="0"/>
              <w:spacing w:line="400" w:lineRule="exact"/>
              <w:rPr>
                <w:rFonts w:hint="eastAsia" w:hAnsi="宋体" w:eastAsia="宋体" w:cs="宋体"/>
                <w:color w:val="000000"/>
                <w:sz w:val="21"/>
                <w:highlight w:val="none"/>
                <w:lang w:eastAsia="zh-CN"/>
              </w:rPr>
            </w:pPr>
            <w:r>
              <w:rPr>
                <w:rFonts w:hint="eastAsia" w:hAnsi="宋体" w:cs="宋体"/>
                <w:color w:val="000000"/>
                <w:sz w:val="21"/>
                <w:highlight w:val="none"/>
              </w:rPr>
              <w:t>3.账户名称：广西正海招标有限公司</w:t>
            </w:r>
          </w:p>
          <w:p w14:paraId="179E39A4">
            <w:pPr>
              <w:pStyle w:val="25"/>
              <w:snapToGrid w:val="0"/>
              <w:spacing w:line="400" w:lineRule="exact"/>
              <w:rPr>
                <w:rFonts w:hAnsi="宋体" w:cs="宋体"/>
                <w:color w:val="000000"/>
                <w:sz w:val="21"/>
                <w:highlight w:val="none"/>
              </w:rPr>
            </w:pPr>
            <w:r>
              <w:rPr>
                <w:rFonts w:hint="eastAsia" w:hAnsi="宋体" w:cs="宋体"/>
                <w:color w:val="000000"/>
                <w:sz w:val="21"/>
                <w:highlight w:val="none"/>
              </w:rPr>
              <w:t>开户银行：中国光大银行南宁长湖支行</w:t>
            </w:r>
          </w:p>
          <w:p w14:paraId="568BA514">
            <w:pPr>
              <w:pStyle w:val="25"/>
              <w:snapToGrid w:val="0"/>
              <w:spacing w:line="400" w:lineRule="exact"/>
              <w:rPr>
                <w:rFonts w:hAnsi="宋体" w:cs="宋体"/>
                <w:color w:val="000000"/>
                <w:sz w:val="21"/>
                <w:highlight w:val="none"/>
              </w:rPr>
            </w:pPr>
            <w:r>
              <w:rPr>
                <w:rFonts w:hint="eastAsia" w:hAnsi="宋体" w:cs="宋体"/>
                <w:color w:val="000000"/>
                <w:sz w:val="21"/>
                <w:highlight w:val="none"/>
              </w:rPr>
              <w:t>银行账号：79080188000035937</w:t>
            </w:r>
          </w:p>
        </w:tc>
      </w:tr>
      <w:tr w14:paraId="2E156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0DFAC6DD">
            <w:pPr>
              <w:snapToGrid w:val="0"/>
              <w:spacing w:line="400" w:lineRule="exact"/>
              <w:jc w:val="center"/>
              <w:rPr>
                <w:rFonts w:ascii="宋体" w:hAnsi="宋体"/>
                <w:color w:val="000000"/>
                <w:szCs w:val="21"/>
                <w:highlight w:val="none"/>
              </w:rPr>
            </w:pPr>
            <w:r>
              <w:rPr>
                <w:rFonts w:ascii="宋体" w:hAnsi="宋体"/>
                <w:color w:val="000000"/>
                <w:szCs w:val="21"/>
                <w:highlight w:val="none"/>
              </w:rPr>
              <w:t>40.1</w:t>
            </w:r>
          </w:p>
        </w:tc>
        <w:tc>
          <w:tcPr>
            <w:tcW w:w="7654" w:type="dxa"/>
            <w:tcBorders>
              <w:top w:val="single" w:color="auto" w:sz="4" w:space="0"/>
              <w:left w:val="single" w:color="auto" w:sz="4" w:space="0"/>
              <w:bottom w:val="single" w:color="auto" w:sz="4" w:space="0"/>
              <w:right w:val="single" w:color="auto" w:sz="4" w:space="0"/>
            </w:tcBorders>
            <w:vAlign w:val="center"/>
          </w:tcPr>
          <w:p w14:paraId="013821EB">
            <w:pPr>
              <w:snapToGrid w:val="0"/>
              <w:spacing w:line="400" w:lineRule="exact"/>
              <w:rPr>
                <w:rFonts w:ascii="宋体" w:hAnsi="宋体"/>
                <w:color w:val="000000"/>
                <w:szCs w:val="21"/>
                <w:highlight w:val="none"/>
              </w:rPr>
            </w:pPr>
            <w:r>
              <w:rPr>
                <w:rFonts w:hint="eastAsia" w:ascii="宋体" w:hAnsi="宋体"/>
                <w:color w:val="000000"/>
                <w:szCs w:val="21"/>
                <w:highlight w:val="none"/>
              </w:rPr>
              <w:t>解释：</w:t>
            </w:r>
            <w:r>
              <w:rPr>
                <w:rFonts w:ascii="宋体" w:hAnsi="宋体"/>
                <w:color w:val="000000"/>
                <w:szCs w:val="21"/>
                <w:highlight w:val="none"/>
              </w:rPr>
              <w:t>构成本招标文件的各个组成文件应互为解释，互为说明；除招标文件中有特别规定外，仅适用于招标投标阶段的规定，按</w:t>
            </w:r>
            <w:r>
              <w:rPr>
                <w:rFonts w:hint="eastAsia" w:ascii="宋体" w:hAnsi="宋体"/>
                <w:color w:val="000000"/>
                <w:szCs w:val="21"/>
                <w:highlight w:val="none"/>
              </w:rPr>
              <w:t>更正公告（澄清公告）</w:t>
            </w:r>
            <w:r>
              <w:rPr>
                <w:rFonts w:ascii="宋体" w:hAnsi="宋体"/>
                <w:color w:val="000000"/>
                <w:szCs w:val="21"/>
                <w:highlight w:val="none"/>
              </w:rPr>
              <w:t>、招标公告、</w:t>
            </w:r>
            <w:r>
              <w:rPr>
                <w:rFonts w:hint="eastAsia" w:ascii="宋体" w:hAnsi="宋体"/>
                <w:color w:val="000000"/>
                <w:szCs w:val="21"/>
                <w:highlight w:val="none"/>
              </w:rPr>
              <w:t>采购需求、</w:t>
            </w:r>
            <w:r>
              <w:rPr>
                <w:rFonts w:ascii="宋体" w:hAnsi="宋体"/>
                <w:color w:val="000000"/>
                <w:szCs w:val="21"/>
                <w:highlight w:val="none"/>
              </w:rPr>
              <w:t>投标人须知、</w:t>
            </w:r>
            <w:r>
              <w:rPr>
                <w:rFonts w:hint="eastAsia" w:ascii="宋体" w:hAnsi="宋体"/>
                <w:color w:val="000000"/>
                <w:szCs w:val="21"/>
                <w:highlight w:val="none"/>
              </w:rPr>
              <w:t>评标方法及评标标准</w:t>
            </w:r>
            <w:r>
              <w:rPr>
                <w:rFonts w:ascii="宋体" w:hAnsi="宋体"/>
                <w:color w:val="000000"/>
                <w:szCs w:val="21"/>
                <w:highlight w:val="none"/>
              </w:rPr>
              <w:t>、</w:t>
            </w:r>
            <w:r>
              <w:rPr>
                <w:rFonts w:hint="eastAsia" w:ascii="宋体" w:hAnsi="宋体"/>
                <w:color w:val="000000"/>
                <w:szCs w:val="21"/>
                <w:highlight w:val="none"/>
              </w:rPr>
              <w:t>拟签订的合同文本、</w:t>
            </w:r>
            <w:r>
              <w:rPr>
                <w:rFonts w:ascii="宋体" w:hAnsi="宋体"/>
                <w:color w:val="000000"/>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000000"/>
                <w:szCs w:val="21"/>
                <w:highlight w:val="none"/>
              </w:rPr>
              <w:t>更正公告（澄清公告）</w:t>
            </w:r>
            <w:r>
              <w:rPr>
                <w:rFonts w:ascii="宋体" w:hAnsi="宋体"/>
                <w:color w:val="000000"/>
                <w:szCs w:val="21"/>
                <w:highlight w:val="none"/>
              </w:rPr>
              <w:t>与同步更新的招标文件不一致时以</w:t>
            </w:r>
            <w:r>
              <w:rPr>
                <w:rFonts w:hint="eastAsia" w:ascii="宋体" w:hAnsi="宋体"/>
                <w:color w:val="000000"/>
                <w:szCs w:val="21"/>
                <w:highlight w:val="none"/>
              </w:rPr>
              <w:t>更正公告（澄清公告）</w:t>
            </w:r>
            <w:r>
              <w:rPr>
                <w:rFonts w:ascii="宋体" w:hAnsi="宋体"/>
                <w:color w:val="000000"/>
                <w:szCs w:val="21"/>
                <w:highlight w:val="none"/>
              </w:rPr>
              <w:t>为准。按本款前述规定仍不能形成结论的，由</w:t>
            </w:r>
            <w:r>
              <w:rPr>
                <w:rFonts w:hint="eastAsia" w:ascii="宋体" w:hAnsi="宋体"/>
                <w:color w:val="000000"/>
                <w:szCs w:val="21"/>
                <w:highlight w:val="none"/>
              </w:rPr>
              <w:t>采购</w:t>
            </w:r>
            <w:r>
              <w:rPr>
                <w:rFonts w:ascii="宋体" w:hAnsi="宋体"/>
                <w:color w:val="000000"/>
                <w:szCs w:val="21"/>
                <w:highlight w:val="none"/>
              </w:rPr>
              <w:t>人</w:t>
            </w:r>
            <w:r>
              <w:rPr>
                <w:rFonts w:hint="eastAsia" w:ascii="宋体" w:hAnsi="宋体"/>
                <w:color w:val="000000"/>
                <w:szCs w:val="21"/>
                <w:highlight w:val="none"/>
              </w:rPr>
              <w:t>或者采购代理机构</w:t>
            </w:r>
            <w:r>
              <w:rPr>
                <w:rFonts w:ascii="宋体" w:hAnsi="宋体"/>
                <w:color w:val="000000"/>
                <w:szCs w:val="21"/>
                <w:highlight w:val="none"/>
              </w:rPr>
              <w:t>负责解释。</w:t>
            </w:r>
          </w:p>
        </w:tc>
      </w:tr>
      <w:tr w14:paraId="229DAE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14:paraId="0B5187A6">
            <w:pPr>
              <w:snapToGrid w:val="0"/>
              <w:spacing w:line="400" w:lineRule="exact"/>
              <w:jc w:val="center"/>
              <w:rPr>
                <w:rFonts w:ascii="宋体" w:hAnsi="宋体"/>
                <w:color w:val="000000"/>
                <w:szCs w:val="21"/>
                <w:highlight w:val="none"/>
              </w:rPr>
            </w:pPr>
            <w:r>
              <w:rPr>
                <w:rFonts w:ascii="宋体" w:hAnsi="宋体"/>
                <w:color w:val="000000"/>
                <w:szCs w:val="21"/>
                <w:highlight w:val="none"/>
              </w:rPr>
              <w:t>40.2</w:t>
            </w:r>
          </w:p>
        </w:tc>
        <w:tc>
          <w:tcPr>
            <w:tcW w:w="7654" w:type="dxa"/>
            <w:tcBorders>
              <w:top w:val="single" w:color="auto" w:sz="4" w:space="0"/>
              <w:left w:val="single" w:color="auto" w:sz="4" w:space="0"/>
              <w:bottom w:val="single" w:color="auto" w:sz="4" w:space="0"/>
              <w:right w:val="single" w:color="auto" w:sz="4" w:space="0"/>
            </w:tcBorders>
            <w:vAlign w:val="center"/>
          </w:tcPr>
          <w:p w14:paraId="7EFFA1F9">
            <w:pPr>
              <w:pStyle w:val="25"/>
              <w:snapToGrid w:val="0"/>
              <w:spacing w:line="400" w:lineRule="exact"/>
              <w:rPr>
                <w:rFonts w:hAnsi="宋体" w:cs="宋体"/>
                <w:bCs/>
                <w:color w:val="000000"/>
                <w:sz w:val="21"/>
                <w:highlight w:val="none"/>
              </w:rPr>
            </w:pPr>
            <w:r>
              <w:rPr>
                <w:rFonts w:hint="eastAsia" w:hAnsi="宋体" w:cs="宋体"/>
                <w:bCs/>
                <w:color w:val="000000"/>
                <w:sz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DCA5C21">
            <w:pPr>
              <w:pStyle w:val="25"/>
              <w:snapToGrid w:val="0"/>
              <w:spacing w:line="400" w:lineRule="exact"/>
              <w:rPr>
                <w:rFonts w:hAnsi="宋体" w:cs="宋体"/>
                <w:bCs/>
                <w:color w:val="000000"/>
                <w:sz w:val="21"/>
                <w:highlight w:val="none"/>
              </w:rPr>
            </w:pPr>
            <w:r>
              <w:rPr>
                <w:rFonts w:hint="eastAsia" w:hAnsi="宋体" w:cs="宋体"/>
                <w:bCs/>
                <w:color w:val="000000"/>
                <w:sz w:val="21"/>
                <w:highlight w:val="none"/>
              </w:rPr>
              <w:t>2.本招标文件所称的“</w:t>
            </w:r>
            <w:r>
              <w:rPr>
                <w:rFonts w:hint="eastAsia" w:hAnsi="宋体"/>
                <w:color w:val="000000"/>
                <w:sz w:val="21"/>
                <w:highlight w:val="none"/>
              </w:rPr>
              <w:t>电子签章</w:t>
            </w:r>
            <w:r>
              <w:rPr>
                <w:rFonts w:hint="eastAsia" w:hAnsi="宋体" w:cs="宋体"/>
                <w:bCs/>
                <w:color w:val="000000"/>
                <w:sz w:val="21"/>
                <w:highlight w:val="none"/>
              </w:rPr>
              <w:t>”“电子签名”</w:t>
            </w:r>
            <w:r>
              <w:rPr>
                <w:rFonts w:hint="eastAsia" w:hAnsi="宋体"/>
                <w:color w:val="000000"/>
                <w:sz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19E425D7">
            <w:pPr>
              <w:pStyle w:val="25"/>
              <w:snapToGrid w:val="0"/>
              <w:spacing w:line="400" w:lineRule="exact"/>
              <w:rPr>
                <w:rFonts w:hAnsi="宋体" w:cs="宋体"/>
                <w:bCs/>
                <w:color w:val="000000"/>
                <w:sz w:val="21"/>
                <w:highlight w:val="none"/>
              </w:rPr>
            </w:pPr>
            <w:r>
              <w:rPr>
                <w:rFonts w:hint="eastAsia" w:hAnsi="宋体" w:cs="宋体"/>
                <w:bCs/>
                <w:color w:val="000000"/>
                <w:sz w:val="21"/>
                <w:highlight w:val="none"/>
              </w:rPr>
              <w:t>3.投标人为其他组织或者自然人时，本招标文件规定的法定代表人（或负责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76428E1B">
            <w:pPr>
              <w:pStyle w:val="25"/>
              <w:snapToGrid w:val="0"/>
              <w:spacing w:line="400" w:lineRule="exact"/>
              <w:rPr>
                <w:rFonts w:hAnsi="宋体" w:cs="宋体"/>
                <w:bCs/>
                <w:color w:val="000000"/>
                <w:sz w:val="21"/>
                <w:highlight w:val="none"/>
              </w:rPr>
            </w:pPr>
            <w:r>
              <w:rPr>
                <w:rFonts w:hint="eastAsia" w:hAnsi="宋体" w:cs="宋体"/>
                <w:bCs/>
                <w:color w:val="000000"/>
                <w:sz w:val="21"/>
                <w:highlight w:val="none"/>
              </w:rPr>
              <w:t>4.本招标文件中描述投标人的“签字”是指投标人的法定代表人（或负责人）或者委托代理人亲自在文件规定签字处亲笔写上个人的名字的行为，私章、签字章、印鉴、影印等其他形式均不能代替亲笔签字。</w:t>
            </w:r>
          </w:p>
          <w:p w14:paraId="5403AE20">
            <w:pPr>
              <w:pStyle w:val="25"/>
              <w:snapToGrid w:val="0"/>
              <w:spacing w:line="400" w:lineRule="exact"/>
              <w:rPr>
                <w:rFonts w:hAnsi="宋体"/>
                <w:color w:val="000000"/>
                <w:sz w:val="21"/>
                <w:highlight w:val="none"/>
              </w:rPr>
            </w:pPr>
            <w:r>
              <w:rPr>
                <w:rFonts w:hint="eastAsia" w:hAnsi="宋体" w:cs="宋体"/>
                <w:bCs/>
                <w:color w:val="000000"/>
                <w:sz w:val="21"/>
                <w:highlight w:val="none"/>
              </w:rPr>
              <w:t>5.本招标文件所称的“以上”“以下”“以内”“届满”，包括本数；所称的“不满”“超过”“以外”，不包括本数。</w:t>
            </w:r>
          </w:p>
        </w:tc>
      </w:tr>
    </w:tbl>
    <w:p w14:paraId="384440F6">
      <w:pPr>
        <w:snapToGrid w:val="0"/>
        <w:rPr>
          <w:rFonts w:ascii="宋体" w:hAnsi="宋体"/>
          <w:color w:val="000000"/>
          <w:sz w:val="24"/>
          <w:szCs w:val="20"/>
          <w:highlight w:val="none"/>
        </w:rPr>
      </w:pPr>
    </w:p>
    <w:p w14:paraId="09E9D400">
      <w:pPr>
        <w:snapToGrid w:val="0"/>
        <w:rPr>
          <w:rFonts w:ascii="宋体" w:hAnsi="宋体"/>
          <w:color w:val="000000"/>
          <w:sz w:val="24"/>
          <w:szCs w:val="20"/>
          <w:highlight w:val="none"/>
        </w:rPr>
      </w:pPr>
    </w:p>
    <w:p w14:paraId="00FBA9A5">
      <w:pPr>
        <w:pStyle w:val="4"/>
        <w:keepNext w:val="0"/>
        <w:keepLines w:val="0"/>
        <w:spacing w:line="360" w:lineRule="auto"/>
        <w:jc w:val="center"/>
        <w:rPr>
          <w:color w:val="000000"/>
          <w:highlight w:val="none"/>
        </w:rPr>
      </w:pPr>
      <w:r>
        <w:rPr>
          <w:color w:val="000000"/>
          <w:highlight w:val="none"/>
        </w:rPr>
        <w:br w:type="page"/>
      </w:r>
      <w:r>
        <w:rPr>
          <w:rFonts w:hint="eastAsia"/>
          <w:color w:val="000000"/>
          <w:highlight w:val="none"/>
        </w:rPr>
        <w:t>投标人须知正文</w:t>
      </w:r>
    </w:p>
    <w:p w14:paraId="3541D450">
      <w:pPr>
        <w:pStyle w:val="4"/>
        <w:keepNext w:val="0"/>
        <w:keepLines w:val="0"/>
        <w:spacing w:line="360" w:lineRule="auto"/>
        <w:jc w:val="center"/>
        <w:rPr>
          <w:color w:val="000000"/>
          <w:highlight w:val="none"/>
        </w:rPr>
      </w:pPr>
      <w:r>
        <w:rPr>
          <w:rFonts w:hint="eastAsia"/>
          <w:color w:val="000000"/>
          <w:highlight w:val="none"/>
        </w:rPr>
        <w:t>一、总  则</w:t>
      </w:r>
    </w:p>
    <w:p w14:paraId="7D12C87B">
      <w:pPr>
        <w:pStyle w:val="6"/>
        <w:keepNext w:val="0"/>
        <w:keepLines w:val="0"/>
        <w:spacing w:before="0" w:after="0" w:line="360" w:lineRule="auto"/>
        <w:ind w:left="420" w:leftChars="200"/>
        <w:rPr>
          <w:rFonts w:ascii="黑体" w:hAnsi="黑体" w:eastAsia="黑体"/>
          <w:color w:val="000000"/>
          <w:sz w:val="24"/>
          <w:highlight w:val="none"/>
        </w:rPr>
      </w:pPr>
      <w:bookmarkStart w:id="92" w:name="_Toc254970668"/>
      <w:bookmarkStart w:id="93" w:name="_Toc254970527"/>
      <w:r>
        <w:rPr>
          <w:rFonts w:hint="eastAsia" w:ascii="黑体" w:hAnsi="黑体" w:eastAsia="黑体"/>
          <w:color w:val="000000"/>
          <w:sz w:val="24"/>
          <w:highlight w:val="none"/>
        </w:rPr>
        <w:t>1.适用范围</w:t>
      </w:r>
      <w:bookmarkEnd w:id="92"/>
      <w:bookmarkEnd w:id="93"/>
    </w:p>
    <w:p w14:paraId="537C55F6">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3B0CE27">
      <w:pPr>
        <w:snapToGrid w:val="0"/>
        <w:spacing w:line="360" w:lineRule="auto"/>
        <w:ind w:firstLine="420" w:firstLineChars="200"/>
        <w:jc w:val="left"/>
        <w:rPr>
          <w:rFonts w:ascii="宋体" w:hAnsi="宋体" w:cs="宋体"/>
          <w:color w:val="000000"/>
          <w:spacing w:val="-6"/>
          <w:szCs w:val="21"/>
          <w:highlight w:val="none"/>
        </w:rPr>
      </w:pPr>
      <w:r>
        <w:rPr>
          <w:rFonts w:hint="eastAsia" w:ascii="宋体" w:hAnsi="宋体"/>
          <w:color w:val="000000"/>
          <w:szCs w:val="21"/>
          <w:highlight w:val="none"/>
        </w:rPr>
        <w:t>1.2本招标文件</w:t>
      </w:r>
      <w:r>
        <w:rPr>
          <w:rFonts w:hint="eastAsia" w:ascii="宋体" w:hAnsi="宋体" w:cs="宋体"/>
          <w:color w:val="000000"/>
          <w:spacing w:val="-6"/>
          <w:szCs w:val="21"/>
          <w:highlight w:val="none"/>
        </w:rPr>
        <w:t>适用于本项目的所有采购程序和环节（法律、法规另有规定的，从其规定）。</w:t>
      </w:r>
    </w:p>
    <w:p w14:paraId="13EB4EE8">
      <w:pPr>
        <w:pStyle w:val="6"/>
        <w:keepNext w:val="0"/>
        <w:keepLines w:val="0"/>
        <w:spacing w:before="0" w:after="0" w:line="360" w:lineRule="auto"/>
        <w:ind w:left="420" w:leftChars="200"/>
        <w:rPr>
          <w:rFonts w:ascii="黑体" w:hAnsi="黑体" w:eastAsia="黑体"/>
          <w:color w:val="000000"/>
          <w:sz w:val="24"/>
          <w:highlight w:val="none"/>
        </w:rPr>
      </w:pPr>
      <w:bookmarkStart w:id="94" w:name="_Toc254970669"/>
      <w:bookmarkStart w:id="95" w:name="_Toc254970528"/>
      <w:r>
        <w:rPr>
          <w:rFonts w:hint="eastAsia" w:ascii="黑体" w:hAnsi="黑体" w:eastAsia="黑体"/>
          <w:color w:val="000000"/>
          <w:sz w:val="24"/>
          <w:highlight w:val="none"/>
        </w:rPr>
        <w:t>2.定义</w:t>
      </w:r>
      <w:bookmarkEnd w:id="94"/>
      <w:bookmarkEnd w:id="95"/>
    </w:p>
    <w:p w14:paraId="382F9B48">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2.1“采购人”是指依法进行政府采购的国家机关、事业单位、团体组织。</w:t>
      </w:r>
    </w:p>
    <w:p w14:paraId="2D9CD236">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2.2“采购代理机构”是指政府采购集中采购机构和集中采购机构以外的采购代理机构。</w:t>
      </w:r>
    </w:p>
    <w:p w14:paraId="50484C99">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2.3“供应商”是指向采购人提供货物、工程或者服务的法人、其他组织或者自然人。</w:t>
      </w:r>
    </w:p>
    <w:p w14:paraId="572E505F">
      <w:pPr>
        <w:pStyle w:val="7"/>
        <w:spacing w:line="360" w:lineRule="auto"/>
        <w:rPr>
          <w:rFonts w:ascii="宋体" w:hAnsi="宋体"/>
          <w:color w:val="000000"/>
          <w:szCs w:val="21"/>
          <w:highlight w:val="none"/>
        </w:rPr>
      </w:pPr>
      <w:r>
        <w:rPr>
          <w:rFonts w:hint="eastAsia" w:ascii="宋体" w:hAnsi="宋体"/>
          <w:color w:val="000000"/>
          <w:szCs w:val="21"/>
          <w:highlight w:val="none"/>
        </w:rPr>
        <w:t>2.4“投标人”是指响应招标、参加投标竞争的法人、其他组织或者自然人。</w:t>
      </w:r>
    </w:p>
    <w:p w14:paraId="20470720">
      <w:pPr>
        <w:pStyle w:val="6"/>
        <w:keepNext w:val="0"/>
        <w:keepLines w:val="0"/>
        <w:spacing w:before="0" w:after="0" w:line="360" w:lineRule="auto"/>
        <w:ind w:firstLine="420" w:firstLineChars="200"/>
        <w:rPr>
          <w:rFonts w:ascii="宋体" w:hAnsi="宋体"/>
          <w:b w:val="0"/>
          <w:color w:val="000000"/>
          <w:sz w:val="21"/>
          <w:szCs w:val="21"/>
          <w:highlight w:val="none"/>
        </w:rPr>
      </w:pPr>
      <w:r>
        <w:rPr>
          <w:rFonts w:hint="eastAsia" w:ascii="宋体" w:hAnsi="宋体"/>
          <w:b w:val="0"/>
          <w:color w:val="000000"/>
          <w:sz w:val="21"/>
          <w:szCs w:val="21"/>
          <w:highlight w:val="none"/>
        </w:rPr>
        <w:t>2.5“货物”是指各种形态和种类的物品，包括原材料、燃料、设备、产品等。</w:t>
      </w:r>
    </w:p>
    <w:p w14:paraId="4585C393">
      <w:pPr>
        <w:pStyle w:val="6"/>
        <w:keepNext w:val="0"/>
        <w:keepLines w:val="0"/>
        <w:spacing w:before="0" w:after="0" w:line="360" w:lineRule="auto"/>
        <w:ind w:firstLine="420" w:firstLineChars="200"/>
        <w:rPr>
          <w:rFonts w:ascii="宋体" w:hAnsi="宋体"/>
          <w:b w:val="0"/>
          <w:color w:val="000000"/>
          <w:sz w:val="21"/>
          <w:szCs w:val="21"/>
          <w:highlight w:val="none"/>
        </w:rPr>
      </w:pPr>
      <w:r>
        <w:rPr>
          <w:rFonts w:hint="eastAsia" w:ascii="宋体" w:hAnsi="宋体"/>
          <w:b w:val="0"/>
          <w:color w:val="000000"/>
          <w:sz w:val="21"/>
          <w:szCs w:val="21"/>
          <w:highlight w:val="none"/>
        </w:rPr>
        <w:t>2.6“售后服务” 是指商品出售以后所提供的各种服务，包含但不限于投标人须承担的备品备件、包装、运输、装卸、保险、货到就位以及安装、调试、培训、保修以及其他各种服务。</w:t>
      </w:r>
    </w:p>
    <w:p w14:paraId="49A1BD68">
      <w:pPr>
        <w:pStyle w:val="6"/>
        <w:keepNext w:val="0"/>
        <w:keepLines w:val="0"/>
        <w:spacing w:before="0" w:after="0" w:line="360" w:lineRule="auto"/>
        <w:rPr>
          <w:rFonts w:ascii="宋体" w:hAnsi="宋体"/>
          <w:b w:val="0"/>
          <w:color w:val="000000"/>
          <w:sz w:val="21"/>
          <w:szCs w:val="21"/>
          <w:highlight w:val="none"/>
        </w:rPr>
      </w:pPr>
      <w:r>
        <w:rPr>
          <w:rFonts w:hint="eastAsia" w:ascii="宋体" w:hAnsi="宋体"/>
          <w:b w:val="0"/>
          <w:color w:val="000000"/>
          <w:sz w:val="21"/>
          <w:szCs w:val="21"/>
          <w:highlight w:val="none"/>
        </w:rPr>
        <w:t xml:space="preserve">    2.7“书面形式”是指合同书、信件和数据电文（包括电报、电传、传真、电子数据交换和电子邮件）等可以有形地表现所载内容的形式。</w:t>
      </w:r>
    </w:p>
    <w:p w14:paraId="7434D011">
      <w:pPr>
        <w:pStyle w:val="6"/>
        <w:keepNext w:val="0"/>
        <w:keepLines w:val="0"/>
        <w:spacing w:before="0" w:after="0" w:line="360" w:lineRule="auto"/>
        <w:ind w:firstLine="422" w:firstLineChars="200"/>
        <w:rPr>
          <w:rFonts w:ascii="宋体" w:hAnsi="宋体"/>
          <w:bCs/>
          <w:color w:val="000000"/>
          <w:sz w:val="21"/>
          <w:szCs w:val="21"/>
          <w:highlight w:val="none"/>
        </w:rPr>
      </w:pPr>
      <w:r>
        <w:rPr>
          <w:rFonts w:hint="eastAsia" w:ascii="宋体" w:hAnsi="宋体"/>
          <w:bCs/>
          <w:color w:val="000000"/>
          <w:sz w:val="21"/>
          <w:szCs w:val="21"/>
          <w:highlight w:val="none"/>
        </w:rPr>
        <w:t>2.8“实质性要求”是指招标文件中已经指明不满足则投标无效的条款，或者不能负偏离的条款，或者采购需求中带“</w:t>
      </w:r>
      <w:r>
        <w:rPr>
          <w:rFonts w:hint="eastAsia" w:ascii="宋体" w:hAnsi="宋体" w:cs="宋体"/>
          <w:bCs/>
          <w:color w:val="000000"/>
          <w:sz w:val="21"/>
          <w:szCs w:val="21"/>
          <w:highlight w:val="none"/>
        </w:rPr>
        <w:t>▲</w:t>
      </w:r>
      <w:r>
        <w:rPr>
          <w:rFonts w:hint="eastAsia" w:ascii="宋体" w:hAnsi="宋体"/>
          <w:bCs/>
          <w:color w:val="000000"/>
          <w:sz w:val="21"/>
          <w:szCs w:val="21"/>
          <w:highlight w:val="none"/>
        </w:rPr>
        <w:t>”的条款。</w:t>
      </w:r>
    </w:p>
    <w:p w14:paraId="7D42A44D">
      <w:pPr>
        <w:snapToGrid w:val="0"/>
        <w:spacing w:line="360" w:lineRule="auto"/>
        <w:ind w:firstLine="420" w:firstLineChars="200"/>
        <w:jc w:val="left"/>
        <w:rPr>
          <w:rFonts w:ascii="宋体" w:hAnsi="宋体" w:cs="宋体"/>
          <w:color w:val="000000"/>
          <w:szCs w:val="21"/>
          <w:highlight w:val="none"/>
        </w:rPr>
      </w:pPr>
      <w:r>
        <w:rPr>
          <w:rFonts w:hint="eastAsia" w:ascii="宋体" w:hAnsi="宋体"/>
          <w:color w:val="000000"/>
          <w:szCs w:val="21"/>
          <w:highlight w:val="none"/>
        </w:rPr>
        <w:t xml:space="preserve">2.9 </w:t>
      </w:r>
      <w:r>
        <w:rPr>
          <w:rFonts w:hint="eastAsia" w:ascii="宋体" w:hAnsi="宋体" w:cs="宋体"/>
          <w:color w:val="000000"/>
          <w:szCs w:val="21"/>
          <w:highlight w:val="none"/>
        </w:rPr>
        <w:t>“正偏离”，是指投标文件对招标文件“采购需求”中有关条款作出的响应优于条款要求并有利于采购人的情形。</w:t>
      </w:r>
    </w:p>
    <w:p w14:paraId="28641CCD">
      <w:pPr>
        <w:snapToGrid w:val="0"/>
        <w:spacing w:line="360" w:lineRule="auto"/>
        <w:ind w:firstLine="420" w:firstLineChars="200"/>
        <w:jc w:val="left"/>
        <w:rPr>
          <w:rFonts w:ascii="宋体" w:hAnsi="宋体" w:cs="宋体"/>
          <w:color w:val="000000"/>
          <w:szCs w:val="21"/>
          <w:highlight w:val="none"/>
        </w:rPr>
      </w:pPr>
      <w:r>
        <w:rPr>
          <w:rFonts w:ascii="宋体" w:hAnsi="宋体" w:cs="宋体"/>
          <w:color w:val="000000"/>
          <w:szCs w:val="21"/>
          <w:highlight w:val="none"/>
        </w:rPr>
        <w:t>2.10</w:t>
      </w:r>
      <w:r>
        <w:rPr>
          <w:rFonts w:hint="eastAsia" w:ascii="宋体" w:hAnsi="宋体" w:cs="宋体"/>
          <w:color w:val="000000"/>
          <w:szCs w:val="21"/>
          <w:highlight w:val="none"/>
        </w:rPr>
        <w:t>“负偏离”，是指投标文件对招标文件“采购需求”中有关条款作出的响应不满足条款要求，导致采购人要求不能得到满足的情形。</w:t>
      </w:r>
    </w:p>
    <w:p w14:paraId="77DE3CFC">
      <w:pPr>
        <w:snapToGrid w:val="0"/>
        <w:spacing w:line="360" w:lineRule="auto"/>
        <w:ind w:firstLine="420" w:firstLineChars="200"/>
        <w:jc w:val="left"/>
        <w:rPr>
          <w:rFonts w:ascii="宋体" w:hAnsi="宋体" w:cs="宋体"/>
          <w:color w:val="000000"/>
          <w:szCs w:val="21"/>
          <w:highlight w:val="none"/>
        </w:rPr>
      </w:pPr>
      <w:r>
        <w:rPr>
          <w:rFonts w:hint="eastAsia" w:ascii="宋体" w:hAnsi="宋体"/>
          <w:color w:val="000000"/>
          <w:szCs w:val="21"/>
          <w:highlight w:val="none"/>
        </w:rPr>
        <w:t>2.1</w:t>
      </w:r>
      <w:r>
        <w:rPr>
          <w:rFonts w:ascii="宋体" w:hAnsi="宋体"/>
          <w:color w:val="000000"/>
          <w:szCs w:val="21"/>
          <w:highlight w:val="none"/>
        </w:rPr>
        <w:t>1</w:t>
      </w:r>
      <w:r>
        <w:rPr>
          <w:rFonts w:hint="eastAsia" w:ascii="宋体" w:hAnsi="宋体" w:cs="宋体"/>
          <w:color w:val="000000"/>
          <w:szCs w:val="21"/>
          <w:highlight w:val="none"/>
        </w:rPr>
        <w:t>“允许负偏离的条款”是指采购需求中的不属于“实质性要求”的条款。</w:t>
      </w:r>
      <w:bookmarkStart w:id="96" w:name="_Toc254970670"/>
      <w:bookmarkStart w:id="97" w:name="_Toc254970529"/>
    </w:p>
    <w:p w14:paraId="3EE57F26">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3.</w:t>
      </w:r>
      <w:bookmarkEnd w:id="96"/>
      <w:bookmarkEnd w:id="97"/>
      <w:r>
        <w:rPr>
          <w:rFonts w:hint="eastAsia" w:ascii="黑体" w:hAnsi="黑体" w:eastAsia="黑体"/>
          <w:color w:val="000000"/>
          <w:sz w:val="24"/>
          <w:highlight w:val="none"/>
        </w:rPr>
        <w:t>投标人的资格要求</w:t>
      </w:r>
    </w:p>
    <w:p w14:paraId="2B908FF8">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投标人的资格要求详见“投标人须知前附表”。</w:t>
      </w:r>
    </w:p>
    <w:p w14:paraId="368C4FF4">
      <w:pPr>
        <w:pStyle w:val="6"/>
        <w:keepNext w:val="0"/>
        <w:keepLines w:val="0"/>
        <w:spacing w:before="0" w:after="0" w:line="360" w:lineRule="auto"/>
        <w:ind w:left="420" w:leftChars="200"/>
        <w:rPr>
          <w:rFonts w:ascii="黑体" w:hAnsi="黑体" w:eastAsia="黑体"/>
          <w:color w:val="000000"/>
          <w:sz w:val="24"/>
          <w:highlight w:val="none"/>
        </w:rPr>
      </w:pPr>
      <w:bookmarkStart w:id="98" w:name="_Toc254970530"/>
      <w:bookmarkStart w:id="99" w:name="_Toc254970671"/>
      <w:r>
        <w:rPr>
          <w:rFonts w:hint="eastAsia" w:ascii="黑体" w:hAnsi="黑体" w:eastAsia="黑体"/>
          <w:color w:val="000000"/>
          <w:sz w:val="24"/>
          <w:highlight w:val="none"/>
        </w:rPr>
        <w:t>4.投标委托</w:t>
      </w:r>
      <w:bookmarkEnd w:id="98"/>
      <w:bookmarkEnd w:id="99"/>
    </w:p>
    <w:p w14:paraId="383D3356">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投标人代表参加投标活动过程中必须携带个人有效身份证件。如投标人代表不是法定代表人（或负责人），须持有授权委托书（按第六章要求格式填写）。</w:t>
      </w:r>
    </w:p>
    <w:p w14:paraId="2B96DB30">
      <w:pPr>
        <w:pStyle w:val="6"/>
        <w:keepNext w:val="0"/>
        <w:keepLines w:val="0"/>
        <w:spacing w:before="0" w:after="0" w:line="360" w:lineRule="auto"/>
        <w:ind w:left="420" w:leftChars="200"/>
        <w:rPr>
          <w:rFonts w:ascii="黑体" w:hAnsi="黑体" w:eastAsia="黑体"/>
          <w:color w:val="000000"/>
          <w:sz w:val="24"/>
          <w:highlight w:val="none"/>
        </w:rPr>
      </w:pPr>
      <w:bookmarkStart w:id="100" w:name="_5.投标费用"/>
      <w:bookmarkEnd w:id="100"/>
      <w:bookmarkStart w:id="101" w:name="_Toc254970672"/>
      <w:bookmarkStart w:id="102" w:name="_Toc254970531"/>
      <w:r>
        <w:rPr>
          <w:rFonts w:hint="eastAsia" w:ascii="黑体" w:hAnsi="黑体" w:eastAsia="黑体"/>
          <w:color w:val="000000"/>
          <w:sz w:val="24"/>
          <w:highlight w:val="none"/>
        </w:rPr>
        <w:t>5.投标费用</w:t>
      </w:r>
      <w:bookmarkEnd w:id="101"/>
      <w:bookmarkEnd w:id="102"/>
    </w:p>
    <w:p w14:paraId="0373E01C">
      <w:pPr>
        <w:snapToGrid w:val="0"/>
        <w:spacing w:line="360" w:lineRule="auto"/>
        <w:ind w:firstLine="420" w:firstLineChars="200"/>
        <w:jc w:val="left"/>
        <w:rPr>
          <w:rFonts w:ascii="宋体" w:hAnsi="宋体"/>
          <w:color w:val="000000"/>
          <w:szCs w:val="21"/>
          <w:highlight w:val="none"/>
        </w:rPr>
      </w:pPr>
      <w:r>
        <w:rPr>
          <w:rFonts w:hint="eastAsia" w:ascii="宋体" w:hAnsi="宋体" w:cs="宋体"/>
          <w:color w:val="000000"/>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536D75A9">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6.联合体投标</w:t>
      </w:r>
    </w:p>
    <w:p w14:paraId="2B39E933">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6.1本项目是否接受联合体投标，详见“投标人须知前附表”。</w:t>
      </w:r>
    </w:p>
    <w:p w14:paraId="14FE47D5">
      <w:pPr>
        <w:snapToGrid w:val="0"/>
        <w:spacing w:line="360" w:lineRule="auto"/>
        <w:ind w:firstLine="420" w:firstLineChars="200"/>
        <w:jc w:val="left"/>
        <w:rPr>
          <w:rFonts w:ascii="宋体" w:hAnsi="宋体"/>
          <w:bCs/>
          <w:color w:val="000000"/>
          <w:szCs w:val="21"/>
          <w:highlight w:val="none"/>
        </w:rPr>
      </w:pPr>
      <w:r>
        <w:rPr>
          <w:rFonts w:hint="eastAsia" w:ascii="宋体" w:hAnsi="宋体"/>
          <w:bCs/>
          <w:color w:val="000000"/>
          <w:szCs w:val="21"/>
          <w:highlight w:val="none"/>
        </w:rPr>
        <w:t>6.2如接受联合体投标，联合体投标要求详见“投标人须知前附表”。</w:t>
      </w:r>
    </w:p>
    <w:p w14:paraId="6D271C49">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 xml:space="preserve">6.3 </w:t>
      </w:r>
      <w:bookmarkStart w:id="103" w:name="_Hlk65857072"/>
      <w:r>
        <w:rPr>
          <w:rFonts w:hint="eastAsia" w:ascii="宋体" w:hAnsi="宋体" w:cs="宋体"/>
          <w:szCs w:val="21"/>
          <w:highlight w:val="none"/>
        </w:rPr>
        <w:t>根据《政府采购促进中小企业发展管理办法》（财库〔2020〕46号）及《广西壮族自治区财政厅关于持续优化政府采购营商环境推动高质量发展的通知》（</w:t>
      </w:r>
      <w:r>
        <w:rPr>
          <w:rFonts w:hint="eastAsia" w:ascii="宋体" w:hAnsi="宋体" w:cs="宋体"/>
          <w:szCs w:val="21"/>
          <w:highlight w:val="none"/>
          <w:lang w:eastAsia="zh-CN"/>
        </w:rPr>
        <w:t>桂财采〔2024〕55号</w:t>
      </w:r>
      <w:r>
        <w:rPr>
          <w:rFonts w:hint="eastAsia" w:ascii="宋体" w:hAnsi="宋体" w:cs="宋体"/>
          <w:szCs w:val="21"/>
          <w:highlight w:val="none"/>
        </w:rPr>
        <w:t>）的规定</w:t>
      </w:r>
      <w:r>
        <w:rPr>
          <w:rFonts w:hint="eastAsia" w:ascii="宋体" w:hAnsi="宋体" w:cs="宋体"/>
          <w:color w:val="000000"/>
          <w:szCs w:val="21"/>
          <w:highlight w:val="none"/>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bCs/>
          <w:szCs w:val="21"/>
          <w:highlight w:val="none"/>
        </w:rPr>
        <w:t>4%-6%</w:t>
      </w:r>
      <w:r>
        <w:rPr>
          <w:rFonts w:hint="eastAsia" w:ascii="宋体" w:hAnsi="宋体" w:cs="宋体"/>
          <w:color w:val="000000"/>
          <w:szCs w:val="21"/>
          <w:highlight w:val="none"/>
        </w:rPr>
        <w:t>的扣除，用扣除后的价格参加评审，具体详见《评标方法及评标标准》。</w:t>
      </w:r>
      <w:bookmarkEnd w:id="103"/>
    </w:p>
    <w:p w14:paraId="50F299EA">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 xml:space="preserve">7.转包与分包             </w:t>
      </w:r>
    </w:p>
    <w:p w14:paraId="2637282F">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7.1本项目不允许转包。</w:t>
      </w:r>
    </w:p>
    <w:p w14:paraId="7A23E0F8">
      <w:pPr>
        <w:pStyle w:val="6"/>
        <w:keepNext w:val="0"/>
        <w:keepLines w:val="0"/>
        <w:spacing w:before="0" w:after="0" w:line="360" w:lineRule="auto"/>
        <w:ind w:firstLine="315" w:firstLineChars="150"/>
        <w:rPr>
          <w:rFonts w:ascii="宋体" w:hAnsi="宋体"/>
          <w:b w:val="0"/>
          <w:color w:val="000000"/>
          <w:sz w:val="21"/>
          <w:szCs w:val="21"/>
          <w:highlight w:val="none"/>
        </w:rPr>
      </w:pPr>
      <w:r>
        <w:rPr>
          <w:rFonts w:hint="eastAsia" w:ascii="宋体" w:hAnsi="宋体"/>
          <w:b w:val="0"/>
          <w:color w:val="000000"/>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570A4A95">
      <w:pPr>
        <w:pStyle w:val="6"/>
        <w:keepNext w:val="0"/>
        <w:keepLines w:val="0"/>
        <w:spacing w:before="0" w:after="0" w:line="360" w:lineRule="auto"/>
        <w:ind w:firstLine="315" w:firstLineChars="150"/>
        <w:rPr>
          <w:rFonts w:ascii="宋体" w:hAnsi="宋体"/>
          <w:b w:val="0"/>
          <w:color w:val="000000"/>
          <w:sz w:val="21"/>
          <w:szCs w:val="21"/>
          <w:highlight w:val="none"/>
        </w:rPr>
      </w:pPr>
      <w:r>
        <w:rPr>
          <w:rFonts w:hint="eastAsia" w:ascii="宋体" w:hAnsi="宋体"/>
          <w:b w:val="0"/>
          <w:color w:val="000000"/>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34F9BB66">
      <w:pPr>
        <w:pStyle w:val="6"/>
        <w:keepNext w:val="0"/>
        <w:keepLines w:val="0"/>
        <w:spacing w:before="0" w:after="0" w:line="360" w:lineRule="auto"/>
        <w:ind w:left="420" w:leftChars="200"/>
        <w:rPr>
          <w:rFonts w:ascii="黑体" w:hAnsi="黑体" w:eastAsia="黑体"/>
          <w:color w:val="000000"/>
          <w:sz w:val="24"/>
          <w:highlight w:val="none"/>
        </w:rPr>
      </w:pPr>
      <w:bookmarkStart w:id="104" w:name="_Toc254970673"/>
      <w:bookmarkStart w:id="105" w:name="_Toc254970532"/>
      <w:r>
        <w:rPr>
          <w:rFonts w:hint="eastAsia" w:ascii="黑体" w:hAnsi="黑体" w:eastAsia="黑体"/>
          <w:color w:val="000000"/>
          <w:sz w:val="24"/>
          <w:highlight w:val="none"/>
        </w:rPr>
        <w:t>8.特别说明</w:t>
      </w:r>
      <w:bookmarkEnd w:id="104"/>
      <w:bookmarkEnd w:id="105"/>
    </w:p>
    <w:p w14:paraId="41B05E17">
      <w:pPr>
        <w:pStyle w:val="6"/>
        <w:keepNext w:val="0"/>
        <w:keepLines w:val="0"/>
        <w:spacing w:before="0" w:after="0" w:line="360" w:lineRule="auto"/>
        <w:ind w:firstLine="420" w:firstLineChars="200"/>
        <w:rPr>
          <w:rFonts w:ascii="宋体" w:hAnsi="宋体"/>
          <w:b w:val="0"/>
          <w:color w:val="000000"/>
          <w:sz w:val="21"/>
          <w:szCs w:val="21"/>
          <w:highlight w:val="none"/>
        </w:rPr>
      </w:pPr>
      <w:bookmarkStart w:id="106" w:name="_8.1提供相同品牌产品且通过资格审查、符合性审查的不同投标人参加同一合"/>
      <w:bookmarkEnd w:id="106"/>
      <w:r>
        <w:rPr>
          <w:rFonts w:hint="eastAsia" w:ascii="宋体" w:hAnsi="宋体"/>
          <w:b w:val="0"/>
          <w:color w:val="000000"/>
          <w:sz w:val="21"/>
          <w:szCs w:val="21"/>
          <w:highlight w:val="none"/>
        </w:rPr>
        <w:t xml:space="preserve"> </w:t>
      </w:r>
      <w:r>
        <w:rPr>
          <w:highlight w:val="none"/>
        </w:rPr>
        <w:fldChar w:fldCharType="begin"/>
      </w:r>
      <w:r>
        <w:rPr>
          <w:highlight w:val="none"/>
        </w:rPr>
        <w:instrText xml:space="preserve"> HYPERLINK \l "_8.1" </w:instrText>
      </w:r>
      <w:r>
        <w:rPr>
          <w:highlight w:val="none"/>
        </w:rPr>
        <w:fldChar w:fldCharType="separate"/>
      </w:r>
      <w:r>
        <w:rPr>
          <w:rFonts w:hint="eastAsia" w:ascii="宋体" w:hAnsi="宋体"/>
          <w:b w:val="0"/>
          <w:color w:val="000000"/>
          <w:sz w:val="21"/>
          <w:szCs w:val="21"/>
          <w:highlight w:val="none"/>
        </w:rPr>
        <w:t>8.1</w:t>
      </w:r>
      <w:r>
        <w:rPr>
          <w:rFonts w:hint="eastAsia" w:ascii="宋体" w:hAnsi="宋体"/>
          <w:b w:val="0"/>
          <w:color w:val="000000"/>
          <w:sz w:val="21"/>
          <w:szCs w:val="21"/>
          <w:highlight w:val="none"/>
        </w:rPr>
        <w:fldChar w:fldCharType="end"/>
      </w:r>
      <w:r>
        <w:rPr>
          <w:rFonts w:hint="eastAsia" w:ascii="宋体" w:hAnsi="宋体"/>
          <w:b w:val="0"/>
          <w:color w:val="000000"/>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460F23F0">
      <w:pPr>
        <w:pStyle w:val="6"/>
        <w:keepNext w:val="0"/>
        <w:keepLines w:val="0"/>
        <w:spacing w:before="0" w:after="0" w:line="360" w:lineRule="auto"/>
        <w:ind w:firstLine="367" w:firstLineChars="175"/>
        <w:rPr>
          <w:rFonts w:ascii="宋体" w:hAnsi="宋体"/>
          <w:b w:val="0"/>
          <w:color w:val="000000"/>
          <w:sz w:val="21"/>
          <w:szCs w:val="21"/>
          <w:highlight w:val="none"/>
        </w:rPr>
      </w:pPr>
      <w:r>
        <w:rPr>
          <w:rFonts w:hint="eastAsia" w:ascii="宋体" w:hAnsi="宋体"/>
          <w:b w:val="0"/>
          <w:color w:val="000000"/>
          <w:sz w:val="21"/>
          <w:szCs w:val="21"/>
          <w:highlight w:val="none"/>
        </w:rPr>
        <w:t xml:space="preserve"> 8.2如果本招标文件要求提供投标人或制造商的资格、信誉、荣誉、业绩与企业认证等材料的，资格、信誉、荣誉、业绩与企业认证等必须为投标人或者制造商所拥有或自身获得 。</w:t>
      </w:r>
    </w:p>
    <w:p w14:paraId="232A7FD6">
      <w:pPr>
        <w:pStyle w:val="6"/>
        <w:keepNext w:val="0"/>
        <w:keepLines w:val="0"/>
        <w:spacing w:before="0" w:after="0" w:line="360" w:lineRule="auto"/>
        <w:ind w:firstLine="367" w:firstLineChars="175"/>
        <w:rPr>
          <w:rFonts w:ascii="宋体" w:hAnsi="宋体"/>
          <w:b w:val="0"/>
          <w:color w:val="000000"/>
          <w:sz w:val="21"/>
          <w:szCs w:val="21"/>
          <w:highlight w:val="none"/>
        </w:rPr>
      </w:pPr>
      <w:r>
        <w:rPr>
          <w:rFonts w:hint="eastAsia" w:ascii="宋体" w:hAnsi="宋体"/>
          <w:b w:val="0"/>
          <w:color w:val="000000"/>
          <w:sz w:val="21"/>
          <w:szCs w:val="21"/>
          <w:highlight w:val="none"/>
        </w:rPr>
        <w:t xml:space="preserve"> 8.3投标人应仔细阅读招标文件的所有内容，按照招标文件的要求提交投标文件，并对所提供的全部资料的真实性承担法律责任。</w:t>
      </w:r>
    </w:p>
    <w:p w14:paraId="5551ADBC">
      <w:pPr>
        <w:pStyle w:val="6"/>
        <w:keepNext w:val="0"/>
        <w:keepLines w:val="0"/>
        <w:spacing w:before="0" w:after="0" w:line="360" w:lineRule="auto"/>
        <w:ind w:firstLine="367" w:firstLineChars="175"/>
        <w:rPr>
          <w:rFonts w:ascii="宋体" w:hAnsi="宋体"/>
          <w:b w:val="0"/>
          <w:color w:val="000000"/>
          <w:sz w:val="21"/>
          <w:szCs w:val="21"/>
          <w:highlight w:val="none"/>
        </w:rPr>
      </w:pPr>
      <w:r>
        <w:rPr>
          <w:rFonts w:hint="eastAsia" w:ascii="宋体" w:hAnsi="宋体"/>
          <w:b w:val="0"/>
          <w:color w:val="000000"/>
          <w:sz w:val="21"/>
          <w:szCs w:val="21"/>
          <w:highlight w:val="none"/>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7CCC6131">
      <w:pPr>
        <w:pStyle w:val="7"/>
        <w:spacing w:line="360" w:lineRule="auto"/>
        <w:rPr>
          <w:highlight w:val="none"/>
        </w:rPr>
      </w:pPr>
      <w:r>
        <w:rPr>
          <w:highlight w:val="none"/>
        </w:rPr>
        <w:t>8.5</w:t>
      </w:r>
      <w:r>
        <w:rPr>
          <w:rFonts w:hint="eastAsia"/>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9E66631">
      <w:pPr>
        <w:pStyle w:val="7"/>
        <w:spacing w:line="360" w:lineRule="auto"/>
        <w:rPr>
          <w:highlight w:val="none"/>
        </w:rPr>
      </w:pPr>
      <w:r>
        <w:rPr>
          <w:rFonts w:hint="eastAsia"/>
          <w:highlight w:val="none"/>
        </w:rPr>
        <w:t>产品在中国境内生产的组件成本占比应当达到规定比例，计算公式为：</w:t>
      </w:r>
    </w:p>
    <w:p w14:paraId="59C3E09B">
      <w:pPr>
        <w:widowControl/>
        <w:shd w:val="clear" w:color="auto" w:fill="FFFFFF"/>
        <w:spacing w:before="30" w:after="30" w:line="360" w:lineRule="auto"/>
        <w:jc w:val="center"/>
        <w:rPr>
          <w:rFonts w:hint="eastAsia" w:ascii="宋体" w:hAnsi="宋体" w:cs="宋体"/>
          <w:kern w:val="0"/>
          <w:sz w:val="24"/>
          <w:highlight w:val="none"/>
        </w:rPr>
      </w:pPr>
      <w:r>
        <w:rPr>
          <w:rFonts w:ascii="宋体" w:hAnsi="宋体" w:cs="宋体"/>
          <w:kern w:val="0"/>
          <w:sz w:val="24"/>
          <w:highlight w:val="none"/>
        </w:rPr>
        <w:fldChar w:fldCharType="begin"/>
      </w:r>
      <w:r>
        <w:rPr>
          <w:rFonts w:ascii="宋体" w:hAnsi="宋体" w:cs="宋体"/>
          <w:kern w:val="0"/>
          <w:sz w:val="24"/>
          <w:highlight w:val="none"/>
        </w:rPr>
        <w:instrText xml:space="preserve"> INCLUDEPICTURE "https://www.gov.cn/zhengce/content/202509/W020250930645245947614.png" \* MERGEFORMATINET </w:instrText>
      </w:r>
      <w:r>
        <w:rPr>
          <w:rFonts w:ascii="宋体" w:hAnsi="宋体" w:cs="宋体"/>
          <w:kern w:val="0"/>
          <w:sz w:val="24"/>
          <w:highlight w:val="none"/>
        </w:rPr>
        <w:fldChar w:fldCharType="separate"/>
      </w:r>
      <w:r>
        <w:rPr>
          <w:rFonts w:ascii="宋体" w:hAnsi="宋体" w:cs="宋体"/>
          <w:kern w:val="0"/>
          <w:sz w:val="24"/>
          <w:highlight w:val="none"/>
        </w:rPr>
        <w:drawing>
          <wp:inline distT="0" distB="0" distL="114300" distR="114300">
            <wp:extent cx="4827905" cy="7626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r:link="rId19"/>
                    <a:stretch>
                      <a:fillRect/>
                    </a:stretch>
                  </pic:blipFill>
                  <pic:spPr>
                    <a:xfrm>
                      <a:off x="0" y="0"/>
                      <a:ext cx="4827905" cy="762635"/>
                    </a:xfrm>
                    <a:prstGeom prst="rect">
                      <a:avLst/>
                    </a:prstGeom>
                    <a:noFill/>
                    <a:ln>
                      <a:noFill/>
                    </a:ln>
                  </pic:spPr>
                </pic:pic>
              </a:graphicData>
            </a:graphic>
          </wp:inline>
        </w:drawing>
      </w:r>
      <w:r>
        <w:rPr>
          <w:rFonts w:ascii="宋体" w:hAnsi="宋体" w:cs="宋体"/>
          <w:kern w:val="0"/>
          <w:sz w:val="24"/>
          <w:highlight w:val="none"/>
        </w:rPr>
        <w:fldChar w:fldCharType="end"/>
      </w:r>
    </w:p>
    <w:p w14:paraId="43AE255A">
      <w:pPr>
        <w:pStyle w:val="7"/>
        <w:spacing w:line="360" w:lineRule="auto"/>
        <w:rPr>
          <w:rFonts w:hint="eastAsia"/>
          <w:highlight w:val="none"/>
        </w:rPr>
      </w:pPr>
      <w:r>
        <w:rPr>
          <w:rFonts w:hint="eastAsia"/>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31666429">
      <w:pPr>
        <w:pStyle w:val="7"/>
        <w:spacing w:line="360" w:lineRule="auto"/>
        <w:rPr>
          <w:rFonts w:hint="eastAsia" w:eastAsia="宋体"/>
          <w:highlight w:val="none"/>
        </w:rPr>
      </w:pPr>
      <w:r>
        <w:rPr>
          <w:rFonts w:hint="eastAsia" w:eastAsia="宋体"/>
          <w:highlight w:val="none"/>
        </w:rPr>
        <w:t>政府采购活动中既有本国产品又有非本国产品参与竞争的，依法对本国产品给予价格评审优惠，对本国产品的报价给予20%的价格扣除，用扣除后的价格参与评审。</w:t>
      </w:r>
    </w:p>
    <w:p w14:paraId="5FA04215">
      <w:pPr>
        <w:pStyle w:val="7"/>
        <w:spacing w:line="360" w:lineRule="auto"/>
        <w:rPr>
          <w:rFonts w:hint="eastAsia" w:eastAsia="宋体"/>
          <w:highlight w:val="none"/>
        </w:rPr>
      </w:pPr>
      <w:r>
        <w:rPr>
          <w:rFonts w:hint="eastAsia" w:eastAsia="宋体"/>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A85A8ED">
      <w:pPr>
        <w:pStyle w:val="6"/>
        <w:keepNext w:val="0"/>
        <w:keepLines w:val="0"/>
        <w:spacing w:before="0" w:after="0" w:line="360" w:lineRule="auto"/>
        <w:ind w:left="420" w:leftChars="200"/>
        <w:rPr>
          <w:rFonts w:ascii="黑体" w:hAnsi="黑体" w:eastAsia="黑体"/>
          <w:color w:val="000000"/>
          <w:sz w:val="24"/>
          <w:highlight w:val="none"/>
        </w:rPr>
      </w:pPr>
      <w:r>
        <w:rPr>
          <w:rFonts w:ascii="黑体" w:hAnsi="黑体" w:eastAsia="黑体"/>
          <w:color w:val="000000"/>
          <w:sz w:val="24"/>
          <w:highlight w:val="none"/>
        </w:rPr>
        <w:t>9.</w:t>
      </w:r>
      <w:r>
        <w:rPr>
          <w:rFonts w:hint="eastAsia" w:ascii="黑体" w:hAnsi="黑体" w:eastAsia="黑体"/>
          <w:color w:val="000000"/>
          <w:sz w:val="24"/>
          <w:highlight w:val="none"/>
        </w:rPr>
        <w:t>回避与串通投标</w:t>
      </w:r>
    </w:p>
    <w:p w14:paraId="0C13D06F">
      <w:pPr>
        <w:pStyle w:val="6"/>
        <w:keepNext w:val="0"/>
        <w:keepLines w:val="0"/>
        <w:spacing w:before="0" w:after="0" w:line="360" w:lineRule="auto"/>
        <w:ind w:firstLine="367" w:firstLineChars="175"/>
        <w:rPr>
          <w:rFonts w:ascii="宋体" w:hAnsi="宋体"/>
          <w:b w:val="0"/>
          <w:color w:val="000000"/>
          <w:sz w:val="21"/>
          <w:szCs w:val="21"/>
          <w:highlight w:val="none"/>
        </w:rPr>
      </w:pPr>
      <w:r>
        <w:rPr>
          <w:rFonts w:hint="eastAsia" w:ascii="宋体" w:hAnsi="宋体"/>
          <w:b w:val="0"/>
          <w:color w:val="000000"/>
          <w:sz w:val="21"/>
          <w:szCs w:val="21"/>
          <w:highlight w:val="none"/>
        </w:rPr>
        <w:t>9</w:t>
      </w:r>
      <w:r>
        <w:rPr>
          <w:rFonts w:ascii="宋体" w:hAnsi="宋体"/>
          <w:b w:val="0"/>
          <w:color w:val="000000"/>
          <w:sz w:val="21"/>
          <w:szCs w:val="21"/>
          <w:highlight w:val="none"/>
        </w:rPr>
        <w:t>.1在政府采购活动中，采购人员及相关人员与</w:t>
      </w:r>
      <w:r>
        <w:rPr>
          <w:rFonts w:hint="eastAsia" w:ascii="宋体" w:hAnsi="宋体"/>
          <w:b w:val="0"/>
          <w:color w:val="000000"/>
          <w:sz w:val="21"/>
          <w:szCs w:val="21"/>
          <w:highlight w:val="none"/>
        </w:rPr>
        <w:t>供应商</w:t>
      </w:r>
      <w:r>
        <w:rPr>
          <w:rFonts w:ascii="宋体" w:hAnsi="宋体"/>
          <w:b w:val="0"/>
          <w:color w:val="000000"/>
          <w:sz w:val="21"/>
          <w:szCs w:val="21"/>
          <w:highlight w:val="none"/>
        </w:rPr>
        <w:t>有下列利害关系之一的，应当回避：</w:t>
      </w:r>
    </w:p>
    <w:p w14:paraId="622337F2">
      <w:pPr>
        <w:pStyle w:val="25"/>
        <w:snapToGrid w:val="0"/>
        <w:spacing w:line="360" w:lineRule="auto"/>
        <w:ind w:left="2" w:leftChars="1" w:firstLine="420" w:firstLineChars="200"/>
        <w:rPr>
          <w:rFonts w:hAnsi="宋体"/>
          <w:color w:val="000000"/>
          <w:kern w:val="2"/>
          <w:sz w:val="21"/>
          <w:highlight w:val="none"/>
        </w:rPr>
      </w:pPr>
      <w:r>
        <w:rPr>
          <w:rFonts w:hAnsi="宋体"/>
          <w:color w:val="000000"/>
          <w:kern w:val="2"/>
          <w:sz w:val="21"/>
          <w:highlight w:val="none"/>
        </w:rPr>
        <w:t>（</w:t>
      </w:r>
      <w:r>
        <w:rPr>
          <w:rFonts w:hint="eastAsia" w:hAnsi="宋体"/>
          <w:color w:val="000000"/>
          <w:kern w:val="2"/>
          <w:sz w:val="21"/>
          <w:highlight w:val="none"/>
        </w:rPr>
        <w:t>1</w:t>
      </w:r>
      <w:r>
        <w:rPr>
          <w:rFonts w:hAnsi="宋体"/>
          <w:color w:val="000000"/>
          <w:kern w:val="2"/>
          <w:sz w:val="21"/>
          <w:highlight w:val="none"/>
        </w:rPr>
        <w:t>）参加采购活动前3年内与</w:t>
      </w:r>
      <w:r>
        <w:rPr>
          <w:rFonts w:hint="eastAsia" w:hAnsi="宋体"/>
          <w:color w:val="000000"/>
          <w:kern w:val="2"/>
          <w:sz w:val="21"/>
          <w:highlight w:val="none"/>
        </w:rPr>
        <w:t>供应商</w:t>
      </w:r>
      <w:r>
        <w:rPr>
          <w:rFonts w:hAnsi="宋体"/>
          <w:color w:val="000000"/>
          <w:kern w:val="2"/>
          <w:sz w:val="21"/>
          <w:highlight w:val="none"/>
        </w:rPr>
        <w:t>存在劳动关系；</w:t>
      </w:r>
    </w:p>
    <w:p w14:paraId="7A0B9A2D">
      <w:pPr>
        <w:pStyle w:val="25"/>
        <w:snapToGrid w:val="0"/>
        <w:spacing w:line="360" w:lineRule="auto"/>
        <w:ind w:left="2" w:leftChars="1" w:firstLine="420" w:firstLineChars="200"/>
        <w:rPr>
          <w:rFonts w:hAnsi="宋体"/>
          <w:color w:val="000000"/>
          <w:kern w:val="2"/>
          <w:sz w:val="21"/>
          <w:highlight w:val="none"/>
        </w:rPr>
      </w:pPr>
      <w:r>
        <w:rPr>
          <w:rFonts w:hAnsi="宋体"/>
          <w:color w:val="000000"/>
          <w:kern w:val="2"/>
          <w:sz w:val="21"/>
          <w:highlight w:val="none"/>
        </w:rPr>
        <w:t>（</w:t>
      </w:r>
      <w:r>
        <w:rPr>
          <w:rFonts w:hint="eastAsia" w:hAnsi="宋体"/>
          <w:color w:val="000000"/>
          <w:kern w:val="2"/>
          <w:sz w:val="21"/>
          <w:highlight w:val="none"/>
        </w:rPr>
        <w:t>2</w:t>
      </w:r>
      <w:r>
        <w:rPr>
          <w:rFonts w:hAnsi="宋体"/>
          <w:color w:val="000000"/>
          <w:kern w:val="2"/>
          <w:sz w:val="21"/>
          <w:highlight w:val="none"/>
        </w:rPr>
        <w:t>）参加采购活动前3年内担任</w:t>
      </w:r>
      <w:r>
        <w:rPr>
          <w:rFonts w:hint="eastAsia" w:hAnsi="宋体"/>
          <w:color w:val="000000"/>
          <w:kern w:val="2"/>
          <w:sz w:val="21"/>
          <w:highlight w:val="none"/>
        </w:rPr>
        <w:t>供应商</w:t>
      </w:r>
      <w:r>
        <w:rPr>
          <w:rFonts w:hAnsi="宋体"/>
          <w:color w:val="000000"/>
          <w:kern w:val="2"/>
          <w:sz w:val="21"/>
          <w:highlight w:val="none"/>
        </w:rPr>
        <w:t>的董事、监事；</w:t>
      </w:r>
    </w:p>
    <w:p w14:paraId="63B82C2B">
      <w:pPr>
        <w:pStyle w:val="25"/>
        <w:snapToGrid w:val="0"/>
        <w:spacing w:line="360" w:lineRule="auto"/>
        <w:ind w:left="2" w:leftChars="1" w:firstLine="420" w:firstLineChars="200"/>
        <w:rPr>
          <w:rFonts w:hAnsi="宋体"/>
          <w:color w:val="000000"/>
          <w:kern w:val="2"/>
          <w:sz w:val="21"/>
          <w:highlight w:val="none"/>
        </w:rPr>
      </w:pPr>
      <w:r>
        <w:rPr>
          <w:rFonts w:hAnsi="宋体"/>
          <w:color w:val="000000"/>
          <w:kern w:val="2"/>
          <w:sz w:val="21"/>
          <w:highlight w:val="none"/>
        </w:rPr>
        <w:t>（</w:t>
      </w:r>
      <w:r>
        <w:rPr>
          <w:rFonts w:hint="eastAsia" w:hAnsi="宋体"/>
          <w:color w:val="000000"/>
          <w:kern w:val="2"/>
          <w:sz w:val="21"/>
          <w:highlight w:val="none"/>
        </w:rPr>
        <w:t>3</w:t>
      </w:r>
      <w:r>
        <w:rPr>
          <w:rFonts w:hAnsi="宋体"/>
          <w:color w:val="000000"/>
          <w:kern w:val="2"/>
          <w:sz w:val="21"/>
          <w:highlight w:val="none"/>
        </w:rPr>
        <w:t>）参加采购活动前3年内是</w:t>
      </w:r>
      <w:r>
        <w:rPr>
          <w:rFonts w:hint="eastAsia" w:hAnsi="宋体"/>
          <w:color w:val="000000"/>
          <w:kern w:val="2"/>
          <w:sz w:val="21"/>
          <w:highlight w:val="none"/>
        </w:rPr>
        <w:t>供应商</w:t>
      </w:r>
      <w:r>
        <w:rPr>
          <w:rFonts w:hAnsi="宋体"/>
          <w:color w:val="000000"/>
          <w:kern w:val="2"/>
          <w:sz w:val="21"/>
          <w:highlight w:val="none"/>
        </w:rPr>
        <w:t>的控股股东或者实际控制人；</w:t>
      </w:r>
    </w:p>
    <w:p w14:paraId="78258467">
      <w:pPr>
        <w:pStyle w:val="25"/>
        <w:snapToGrid w:val="0"/>
        <w:spacing w:line="360" w:lineRule="auto"/>
        <w:ind w:left="2" w:leftChars="1" w:firstLine="420" w:firstLineChars="200"/>
        <w:rPr>
          <w:rFonts w:hAnsi="宋体"/>
          <w:color w:val="000000"/>
          <w:kern w:val="2"/>
          <w:sz w:val="21"/>
          <w:highlight w:val="none"/>
        </w:rPr>
      </w:pPr>
      <w:r>
        <w:rPr>
          <w:rFonts w:hAnsi="宋体"/>
          <w:color w:val="000000"/>
          <w:kern w:val="2"/>
          <w:sz w:val="21"/>
          <w:highlight w:val="none"/>
        </w:rPr>
        <w:t>（</w:t>
      </w:r>
      <w:r>
        <w:rPr>
          <w:rFonts w:hint="eastAsia" w:hAnsi="宋体"/>
          <w:color w:val="000000"/>
          <w:kern w:val="2"/>
          <w:sz w:val="21"/>
          <w:highlight w:val="none"/>
        </w:rPr>
        <w:t>4</w:t>
      </w:r>
      <w:r>
        <w:rPr>
          <w:rFonts w:hAnsi="宋体"/>
          <w:color w:val="000000"/>
          <w:kern w:val="2"/>
          <w:sz w:val="21"/>
          <w:highlight w:val="none"/>
        </w:rPr>
        <w:t>）与</w:t>
      </w:r>
      <w:r>
        <w:rPr>
          <w:rFonts w:hint="eastAsia" w:hAnsi="宋体"/>
          <w:color w:val="000000"/>
          <w:kern w:val="2"/>
          <w:sz w:val="21"/>
          <w:highlight w:val="none"/>
        </w:rPr>
        <w:t>供应商</w:t>
      </w:r>
      <w:r>
        <w:rPr>
          <w:rFonts w:hAnsi="宋体"/>
          <w:color w:val="000000"/>
          <w:kern w:val="2"/>
          <w:sz w:val="21"/>
          <w:highlight w:val="none"/>
        </w:rPr>
        <w:t>的</w:t>
      </w:r>
      <w:r>
        <w:rPr>
          <w:rFonts w:hint="eastAsia" w:hAnsi="宋体"/>
          <w:color w:val="000000"/>
          <w:kern w:val="2"/>
          <w:sz w:val="21"/>
          <w:highlight w:val="none"/>
        </w:rPr>
        <w:t>法定代表人（或负责人）</w:t>
      </w:r>
      <w:r>
        <w:rPr>
          <w:rFonts w:hAnsi="宋体"/>
          <w:color w:val="000000"/>
          <w:kern w:val="2"/>
          <w:sz w:val="21"/>
          <w:highlight w:val="none"/>
        </w:rPr>
        <w:t>或者负责人有夫妻、直系血亲、三代以内旁系血亲或者近姻亲关系；</w:t>
      </w:r>
    </w:p>
    <w:p w14:paraId="644FCE2F">
      <w:pPr>
        <w:pStyle w:val="25"/>
        <w:snapToGrid w:val="0"/>
        <w:spacing w:line="360" w:lineRule="auto"/>
        <w:ind w:left="2" w:leftChars="1" w:firstLine="420" w:firstLineChars="200"/>
        <w:rPr>
          <w:rFonts w:hAnsi="宋体"/>
          <w:color w:val="000000"/>
          <w:kern w:val="2"/>
          <w:sz w:val="21"/>
          <w:highlight w:val="none"/>
        </w:rPr>
      </w:pPr>
      <w:r>
        <w:rPr>
          <w:rFonts w:hAnsi="宋体"/>
          <w:color w:val="000000"/>
          <w:kern w:val="2"/>
          <w:sz w:val="21"/>
          <w:highlight w:val="none"/>
        </w:rPr>
        <w:t>（</w:t>
      </w:r>
      <w:r>
        <w:rPr>
          <w:rFonts w:hint="eastAsia" w:hAnsi="宋体"/>
          <w:color w:val="000000"/>
          <w:kern w:val="2"/>
          <w:sz w:val="21"/>
          <w:highlight w:val="none"/>
        </w:rPr>
        <w:t>5</w:t>
      </w:r>
      <w:r>
        <w:rPr>
          <w:rFonts w:hAnsi="宋体"/>
          <w:color w:val="000000"/>
          <w:kern w:val="2"/>
          <w:sz w:val="21"/>
          <w:highlight w:val="none"/>
        </w:rPr>
        <w:t>）与</w:t>
      </w:r>
      <w:r>
        <w:rPr>
          <w:rFonts w:hint="eastAsia" w:hAnsi="宋体"/>
          <w:color w:val="000000"/>
          <w:kern w:val="2"/>
          <w:sz w:val="21"/>
          <w:highlight w:val="none"/>
        </w:rPr>
        <w:t>供应商</w:t>
      </w:r>
      <w:r>
        <w:rPr>
          <w:rFonts w:hAnsi="宋体"/>
          <w:color w:val="000000"/>
          <w:kern w:val="2"/>
          <w:sz w:val="21"/>
          <w:highlight w:val="none"/>
        </w:rPr>
        <w:t>有其他可能影响政府采购活动公平、公正进行的关系。</w:t>
      </w:r>
    </w:p>
    <w:p w14:paraId="7F46F124">
      <w:pPr>
        <w:pStyle w:val="25"/>
        <w:snapToGrid w:val="0"/>
        <w:spacing w:line="360" w:lineRule="auto"/>
        <w:ind w:left="2" w:leftChars="1" w:firstLine="420" w:firstLineChars="200"/>
        <w:rPr>
          <w:rFonts w:hAnsi="宋体"/>
          <w:color w:val="000000"/>
          <w:kern w:val="2"/>
          <w:sz w:val="21"/>
          <w:highlight w:val="none"/>
        </w:rPr>
      </w:pPr>
      <w:r>
        <w:rPr>
          <w:rFonts w:hint="eastAsia" w:hAnsi="宋体"/>
          <w:color w:val="000000"/>
          <w:kern w:val="2"/>
          <w:sz w:val="21"/>
          <w:highlight w:val="none"/>
        </w:rPr>
        <w:t>供应商</w:t>
      </w:r>
      <w:r>
        <w:rPr>
          <w:rFonts w:hAnsi="宋体"/>
          <w:color w:val="000000"/>
          <w:kern w:val="2"/>
          <w:sz w:val="21"/>
          <w:highlight w:val="none"/>
        </w:rPr>
        <w:t>认为采购人员及相关人员与其他</w:t>
      </w:r>
      <w:r>
        <w:rPr>
          <w:rFonts w:hint="eastAsia" w:hAnsi="宋体"/>
          <w:color w:val="000000"/>
          <w:kern w:val="2"/>
          <w:sz w:val="21"/>
          <w:highlight w:val="none"/>
        </w:rPr>
        <w:t>供应商</w:t>
      </w:r>
      <w:r>
        <w:rPr>
          <w:rFonts w:hAnsi="宋体"/>
          <w:color w:val="000000"/>
          <w:kern w:val="2"/>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0F8D1BA9">
      <w:pPr>
        <w:pStyle w:val="6"/>
        <w:keepNext w:val="0"/>
        <w:keepLines w:val="0"/>
        <w:spacing w:before="0" w:after="0" w:line="360" w:lineRule="auto"/>
        <w:ind w:left="420" w:leftChars="200"/>
        <w:rPr>
          <w:rFonts w:ascii="宋体" w:hAnsi="宋体"/>
          <w:color w:val="000000"/>
          <w:sz w:val="21"/>
          <w:szCs w:val="21"/>
          <w:highlight w:val="none"/>
        </w:rPr>
      </w:pPr>
      <w:r>
        <w:rPr>
          <w:rFonts w:ascii="宋体" w:hAnsi="宋体"/>
          <w:color w:val="000000"/>
          <w:sz w:val="21"/>
          <w:szCs w:val="21"/>
          <w:highlight w:val="none"/>
        </w:rPr>
        <w:t>9.2</w:t>
      </w:r>
      <w:r>
        <w:rPr>
          <w:rFonts w:hint="eastAsia" w:ascii="宋体" w:hAnsi="宋体"/>
          <w:color w:val="000000"/>
          <w:sz w:val="21"/>
          <w:szCs w:val="21"/>
          <w:highlight w:val="none"/>
        </w:rPr>
        <w:t>有下列情形之一的视为投标人相互串通投标，投标文件将被视为无效：</w:t>
      </w:r>
    </w:p>
    <w:p w14:paraId="2B3AB71F">
      <w:pPr>
        <w:pStyle w:val="25"/>
        <w:snapToGrid w:val="0"/>
        <w:spacing w:line="360" w:lineRule="auto"/>
        <w:ind w:left="2" w:leftChars="1" w:firstLine="422" w:firstLineChars="200"/>
        <w:rPr>
          <w:rFonts w:hAnsi="宋体"/>
          <w:b/>
          <w:color w:val="000000"/>
          <w:kern w:val="2"/>
          <w:sz w:val="21"/>
          <w:highlight w:val="none"/>
        </w:rPr>
      </w:pPr>
      <w:r>
        <w:rPr>
          <w:rFonts w:hint="eastAsia" w:hAnsi="宋体"/>
          <w:b/>
          <w:color w:val="000000"/>
          <w:kern w:val="2"/>
          <w:sz w:val="21"/>
          <w:highlight w:val="none"/>
        </w:rPr>
        <w:t xml:space="preserve">（1）不同投标人的投标文件由同一单位或者个人编制； </w:t>
      </w:r>
    </w:p>
    <w:p w14:paraId="2AE33F8F">
      <w:pPr>
        <w:pStyle w:val="25"/>
        <w:snapToGrid w:val="0"/>
        <w:spacing w:line="360" w:lineRule="auto"/>
        <w:ind w:left="2" w:leftChars="1" w:firstLine="422" w:firstLineChars="200"/>
        <w:rPr>
          <w:rFonts w:hAnsi="宋体"/>
          <w:b/>
          <w:color w:val="000000"/>
          <w:kern w:val="2"/>
          <w:sz w:val="21"/>
          <w:highlight w:val="none"/>
        </w:rPr>
      </w:pPr>
      <w:r>
        <w:rPr>
          <w:rFonts w:hint="eastAsia" w:hAnsi="宋体"/>
          <w:b/>
          <w:color w:val="000000"/>
          <w:kern w:val="2"/>
          <w:sz w:val="21"/>
          <w:highlight w:val="none"/>
        </w:rPr>
        <w:t>（2）不同投标人委托同一单位或者个人办理投标事宜；</w:t>
      </w:r>
    </w:p>
    <w:p w14:paraId="2C0C9C41">
      <w:pPr>
        <w:pStyle w:val="25"/>
        <w:snapToGrid w:val="0"/>
        <w:spacing w:line="360" w:lineRule="auto"/>
        <w:ind w:left="2" w:leftChars="1" w:firstLine="422" w:firstLineChars="200"/>
        <w:rPr>
          <w:rFonts w:hAnsi="宋体"/>
          <w:b/>
          <w:color w:val="000000"/>
          <w:kern w:val="2"/>
          <w:sz w:val="21"/>
          <w:highlight w:val="none"/>
        </w:rPr>
      </w:pPr>
      <w:r>
        <w:rPr>
          <w:rFonts w:hint="eastAsia" w:hAnsi="宋体"/>
          <w:b/>
          <w:color w:val="000000"/>
          <w:kern w:val="2"/>
          <w:sz w:val="21"/>
          <w:highlight w:val="none"/>
        </w:rPr>
        <w:t>（3）不同的投标人的投标文件载明的项目管理员为同一个人；</w:t>
      </w:r>
    </w:p>
    <w:p w14:paraId="1849B57E">
      <w:pPr>
        <w:pStyle w:val="25"/>
        <w:snapToGrid w:val="0"/>
        <w:spacing w:line="360" w:lineRule="auto"/>
        <w:ind w:left="2" w:leftChars="1" w:firstLine="422" w:firstLineChars="200"/>
        <w:rPr>
          <w:rFonts w:hAnsi="宋体"/>
          <w:b/>
          <w:color w:val="000000"/>
          <w:kern w:val="2"/>
          <w:sz w:val="21"/>
          <w:highlight w:val="none"/>
        </w:rPr>
      </w:pPr>
      <w:r>
        <w:rPr>
          <w:rFonts w:hint="eastAsia" w:hAnsi="宋体"/>
          <w:b/>
          <w:color w:val="000000"/>
          <w:kern w:val="2"/>
          <w:sz w:val="21"/>
          <w:highlight w:val="none"/>
        </w:rPr>
        <w:t>（4）不同投标人的投标文件异常一致或者投标报价呈规律性差异；</w:t>
      </w:r>
    </w:p>
    <w:p w14:paraId="5F0F32C4">
      <w:pPr>
        <w:pStyle w:val="25"/>
        <w:snapToGrid w:val="0"/>
        <w:spacing w:line="360" w:lineRule="auto"/>
        <w:ind w:left="2" w:leftChars="1" w:firstLine="422" w:firstLineChars="200"/>
        <w:rPr>
          <w:rFonts w:hAnsi="宋体"/>
          <w:b/>
          <w:color w:val="000000"/>
          <w:kern w:val="2"/>
          <w:sz w:val="21"/>
          <w:highlight w:val="none"/>
        </w:rPr>
      </w:pPr>
      <w:r>
        <w:rPr>
          <w:rFonts w:hint="eastAsia" w:hAnsi="宋体"/>
          <w:b/>
          <w:color w:val="000000"/>
          <w:kern w:val="2"/>
          <w:sz w:val="21"/>
          <w:highlight w:val="none"/>
        </w:rPr>
        <w:t>（5）不同投标人的投标文件相互混装；</w:t>
      </w:r>
    </w:p>
    <w:p w14:paraId="2DFB19F3">
      <w:pPr>
        <w:pStyle w:val="25"/>
        <w:snapToGrid w:val="0"/>
        <w:spacing w:line="360" w:lineRule="auto"/>
        <w:ind w:left="2" w:leftChars="1" w:firstLine="422" w:firstLineChars="200"/>
        <w:rPr>
          <w:rFonts w:hAnsi="宋体"/>
          <w:b/>
          <w:color w:val="000000"/>
          <w:kern w:val="2"/>
          <w:sz w:val="21"/>
          <w:highlight w:val="none"/>
        </w:rPr>
      </w:pPr>
      <w:r>
        <w:rPr>
          <w:rFonts w:hint="eastAsia" w:hAnsi="宋体"/>
          <w:b/>
          <w:color w:val="000000"/>
          <w:kern w:val="2"/>
          <w:sz w:val="21"/>
          <w:highlight w:val="none"/>
        </w:rPr>
        <w:t>（6）不同投标人的投标保证金从同一单位或者个人账户转出。</w:t>
      </w:r>
    </w:p>
    <w:p w14:paraId="5B029AC1">
      <w:pPr>
        <w:pStyle w:val="6"/>
        <w:keepNext w:val="0"/>
        <w:keepLines w:val="0"/>
        <w:spacing w:before="0" w:after="0" w:line="360" w:lineRule="auto"/>
        <w:ind w:left="420" w:leftChars="200"/>
        <w:rPr>
          <w:rFonts w:ascii="宋体" w:hAnsi="宋体"/>
          <w:b w:val="0"/>
          <w:color w:val="000000"/>
          <w:sz w:val="21"/>
          <w:szCs w:val="21"/>
          <w:highlight w:val="none"/>
        </w:rPr>
      </w:pPr>
      <w:r>
        <w:rPr>
          <w:rFonts w:ascii="宋体" w:hAnsi="宋体"/>
          <w:b w:val="0"/>
          <w:color w:val="000000"/>
          <w:sz w:val="21"/>
          <w:szCs w:val="21"/>
          <w:highlight w:val="none"/>
        </w:rPr>
        <w:t>9.3</w:t>
      </w:r>
      <w:r>
        <w:rPr>
          <w:rFonts w:hint="eastAsia" w:ascii="宋体" w:hAnsi="宋体"/>
          <w:b w:val="0"/>
          <w:color w:val="000000"/>
          <w:sz w:val="21"/>
          <w:szCs w:val="21"/>
          <w:highlight w:val="none"/>
        </w:rPr>
        <w:t>供应商有下列情形之一的，属于恶意串通行为，将报同级监督管理部门：</w:t>
      </w:r>
    </w:p>
    <w:p w14:paraId="31AB516A">
      <w:pPr>
        <w:pStyle w:val="25"/>
        <w:snapToGrid w:val="0"/>
        <w:spacing w:line="360" w:lineRule="auto"/>
        <w:ind w:left="2" w:leftChars="1" w:firstLine="420" w:firstLineChars="200"/>
        <w:rPr>
          <w:rFonts w:hAnsi="宋体"/>
          <w:color w:val="000000"/>
          <w:kern w:val="2"/>
          <w:sz w:val="21"/>
          <w:highlight w:val="none"/>
        </w:rPr>
      </w:pPr>
      <w:r>
        <w:rPr>
          <w:rFonts w:hint="eastAsia" w:hAnsi="宋体"/>
          <w:color w:val="000000"/>
          <w:kern w:val="2"/>
          <w:sz w:val="21"/>
          <w:highlight w:val="none"/>
        </w:rPr>
        <w:t>（1）供应商直接或者间接从采购人或者采购代理机构处获得其他供应商的相关信息并修改其投标文件或者响应文件；</w:t>
      </w:r>
    </w:p>
    <w:p w14:paraId="6F26392D">
      <w:pPr>
        <w:pStyle w:val="25"/>
        <w:snapToGrid w:val="0"/>
        <w:spacing w:line="360" w:lineRule="auto"/>
        <w:ind w:left="2" w:leftChars="1" w:firstLine="420" w:firstLineChars="200"/>
        <w:rPr>
          <w:rFonts w:hAnsi="宋体"/>
          <w:color w:val="000000"/>
          <w:kern w:val="2"/>
          <w:sz w:val="21"/>
          <w:highlight w:val="none"/>
        </w:rPr>
      </w:pPr>
      <w:r>
        <w:rPr>
          <w:rFonts w:hint="eastAsia" w:hAnsi="宋体"/>
          <w:color w:val="000000"/>
          <w:kern w:val="2"/>
          <w:sz w:val="21"/>
          <w:highlight w:val="none"/>
        </w:rPr>
        <w:t>（2）供应商按照采购人或者采购代理机构的授意撤换、修改投标文件或者响应文件；</w:t>
      </w:r>
    </w:p>
    <w:p w14:paraId="26205587">
      <w:pPr>
        <w:pStyle w:val="25"/>
        <w:snapToGrid w:val="0"/>
        <w:spacing w:line="360" w:lineRule="auto"/>
        <w:ind w:left="2" w:leftChars="1" w:firstLine="420" w:firstLineChars="200"/>
        <w:rPr>
          <w:rFonts w:hAnsi="宋体"/>
          <w:color w:val="000000"/>
          <w:kern w:val="2"/>
          <w:sz w:val="21"/>
          <w:highlight w:val="none"/>
        </w:rPr>
      </w:pPr>
      <w:r>
        <w:rPr>
          <w:rFonts w:hint="eastAsia" w:hAnsi="宋体"/>
          <w:color w:val="000000"/>
          <w:kern w:val="2"/>
          <w:sz w:val="21"/>
          <w:highlight w:val="none"/>
        </w:rPr>
        <w:t>（3）供应商之间协商报价、技术方案等投标文件或者响应文件的实质性内容；</w:t>
      </w:r>
    </w:p>
    <w:p w14:paraId="414ED789">
      <w:pPr>
        <w:pStyle w:val="25"/>
        <w:snapToGrid w:val="0"/>
        <w:spacing w:line="360" w:lineRule="auto"/>
        <w:ind w:left="2" w:leftChars="1" w:firstLine="420" w:firstLineChars="200"/>
        <w:rPr>
          <w:rFonts w:hAnsi="宋体"/>
          <w:color w:val="000000"/>
          <w:kern w:val="2"/>
          <w:sz w:val="21"/>
          <w:highlight w:val="none"/>
        </w:rPr>
      </w:pPr>
      <w:r>
        <w:rPr>
          <w:rFonts w:hint="eastAsia" w:hAnsi="宋体"/>
          <w:color w:val="000000"/>
          <w:kern w:val="2"/>
          <w:sz w:val="21"/>
          <w:highlight w:val="none"/>
        </w:rPr>
        <w:t>（4）属于同一集团、协会、商会等组织成员的供应商按照该组织要求协同参加政府采购活动；</w:t>
      </w:r>
    </w:p>
    <w:p w14:paraId="49FC2367">
      <w:pPr>
        <w:pStyle w:val="25"/>
        <w:snapToGrid w:val="0"/>
        <w:spacing w:line="360" w:lineRule="auto"/>
        <w:ind w:left="2" w:leftChars="1" w:firstLine="420" w:firstLineChars="200"/>
        <w:rPr>
          <w:rFonts w:hAnsi="宋体"/>
          <w:color w:val="000000"/>
          <w:kern w:val="2"/>
          <w:sz w:val="21"/>
          <w:highlight w:val="none"/>
        </w:rPr>
      </w:pPr>
      <w:r>
        <w:rPr>
          <w:rFonts w:hint="eastAsia" w:hAnsi="宋体"/>
          <w:color w:val="000000"/>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20DFA8B9">
      <w:pPr>
        <w:pStyle w:val="25"/>
        <w:snapToGrid w:val="0"/>
        <w:spacing w:line="360" w:lineRule="auto"/>
        <w:ind w:left="2" w:leftChars="1" w:firstLine="420" w:firstLineChars="200"/>
        <w:rPr>
          <w:rFonts w:hAnsi="宋体"/>
          <w:color w:val="000000"/>
          <w:kern w:val="2"/>
          <w:sz w:val="21"/>
          <w:highlight w:val="none"/>
        </w:rPr>
      </w:pPr>
      <w:r>
        <w:rPr>
          <w:rFonts w:hint="eastAsia" w:hAnsi="宋体"/>
          <w:color w:val="000000"/>
          <w:kern w:val="2"/>
          <w:sz w:val="21"/>
          <w:highlight w:val="none"/>
        </w:rPr>
        <w:t>（6）供应商之间商定部分供应商放弃参加政府采购活动或者放弃中标；</w:t>
      </w:r>
    </w:p>
    <w:p w14:paraId="4E500A5E">
      <w:pPr>
        <w:pStyle w:val="25"/>
        <w:snapToGrid w:val="0"/>
        <w:spacing w:line="360" w:lineRule="auto"/>
        <w:ind w:left="2" w:leftChars="1" w:firstLine="420" w:firstLineChars="200"/>
        <w:rPr>
          <w:rFonts w:hAnsi="宋体"/>
          <w:color w:val="000000"/>
          <w:kern w:val="2"/>
          <w:sz w:val="21"/>
          <w:highlight w:val="none"/>
        </w:rPr>
      </w:pPr>
      <w:r>
        <w:rPr>
          <w:rFonts w:hint="eastAsia" w:hAnsi="宋体"/>
          <w:color w:val="000000"/>
          <w:kern w:val="2"/>
          <w:sz w:val="21"/>
          <w:highlight w:val="none"/>
        </w:rPr>
        <w:t>（7）供应商与采购人或者采购代理机构之间、供应商相互之间，为谋求特定供应商中标或者排斥其他供应商的其他串通行为。</w:t>
      </w:r>
    </w:p>
    <w:p w14:paraId="0155737D">
      <w:pPr>
        <w:pStyle w:val="25"/>
        <w:snapToGrid w:val="0"/>
        <w:spacing w:line="360" w:lineRule="auto"/>
        <w:ind w:left="2" w:leftChars="1" w:firstLine="422" w:firstLineChars="200"/>
        <w:rPr>
          <w:rFonts w:hAnsi="宋体"/>
          <w:b/>
          <w:color w:val="000000"/>
          <w:kern w:val="2"/>
          <w:sz w:val="21"/>
          <w:highlight w:val="none"/>
        </w:rPr>
      </w:pPr>
    </w:p>
    <w:p w14:paraId="7407720F">
      <w:pPr>
        <w:pStyle w:val="4"/>
        <w:keepNext w:val="0"/>
        <w:keepLines w:val="0"/>
        <w:jc w:val="center"/>
        <w:rPr>
          <w:color w:val="000000"/>
          <w:highlight w:val="none"/>
        </w:rPr>
      </w:pPr>
      <w:bookmarkStart w:id="107" w:name="_Toc254970675"/>
      <w:bookmarkStart w:id="108" w:name="_Toc254970534"/>
      <w:r>
        <w:rPr>
          <w:rFonts w:hint="eastAsia"/>
          <w:color w:val="000000"/>
          <w:highlight w:val="none"/>
        </w:rPr>
        <w:t>二、招标文件</w:t>
      </w:r>
      <w:bookmarkEnd w:id="107"/>
      <w:bookmarkEnd w:id="108"/>
    </w:p>
    <w:p w14:paraId="4ABB2E04">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10.招标文件的组成</w:t>
      </w:r>
    </w:p>
    <w:p w14:paraId="7BEC781F">
      <w:pPr>
        <w:snapToGrid w:val="0"/>
        <w:spacing w:line="360" w:lineRule="auto"/>
        <w:ind w:firstLine="420"/>
        <w:jc w:val="left"/>
        <w:rPr>
          <w:rFonts w:ascii="宋体" w:hAnsi="宋体"/>
          <w:color w:val="000000"/>
          <w:szCs w:val="21"/>
          <w:highlight w:val="none"/>
        </w:rPr>
      </w:pPr>
      <w:r>
        <w:rPr>
          <w:rFonts w:hint="eastAsia" w:ascii="宋体" w:hAnsi="宋体"/>
          <w:color w:val="000000"/>
          <w:szCs w:val="21"/>
          <w:highlight w:val="none"/>
        </w:rPr>
        <w:t>（1）招标公告；</w:t>
      </w:r>
    </w:p>
    <w:p w14:paraId="5BC63263">
      <w:pPr>
        <w:snapToGrid w:val="0"/>
        <w:spacing w:line="360" w:lineRule="auto"/>
        <w:ind w:firstLine="420"/>
        <w:jc w:val="left"/>
        <w:rPr>
          <w:rFonts w:ascii="宋体" w:hAnsi="宋体"/>
          <w:color w:val="000000"/>
          <w:szCs w:val="21"/>
          <w:highlight w:val="none"/>
        </w:rPr>
      </w:pPr>
      <w:r>
        <w:rPr>
          <w:rFonts w:hint="eastAsia" w:ascii="宋体" w:hAnsi="宋体"/>
          <w:color w:val="000000"/>
          <w:szCs w:val="21"/>
          <w:highlight w:val="none"/>
        </w:rPr>
        <w:t xml:space="preserve">（2）采购需求； </w:t>
      </w:r>
    </w:p>
    <w:p w14:paraId="4A1D73AC">
      <w:pPr>
        <w:snapToGrid w:val="0"/>
        <w:spacing w:line="360" w:lineRule="auto"/>
        <w:ind w:firstLine="420"/>
        <w:jc w:val="left"/>
        <w:rPr>
          <w:rFonts w:ascii="宋体" w:hAnsi="宋体"/>
          <w:color w:val="000000"/>
          <w:szCs w:val="21"/>
          <w:highlight w:val="none"/>
        </w:rPr>
      </w:pPr>
      <w:r>
        <w:rPr>
          <w:rFonts w:hint="eastAsia" w:ascii="宋体" w:hAnsi="宋体"/>
          <w:color w:val="000000"/>
          <w:szCs w:val="21"/>
          <w:highlight w:val="none"/>
        </w:rPr>
        <w:t>（3）投标人须知；</w:t>
      </w:r>
    </w:p>
    <w:p w14:paraId="7492ECAA">
      <w:pPr>
        <w:snapToGrid w:val="0"/>
        <w:spacing w:line="360" w:lineRule="auto"/>
        <w:ind w:firstLine="420"/>
        <w:jc w:val="left"/>
        <w:rPr>
          <w:rFonts w:ascii="宋体" w:hAnsi="宋体"/>
          <w:color w:val="000000"/>
          <w:szCs w:val="21"/>
          <w:highlight w:val="none"/>
        </w:rPr>
      </w:pPr>
      <w:r>
        <w:rPr>
          <w:rFonts w:hint="eastAsia" w:ascii="宋体" w:hAnsi="宋体"/>
          <w:color w:val="000000"/>
          <w:szCs w:val="21"/>
          <w:highlight w:val="none"/>
        </w:rPr>
        <w:t>（4）评标方法及评标标准；</w:t>
      </w:r>
    </w:p>
    <w:p w14:paraId="6072C4A7">
      <w:pPr>
        <w:snapToGrid w:val="0"/>
        <w:spacing w:line="360" w:lineRule="auto"/>
        <w:ind w:firstLine="420"/>
        <w:jc w:val="left"/>
        <w:rPr>
          <w:rFonts w:ascii="宋体" w:hAnsi="宋体"/>
          <w:color w:val="000000"/>
          <w:szCs w:val="21"/>
          <w:highlight w:val="none"/>
        </w:rPr>
      </w:pPr>
      <w:r>
        <w:rPr>
          <w:rFonts w:hint="eastAsia" w:ascii="宋体" w:hAnsi="宋体"/>
          <w:color w:val="000000"/>
          <w:szCs w:val="21"/>
          <w:highlight w:val="none"/>
        </w:rPr>
        <w:t>（5）拟签订的合同文本；</w:t>
      </w:r>
    </w:p>
    <w:p w14:paraId="2E6B7F54">
      <w:pPr>
        <w:snapToGrid w:val="0"/>
        <w:spacing w:line="360" w:lineRule="auto"/>
        <w:ind w:firstLine="420"/>
        <w:jc w:val="left"/>
        <w:rPr>
          <w:rFonts w:ascii="宋体" w:hAnsi="宋体"/>
          <w:color w:val="000000"/>
          <w:szCs w:val="21"/>
          <w:highlight w:val="none"/>
        </w:rPr>
      </w:pPr>
      <w:r>
        <w:rPr>
          <w:rFonts w:hint="eastAsia" w:ascii="宋体" w:hAnsi="宋体"/>
          <w:color w:val="000000"/>
          <w:szCs w:val="21"/>
          <w:highlight w:val="none"/>
        </w:rPr>
        <w:t>（6）投标文件格式。</w:t>
      </w:r>
    </w:p>
    <w:p w14:paraId="5059CF28">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11.招标文件的澄清、修改 、现场考察和答疑会</w:t>
      </w:r>
    </w:p>
    <w:p w14:paraId="35FE7884">
      <w:pPr>
        <w:pStyle w:val="6"/>
        <w:keepNext w:val="0"/>
        <w:keepLines w:val="0"/>
        <w:spacing w:before="0" w:after="0" w:line="360" w:lineRule="auto"/>
        <w:ind w:firstLine="315" w:firstLineChars="150"/>
        <w:rPr>
          <w:rFonts w:ascii="宋体" w:hAnsi="宋体"/>
          <w:b w:val="0"/>
          <w:color w:val="000000"/>
          <w:sz w:val="21"/>
          <w:szCs w:val="21"/>
          <w:highlight w:val="none"/>
        </w:rPr>
      </w:pPr>
      <w:r>
        <w:rPr>
          <w:rFonts w:hint="eastAsia" w:ascii="宋体" w:hAnsi="宋体"/>
          <w:b w:val="0"/>
          <w:color w:val="000000"/>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17FF944">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69C45A86">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1</w:t>
      </w:r>
      <w:r>
        <w:rPr>
          <w:rFonts w:hAnsi="宋体"/>
          <w:color w:val="000000"/>
          <w:sz w:val="21"/>
          <w:highlight w:val="none"/>
        </w:rPr>
        <w:t>1.2</w:t>
      </w:r>
      <w:bookmarkStart w:id="109" w:name="_Hlk53134511"/>
      <w:r>
        <w:rPr>
          <w:rFonts w:hint="eastAsia" w:hAnsi="宋体"/>
          <w:color w:val="000000"/>
          <w:sz w:val="21"/>
          <w:highlight w:val="none"/>
        </w:rPr>
        <w:t>采购人或者采购代理机构可以在招标文件提供期限截止后，组织已获取招标文件的潜在投标人现场考察或者召开开标前答疑会，具体详见“投标人须知前附表”。</w:t>
      </w:r>
    </w:p>
    <w:bookmarkEnd w:id="109"/>
    <w:p w14:paraId="11F0C8B6">
      <w:pPr>
        <w:pStyle w:val="4"/>
        <w:keepNext w:val="0"/>
        <w:keepLines w:val="0"/>
        <w:jc w:val="center"/>
        <w:rPr>
          <w:color w:val="000000"/>
          <w:highlight w:val="none"/>
        </w:rPr>
      </w:pPr>
      <w:bookmarkStart w:id="110" w:name="_Toc254970676"/>
      <w:bookmarkStart w:id="111" w:name="_Toc254970535"/>
      <w:r>
        <w:rPr>
          <w:rFonts w:hint="eastAsia"/>
          <w:color w:val="000000"/>
          <w:highlight w:val="none"/>
        </w:rPr>
        <w:t>三、投标文件的编制</w:t>
      </w:r>
      <w:bookmarkEnd w:id="110"/>
      <w:bookmarkEnd w:id="111"/>
    </w:p>
    <w:p w14:paraId="01094B45">
      <w:pPr>
        <w:pStyle w:val="6"/>
        <w:keepNext w:val="0"/>
        <w:keepLines w:val="0"/>
        <w:spacing w:before="0" w:after="0" w:line="360" w:lineRule="auto"/>
        <w:ind w:left="420" w:leftChars="200"/>
        <w:rPr>
          <w:rFonts w:ascii="黑体" w:hAnsi="黑体" w:eastAsia="黑体"/>
          <w:color w:val="000000"/>
          <w:sz w:val="24"/>
          <w:highlight w:val="none"/>
        </w:rPr>
      </w:pPr>
      <w:bookmarkStart w:id="112" w:name="_Toc254970536"/>
      <w:bookmarkStart w:id="113" w:name="_Toc254970677"/>
      <w:r>
        <w:rPr>
          <w:rFonts w:hint="eastAsia" w:ascii="黑体" w:hAnsi="黑体" w:eastAsia="黑体"/>
          <w:color w:val="000000"/>
          <w:sz w:val="24"/>
          <w:highlight w:val="none"/>
        </w:rPr>
        <w:t>12.投标文件的编制原则</w:t>
      </w:r>
    </w:p>
    <w:p w14:paraId="5D232914">
      <w:pPr>
        <w:snapToGrid w:val="0"/>
        <w:spacing w:line="360" w:lineRule="auto"/>
        <w:ind w:firstLine="420"/>
        <w:jc w:val="left"/>
        <w:rPr>
          <w:rFonts w:ascii="宋体" w:hAnsi="宋体" w:cs="Courier New"/>
          <w:color w:val="000000"/>
          <w:szCs w:val="21"/>
          <w:highlight w:val="none"/>
        </w:rPr>
      </w:pPr>
      <w:r>
        <w:rPr>
          <w:rFonts w:ascii="宋体" w:hAnsi="宋体"/>
          <w:color w:val="000000"/>
          <w:szCs w:val="21"/>
          <w:highlight w:val="none"/>
        </w:rPr>
        <w:t>投标人必须按照招标文件的要求编制投标文件。投标文件必须对招标文件提出的要求和条件作出明确响应。</w:t>
      </w:r>
    </w:p>
    <w:p w14:paraId="7728D6EA">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13.投标文件的组成</w:t>
      </w:r>
      <w:bookmarkEnd w:id="112"/>
      <w:bookmarkEnd w:id="113"/>
    </w:p>
    <w:p w14:paraId="065271B3">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投标文件由报价文件、资格证明文件、商务文件、技术文件四部分组成。</w:t>
      </w:r>
    </w:p>
    <w:p w14:paraId="499C6353">
      <w:pPr>
        <w:pStyle w:val="6"/>
        <w:keepNext w:val="0"/>
        <w:keepLines w:val="0"/>
        <w:spacing w:before="0" w:after="0" w:line="360" w:lineRule="auto"/>
        <w:ind w:left="420" w:leftChars="200"/>
        <w:rPr>
          <w:rFonts w:ascii="宋体" w:hAnsi="宋体"/>
          <w:b w:val="0"/>
          <w:color w:val="000000"/>
          <w:sz w:val="21"/>
          <w:szCs w:val="21"/>
          <w:highlight w:val="none"/>
        </w:rPr>
      </w:pPr>
      <w:bookmarkStart w:id="114" w:name="_13.1报价文件:_具体材料见“投标人须知前附表”。"/>
      <w:bookmarkEnd w:id="114"/>
      <w:r>
        <w:rPr>
          <w:rFonts w:hint="eastAsia" w:ascii="宋体" w:hAnsi="宋体"/>
          <w:b w:val="0"/>
          <w:color w:val="000000"/>
          <w:sz w:val="21"/>
          <w:szCs w:val="21"/>
          <w:highlight w:val="none"/>
        </w:rPr>
        <w:t>（1）报价文件：</w:t>
      </w:r>
      <w:r>
        <w:rPr>
          <w:rFonts w:ascii="宋体" w:hAnsi="宋体"/>
          <w:b w:val="0"/>
          <w:color w:val="000000"/>
          <w:sz w:val="21"/>
          <w:szCs w:val="21"/>
          <w:highlight w:val="none"/>
        </w:rPr>
        <w:t>具体材料见“投标人须知前附表”</w:t>
      </w:r>
      <w:r>
        <w:rPr>
          <w:rFonts w:hint="eastAsia" w:ascii="宋体" w:hAnsi="宋体"/>
          <w:b w:val="0"/>
          <w:color w:val="000000"/>
          <w:sz w:val="21"/>
          <w:szCs w:val="21"/>
          <w:highlight w:val="none"/>
        </w:rPr>
        <w:t>。</w:t>
      </w:r>
    </w:p>
    <w:p w14:paraId="239B26B7">
      <w:pPr>
        <w:pStyle w:val="6"/>
        <w:keepNext w:val="0"/>
        <w:keepLines w:val="0"/>
        <w:spacing w:before="0" w:after="0" w:line="360" w:lineRule="auto"/>
        <w:ind w:left="420" w:leftChars="200"/>
        <w:rPr>
          <w:rFonts w:ascii="宋体" w:hAnsi="宋体"/>
          <w:b w:val="0"/>
          <w:color w:val="000000"/>
          <w:sz w:val="21"/>
          <w:szCs w:val="21"/>
          <w:highlight w:val="none"/>
        </w:rPr>
      </w:pPr>
      <w:bookmarkStart w:id="115" w:name="_13.2资格证明文件：具体材料见“投标人须知前附表”。"/>
      <w:bookmarkEnd w:id="115"/>
      <w:r>
        <w:rPr>
          <w:rFonts w:hint="eastAsia" w:ascii="宋体" w:hAnsi="宋体"/>
          <w:b w:val="0"/>
          <w:color w:val="000000"/>
          <w:sz w:val="21"/>
          <w:szCs w:val="21"/>
          <w:highlight w:val="none"/>
        </w:rPr>
        <w:t>（</w:t>
      </w:r>
      <w:r>
        <w:rPr>
          <w:rFonts w:ascii="宋体" w:hAnsi="宋体"/>
          <w:b w:val="0"/>
          <w:color w:val="000000"/>
          <w:sz w:val="21"/>
          <w:szCs w:val="21"/>
          <w:highlight w:val="none"/>
        </w:rPr>
        <w:t>2</w:t>
      </w:r>
      <w:r>
        <w:rPr>
          <w:rFonts w:hint="eastAsia" w:ascii="宋体" w:hAnsi="宋体"/>
          <w:b w:val="0"/>
          <w:color w:val="000000"/>
          <w:sz w:val="21"/>
          <w:szCs w:val="21"/>
          <w:highlight w:val="none"/>
        </w:rPr>
        <w:t>）资格证明文件：</w:t>
      </w:r>
      <w:r>
        <w:rPr>
          <w:rFonts w:ascii="宋体" w:hAnsi="宋体"/>
          <w:b w:val="0"/>
          <w:color w:val="000000"/>
          <w:sz w:val="21"/>
          <w:szCs w:val="21"/>
          <w:highlight w:val="none"/>
        </w:rPr>
        <w:t>具体材料见“投标人须知前附表”</w:t>
      </w:r>
      <w:r>
        <w:rPr>
          <w:rFonts w:hint="eastAsia" w:ascii="宋体" w:hAnsi="宋体"/>
          <w:b w:val="0"/>
          <w:color w:val="000000"/>
          <w:sz w:val="21"/>
          <w:szCs w:val="21"/>
          <w:highlight w:val="none"/>
        </w:rPr>
        <w:t>。</w:t>
      </w:r>
    </w:p>
    <w:p w14:paraId="0D0ACAC4">
      <w:pPr>
        <w:pStyle w:val="6"/>
        <w:keepNext w:val="0"/>
        <w:keepLines w:val="0"/>
        <w:spacing w:before="0" w:after="0" w:line="360" w:lineRule="auto"/>
        <w:ind w:left="420" w:leftChars="200"/>
        <w:rPr>
          <w:rFonts w:ascii="宋体" w:hAnsi="宋体"/>
          <w:b w:val="0"/>
          <w:color w:val="000000"/>
          <w:sz w:val="21"/>
          <w:szCs w:val="21"/>
          <w:highlight w:val="none"/>
        </w:rPr>
      </w:pPr>
      <w:bookmarkStart w:id="116" w:name="_13.3商务文件:_具体材料见“投标人须知前附表”。"/>
      <w:bookmarkEnd w:id="116"/>
      <w:r>
        <w:rPr>
          <w:rFonts w:hint="eastAsia" w:ascii="宋体" w:hAnsi="宋体"/>
          <w:b w:val="0"/>
          <w:color w:val="000000"/>
          <w:sz w:val="21"/>
          <w:szCs w:val="21"/>
          <w:highlight w:val="none"/>
        </w:rPr>
        <w:t>（</w:t>
      </w:r>
      <w:r>
        <w:rPr>
          <w:rFonts w:ascii="宋体" w:hAnsi="宋体"/>
          <w:b w:val="0"/>
          <w:color w:val="000000"/>
          <w:sz w:val="21"/>
          <w:szCs w:val="21"/>
          <w:highlight w:val="none"/>
        </w:rPr>
        <w:t>3</w:t>
      </w:r>
      <w:r>
        <w:rPr>
          <w:rFonts w:hint="eastAsia" w:ascii="宋体" w:hAnsi="宋体"/>
          <w:b w:val="0"/>
          <w:color w:val="000000"/>
          <w:sz w:val="21"/>
          <w:szCs w:val="21"/>
          <w:highlight w:val="none"/>
        </w:rPr>
        <w:t>）商务文件：</w:t>
      </w:r>
      <w:r>
        <w:rPr>
          <w:rFonts w:ascii="宋体" w:hAnsi="宋体"/>
          <w:b w:val="0"/>
          <w:color w:val="000000"/>
          <w:sz w:val="21"/>
          <w:szCs w:val="21"/>
          <w:highlight w:val="none"/>
        </w:rPr>
        <w:t>具体材料见“投标人须知前附表”</w:t>
      </w:r>
      <w:r>
        <w:rPr>
          <w:rFonts w:hint="eastAsia" w:ascii="宋体" w:hAnsi="宋体"/>
          <w:b w:val="0"/>
          <w:color w:val="000000"/>
          <w:sz w:val="21"/>
          <w:szCs w:val="21"/>
          <w:highlight w:val="none"/>
        </w:rPr>
        <w:t>。</w:t>
      </w:r>
    </w:p>
    <w:p w14:paraId="58DA9D7F">
      <w:pPr>
        <w:pStyle w:val="6"/>
        <w:keepNext w:val="0"/>
        <w:keepLines w:val="0"/>
        <w:spacing w:before="0" w:after="0" w:line="360" w:lineRule="auto"/>
        <w:ind w:left="420" w:leftChars="200"/>
        <w:rPr>
          <w:rFonts w:ascii="宋体" w:hAnsi="宋体"/>
          <w:b w:val="0"/>
          <w:color w:val="000000"/>
          <w:sz w:val="21"/>
          <w:szCs w:val="21"/>
          <w:highlight w:val="none"/>
        </w:rPr>
      </w:pPr>
      <w:bookmarkStart w:id="117" w:name="_13.4技术文件：具体材料见“投标人须知前附表”。"/>
      <w:bookmarkEnd w:id="117"/>
      <w:r>
        <w:rPr>
          <w:rFonts w:hint="eastAsia" w:ascii="宋体" w:hAnsi="宋体"/>
          <w:b w:val="0"/>
          <w:color w:val="000000"/>
          <w:sz w:val="21"/>
          <w:szCs w:val="21"/>
          <w:highlight w:val="none"/>
        </w:rPr>
        <w:t>（</w:t>
      </w:r>
      <w:r>
        <w:rPr>
          <w:rFonts w:ascii="宋体" w:hAnsi="宋体"/>
          <w:b w:val="0"/>
          <w:color w:val="000000"/>
          <w:sz w:val="21"/>
          <w:szCs w:val="21"/>
          <w:highlight w:val="none"/>
        </w:rPr>
        <w:t>4</w:t>
      </w:r>
      <w:r>
        <w:rPr>
          <w:rFonts w:hint="eastAsia" w:ascii="宋体" w:hAnsi="宋体"/>
          <w:b w:val="0"/>
          <w:color w:val="000000"/>
          <w:sz w:val="21"/>
          <w:szCs w:val="21"/>
          <w:highlight w:val="none"/>
        </w:rPr>
        <w:t>）技术文件：</w:t>
      </w:r>
      <w:r>
        <w:rPr>
          <w:rFonts w:ascii="宋体" w:hAnsi="宋体"/>
          <w:b w:val="0"/>
          <w:color w:val="000000"/>
          <w:sz w:val="21"/>
          <w:szCs w:val="21"/>
          <w:highlight w:val="none"/>
        </w:rPr>
        <w:t>具体材料见“投标人须知前附表”</w:t>
      </w:r>
      <w:r>
        <w:rPr>
          <w:rFonts w:hint="eastAsia" w:ascii="宋体" w:hAnsi="宋体"/>
          <w:b w:val="0"/>
          <w:color w:val="000000"/>
          <w:sz w:val="21"/>
          <w:szCs w:val="21"/>
          <w:highlight w:val="none"/>
        </w:rPr>
        <w:t>。</w:t>
      </w:r>
    </w:p>
    <w:p w14:paraId="6E0B075B">
      <w:pPr>
        <w:pStyle w:val="6"/>
        <w:keepNext w:val="0"/>
        <w:keepLines w:val="0"/>
        <w:spacing w:before="0" w:after="0" w:line="360" w:lineRule="auto"/>
        <w:ind w:left="420" w:leftChars="200"/>
        <w:rPr>
          <w:rFonts w:ascii="黑体" w:hAnsi="黑体" w:eastAsia="黑体"/>
          <w:color w:val="000000"/>
          <w:sz w:val="24"/>
          <w:highlight w:val="none"/>
        </w:rPr>
      </w:pPr>
      <w:bookmarkStart w:id="118" w:name="_13.5投标文件电子版：具体材料见“投标人须知前附表”。"/>
      <w:bookmarkEnd w:id="118"/>
      <w:bookmarkStart w:id="119" w:name="_Toc254970678"/>
      <w:bookmarkStart w:id="120" w:name="_Toc254970537"/>
      <w:r>
        <w:rPr>
          <w:rFonts w:hint="eastAsia" w:ascii="黑体" w:hAnsi="黑体" w:eastAsia="黑体"/>
          <w:color w:val="000000"/>
          <w:sz w:val="24"/>
          <w:highlight w:val="none"/>
        </w:rPr>
        <w:t>14.投标文件的语言及计量</w:t>
      </w:r>
      <w:bookmarkEnd w:id="119"/>
      <w:bookmarkEnd w:id="120"/>
    </w:p>
    <w:p w14:paraId="77067D6A">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14.1语言文字</w:t>
      </w:r>
    </w:p>
    <w:p w14:paraId="4C09219E">
      <w:pPr>
        <w:pStyle w:val="6"/>
        <w:keepNext w:val="0"/>
        <w:keepLines w:val="0"/>
        <w:spacing w:before="0" w:after="0" w:line="360" w:lineRule="auto"/>
        <w:ind w:firstLine="420" w:firstLineChars="200"/>
        <w:rPr>
          <w:rFonts w:ascii="宋体" w:hAnsi="宋体"/>
          <w:b w:val="0"/>
          <w:color w:val="000000"/>
          <w:sz w:val="21"/>
          <w:szCs w:val="21"/>
          <w:highlight w:val="none"/>
        </w:rPr>
      </w:pPr>
      <w:r>
        <w:rPr>
          <w:rFonts w:hint="eastAsia" w:ascii="宋体" w:hAnsi="宋体"/>
          <w:b w:val="0"/>
          <w:color w:val="000000"/>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CB22C21">
      <w:pPr>
        <w:pStyle w:val="6"/>
        <w:keepNext w:val="0"/>
        <w:keepLines w:val="0"/>
        <w:spacing w:before="0" w:after="0" w:line="360" w:lineRule="auto"/>
        <w:ind w:firstLine="420" w:firstLineChars="200"/>
        <w:rPr>
          <w:rFonts w:ascii="宋体" w:hAnsi="宋体"/>
          <w:b w:val="0"/>
          <w:color w:val="000000"/>
          <w:sz w:val="21"/>
          <w:szCs w:val="21"/>
          <w:highlight w:val="none"/>
        </w:rPr>
      </w:pPr>
      <w:r>
        <w:rPr>
          <w:rFonts w:hint="eastAsia" w:ascii="宋体" w:hAnsi="宋体"/>
          <w:b w:val="0"/>
          <w:color w:val="000000"/>
          <w:sz w:val="21"/>
          <w:szCs w:val="21"/>
          <w:highlight w:val="none"/>
        </w:rPr>
        <w:t>14.2投标计量单位</w:t>
      </w:r>
    </w:p>
    <w:p w14:paraId="222B5C1A">
      <w:pPr>
        <w:pStyle w:val="6"/>
        <w:keepNext w:val="0"/>
        <w:keepLines w:val="0"/>
        <w:spacing w:before="0" w:after="0" w:line="360" w:lineRule="auto"/>
        <w:ind w:firstLine="420" w:firstLineChars="200"/>
        <w:rPr>
          <w:rFonts w:ascii="宋体" w:hAnsi="宋体"/>
          <w:b w:val="0"/>
          <w:color w:val="000000"/>
          <w:sz w:val="21"/>
          <w:szCs w:val="21"/>
          <w:highlight w:val="none"/>
        </w:rPr>
      </w:pPr>
      <w:r>
        <w:rPr>
          <w:rFonts w:hint="eastAsia" w:ascii="宋体" w:hAnsi="宋体"/>
          <w:b w:val="0"/>
          <w:color w:val="000000"/>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olor w:val="000000"/>
          <w:sz w:val="21"/>
          <w:szCs w:val="21"/>
          <w:highlight w:val="none"/>
        </w:rPr>
        <w:t>否则视同未响应。</w:t>
      </w:r>
    </w:p>
    <w:p w14:paraId="6BFFB600">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15.投标的风险</w:t>
      </w:r>
    </w:p>
    <w:p w14:paraId="6939FBF7">
      <w:pPr>
        <w:pStyle w:val="25"/>
        <w:snapToGrid w:val="0"/>
        <w:spacing w:line="360" w:lineRule="auto"/>
        <w:ind w:firstLine="420" w:firstLineChars="200"/>
        <w:jc w:val="left"/>
        <w:rPr>
          <w:rFonts w:hAnsi="宋体"/>
          <w:color w:val="000000"/>
          <w:sz w:val="21"/>
          <w:highlight w:val="none"/>
        </w:rPr>
      </w:pPr>
      <w:r>
        <w:rPr>
          <w:rFonts w:hint="eastAsia" w:hAnsi="宋体"/>
          <w:color w:val="000000"/>
          <w:sz w:val="21"/>
          <w:highlight w:val="none"/>
        </w:rPr>
        <w:t>投标人没有按照招标文件要求提供全部资料，或者投标人没有对招标文件作出实质性响应是投标人的风险，并可能导致其投标被拒绝。</w:t>
      </w:r>
    </w:p>
    <w:p w14:paraId="38A24CA0">
      <w:pPr>
        <w:pStyle w:val="6"/>
        <w:keepNext w:val="0"/>
        <w:keepLines w:val="0"/>
        <w:spacing w:before="0" w:after="0" w:line="360" w:lineRule="auto"/>
        <w:ind w:left="420" w:leftChars="200"/>
        <w:rPr>
          <w:rFonts w:ascii="黑体" w:hAnsi="黑体" w:eastAsia="黑体"/>
          <w:color w:val="000000"/>
          <w:sz w:val="24"/>
          <w:highlight w:val="none"/>
        </w:rPr>
      </w:pPr>
      <w:bookmarkStart w:id="121" w:name="_Toc254970538"/>
      <w:bookmarkStart w:id="122" w:name="_Toc254970679"/>
      <w:r>
        <w:rPr>
          <w:rFonts w:hint="eastAsia" w:ascii="黑体" w:hAnsi="黑体" w:eastAsia="黑体"/>
          <w:color w:val="000000"/>
          <w:sz w:val="24"/>
          <w:highlight w:val="none"/>
        </w:rPr>
        <w:t>16.投标报价</w:t>
      </w:r>
      <w:bookmarkEnd w:id="121"/>
      <w:bookmarkEnd w:id="122"/>
    </w:p>
    <w:p w14:paraId="7110DFD2">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16.1投标报价应按“第六章　投标文件格式”中“开标一览表”格式填写。</w:t>
      </w:r>
    </w:p>
    <w:p w14:paraId="2DDCAED8">
      <w:pPr>
        <w:pStyle w:val="6"/>
        <w:keepNext w:val="0"/>
        <w:keepLines w:val="0"/>
        <w:spacing w:before="0" w:after="0" w:line="360" w:lineRule="auto"/>
        <w:ind w:left="420" w:leftChars="200"/>
        <w:rPr>
          <w:rFonts w:ascii="宋体" w:hAnsi="宋体"/>
          <w:b w:val="0"/>
          <w:color w:val="000000"/>
          <w:sz w:val="21"/>
          <w:szCs w:val="21"/>
          <w:highlight w:val="none"/>
        </w:rPr>
      </w:pPr>
      <w:bookmarkStart w:id="123" w:name="_16.2投标报价具体定义见投标人须知前附表。"/>
      <w:bookmarkEnd w:id="123"/>
      <w:r>
        <w:rPr>
          <w:rFonts w:hint="eastAsia" w:ascii="宋体" w:hAnsi="宋体"/>
          <w:b w:val="0"/>
          <w:color w:val="000000"/>
          <w:sz w:val="21"/>
          <w:szCs w:val="21"/>
          <w:highlight w:val="none"/>
        </w:rPr>
        <w:t>16.2投标报价具体包括内容详见“投标人须知前附表”。</w:t>
      </w:r>
    </w:p>
    <w:p w14:paraId="3F120FD2">
      <w:pPr>
        <w:pStyle w:val="6"/>
        <w:keepNext w:val="0"/>
        <w:keepLines w:val="0"/>
        <w:spacing w:before="0" w:after="0" w:line="360" w:lineRule="auto"/>
        <w:ind w:firstLine="420" w:firstLineChars="200"/>
        <w:rPr>
          <w:rFonts w:ascii="宋体" w:hAnsi="宋体"/>
          <w:b w:val="0"/>
          <w:color w:val="000000"/>
          <w:sz w:val="21"/>
          <w:szCs w:val="21"/>
          <w:highlight w:val="none"/>
        </w:rPr>
      </w:pPr>
      <w:r>
        <w:rPr>
          <w:rFonts w:hint="eastAsia" w:ascii="宋体" w:hAnsi="宋体"/>
          <w:b w:val="0"/>
          <w:color w:val="000000"/>
          <w:sz w:val="21"/>
          <w:szCs w:val="21"/>
          <w:highlight w:val="none"/>
        </w:rPr>
        <w:t>16.3投标人必须就所投的全部内容分别作完整唯一总价报价，不得存在漏项报价；投标人必须就所投的单项内容作唯一报价。</w:t>
      </w:r>
    </w:p>
    <w:p w14:paraId="49AD9978">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17.投标有效期</w:t>
      </w:r>
    </w:p>
    <w:p w14:paraId="65D9884E">
      <w:pPr>
        <w:pStyle w:val="6"/>
        <w:keepNext w:val="0"/>
        <w:keepLines w:val="0"/>
        <w:spacing w:before="0" w:after="0" w:line="360" w:lineRule="auto"/>
        <w:ind w:firstLine="420" w:firstLineChars="200"/>
        <w:rPr>
          <w:rFonts w:ascii="宋体" w:hAnsi="宋体"/>
          <w:b w:val="0"/>
          <w:color w:val="000000"/>
          <w:sz w:val="21"/>
          <w:szCs w:val="21"/>
          <w:highlight w:val="none"/>
        </w:rPr>
      </w:pPr>
      <w:bookmarkStart w:id="124" w:name="_17.1投标有效期应按“投标人须知中的前附表”规定的期限。"/>
      <w:bookmarkEnd w:id="124"/>
      <w:r>
        <w:rPr>
          <w:rFonts w:hint="eastAsia" w:ascii="宋体" w:hAnsi="宋体"/>
          <w:b w:val="0"/>
          <w:color w:val="000000"/>
          <w:sz w:val="21"/>
          <w:szCs w:val="21"/>
          <w:highlight w:val="none"/>
        </w:rPr>
        <w:t>17.1投标有效期是指为保证采购人有足够的时间在开标后完成评标、定标、合同签订等工作而要求投标人提交的投标文件在一定时间内保持有效的期限。</w:t>
      </w:r>
    </w:p>
    <w:p w14:paraId="74E80701">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17.2</w:t>
      </w:r>
      <w:bookmarkStart w:id="125" w:name="_Toc254970540"/>
      <w:bookmarkStart w:id="126" w:name="_Toc254970681"/>
      <w:r>
        <w:rPr>
          <w:rFonts w:hint="eastAsia" w:ascii="宋体" w:hAnsi="宋体"/>
          <w:b w:val="0"/>
          <w:color w:val="000000"/>
          <w:sz w:val="21"/>
          <w:szCs w:val="21"/>
          <w:highlight w:val="none"/>
        </w:rPr>
        <w:t xml:space="preserve"> 投标有效期应按规定的期限作出承诺，具体详见“投标人须知前附表”。</w:t>
      </w:r>
    </w:p>
    <w:p w14:paraId="05830AAA">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17.3投标人的投标文件在投标有效期内均保持有效。</w:t>
      </w:r>
      <w:bookmarkEnd w:id="125"/>
      <w:bookmarkEnd w:id="126"/>
    </w:p>
    <w:p w14:paraId="5ED0EE10">
      <w:pPr>
        <w:pStyle w:val="6"/>
        <w:keepNext w:val="0"/>
        <w:keepLines w:val="0"/>
        <w:spacing w:before="0" w:after="0" w:line="360" w:lineRule="auto"/>
        <w:ind w:left="420" w:leftChars="200"/>
        <w:rPr>
          <w:rFonts w:ascii="黑体" w:hAnsi="黑体" w:eastAsia="黑体"/>
          <w:color w:val="000000"/>
          <w:sz w:val="24"/>
          <w:highlight w:val="none"/>
        </w:rPr>
      </w:pPr>
      <w:bookmarkStart w:id="127" w:name="_18.投标保证金"/>
      <w:bookmarkEnd w:id="127"/>
      <w:bookmarkStart w:id="128" w:name="_Toc254970682"/>
      <w:bookmarkStart w:id="129" w:name="_Toc254970541"/>
      <w:r>
        <w:rPr>
          <w:rFonts w:hint="eastAsia" w:ascii="黑体" w:hAnsi="黑体" w:eastAsia="黑体"/>
          <w:color w:val="000000"/>
          <w:sz w:val="24"/>
          <w:highlight w:val="none"/>
        </w:rPr>
        <w:t>18.投标保证金</w:t>
      </w:r>
      <w:bookmarkEnd w:id="128"/>
      <w:bookmarkEnd w:id="129"/>
    </w:p>
    <w:p w14:paraId="6E0B4E13">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18.1投标人须按“投标人须知前附表” 的规定提交投标保证金。</w:t>
      </w:r>
    </w:p>
    <w:p w14:paraId="1061AF5A">
      <w:pPr>
        <w:pStyle w:val="6"/>
        <w:keepNext w:val="0"/>
        <w:keepLines w:val="0"/>
        <w:spacing w:before="0" w:after="0" w:line="360" w:lineRule="auto"/>
        <w:ind w:firstLine="420" w:firstLineChars="200"/>
        <w:rPr>
          <w:rFonts w:ascii="宋体" w:hAnsi="宋体"/>
          <w:b w:val="0"/>
          <w:color w:val="000000"/>
          <w:sz w:val="21"/>
          <w:szCs w:val="21"/>
          <w:highlight w:val="none"/>
        </w:rPr>
      </w:pPr>
      <w:r>
        <w:rPr>
          <w:rFonts w:hint="eastAsia" w:ascii="宋体" w:hAnsi="宋体"/>
          <w:b w:val="0"/>
          <w:color w:val="000000"/>
          <w:sz w:val="21"/>
          <w:szCs w:val="21"/>
          <w:highlight w:val="none"/>
        </w:rPr>
        <w:t>18.2投标保证金的退还</w:t>
      </w:r>
    </w:p>
    <w:p w14:paraId="3255C479">
      <w:pPr>
        <w:pStyle w:val="6"/>
        <w:keepNext w:val="0"/>
        <w:keepLines w:val="0"/>
        <w:spacing w:before="0" w:after="0" w:line="360" w:lineRule="auto"/>
        <w:ind w:firstLine="420" w:firstLineChars="200"/>
        <w:rPr>
          <w:rFonts w:ascii="宋体" w:hAnsi="宋体"/>
          <w:b w:val="0"/>
          <w:color w:val="000000"/>
          <w:sz w:val="21"/>
          <w:szCs w:val="21"/>
          <w:highlight w:val="none"/>
        </w:rPr>
      </w:pPr>
      <w:r>
        <w:rPr>
          <w:rFonts w:hint="eastAsia" w:ascii="宋体" w:hAnsi="宋体"/>
          <w:b w:val="0"/>
          <w:color w:val="000000"/>
          <w:sz w:val="21"/>
          <w:szCs w:val="21"/>
          <w:highlight w:val="none"/>
        </w:rPr>
        <w:t xml:space="preserve">未中标人的投标保证金自中标通知书发出之日起5个工作日内退还；中标人的投标保证金自政府采购合同签订之日起5个工作日内退还。 </w:t>
      </w:r>
    </w:p>
    <w:p w14:paraId="53F462D0">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18.3除逾期退还投标保证金和终止招标的情形以外，投标保证金不计息。</w:t>
      </w:r>
    </w:p>
    <w:p w14:paraId="4C8515CE">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 xml:space="preserve">18.4投标人有下列情形之一的，投标保证金将不予退还： </w:t>
      </w:r>
    </w:p>
    <w:p w14:paraId="3DCD7855">
      <w:pPr>
        <w:snapToGrid w:val="0"/>
        <w:spacing w:line="360" w:lineRule="auto"/>
        <w:ind w:firstLine="411" w:firstLineChars="196"/>
        <w:jc w:val="left"/>
        <w:rPr>
          <w:rFonts w:ascii="宋体" w:hAnsi="宋体"/>
          <w:color w:val="000000"/>
          <w:szCs w:val="21"/>
          <w:highlight w:val="none"/>
        </w:rPr>
      </w:pPr>
      <w:r>
        <w:rPr>
          <w:rFonts w:hint="eastAsia" w:ascii="宋体" w:hAnsi="宋体"/>
          <w:color w:val="000000"/>
          <w:szCs w:val="21"/>
          <w:highlight w:val="none"/>
        </w:rPr>
        <w:t>（1）投标人在投标有效期内撤销投标文件的；</w:t>
      </w:r>
    </w:p>
    <w:p w14:paraId="5A976476">
      <w:pPr>
        <w:snapToGrid w:val="0"/>
        <w:spacing w:line="360" w:lineRule="auto"/>
        <w:ind w:firstLine="411" w:firstLineChars="196"/>
        <w:jc w:val="left"/>
        <w:rPr>
          <w:rFonts w:ascii="宋体" w:hAnsi="宋体"/>
          <w:color w:val="000000"/>
          <w:szCs w:val="21"/>
          <w:highlight w:val="none"/>
        </w:rPr>
      </w:pPr>
      <w:r>
        <w:rPr>
          <w:rFonts w:hint="eastAsia" w:ascii="宋体" w:hAnsi="宋体"/>
          <w:color w:val="000000"/>
          <w:szCs w:val="21"/>
          <w:highlight w:val="none"/>
        </w:rPr>
        <w:t>（2）未按规定提交履约保证金的；</w:t>
      </w:r>
    </w:p>
    <w:p w14:paraId="630A9E61">
      <w:pPr>
        <w:snapToGrid w:val="0"/>
        <w:spacing w:line="360" w:lineRule="auto"/>
        <w:ind w:firstLine="411" w:firstLineChars="196"/>
        <w:jc w:val="left"/>
        <w:rPr>
          <w:rFonts w:ascii="宋体" w:hAnsi="宋体"/>
          <w:color w:val="000000"/>
          <w:szCs w:val="21"/>
          <w:highlight w:val="none"/>
        </w:rPr>
      </w:pPr>
      <w:r>
        <w:rPr>
          <w:rFonts w:hint="eastAsia" w:ascii="宋体" w:hAnsi="宋体"/>
          <w:color w:val="000000"/>
          <w:szCs w:val="21"/>
          <w:highlight w:val="none"/>
        </w:rPr>
        <w:t>（3）投标人在投标过程中弄虚作假，提供虚假材料的；</w:t>
      </w:r>
    </w:p>
    <w:p w14:paraId="7F1FA995">
      <w:pPr>
        <w:snapToGrid w:val="0"/>
        <w:spacing w:line="360" w:lineRule="auto"/>
        <w:ind w:firstLine="411" w:firstLineChars="196"/>
        <w:rPr>
          <w:rFonts w:ascii="宋体" w:hAnsi="宋体"/>
          <w:color w:val="000000"/>
          <w:szCs w:val="21"/>
          <w:highlight w:val="none"/>
        </w:rPr>
      </w:pPr>
      <w:r>
        <w:rPr>
          <w:rFonts w:hint="eastAsia" w:ascii="宋体" w:hAnsi="宋体"/>
          <w:color w:val="000000"/>
          <w:szCs w:val="21"/>
          <w:highlight w:val="none"/>
        </w:rPr>
        <w:t>（4）中标人无正当理由不与采购人签订合同的；</w:t>
      </w:r>
    </w:p>
    <w:p w14:paraId="5F79D3A5">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（5）投标人出现本章第9.2、9.3情形的；</w:t>
      </w:r>
    </w:p>
    <w:p w14:paraId="616EB4E6">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（6）</w:t>
      </w:r>
      <w:r>
        <w:rPr>
          <w:rFonts w:hint="eastAsia" w:ascii="宋体" w:hAnsi="宋体" w:cs="宋体"/>
          <w:color w:val="000000"/>
          <w:szCs w:val="21"/>
          <w:highlight w:val="none"/>
        </w:rPr>
        <w:t>法律法规规定的其他情形</w:t>
      </w:r>
      <w:r>
        <w:rPr>
          <w:rFonts w:hint="eastAsia" w:ascii="宋体" w:hAnsi="宋体"/>
          <w:color w:val="000000"/>
          <w:szCs w:val="21"/>
          <w:highlight w:val="none"/>
        </w:rPr>
        <w:t>。</w:t>
      </w:r>
    </w:p>
    <w:p w14:paraId="725DE014">
      <w:pPr>
        <w:pStyle w:val="6"/>
        <w:keepNext w:val="0"/>
        <w:keepLines w:val="0"/>
        <w:spacing w:before="0" w:after="0" w:line="360" w:lineRule="auto"/>
        <w:ind w:left="420" w:leftChars="200"/>
        <w:rPr>
          <w:rFonts w:ascii="黑体" w:hAnsi="黑体" w:eastAsia="黑体"/>
          <w:color w:val="000000"/>
          <w:sz w:val="24"/>
          <w:highlight w:val="none"/>
        </w:rPr>
      </w:pPr>
      <w:bookmarkStart w:id="130" w:name="_Toc254970542"/>
      <w:bookmarkStart w:id="131" w:name="_Toc254970683"/>
      <w:r>
        <w:rPr>
          <w:rFonts w:hint="eastAsia" w:ascii="黑体" w:hAnsi="黑体" w:eastAsia="黑体"/>
          <w:color w:val="000000"/>
          <w:sz w:val="24"/>
          <w:highlight w:val="none"/>
        </w:rPr>
        <w:t>19.投标文件的</w:t>
      </w:r>
      <w:bookmarkEnd w:id="130"/>
      <w:bookmarkEnd w:id="131"/>
      <w:r>
        <w:rPr>
          <w:rFonts w:hint="eastAsia" w:ascii="黑体" w:hAnsi="黑体" w:eastAsia="黑体"/>
          <w:color w:val="000000"/>
          <w:sz w:val="24"/>
          <w:highlight w:val="none"/>
        </w:rPr>
        <w:t>编制</w:t>
      </w:r>
    </w:p>
    <w:p w14:paraId="37DE8CD2">
      <w:pPr>
        <w:pStyle w:val="6"/>
        <w:keepNext w:val="0"/>
        <w:keepLines w:val="0"/>
        <w:spacing w:before="0" w:after="0" w:line="360" w:lineRule="auto"/>
        <w:ind w:firstLine="315" w:firstLineChars="150"/>
        <w:rPr>
          <w:rFonts w:ascii="宋体" w:hAnsi="宋体"/>
          <w:b w:val="0"/>
          <w:sz w:val="21"/>
          <w:szCs w:val="21"/>
          <w:highlight w:val="none"/>
        </w:rPr>
      </w:pPr>
      <w:r>
        <w:rPr>
          <w:rFonts w:hint="eastAsia" w:ascii="宋体" w:hAnsi="宋体"/>
          <w:b w:val="0"/>
          <w:color w:val="000000"/>
          <w:sz w:val="21"/>
          <w:szCs w:val="21"/>
          <w:highlight w:val="none"/>
        </w:rPr>
        <w:t xml:space="preserve"> </w:t>
      </w:r>
      <w:r>
        <w:rPr>
          <w:rFonts w:hint="eastAsia" w:ascii="宋体" w:hAnsi="宋体"/>
          <w:b w:val="0"/>
          <w:sz w:val="21"/>
          <w:szCs w:val="21"/>
          <w:highlight w:val="none"/>
        </w:rPr>
        <w:t>19.1投标人应先安装“广西政府采购客户端”（请自行前往“广西政府采购网”，依次进入“办事服务-下载专区”），并按照本项目招标文件规定的格式和顺序和广西政府采购云平台的要求编制并加密。投标文件内容不完整、编排混乱导致投标文件被误读、漏读或者查找不到相关内容的，由此引发的后果由投标人承担。</w:t>
      </w:r>
    </w:p>
    <w:p w14:paraId="09606D98">
      <w:pPr>
        <w:pStyle w:val="6"/>
        <w:keepNext w:val="0"/>
        <w:keepLines w:val="0"/>
        <w:spacing w:before="0" w:after="0" w:line="360" w:lineRule="auto"/>
        <w:ind w:firstLine="315" w:firstLineChars="150"/>
        <w:rPr>
          <w:rFonts w:ascii="宋体" w:hAnsi="宋体"/>
          <w:b w:val="0"/>
          <w:sz w:val="21"/>
          <w:szCs w:val="21"/>
          <w:highlight w:val="none"/>
        </w:rPr>
      </w:pPr>
      <w:bookmarkStart w:id="132" w:name="_19.2投标文件应按报价文件、资格证明文件、商务文件、技术文件分别编制"/>
      <w:bookmarkEnd w:id="132"/>
      <w:r>
        <w:rPr>
          <w:rFonts w:hint="eastAsia" w:ascii="宋体" w:hAnsi="宋体"/>
          <w:b w:val="0"/>
          <w:sz w:val="21"/>
          <w:szCs w:val="21"/>
          <w:highlight w:val="none"/>
        </w:rPr>
        <w:t xml:space="preserve"> 19.2为确保网上操作合法、有效和安全，投标人应当在投标截止时间前完成在广西政府采购云平台的身份认证，确保在电子投标过程中能够对相关数据电文进行加密和使用电子签章。</w:t>
      </w:r>
    </w:p>
    <w:p w14:paraId="21BDE9F8">
      <w:pPr>
        <w:pStyle w:val="6"/>
        <w:keepNext w:val="0"/>
        <w:keepLines w:val="0"/>
        <w:spacing w:before="0" w:after="0" w:line="360" w:lineRule="auto"/>
        <w:rPr>
          <w:rFonts w:ascii="宋体" w:hAnsi="宋体"/>
          <w:b w:val="0"/>
          <w:sz w:val="21"/>
          <w:szCs w:val="21"/>
          <w:highlight w:val="none"/>
        </w:rPr>
      </w:pPr>
      <w:r>
        <w:rPr>
          <w:rFonts w:hint="eastAsia" w:ascii="宋体" w:hAnsi="宋体"/>
          <w:b w:val="0"/>
          <w:sz w:val="21"/>
          <w:szCs w:val="21"/>
          <w:highlight w:val="none"/>
        </w:rPr>
        <w:t xml:space="preserve">    19.3投标文件须由投标人在规定位置签字（或者电子签名）、盖章（具体以投标人须知前附表或投标文件格式规定为准），</w:t>
      </w:r>
      <w:r>
        <w:rPr>
          <w:rFonts w:hint="eastAsia" w:ascii="宋体" w:hAnsi="宋体"/>
          <w:bCs/>
          <w:sz w:val="21"/>
          <w:szCs w:val="21"/>
          <w:highlight w:val="none"/>
        </w:rPr>
        <w:t>否则按无效投标处理</w:t>
      </w:r>
      <w:r>
        <w:rPr>
          <w:rFonts w:hint="eastAsia" w:ascii="宋体" w:hAnsi="宋体"/>
          <w:b w:val="0"/>
          <w:sz w:val="21"/>
          <w:szCs w:val="21"/>
          <w:highlight w:val="none"/>
        </w:rPr>
        <w:t>。</w:t>
      </w:r>
    </w:p>
    <w:p w14:paraId="29DD58B0">
      <w:pPr>
        <w:pStyle w:val="6"/>
        <w:keepNext w:val="0"/>
        <w:keepLines w:val="0"/>
        <w:spacing w:before="0" w:after="0" w:line="360" w:lineRule="auto"/>
        <w:ind w:firstLine="315" w:firstLineChars="150"/>
        <w:rPr>
          <w:rFonts w:ascii="宋体" w:hAnsi="宋体"/>
          <w:b w:val="0"/>
          <w:sz w:val="21"/>
          <w:szCs w:val="21"/>
          <w:highlight w:val="none"/>
        </w:rPr>
      </w:pPr>
      <w:r>
        <w:rPr>
          <w:rFonts w:hint="eastAsia" w:ascii="宋体" w:hAnsi="宋体"/>
          <w:b w:val="0"/>
          <w:sz w:val="21"/>
          <w:szCs w:val="21"/>
          <w:highlight w:val="none"/>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sz w:val="21"/>
          <w:szCs w:val="21"/>
          <w:highlight w:val="none"/>
        </w:rPr>
        <w:t>否则按无效投标处理</w:t>
      </w:r>
      <w:r>
        <w:rPr>
          <w:rFonts w:hint="eastAsia" w:ascii="宋体" w:hAnsi="宋体"/>
          <w:b w:val="0"/>
          <w:sz w:val="21"/>
          <w:szCs w:val="21"/>
          <w:highlight w:val="none"/>
        </w:rPr>
        <w:t>。</w:t>
      </w:r>
    </w:p>
    <w:p w14:paraId="07B232A4">
      <w:pPr>
        <w:pStyle w:val="6"/>
        <w:keepNext w:val="0"/>
        <w:keepLines w:val="0"/>
        <w:spacing w:before="0" w:after="0" w:line="360" w:lineRule="auto"/>
        <w:ind w:firstLine="315" w:firstLineChars="150"/>
        <w:rPr>
          <w:rFonts w:ascii="宋体" w:hAnsi="宋体"/>
          <w:b w:val="0"/>
          <w:color w:val="000000"/>
          <w:sz w:val="21"/>
          <w:szCs w:val="21"/>
          <w:highlight w:val="none"/>
        </w:rPr>
      </w:pPr>
      <w:r>
        <w:rPr>
          <w:rFonts w:hint="eastAsia" w:ascii="宋体" w:hAnsi="宋体"/>
          <w:b w:val="0"/>
          <w:sz w:val="21"/>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0AE0ADB0">
      <w:pPr>
        <w:spacing w:line="360" w:lineRule="auto"/>
        <w:ind w:firstLine="480" w:firstLineChars="200"/>
        <w:rPr>
          <w:rFonts w:ascii="黑体" w:hAnsi="黑体" w:eastAsia="黑体"/>
          <w:color w:val="000000"/>
          <w:sz w:val="24"/>
          <w:highlight w:val="none"/>
        </w:rPr>
      </w:pPr>
      <w:r>
        <w:rPr>
          <w:rFonts w:hint="eastAsia" w:ascii="黑体" w:hAnsi="黑体" w:eastAsia="黑体"/>
          <w:color w:val="000000"/>
          <w:sz w:val="24"/>
          <w:highlight w:val="none"/>
        </w:rPr>
        <w:t>20.电子备份投标文件</w:t>
      </w:r>
    </w:p>
    <w:p w14:paraId="0D89A8AB">
      <w:pPr>
        <w:spacing w:line="360" w:lineRule="auto"/>
        <w:ind w:firstLine="420" w:firstLineChars="200"/>
        <w:rPr>
          <w:rFonts w:ascii="黑体" w:hAnsi="黑体" w:eastAsia="黑体"/>
          <w:color w:val="000000"/>
          <w:sz w:val="24"/>
          <w:highlight w:val="none"/>
        </w:rPr>
      </w:pPr>
      <w:r>
        <w:rPr>
          <w:rFonts w:hint="eastAsia"/>
          <w:color w:val="000000"/>
          <w:highlight w:val="none"/>
        </w:rPr>
        <w:t>电子备份投标文件是指通过“</w:t>
      </w:r>
      <w:r>
        <w:rPr>
          <w:rFonts w:hint="eastAsia" w:ascii="宋体" w:hAnsi="宋体"/>
          <w:szCs w:val="21"/>
          <w:highlight w:val="none"/>
        </w:rPr>
        <w:t>广西政府采购客户端</w:t>
      </w:r>
      <w:r>
        <w:rPr>
          <w:rFonts w:hint="eastAsia"/>
          <w:color w:val="000000"/>
          <w:highlight w:val="none"/>
        </w:rPr>
        <w:t>”在线编制生成且后缀名为“</w:t>
      </w:r>
      <w:r>
        <w:rPr>
          <w:color w:val="000000"/>
          <w:highlight w:val="none"/>
        </w:rPr>
        <w:t>bfbs</w:t>
      </w:r>
      <w:r>
        <w:rPr>
          <w:rFonts w:hint="eastAsia"/>
          <w:color w:val="000000"/>
          <w:highlight w:val="none"/>
        </w:rPr>
        <w:t>”的文件，提交要求</w:t>
      </w:r>
      <w:r>
        <w:rPr>
          <w:rFonts w:hint="eastAsia" w:hAnsi="宋体"/>
          <w:bCs/>
          <w:color w:val="000000"/>
          <w:szCs w:val="21"/>
          <w:highlight w:val="none"/>
        </w:rPr>
        <w:t>详见在“投标人须知前附表”。</w:t>
      </w:r>
    </w:p>
    <w:p w14:paraId="0AEB3D87">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21.投标文件的提交</w:t>
      </w:r>
    </w:p>
    <w:p w14:paraId="607E665E">
      <w:pPr>
        <w:spacing w:line="360" w:lineRule="auto"/>
        <w:ind w:firstLine="420" w:firstLineChars="200"/>
        <w:rPr>
          <w:rFonts w:hAnsi="宋体"/>
          <w:b/>
          <w:color w:val="000000"/>
          <w:highlight w:val="none"/>
        </w:rPr>
      </w:pPr>
      <w:bookmarkStart w:id="133" w:name="_21.1投标人必须在“投标人须知中的前附表”规定的投标文件接收时间和投"/>
      <w:bookmarkEnd w:id="133"/>
      <w:r>
        <w:rPr>
          <w:rFonts w:hint="eastAsia" w:hAnsi="宋体"/>
          <w:bCs/>
          <w:color w:val="000000"/>
          <w:szCs w:val="21"/>
          <w:highlight w:val="none"/>
        </w:rPr>
        <w:t>21.1投标人必须在“投标人须知前附表”规定的</w:t>
      </w:r>
      <w:r>
        <w:rPr>
          <w:rFonts w:hint="eastAsia" w:ascii="宋体" w:hAnsi="宋体"/>
          <w:color w:val="000000"/>
          <w:szCs w:val="21"/>
          <w:highlight w:val="none"/>
        </w:rPr>
        <w:t>投标文件提交截止时间前将</w:t>
      </w:r>
      <w:r>
        <w:rPr>
          <w:rFonts w:hint="eastAsia" w:hAnsi="宋体"/>
          <w:bCs/>
          <w:color w:val="000000"/>
          <w:szCs w:val="21"/>
          <w:highlight w:val="none"/>
        </w:rPr>
        <w:t>电子投标文件提交至投标地点。电子投标文件应在制作完成后，</w:t>
      </w:r>
      <w:r>
        <w:rPr>
          <w:rFonts w:hAnsi="宋体"/>
          <w:bCs/>
          <w:color w:val="000000"/>
          <w:szCs w:val="21"/>
          <w:highlight w:val="none"/>
        </w:rPr>
        <w:t>在投标截止时间前</w:t>
      </w:r>
      <w:r>
        <w:rPr>
          <w:rFonts w:hint="eastAsia" w:hAnsi="宋体"/>
          <w:bCs/>
          <w:color w:val="000000"/>
          <w:szCs w:val="21"/>
          <w:highlight w:val="none"/>
        </w:rPr>
        <w:t xml:space="preserve">通过有效数字证书（CA认证锁）进行电子签章、加密，然后通过网络将加密的电子投标文件递交至广西政府采购云平台。 </w:t>
      </w:r>
      <w:r>
        <w:rPr>
          <w:rFonts w:hint="eastAsia" w:hAnsi="宋体"/>
          <w:b/>
          <w:color w:val="000000"/>
          <w:highlight w:val="none"/>
        </w:rPr>
        <w:t xml:space="preserve"> </w:t>
      </w:r>
    </w:p>
    <w:p w14:paraId="66D8DC9E">
      <w:pPr>
        <w:spacing w:line="360" w:lineRule="auto"/>
        <w:ind w:firstLine="422" w:firstLineChars="200"/>
        <w:rPr>
          <w:rFonts w:ascii="宋体" w:hAnsi="宋体"/>
          <w:b/>
          <w:color w:val="000000"/>
          <w:szCs w:val="20"/>
          <w:highlight w:val="none"/>
        </w:rPr>
      </w:pPr>
      <w:r>
        <w:rPr>
          <w:rFonts w:hint="eastAsia" w:ascii="宋体" w:hAnsi="宋体"/>
          <w:b/>
          <w:color w:val="000000"/>
          <w:szCs w:val="21"/>
          <w:highlight w:val="none"/>
        </w:rPr>
        <w:t>21.</w:t>
      </w:r>
      <w:r>
        <w:rPr>
          <w:rFonts w:ascii="宋体" w:hAnsi="宋体"/>
          <w:b/>
          <w:color w:val="000000"/>
          <w:szCs w:val="21"/>
          <w:highlight w:val="none"/>
        </w:rPr>
        <w:t>2</w:t>
      </w:r>
      <w:r>
        <w:rPr>
          <w:rFonts w:hint="eastAsia" w:ascii="宋体" w:hAnsi="宋体"/>
          <w:b/>
          <w:color w:val="000000"/>
          <w:szCs w:val="21"/>
          <w:highlight w:val="none"/>
        </w:rPr>
        <w:t>未在规定时间内提交或者未按照招标文件要求加密的电子投标文件，</w:t>
      </w:r>
      <w:r>
        <w:rPr>
          <w:rFonts w:hint="eastAsia" w:ascii="宋体" w:hAnsi="宋体"/>
          <w:b/>
          <w:szCs w:val="21"/>
          <w:highlight w:val="none"/>
        </w:rPr>
        <w:t>广西政府采购云平台</w:t>
      </w:r>
      <w:r>
        <w:rPr>
          <w:rFonts w:hint="eastAsia" w:ascii="宋体" w:hAnsi="宋体"/>
          <w:b/>
          <w:color w:val="000000"/>
          <w:szCs w:val="21"/>
          <w:highlight w:val="none"/>
        </w:rPr>
        <w:t>将拒收。</w:t>
      </w:r>
    </w:p>
    <w:p w14:paraId="15C9CD1D">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22. 投标文件的补充、修改、撤回与退回</w:t>
      </w:r>
    </w:p>
    <w:p w14:paraId="00B640D0">
      <w:pPr>
        <w:snapToGrid w:val="0"/>
        <w:spacing w:line="360" w:lineRule="auto"/>
        <w:ind w:firstLine="420"/>
        <w:jc w:val="left"/>
        <w:rPr>
          <w:rFonts w:ascii="宋体" w:hAnsi="宋体"/>
          <w:szCs w:val="21"/>
          <w:highlight w:val="none"/>
        </w:rPr>
      </w:pPr>
      <w:bookmarkStart w:id="134" w:name="_Toc254970543"/>
      <w:bookmarkStart w:id="135" w:name="_Toc254970684"/>
      <w:r>
        <w:rPr>
          <w:rFonts w:ascii="宋体" w:hAnsi="宋体" w:cs="宋体"/>
          <w:szCs w:val="21"/>
          <w:highlight w:val="none"/>
        </w:rPr>
        <w:t>22</w:t>
      </w:r>
      <w:r>
        <w:rPr>
          <w:rFonts w:hint="eastAsia" w:ascii="宋体" w:hAnsi="宋体" w:cs="宋体"/>
          <w:szCs w:val="21"/>
          <w:highlight w:val="none"/>
        </w:rPr>
        <w:t>.1</w:t>
      </w:r>
      <w:r>
        <w:rPr>
          <w:rFonts w:hint="eastAsia" w:ascii="宋体" w:hAnsi="宋体"/>
          <w:bCs/>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szCs w:val="21"/>
          <w:highlight w:val="none"/>
        </w:rPr>
        <w:t>广西政府采购云平台</w:t>
      </w:r>
      <w:r>
        <w:rPr>
          <w:rFonts w:hint="eastAsia" w:ascii="宋体" w:hAnsi="宋体"/>
          <w:bCs/>
          <w:szCs w:val="21"/>
          <w:highlight w:val="none"/>
        </w:rPr>
        <w:t>将予以拒收。</w:t>
      </w:r>
    </w:p>
    <w:bookmarkEnd w:id="134"/>
    <w:bookmarkEnd w:id="135"/>
    <w:p w14:paraId="251CED8A">
      <w:pPr>
        <w:pStyle w:val="95"/>
        <w:spacing w:before="0"/>
        <w:ind w:firstLine="420"/>
        <w:rPr>
          <w:rFonts w:ascii="宋体" w:hAnsi="宋体" w:cs="宋体"/>
          <w:sz w:val="21"/>
          <w:szCs w:val="21"/>
          <w:highlight w:val="none"/>
        </w:rPr>
      </w:pPr>
      <w:r>
        <w:rPr>
          <w:rFonts w:ascii="宋体" w:hAnsi="宋体" w:cs="宋体"/>
          <w:sz w:val="21"/>
          <w:szCs w:val="21"/>
          <w:highlight w:val="none"/>
        </w:rPr>
        <w:t>22.</w:t>
      </w:r>
      <w:r>
        <w:rPr>
          <w:rFonts w:hint="eastAsia" w:ascii="宋体" w:hAnsi="宋体" w:cs="宋体"/>
          <w:sz w:val="21"/>
          <w:szCs w:val="21"/>
          <w:highlight w:val="none"/>
        </w:rPr>
        <w:t>2广西政府采购云平台收到投标文件后向供应商发出确认回执通知。在投标截止时间前，除供应商补充、修改或者撤回投标文件外，任何单位和个人不得解密或提取投标文件。</w:t>
      </w:r>
    </w:p>
    <w:p w14:paraId="276F67EC">
      <w:pPr>
        <w:spacing w:line="360" w:lineRule="auto"/>
        <w:ind w:firstLine="420" w:firstLineChars="200"/>
        <w:rPr>
          <w:rFonts w:ascii="宋体" w:hAnsi="宋体" w:cs="宋体"/>
          <w:szCs w:val="21"/>
          <w:highlight w:val="none"/>
        </w:rPr>
      </w:pPr>
      <w:r>
        <w:rPr>
          <w:rFonts w:hint="eastAsia" w:ascii="宋体" w:hAnsi="宋体" w:cs="宋体"/>
          <w:szCs w:val="21"/>
          <w:highlight w:val="none"/>
        </w:rPr>
        <w:t>22.</w:t>
      </w:r>
      <w:r>
        <w:rPr>
          <w:rFonts w:ascii="宋体" w:hAnsi="宋体" w:cs="宋体"/>
          <w:szCs w:val="21"/>
          <w:highlight w:val="none"/>
        </w:rPr>
        <w:t>3</w:t>
      </w:r>
      <w:r>
        <w:rPr>
          <w:rFonts w:hint="eastAsia" w:ascii="宋体" w:hAnsi="宋体" w:cs="宋体"/>
          <w:szCs w:val="21"/>
          <w:highlight w:val="none"/>
        </w:rPr>
        <w:t>在投标截止时间后，采购人和采购代理机构对已提交的投标文件概不退回。</w:t>
      </w:r>
    </w:p>
    <w:p w14:paraId="27DD8331">
      <w:pPr>
        <w:spacing w:line="360" w:lineRule="auto"/>
        <w:ind w:firstLine="420" w:firstLineChars="200"/>
        <w:rPr>
          <w:rFonts w:ascii="宋体" w:hAnsi="宋体" w:cs="宋体"/>
          <w:color w:val="000000"/>
          <w:szCs w:val="21"/>
          <w:highlight w:val="none"/>
        </w:rPr>
      </w:pPr>
    </w:p>
    <w:p w14:paraId="49E06DEB">
      <w:pPr>
        <w:pStyle w:val="4"/>
        <w:keepNext w:val="0"/>
        <w:keepLines w:val="0"/>
        <w:jc w:val="center"/>
        <w:rPr>
          <w:color w:val="000000"/>
          <w:highlight w:val="none"/>
        </w:rPr>
      </w:pPr>
      <w:bookmarkStart w:id="136" w:name="_Toc254970544"/>
      <w:bookmarkStart w:id="137" w:name="_Toc254970685"/>
      <w:r>
        <w:rPr>
          <w:rFonts w:hint="eastAsia"/>
          <w:color w:val="000000"/>
          <w:highlight w:val="none"/>
        </w:rPr>
        <w:t>四、开    标</w:t>
      </w:r>
      <w:bookmarkEnd w:id="136"/>
      <w:bookmarkEnd w:id="137"/>
    </w:p>
    <w:p w14:paraId="4749EC65">
      <w:pPr>
        <w:pStyle w:val="6"/>
        <w:keepNext w:val="0"/>
        <w:keepLines w:val="0"/>
        <w:spacing w:before="0" w:after="0" w:line="360" w:lineRule="auto"/>
        <w:ind w:left="420" w:leftChars="200"/>
        <w:rPr>
          <w:rFonts w:ascii="宋体" w:hAnsi="宋体" w:cs="宋体"/>
          <w:sz w:val="24"/>
          <w:highlight w:val="none"/>
        </w:rPr>
      </w:pPr>
      <w:bookmarkStart w:id="138" w:name="_23.开标时间和地点"/>
      <w:bookmarkEnd w:id="138"/>
      <w:r>
        <w:rPr>
          <w:rFonts w:hint="eastAsia" w:ascii="宋体" w:hAnsi="宋体" w:cs="宋体"/>
          <w:sz w:val="24"/>
          <w:highlight w:val="none"/>
        </w:rPr>
        <w:t>23.开标时间和地点</w:t>
      </w:r>
    </w:p>
    <w:p w14:paraId="421A8BBB">
      <w:pPr>
        <w:spacing w:line="360" w:lineRule="auto"/>
        <w:ind w:firstLine="420" w:firstLineChars="200"/>
        <w:rPr>
          <w:rFonts w:ascii="宋体" w:hAnsi="宋体" w:cs="宋体"/>
          <w:bCs/>
          <w:highlight w:val="none"/>
        </w:rPr>
      </w:pPr>
      <w:r>
        <w:rPr>
          <w:rFonts w:hint="eastAsia" w:ascii="宋体" w:hAnsi="宋体" w:cs="宋体"/>
          <w:bCs/>
          <w:highlight w:val="none"/>
        </w:rPr>
        <w:t>开标时间及地点详见“投标人须知前附表”</w:t>
      </w:r>
    </w:p>
    <w:p w14:paraId="7E0294F5">
      <w:pPr>
        <w:pStyle w:val="6"/>
        <w:keepNext w:val="0"/>
        <w:keepLines w:val="0"/>
        <w:spacing w:before="0" w:after="0" w:line="360" w:lineRule="auto"/>
        <w:ind w:left="420" w:leftChars="200"/>
        <w:rPr>
          <w:rFonts w:ascii="宋体" w:hAnsi="宋体" w:cs="宋体"/>
          <w:sz w:val="24"/>
          <w:highlight w:val="none"/>
        </w:rPr>
      </w:pPr>
      <w:r>
        <w:rPr>
          <w:rFonts w:hint="eastAsia" w:ascii="宋体" w:hAnsi="宋体" w:cs="宋体"/>
          <w:sz w:val="24"/>
          <w:highlight w:val="none"/>
        </w:rPr>
        <w:t>24.开标程序</w:t>
      </w:r>
    </w:p>
    <w:p w14:paraId="162DE3ED">
      <w:pPr>
        <w:pStyle w:val="7"/>
        <w:spacing w:line="360" w:lineRule="auto"/>
        <w:rPr>
          <w:rFonts w:ascii="宋体" w:hAnsi="宋体" w:cs="宋体"/>
          <w:highlight w:val="none"/>
        </w:rPr>
      </w:pPr>
      <w:r>
        <w:rPr>
          <w:rFonts w:hint="eastAsia" w:ascii="宋体" w:hAnsi="宋体" w:cs="宋体"/>
          <w:highlight w:val="none"/>
        </w:rPr>
        <w:t>24.1提交投标文件截止时间止，投标人不足3家的，不得开标。</w:t>
      </w:r>
    </w:p>
    <w:p w14:paraId="2D7A1C60">
      <w:pPr>
        <w:pStyle w:val="7"/>
        <w:spacing w:line="360" w:lineRule="auto"/>
        <w:rPr>
          <w:rFonts w:ascii="宋体" w:hAnsi="宋体" w:cs="宋体"/>
          <w:highlight w:val="none"/>
        </w:rPr>
      </w:pPr>
      <w:r>
        <w:rPr>
          <w:rFonts w:hint="eastAsia" w:ascii="宋体" w:hAnsi="宋体" w:cs="宋体"/>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1F95956A">
      <w:pPr>
        <w:pStyle w:val="7"/>
        <w:spacing w:line="360" w:lineRule="auto"/>
        <w:rPr>
          <w:rFonts w:ascii="宋体" w:hAnsi="宋体" w:cs="宋体"/>
          <w:highlight w:val="none"/>
        </w:rPr>
      </w:pPr>
      <w:r>
        <w:rPr>
          <w:rFonts w:hint="eastAsia" w:ascii="宋体" w:hAnsi="宋体" w:cs="宋体"/>
          <w:highlight w:val="none"/>
        </w:rPr>
        <w:t>24.3开标程序</w:t>
      </w:r>
    </w:p>
    <w:p w14:paraId="6070732A">
      <w:pPr>
        <w:pStyle w:val="7"/>
        <w:spacing w:line="360" w:lineRule="auto"/>
        <w:rPr>
          <w:rFonts w:ascii="宋体" w:hAnsi="宋体" w:cs="宋体"/>
          <w:highlight w:val="none"/>
        </w:rPr>
      </w:pPr>
      <w:r>
        <w:rPr>
          <w:rFonts w:hint="eastAsia" w:ascii="宋体" w:hAnsi="宋体" w:cs="宋体"/>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szCs w:val="21"/>
          <w:highlight w:val="none"/>
        </w:rPr>
        <w:t>“投标人须知前附表”</w:t>
      </w:r>
      <w:r>
        <w:rPr>
          <w:rFonts w:hint="eastAsia" w:ascii="宋体" w:hAnsi="宋体" w:cs="宋体"/>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highlight w:val="none"/>
        </w:rPr>
        <w:t>投标人未在规定的时间内解密投标文件或者解密失败的，</w:t>
      </w:r>
      <w:r>
        <w:rPr>
          <w:rFonts w:hint="eastAsia" w:ascii="宋体" w:hAnsi="宋体" w:cs="宋体"/>
          <w:b/>
          <w:szCs w:val="21"/>
          <w:highlight w:val="none"/>
        </w:rPr>
        <w:t>投标人的投标文件作无效处理</w:t>
      </w:r>
      <w:r>
        <w:rPr>
          <w:rFonts w:hint="eastAsia" w:ascii="宋体" w:hAnsi="宋体" w:cs="宋体"/>
          <w:b/>
          <w:highlight w:val="none"/>
        </w:rPr>
        <w:t>。</w:t>
      </w:r>
    </w:p>
    <w:p w14:paraId="2F648B5A">
      <w:pPr>
        <w:pStyle w:val="7"/>
        <w:spacing w:line="360" w:lineRule="auto"/>
        <w:rPr>
          <w:rFonts w:ascii="宋体" w:hAnsi="宋体" w:cs="宋体"/>
          <w:highlight w:val="none"/>
        </w:rPr>
      </w:pPr>
      <w:r>
        <w:rPr>
          <w:rFonts w:hint="eastAsia" w:ascii="宋体" w:hAnsi="宋体" w:cs="宋体"/>
          <w:highlight w:val="none"/>
        </w:rPr>
        <w:t>（2）电子唱标。投标文件解密结束，宣布的内容均在广西政府采购云平台远程开标大厅展示，具体详见</w:t>
      </w:r>
      <w:r>
        <w:rPr>
          <w:rFonts w:hint="eastAsia" w:ascii="宋体" w:hAnsi="宋体" w:cs="宋体"/>
          <w:bCs/>
          <w:highlight w:val="none"/>
        </w:rPr>
        <w:t>“投标人须知前附表”</w:t>
      </w:r>
      <w:r>
        <w:rPr>
          <w:rFonts w:hint="eastAsia" w:ascii="宋体" w:hAnsi="宋体" w:cs="宋体"/>
          <w:highlight w:val="none"/>
        </w:rPr>
        <w:t>；</w:t>
      </w:r>
    </w:p>
    <w:p w14:paraId="1C222ABF">
      <w:pPr>
        <w:pStyle w:val="7"/>
        <w:spacing w:line="360" w:lineRule="auto"/>
        <w:rPr>
          <w:rFonts w:ascii="宋体" w:hAnsi="宋体" w:cs="宋体"/>
          <w:highlight w:val="none"/>
        </w:rPr>
      </w:pPr>
      <w:r>
        <w:rPr>
          <w:rFonts w:hint="eastAsia" w:ascii="宋体" w:hAnsi="宋体" w:cs="宋体"/>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5806833D">
      <w:pPr>
        <w:pStyle w:val="7"/>
        <w:spacing w:line="360" w:lineRule="auto"/>
        <w:rPr>
          <w:rFonts w:ascii="宋体" w:hAnsi="宋体" w:cs="宋体"/>
          <w:highlight w:val="none"/>
        </w:rPr>
      </w:pPr>
      <w:r>
        <w:rPr>
          <w:rFonts w:hint="eastAsia" w:ascii="宋体" w:hAnsi="宋体" w:cs="宋体"/>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C06DDAD">
      <w:pPr>
        <w:pStyle w:val="7"/>
        <w:spacing w:line="360" w:lineRule="auto"/>
        <w:rPr>
          <w:rFonts w:ascii="宋体" w:hAnsi="宋体" w:cs="宋体"/>
          <w:szCs w:val="21"/>
          <w:highlight w:val="none"/>
        </w:rPr>
      </w:pPr>
      <w:r>
        <w:rPr>
          <w:rFonts w:hint="eastAsia" w:ascii="宋体" w:hAnsi="宋体" w:cs="宋体"/>
          <w:szCs w:val="21"/>
          <w:highlight w:val="none"/>
        </w:rPr>
        <w:t>（5）开标结束。</w:t>
      </w:r>
    </w:p>
    <w:p w14:paraId="6D047507">
      <w:pPr>
        <w:pStyle w:val="25"/>
        <w:snapToGrid w:val="0"/>
        <w:spacing w:line="360" w:lineRule="auto"/>
        <w:ind w:firstLine="420" w:firstLineChars="200"/>
        <w:rPr>
          <w:rFonts w:hAnsi="宋体" w:cs="宋体"/>
          <w:sz w:val="21"/>
          <w:highlight w:val="none"/>
        </w:rPr>
      </w:pPr>
      <w:r>
        <w:rPr>
          <w:rFonts w:hint="eastAsia" w:hAnsi="宋体" w:cs="宋体"/>
          <w:sz w:val="21"/>
          <w:highlight w:val="none"/>
        </w:rPr>
        <w:t>特别说明：如遇广西政府采购云平台电子化开标或评审程序调整的，按调整后执行。</w:t>
      </w:r>
    </w:p>
    <w:p w14:paraId="6E5D8D41">
      <w:pPr>
        <w:pStyle w:val="4"/>
        <w:keepNext w:val="0"/>
        <w:keepLines w:val="0"/>
        <w:jc w:val="center"/>
        <w:rPr>
          <w:color w:val="000000"/>
          <w:highlight w:val="none"/>
        </w:rPr>
      </w:pPr>
      <w:r>
        <w:rPr>
          <w:rFonts w:hint="eastAsia"/>
          <w:color w:val="000000"/>
          <w:highlight w:val="none"/>
        </w:rPr>
        <w:t>五、资格审查</w:t>
      </w:r>
      <w:bookmarkStart w:id="170" w:name="_GoBack"/>
      <w:bookmarkEnd w:id="170"/>
    </w:p>
    <w:p w14:paraId="0E092C87">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25.资格审查</w:t>
      </w:r>
    </w:p>
    <w:p w14:paraId="02217434">
      <w:pPr>
        <w:pStyle w:val="6"/>
        <w:keepNext w:val="0"/>
        <w:keepLines w:val="0"/>
        <w:spacing w:before="0" w:after="0" w:line="360" w:lineRule="auto"/>
        <w:ind w:firstLine="315" w:firstLineChars="150"/>
        <w:rPr>
          <w:rFonts w:ascii="宋体" w:hAnsi="宋体"/>
          <w:b w:val="0"/>
          <w:color w:val="000000"/>
          <w:sz w:val="21"/>
          <w:szCs w:val="21"/>
          <w:highlight w:val="none"/>
        </w:rPr>
      </w:pPr>
      <w:r>
        <w:rPr>
          <w:rFonts w:hint="eastAsia" w:ascii="宋体" w:hAnsi="宋体"/>
          <w:b w:val="0"/>
          <w:color w:val="000000"/>
          <w:sz w:val="21"/>
          <w:szCs w:val="21"/>
          <w:highlight w:val="none"/>
        </w:rPr>
        <w:t xml:space="preserve"> 25.1</w:t>
      </w:r>
      <w:r>
        <w:rPr>
          <w:rFonts w:ascii="宋体" w:hAnsi="宋体"/>
          <w:b w:val="0"/>
          <w:color w:val="000000"/>
          <w:sz w:val="21"/>
          <w:szCs w:val="21"/>
          <w:highlight w:val="none"/>
        </w:rPr>
        <w:t>开标结束后，</w:t>
      </w:r>
      <w:r>
        <w:rPr>
          <w:rFonts w:hint="eastAsia" w:ascii="宋体" w:hAnsi="宋体"/>
          <w:b w:val="0"/>
          <w:color w:val="000000"/>
          <w:sz w:val="21"/>
          <w:szCs w:val="21"/>
          <w:highlight w:val="none"/>
        </w:rPr>
        <w:t>采购人或者采购代理机构通过电子开评标系统依据招标文件对电子投标文件进行线上资格审查</w:t>
      </w:r>
      <w:r>
        <w:rPr>
          <w:rFonts w:ascii="宋体" w:hAnsi="宋体"/>
          <w:b w:val="0"/>
          <w:color w:val="000000"/>
          <w:sz w:val="21"/>
          <w:szCs w:val="21"/>
          <w:highlight w:val="none"/>
        </w:rPr>
        <w:t>。</w:t>
      </w:r>
    </w:p>
    <w:p w14:paraId="1E28ADD5">
      <w:pPr>
        <w:pStyle w:val="6"/>
        <w:keepNext w:val="0"/>
        <w:keepLines w:val="0"/>
        <w:spacing w:before="0" w:after="0" w:line="360" w:lineRule="auto"/>
        <w:ind w:firstLine="315" w:firstLineChars="150"/>
        <w:rPr>
          <w:rFonts w:ascii="宋体" w:hAnsi="宋体"/>
          <w:b w:val="0"/>
          <w:color w:val="000000"/>
          <w:sz w:val="21"/>
          <w:szCs w:val="21"/>
          <w:highlight w:val="none"/>
        </w:rPr>
      </w:pPr>
      <w:r>
        <w:rPr>
          <w:rFonts w:hint="eastAsia" w:ascii="宋体" w:hAnsi="宋体"/>
          <w:b w:val="0"/>
          <w:color w:val="000000"/>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2265B8EF">
      <w:pPr>
        <w:pStyle w:val="6"/>
        <w:keepNext w:val="0"/>
        <w:keepLines w:val="0"/>
        <w:numPr>
          <w:ilvl w:val="4"/>
          <w:numId w:val="0"/>
        </w:numPr>
        <w:spacing w:before="0" w:after="0" w:line="360" w:lineRule="auto"/>
        <w:ind w:firstLine="422" w:firstLineChars="200"/>
        <w:rPr>
          <w:rFonts w:ascii="宋体" w:hAnsi="宋体"/>
          <w:color w:val="000000"/>
          <w:sz w:val="21"/>
          <w:szCs w:val="21"/>
          <w:highlight w:val="none"/>
        </w:rPr>
      </w:pPr>
      <w:bookmarkStart w:id="139" w:name="_25.3_投标人有下列情形之一的，资格审查不通过而导致其投标无效："/>
      <w:bookmarkEnd w:id="139"/>
      <w:r>
        <w:rPr>
          <w:rFonts w:hint="eastAsia" w:ascii="宋体" w:hAnsi="宋体"/>
          <w:color w:val="000000"/>
          <w:sz w:val="21"/>
          <w:szCs w:val="21"/>
          <w:highlight w:val="none"/>
        </w:rPr>
        <w:t>25.3 投标人有下列情形之一的，资格审查不通过，作无效投标处理：</w:t>
      </w:r>
    </w:p>
    <w:p w14:paraId="5D23D2AE">
      <w:pPr>
        <w:pStyle w:val="25"/>
        <w:snapToGrid w:val="0"/>
        <w:spacing w:line="360" w:lineRule="auto"/>
        <w:ind w:firstLine="422" w:firstLineChars="200"/>
        <w:rPr>
          <w:rFonts w:hAnsi="宋体"/>
          <w:b/>
          <w:color w:val="000000"/>
          <w:sz w:val="21"/>
          <w:highlight w:val="none"/>
        </w:rPr>
      </w:pPr>
      <w:r>
        <w:rPr>
          <w:rFonts w:hint="eastAsia" w:hAnsi="宋体"/>
          <w:b/>
          <w:color w:val="000000"/>
          <w:sz w:val="21"/>
          <w:highlight w:val="none"/>
        </w:rPr>
        <w:t>（1）不具备招标文件中规定的资格要求的；</w:t>
      </w:r>
    </w:p>
    <w:p w14:paraId="09C1DE9E">
      <w:pPr>
        <w:pStyle w:val="25"/>
        <w:snapToGrid w:val="0"/>
        <w:spacing w:line="360" w:lineRule="auto"/>
        <w:ind w:firstLine="422" w:firstLineChars="200"/>
        <w:rPr>
          <w:rFonts w:hAnsi="宋体"/>
          <w:b/>
          <w:color w:val="000000"/>
          <w:sz w:val="21"/>
          <w:highlight w:val="none"/>
        </w:rPr>
      </w:pPr>
      <w:r>
        <w:rPr>
          <w:rFonts w:hint="eastAsia" w:hAnsi="宋体"/>
          <w:b/>
          <w:color w:val="000000"/>
          <w:sz w:val="21"/>
          <w:highlight w:val="none"/>
        </w:rPr>
        <w:t>（2）在“信用中国”网站（www.creditchina.gov.cn）、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w:t>
      </w:r>
      <w:r>
        <w:rPr>
          <w:rFonts w:hint="eastAsia" w:hAnsi="宋体"/>
          <w:b/>
          <w:sz w:val="21"/>
          <w:highlight w:val="none"/>
        </w:rPr>
        <w:t>广西政府采购云平台</w:t>
      </w:r>
      <w:r>
        <w:rPr>
          <w:rFonts w:hint="eastAsia" w:hAnsi="宋体"/>
          <w:b/>
          <w:color w:val="000000"/>
          <w:sz w:val="21"/>
          <w:highlight w:val="none"/>
        </w:rPr>
        <w:t>已与“信用中国”网站、中国政府采购网实现数据对接，可直接在线查询）</w:t>
      </w:r>
    </w:p>
    <w:p w14:paraId="41B45633">
      <w:pPr>
        <w:pStyle w:val="25"/>
        <w:snapToGrid w:val="0"/>
        <w:spacing w:line="360" w:lineRule="auto"/>
        <w:ind w:firstLine="422" w:firstLineChars="200"/>
        <w:rPr>
          <w:rFonts w:hAnsi="宋体"/>
          <w:b/>
          <w:color w:val="000000"/>
          <w:sz w:val="21"/>
          <w:highlight w:val="none"/>
        </w:rPr>
      </w:pPr>
      <w:r>
        <w:rPr>
          <w:rFonts w:hint="eastAsia" w:hAnsi="宋体"/>
          <w:b/>
          <w:color w:val="000000"/>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286EC84D">
      <w:pPr>
        <w:pStyle w:val="25"/>
        <w:snapToGrid w:val="0"/>
        <w:spacing w:line="360" w:lineRule="auto"/>
        <w:ind w:firstLine="422" w:firstLineChars="200"/>
        <w:rPr>
          <w:rFonts w:hAnsi="宋体"/>
          <w:b/>
          <w:color w:val="000000"/>
          <w:sz w:val="21"/>
          <w:highlight w:val="none"/>
        </w:rPr>
      </w:pPr>
      <w:r>
        <w:rPr>
          <w:rFonts w:hint="eastAsia" w:hAnsi="宋体"/>
          <w:b/>
          <w:color w:val="000000"/>
          <w:sz w:val="21"/>
          <w:highlight w:val="none"/>
        </w:rPr>
        <w:t>（4）投标文件中的资格证明文件缺少任一项“投标人须知前附表”资格证明文件规定“必须提供”的文件资料的；</w:t>
      </w:r>
    </w:p>
    <w:p w14:paraId="234CB0D2">
      <w:pPr>
        <w:pStyle w:val="25"/>
        <w:snapToGrid w:val="0"/>
        <w:spacing w:line="360" w:lineRule="auto"/>
        <w:ind w:firstLine="422" w:firstLineChars="200"/>
        <w:rPr>
          <w:rFonts w:hAnsi="宋体"/>
          <w:b/>
          <w:color w:val="000000"/>
          <w:sz w:val="21"/>
          <w:highlight w:val="none"/>
        </w:rPr>
      </w:pPr>
      <w:r>
        <w:rPr>
          <w:rFonts w:hint="eastAsia" w:hAnsi="宋体"/>
          <w:b/>
          <w:color w:val="000000"/>
          <w:sz w:val="21"/>
          <w:highlight w:val="none"/>
        </w:rPr>
        <w:t>（5）投标文件中的资格证明文件出现任一项不符合“投标人须知前附表”资格证明文件规定“必须提供”的文件资料要求或者无效的。</w:t>
      </w:r>
    </w:p>
    <w:p w14:paraId="25F37980">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color w:val="000000"/>
          <w:sz w:val="21"/>
          <w:szCs w:val="21"/>
          <w:highlight w:val="none"/>
        </w:rPr>
        <w:t>25.4</w:t>
      </w:r>
      <w:r>
        <w:rPr>
          <w:rFonts w:ascii="宋体" w:hAnsi="宋体"/>
          <w:color w:val="000000"/>
          <w:sz w:val="21"/>
          <w:szCs w:val="21"/>
          <w:highlight w:val="none"/>
        </w:rPr>
        <w:t>合格投标人不足3家的，不得评标。</w:t>
      </w:r>
    </w:p>
    <w:p w14:paraId="4ADBAD8C">
      <w:pPr>
        <w:pStyle w:val="25"/>
        <w:snapToGrid w:val="0"/>
        <w:spacing w:line="360" w:lineRule="auto"/>
        <w:ind w:left="689" w:leftChars="228" w:hanging="210" w:hangingChars="100"/>
        <w:rPr>
          <w:rFonts w:hAnsi="宋体"/>
          <w:color w:val="000000"/>
          <w:sz w:val="21"/>
          <w:highlight w:val="none"/>
        </w:rPr>
      </w:pPr>
    </w:p>
    <w:p w14:paraId="074672FB">
      <w:pPr>
        <w:pStyle w:val="4"/>
        <w:keepNext w:val="0"/>
        <w:keepLines w:val="0"/>
        <w:jc w:val="center"/>
        <w:rPr>
          <w:color w:val="000000"/>
          <w:highlight w:val="none"/>
        </w:rPr>
      </w:pPr>
      <w:r>
        <w:rPr>
          <w:rFonts w:hint="eastAsia"/>
          <w:color w:val="000000"/>
          <w:highlight w:val="none"/>
        </w:rPr>
        <w:t>六、评   标</w:t>
      </w:r>
    </w:p>
    <w:p w14:paraId="17613207">
      <w:pPr>
        <w:pStyle w:val="6"/>
        <w:keepNext w:val="0"/>
        <w:keepLines w:val="0"/>
        <w:spacing w:before="0" w:after="0" w:line="360" w:lineRule="auto"/>
        <w:ind w:left="420" w:leftChars="200"/>
        <w:rPr>
          <w:rFonts w:ascii="黑体" w:hAnsi="黑体" w:eastAsia="黑体"/>
          <w:color w:val="000000"/>
          <w:sz w:val="24"/>
          <w:highlight w:val="none"/>
        </w:rPr>
      </w:pPr>
      <w:bookmarkStart w:id="140" w:name="_26.组建评标委员会"/>
      <w:bookmarkEnd w:id="140"/>
      <w:r>
        <w:rPr>
          <w:rFonts w:hint="eastAsia" w:ascii="黑体" w:hAnsi="黑体" w:eastAsia="黑体"/>
          <w:color w:val="000000"/>
          <w:sz w:val="24"/>
          <w:highlight w:val="none"/>
        </w:rPr>
        <w:t>26.组建评标委员会</w:t>
      </w:r>
    </w:p>
    <w:p w14:paraId="4CA42C87">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26.1评标委员会由采购人代表和评审专家组成，具体人数详见“投标人须知前附表”，其中评审专家不得少于成员总数的三分之二。</w:t>
      </w:r>
    </w:p>
    <w:p w14:paraId="43DABBF2">
      <w:pPr>
        <w:pStyle w:val="25"/>
        <w:snapToGrid w:val="0"/>
        <w:spacing w:line="360" w:lineRule="auto"/>
        <w:ind w:left="2" w:leftChars="1" w:firstLine="420" w:firstLineChars="200"/>
        <w:rPr>
          <w:rFonts w:hAnsi="宋体"/>
          <w:color w:val="000000"/>
          <w:sz w:val="21"/>
          <w:highlight w:val="none"/>
        </w:rPr>
      </w:pPr>
      <w:r>
        <w:rPr>
          <w:rFonts w:hint="eastAsia" w:hAnsi="宋体"/>
          <w:color w:val="000000"/>
          <w:sz w:val="21"/>
          <w:highlight w:val="none"/>
        </w:rPr>
        <w:t>26.2参加过采购项目前期咨询论证的专家，不得参加该采购项目的评审活动。</w:t>
      </w:r>
    </w:p>
    <w:p w14:paraId="5B98F1A0">
      <w:pPr>
        <w:pStyle w:val="25"/>
        <w:snapToGrid w:val="0"/>
        <w:spacing w:line="360" w:lineRule="auto"/>
        <w:ind w:left="2" w:leftChars="1" w:firstLine="420" w:firstLineChars="200"/>
        <w:rPr>
          <w:rFonts w:hAnsi="宋体"/>
          <w:color w:val="000000"/>
          <w:sz w:val="21"/>
          <w:highlight w:val="none"/>
        </w:rPr>
      </w:pPr>
      <w:r>
        <w:rPr>
          <w:rFonts w:hint="eastAsia" w:hAnsi="宋体"/>
          <w:color w:val="000000"/>
          <w:sz w:val="21"/>
          <w:highlight w:val="none"/>
        </w:rPr>
        <w:t>26.3</w:t>
      </w:r>
      <w:r>
        <w:rPr>
          <w:rFonts w:hint="eastAsia" w:hAnsi="宋体"/>
          <w:bCs/>
          <w:color w:val="000000"/>
          <w:sz w:val="21"/>
          <w:highlight w:val="none"/>
        </w:rPr>
        <w:t>采购代理机构必须基于广西政府采购云平台选取评审专家，如采购代理机构未按规定选取专家的，视为本次开评标无效，应当重新采购。</w:t>
      </w:r>
    </w:p>
    <w:p w14:paraId="0A5BF873">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27.评标的依据</w:t>
      </w:r>
    </w:p>
    <w:p w14:paraId="4BDAC700">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评标委员会以</w:t>
      </w:r>
      <w:r>
        <w:rPr>
          <w:rFonts w:hint="eastAsia" w:hAnsi="宋体" w:cs="宋体"/>
          <w:color w:val="000000"/>
          <w:sz w:val="21"/>
          <w:highlight w:val="none"/>
        </w:rPr>
        <w:t>“第四章 评标方法和评标标准”</w:t>
      </w:r>
      <w:r>
        <w:rPr>
          <w:rFonts w:hint="eastAsia" w:hAnsi="宋体"/>
          <w:color w:val="000000"/>
          <w:sz w:val="21"/>
          <w:highlight w:val="none"/>
        </w:rPr>
        <w:t>为依据对投标文件进行评审，</w:t>
      </w:r>
      <w:r>
        <w:rPr>
          <w:rFonts w:hAnsi="宋体"/>
          <w:color w:val="000000"/>
          <w:sz w:val="21"/>
          <w:highlight w:val="none"/>
        </w:rPr>
        <w:t>没有规定的方法、评审因素和标准，不作为评标依据。</w:t>
      </w:r>
    </w:p>
    <w:p w14:paraId="27D3F6EE">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28.评标原则</w:t>
      </w:r>
    </w:p>
    <w:p w14:paraId="52180D13">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2CB55F5">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28.2</w:t>
      </w:r>
      <w:bookmarkStart w:id="141" w:name="_28.3评标方法。本项目将按须知前附表规定的评标办法进行评标，具体评标"/>
      <w:bookmarkEnd w:id="141"/>
      <w:r>
        <w:rPr>
          <w:rFonts w:hint="eastAsia" w:hAnsi="宋体"/>
          <w:color w:val="000000"/>
          <w:sz w:val="21"/>
          <w:highlight w:val="none"/>
        </w:rPr>
        <w:t>评委表决。评标委员会成员对需要共同认定的事项存在争议的，应当按照少数服从多数的原则作出结论。</w:t>
      </w:r>
    </w:p>
    <w:p w14:paraId="7A8EAD76">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28.</w:t>
      </w:r>
      <w:r>
        <w:rPr>
          <w:rFonts w:hAnsi="宋体"/>
          <w:color w:val="000000"/>
          <w:sz w:val="21"/>
          <w:highlight w:val="none"/>
        </w:rPr>
        <w:t>3</w:t>
      </w:r>
      <w:r>
        <w:rPr>
          <w:rFonts w:hint="eastAsia" w:hAnsi="宋体"/>
          <w:color w:val="000000"/>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6234C5D">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2</w:t>
      </w:r>
      <w:r>
        <w:rPr>
          <w:rFonts w:hAnsi="宋体"/>
          <w:color w:val="000000"/>
          <w:sz w:val="21"/>
          <w:highlight w:val="none"/>
        </w:rPr>
        <w:t>8.4</w:t>
      </w:r>
      <w:r>
        <w:rPr>
          <w:rFonts w:hint="eastAsia" w:hAnsi="宋体"/>
          <w:color w:val="000000"/>
          <w:sz w:val="21"/>
          <w:highlight w:val="none"/>
        </w:rPr>
        <w:t>评标过程的监控。本项目电子评标过程实行网上留痕、全程录音、录像监控，</w:t>
      </w:r>
      <w:r>
        <w:rPr>
          <w:rFonts w:hint="eastAsia" w:hAnsi="宋体"/>
          <w:b/>
          <w:color w:val="000000"/>
          <w:sz w:val="21"/>
          <w:highlight w:val="none"/>
        </w:rPr>
        <w:t>投标人在评标过程中所进行的试图影响评标结果的不公正活动，可能导致其投标按无效处理。</w:t>
      </w:r>
    </w:p>
    <w:p w14:paraId="16E92FCD">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29.评标方法及中标候选人推荐</w:t>
      </w:r>
    </w:p>
    <w:p w14:paraId="34C6C576">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2</w:t>
      </w:r>
      <w:r>
        <w:rPr>
          <w:rFonts w:hAnsi="宋体"/>
          <w:color w:val="000000"/>
          <w:sz w:val="21"/>
          <w:highlight w:val="none"/>
        </w:rPr>
        <w:t>9.1</w:t>
      </w:r>
      <w:r>
        <w:rPr>
          <w:rFonts w:hint="eastAsia" w:hAnsi="宋体"/>
          <w:color w:val="000000"/>
          <w:sz w:val="21"/>
          <w:highlight w:val="none"/>
        </w:rPr>
        <w:t>本项目的评标方法详见“投标人须知前附表”。</w:t>
      </w:r>
    </w:p>
    <w:p w14:paraId="6D65EECF">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2</w:t>
      </w:r>
      <w:r>
        <w:rPr>
          <w:rFonts w:hAnsi="宋体"/>
          <w:color w:val="000000"/>
          <w:sz w:val="21"/>
          <w:highlight w:val="none"/>
        </w:rPr>
        <w:t>9.2</w:t>
      </w:r>
      <w:r>
        <w:rPr>
          <w:rFonts w:hAnsi="宋体" w:cs="宋体"/>
          <w:color w:val="000000"/>
          <w:sz w:val="21"/>
          <w:highlight w:val="none"/>
        </w:rPr>
        <w:t xml:space="preserve"> </w:t>
      </w:r>
      <w:r>
        <w:rPr>
          <w:rFonts w:hint="eastAsia" w:hAnsi="宋体" w:cs="宋体"/>
          <w:color w:val="000000"/>
          <w:highlight w:val="none"/>
        </w:rPr>
        <w:t>商务/技术要求</w:t>
      </w:r>
      <w:r>
        <w:rPr>
          <w:rFonts w:hint="eastAsia" w:hAnsi="宋体"/>
          <w:color w:val="000000"/>
          <w:highlight w:val="none"/>
        </w:rPr>
        <w:t>允许负偏离的条款数</w:t>
      </w:r>
      <w:r>
        <w:rPr>
          <w:rFonts w:hAnsi="宋体"/>
          <w:color w:val="000000"/>
          <w:sz w:val="21"/>
          <w:highlight w:val="none"/>
        </w:rPr>
        <w:t>详见</w:t>
      </w:r>
      <w:r>
        <w:rPr>
          <w:rFonts w:hint="eastAsia" w:hAnsi="宋体"/>
          <w:color w:val="000000"/>
          <w:sz w:val="21"/>
          <w:highlight w:val="none"/>
        </w:rPr>
        <w:t>“投标人须知前附表”。</w:t>
      </w:r>
    </w:p>
    <w:p w14:paraId="1BAF5927">
      <w:pPr>
        <w:pStyle w:val="25"/>
        <w:snapToGrid w:val="0"/>
        <w:spacing w:line="360" w:lineRule="auto"/>
        <w:ind w:firstLine="420" w:firstLineChars="200"/>
        <w:rPr>
          <w:rFonts w:hAnsi="宋体" w:cs="宋体"/>
          <w:color w:val="000000"/>
          <w:sz w:val="21"/>
          <w:highlight w:val="none"/>
        </w:rPr>
      </w:pPr>
      <w:r>
        <w:rPr>
          <w:rFonts w:hint="eastAsia" w:hAnsi="宋体"/>
          <w:color w:val="000000"/>
          <w:sz w:val="21"/>
          <w:highlight w:val="none"/>
        </w:rPr>
        <w:t>2</w:t>
      </w:r>
      <w:r>
        <w:rPr>
          <w:rFonts w:hAnsi="宋体"/>
          <w:color w:val="000000"/>
          <w:sz w:val="21"/>
          <w:highlight w:val="none"/>
        </w:rPr>
        <w:t>9.3</w:t>
      </w:r>
      <w:r>
        <w:rPr>
          <w:rFonts w:hAnsi="宋体" w:cs="宋体"/>
          <w:color w:val="000000"/>
          <w:sz w:val="21"/>
          <w:highlight w:val="none"/>
        </w:rPr>
        <w:t xml:space="preserve"> </w:t>
      </w:r>
      <w:r>
        <w:rPr>
          <w:rFonts w:hAnsi="宋体"/>
          <w:color w:val="000000"/>
          <w:sz w:val="21"/>
          <w:highlight w:val="none"/>
        </w:rPr>
        <w:t>中标候选人推荐数量详见</w:t>
      </w:r>
      <w:r>
        <w:rPr>
          <w:rFonts w:hint="eastAsia" w:hAnsi="宋体"/>
          <w:color w:val="000000"/>
          <w:sz w:val="21"/>
          <w:highlight w:val="none"/>
        </w:rPr>
        <w:t>“投标人须知前附表”。</w:t>
      </w:r>
    </w:p>
    <w:p w14:paraId="4A39F9FE">
      <w:pPr>
        <w:spacing w:line="360" w:lineRule="auto"/>
        <w:ind w:firstLine="420" w:firstLineChars="200"/>
        <w:rPr>
          <w:rFonts w:hAnsi="宋体"/>
          <w:color w:val="000000"/>
          <w:highlight w:val="none"/>
        </w:rPr>
      </w:pPr>
      <w:r>
        <w:rPr>
          <w:rFonts w:hint="eastAsia" w:hAnsi="宋体"/>
          <w:color w:val="000000"/>
          <w:highlight w:val="none"/>
        </w:rPr>
        <w:t>29.</w:t>
      </w:r>
      <w:r>
        <w:rPr>
          <w:rFonts w:hAnsi="宋体"/>
          <w:color w:val="000000"/>
          <w:highlight w:val="none"/>
        </w:rPr>
        <w:t>4</w:t>
      </w:r>
      <w:r>
        <w:rPr>
          <w:rFonts w:hint="eastAsia" w:hAnsi="宋体"/>
          <w:color w:val="000000"/>
          <w:highlight w:val="none"/>
        </w:rPr>
        <w:t xml:space="preserve"> 电子交易活动的中止。采购过程中出现以下情形，导致电子交易平台无法正常运行，或者无法保证电子交易的公平、公正和安全时，采购代理机构可以中止电子交易活动：</w:t>
      </w:r>
    </w:p>
    <w:p w14:paraId="5EA1402B">
      <w:pPr>
        <w:spacing w:line="360" w:lineRule="auto"/>
        <w:ind w:firstLine="420" w:firstLineChars="200"/>
        <w:rPr>
          <w:rFonts w:hAnsi="宋体"/>
          <w:color w:val="000000"/>
          <w:highlight w:val="none"/>
        </w:rPr>
      </w:pPr>
      <w:r>
        <w:rPr>
          <w:rFonts w:hint="eastAsia" w:hAnsi="宋体"/>
          <w:color w:val="000000"/>
          <w:highlight w:val="none"/>
        </w:rPr>
        <w:t xml:space="preserve">（1）电子交易平台发生故障而无法登录访问的； </w:t>
      </w:r>
    </w:p>
    <w:p w14:paraId="02E0D76F">
      <w:pPr>
        <w:spacing w:line="360" w:lineRule="auto"/>
        <w:ind w:firstLine="420" w:firstLineChars="200"/>
        <w:rPr>
          <w:rFonts w:hAnsi="宋体"/>
          <w:color w:val="000000"/>
          <w:highlight w:val="none"/>
        </w:rPr>
      </w:pPr>
      <w:r>
        <w:rPr>
          <w:rFonts w:hint="eastAsia" w:hAnsi="宋体"/>
          <w:color w:val="000000"/>
          <w:highlight w:val="none"/>
        </w:rPr>
        <w:t>（2）电子交易平台应用或数据库出现错误，不能进行正常操作的；</w:t>
      </w:r>
    </w:p>
    <w:p w14:paraId="4F7CE8A1">
      <w:pPr>
        <w:spacing w:line="360" w:lineRule="auto"/>
        <w:ind w:firstLine="420" w:firstLineChars="200"/>
        <w:rPr>
          <w:rFonts w:hAnsi="宋体"/>
          <w:color w:val="000000"/>
          <w:highlight w:val="none"/>
        </w:rPr>
      </w:pPr>
      <w:r>
        <w:rPr>
          <w:rFonts w:hint="eastAsia" w:hAnsi="宋体"/>
          <w:color w:val="000000"/>
          <w:highlight w:val="none"/>
        </w:rPr>
        <w:t>（3）电子交易平台发现严重安全漏洞，有潜在泄密危险的；</w:t>
      </w:r>
    </w:p>
    <w:p w14:paraId="640A605E">
      <w:pPr>
        <w:spacing w:line="360" w:lineRule="auto"/>
        <w:ind w:firstLine="420" w:firstLineChars="200"/>
        <w:rPr>
          <w:rFonts w:hAnsi="宋体"/>
          <w:color w:val="000000"/>
          <w:highlight w:val="none"/>
        </w:rPr>
      </w:pPr>
      <w:r>
        <w:rPr>
          <w:rFonts w:hint="eastAsia" w:hAnsi="宋体"/>
          <w:color w:val="000000"/>
          <w:highlight w:val="none"/>
        </w:rPr>
        <w:t xml:space="preserve">（4）病毒发作导致不能进行正常操作的； </w:t>
      </w:r>
    </w:p>
    <w:p w14:paraId="38B26FEC">
      <w:pPr>
        <w:spacing w:line="360" w:lineRule="auto"/>
        <w:ind w:firstLine="420" w:firstLineChars="200"/>
        <w:rPr>
          <w:rFonts w:hAnsi="宋体"/>
          <w:color w:val="000000"/>
          <w:highlight w:val="none"/>
        </w:rPr>
      </w:pPr>
      <w:r>
        <w:rPr>
          <w:rFonts w:hint="eastAsia" w:hAnsi="宋体"/>
          <w:color w:val="000000"/>
          <w:highlight w:val="none"/>
        </w:rPr>
        <w:t>（5）其他无法保证电子交易的公平、公正和安全的情况。</w:t>
      </w:r>
    </w:p>
    <w:p w14:paraId="6E7D7DC4">
      <w:pPr>
        <w:spacing w:line="360" w:lineRule="auto"/>
        <w:ind w:firstLine="420" w:firstLineChars="200"/>
        <w:rPr>
          <w:rFonts w:hAnsi="宋体"/>
          <w:color w:val="000000"/>
          <w:highlight w:val="none"/>
        </w:rPr>
      </w:pPr>
      <w:r>
        <w:rPr>
          <w:rFonts w:hint="eastAsia" w:hAnsi="宋体"/>
          <w:color w:val="000000"/>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33676A5A">
      <w:pPr>
        <w:pStyle w:val="25"/>
        <w:snapToGrid w:val="0"/>
        <w:spacing w:line="360" w:lineRule="auto"/>
        <w:rPr>
          <w:rFonts w:hAnsi="宋体"/>
          <w:color w:val="000000"/>
          <w:sz w:val="21"/>
          <w:highlight w:val="none"/>
        </w:rPr>
      </w:pPr>
    </w:p>
    <w:p w14:paraId="19D7E811">
      <w:pPr>
        <w:pStyle w:val="4"/>
        <w:keepNext w:val="0"/>
        <w:keepLines w:val="0"/>
        <w:jc w:val="center"/>
        <w:rPr>
          <w:color w:val="000000"/>
          <w:highlight w:val="none"/>
        </w:rPr>
      </w:pPr>
      <w:bookmarkStart w:id="142" w:name="_Toc254970546"/>
      <w:bookmarkStart w:id="143" w:name="_Toc254970687"/>
      <w:r>
        <w:rPr>
          <w:rFonts w:hint="eastAsia"/>
          <w:color w:val="000000"/>
          <w:highlight w:val="none"/>
        </w:rPr>
        <w:t>七、</w:t>
      </w:r>
      <w:bookmarkEnd w:id="142"/>
      <w:bookmarkEnd w:id="143"/>
      <w:r>
        <w:rPr>
          <w:rFonts w:hint="eastAsia"/>
          <w:color w:val="000000"/>
          <w:highlight w:val="none"/>
        </w:rPr>
        <w:t>中标和合同</w:t>
      </w:r>
    </w:p>
    <w:p w14:paraId="49C5CF8C">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30</w:t>
      </w:r>
      <w:r>
        <w:rPr>
          <w:rFonts w:ascii="黑体" w:hAnsi="黑体" w:eastAsia="黑体"/>
          <w:color w:val="000000"/>
          <w:sz w:val="24"/>
          <w:highlight w:val="none"/>
        </w:rPr>
        <w:t xml:space="preserve"> </w:t>
      </w:r>
      <w:r>
        <w:rPr>
          <w:rFonts w:hint="eastAsia" w:ascii="黑体" w:hAnsi="黑体" w:eastAsia="黑体"/>
          <w:color w:val="000000"/>
          <w:sz w:val="24"/>
          <w:highlight w:val="none"/>
        </w:rPr>
        <w:t>确定中标人</w:t>
      </w:r>
    </w:p>
    <w:p w14:paraId="6E7847E2">
      <w:pPr>
        <w:pStyle w:val="6"/>
        <w:keepNext w:val="0"/>
        <w:keepLines w:val="0"/>
        <w:spacing w:before="0" w:after="0" w:line="360" w:lineRule="auto"/>
        <w:ind w:firstLine="420" w:firstLineChars="200"/>
        <w:rPr>
          <w:rFonts w:ascii="宋体" w:hAnsi="宋体"/>
          <w:b w:val="0"/>
          <w:color w:val="000000"/>
          <w:sz w:val="21"/>
          <w:szCs w:val="21"/>
          <w:highlight w:val="none"/>
        </w:rPr>
      </w:pPr>
      <w:r>
        <w:rPr>
          <w:rFonts w:ascii="宋体" w:hAnsi="宋体"/>
          <w:b w:val="0"/>
          <w:color w:val="000000"/>
          <w:sz w:val="21"/>
          <w:szCs w:val="21"/>
          <w:highlight w:val="none"/>
        </w:rPr>
        <w:t>30.1</w:t>
      </w:r>
      <w:r>
        <w:rPr>
          <w:rFonts w:hint="eastAsia" w:ascii="宋体" w:hAnsi="宋体"/>
          <w:b w:val="0"/>
          <w:color w:val="000000"/>
          <w:sz w:val="21"/>
          <w:szCs w:val="21"/>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18DA0F13">
      <w:pPr>
        <w:snapToGrid w:val="0"/>
        <w:spacing w:line="360" w:lineRule="auto"/>
        <w:ind w:firstLine="420" w:firstLineChars="200"/>
        <w:rPr>
          <w:rFonts w:ascii="宋体" w:hAnsi="宋体" w:cs="Courier New"/>
          <w:color w:val="000000"/>
          <w:szCs w:val="21"/>
          <w:highlight w:val="none"/>
        </w:rPr>
      </w:pPr>
      <w:r>
        <w:rPr>
          <w:rFonts w:ascii="宋体" w:hAnsi="宋体" w:cs="Courier New"/>
          <w:color w:val="000000"/>
          <w:szCs w:val="21"/>
          <w:highlight w:val="none"/>
        </w:rPr>
        <w:t>30.2</w:t>
      </w:r>
      <w:r>
        <w:rPr>
          <w:rFonts w:hint="eastAsia" w:ascii="宋体" w:hAnsi="宋体" w:cs="Courier New"/>
          <w:color w:val="000000"/>
          <w:szCs w:val="21"/>
          <w:highlight w:val="none"/>
        </w:rPr>
        <w:t>采购人在收到评标报告5个工作日内未按评标报告推荐的中标候选人顺序确定中标人，又不能说明合法理由的，视同按评标报告推荐的顺序确定排名第一的中标候选人为中标人。</w:t>
      </w:r>
    </w:p>
    <w:p w14:paraId="0FC6DB0A">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30.3出现下列情形之一的，应予废标：</w:t>
      </w:r>
    </w:p>
    <w:p w14:paraId="36C1BE76">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（1）符合专业条件的供应商或者对招标文件作实质响应的供应商不足三家的；</w:t>
      </w:r>
    </w:p>
    <w:p w14:paraId="189B7CF9">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（2）出现影响采购公正的违法、违规行为的；</w:t>
      </w:r>
    </w:p>
    <w:p w14:paraId="6EF91D86">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（3）投标人的报价均超过了采购预算，采购人不能支付的；</w:t>
      </w:r>
    </w:p>
    <w:p w14:paraId="772F0C03">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（4）因重大变故，采购任务取消的。</w:t>
      </w:r>
    </w:p>
    <w:p w14:paraId="5275BB97">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废标后，采购人应当将废标理由通知所有投标人。</w:t>
      </w:r>
    </w:p>
    <w:p w14:paraId="21FFCF8D">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31. 结果公告</w:t>
      </w:r>
    </w:p>
    <w:p w14:paraId="2DA3C3A6">
      <w:pPr>
        <w:pStyle w:val="6"/>
        <w:keepNext w:val="0"/>
        <w:keepLines w:val="0"/>
        <w:spacing w:before="0" w:after="0" w:line="360" w:lineRule="auto"/>
        <w:ind w:firstLine="420" w:firstLineChars="200"/>
        <w:rPr>
          <w:rFonts w:ascii="宋体" w:hAnsi="宋体"/>
          <w:b w:val="0"/>
          <w:color w:val="000000"/>
          <w:sz w:val="21"/>
          <w:szCs w:val="21"/>
          <w:highlight w:val="none"/>
        </w:rPr>
      </w:pPr>
      <w:r>
        <w:rPr>
          <w:rFonts w:hint="eastAsia" w:ascii="宋体" w:hAnsi="宋体"/>
          <w:b w:val="0"/>
          <w:color w:val="000000"/>
          <w:sz w:val="21"/>
          <w:szCs w:val="21"/>
          <w:highlight w:val="none"/>
        </w:rPr>
        <w:t>3</w:t>
      </w:r>
      <w:r>
        <w:rPr>
          <w:rFonts w:ascii="宋体" w:hAnsi="宋体"/>
          <w:b w:val="0"/>
          <w:color w:val="000000"/>
          <w:sz w:val="21"/>
          <w:szCs w:val="21"/>
          <w:highlight w:val="none"/>
        </w:rPr>
        <w:t>1.1</w:t>
      </w:r>
      <w:r>
        <w:rPr>
          <w:rFonts w:hint="eastAsia" w:ascii="宋体" w:hAnsi="宋体"/>
          <w:b w:val="0"/>
          <w:color w:val="000000"/>
          <w:sz w:val="21"/>
          <w:szCs w:val="21"/>
          <w:highlight w:val="none"/>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12796416">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以上信息查询记录及相关证据与招标文件一并保存。</w:t>
      </w:r>
    </w:p>
    <w:p w14:paraId="74A3A6D3">
      <w:pPr>
        <w:pStyle w:val="6"/>
        <w:keepNext w:val="0"/>
        <w:keepLines w:val="0"/>
        <w:spacing w:before="0" w:after="0" w:line="360" w:lineRule="auto"/>
        <w:ind w:firstLine="420" w:firstLineChars="200"/>
        <w:rPr>
          <w:rFonts w:ascii="宋体" w:hAnsi="宋体"/>
          <w:b w:val="0"/>
          <w:color w:val="000000"/>
          <w:sz w:val="21"/>
          <w:szCs w:val="21"/>
          <w:highlight w:val="none"/>
        </w:rPr>
      </w:pPr>
      <w:r>
        <w:rPr>
          <w:rFonts w:hint="eastAsia" w:ascii="宋体" w:hAnsi="宋体"/>
          <w:b w:val="0"/>
          <w:color w:val="000000"/>
          <w:sz w:val="21"/>
          <w:szCs w:val="21"/>
          <w:highlight w:val="none"/>
        </w:rPr>
        <w:t>31.2中标人享受《政府采购促进中小企业发展管理办法》（财库〔2020〕46号）规定的中小企业扶持政策的，采购人、采购代理机构应当随中标结果公开中标人的《中小企业声明函》。</w:t>
      </w:r>
    </w:p>
    <w:p w14:paraId="515E5231">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32.发出中标通知书</w:t>
      </w:r>
    </w:p>
    <w:p w14:paraId="7DC2222E">
      <w:pPr>
        <w:pStyle w:val="6"/>
        <w:keepNext w:val="0"/>
        <w:keepLines w:val="0"/>
        <w:spacing w:before="0" w:after="0" w:line="360" w:lineRule="auto"/>
        <w:rPr>
          <w:rFonts w:ascii="宋体" w:hAnsi="宋体"/>
          <w:b w:val="0"/>
          <w:color w:val="000000"/>
          <w:sz w:val="21"/>
          <w:szCs w:val="21"/>
          <w:highlight w:val="none"/>
        </w:rPr>
      </w:pPr>
      <w:r>
        <w:rPr>
          <w:rFonts w:hint="eastAsia" w:ascii="宋体" w:hAnsi="宋体"/>
          <w:b w:val="0"/>
          <w:color w:val="000000"/>
          <w:sz w:val="21"/>
          <w:szCs w:val="21"/>
          <w:highlight w:val="none"/>
        </w:rPr>
        <w:t xml:space="preserve"> </w:t>
      </w:r>
      <w:r>
        <w:rPr>
          <w:rFonts w:ascii="宋体" w:hAnsi="宋体"/>
          <w:b w:val="0"/>
          <w:color w:val="000000"/>
          <w:sz w:val="21"/>
          <w:szCs w:val="21"/>
          <w:highlight w:val="none"/>
        </w:rPr>
        <w:t xml:space="preserve">   </w:t>
      </w:r>
      <w:r>
        <w:rPr>
          <w:rFonts w:hint="eastAsia" w:ascii="宋体" w:hAnsi="宋体"/>
          <w:b w:val="0"/>
          <w:color w:val="000000"/>
          <w:sz w:val="21"/>
          <w:szCs w:val="21"/>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63C85F92">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33. 无义务解释未中标原因</w:t>
      </w:r>
    </w:p>
    <w:p w14:paraId="431B08CB">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采购代理机构无义务向未中标的投标人解释未中标原因。</w:t>
      </w:r>
    </w:p>
    <w:p w14:paraId="22001132">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34.合同授予标准</w:t>
      </w:r>
    </w:p>
    <w:p w14:paraId="5B5BC6D8">
      <w:pPr>
        <w:snapToGrid w:val="0"/>
        <w:spacing w:line="360" w:lineRule="auto"/>
        <w:ind w:firstLine="420" w:firstLineChars="200"/>
        <w:rPr>
          <w:rFonts w:ascii="宋体" w:hAnsi="宋体"/>
          <w:color w:val="000000"/>
          <w:szCs w:val="21"/>
          <w:highlight w:val="none"/>
        </w:rPr>
      </w:pPr>
      <w:r>
        <w:rPr>
          <w:rFonts w:hint="eastAsia" w:ascii="宋体" w:hAnsi="宋体" w:cs="Courier New"/>
          <w:color w:val="000000"/>
          <w:szCs w:val="21"/>
          <w:highlight w:val="none"/>
        </w:rPr>
        <w:t>合同将授予被确定实质上响应招标文件要求，具备履行合同能力的中标人。</w:t>
      </w:r>
    </w:p>
    <w:p w14:paraId="70B6A3CE">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35.履约保证金</w:t>
      </w:r>
    </w:p>
    <w:p w14:paraId="7E2F9429">
      <w:pPr>
        <w:pStyle w:val="6"/>
        <w:keepNext w:val="0"/>
        <w:keepLines w:val="0"/>
        <w:spacing w:before="0" w:after="0" w:line="360" w:lineRule="auto"/>
        <w:ind w:firstLine="315" w:firstLineChars="150"/>
        <w:rPr>
          <w:rFonts w:ascii="宋体" w:hAnsi="宋体"/>
          <w:b w:val="0"/>
          <w:color w:val="000000"/>
          <w:sz w:val="21"/>
          <w:szCs w:val="21"/>
          <w:highlight w:val="none"/>
        </w:rPr>
      </w:pPr>
      <w:bookmarkStart w:id="144" w:name="_39.1中标人须于签订合同前按本须知前附表规定的金额转账或电汇到指定账"/>
      <w:bookmarkEnd w:id="144"/>
      <w:r>
        <w:rPr>
          <w:rFonts w:ascii="宋体" w:hAnsi="宋体"/>
          <w:b w:val="0"/>
          <w:color w:val="000000"/>
          <w:sz w:val="21"/>
          <w:szCs w:val="21"/>
          <w:highlight w:val="none"/>
        </w:rPr>
        <w:t xml:space="preserve"> </w:t>
      </w:r>
      <w:r>
        <w:rPr>
          <w:rFonts w:hint="eastAsia" w:ascii="宋体" w:hAnsi="宋体"/>
          <w:b w:val="0"/>
          <w:color w:val="000000"/>
          <w:sz w:val="21"/>
          <w:szCs w:val="21"/>
          <w:highlight w:val="none"/>
        </w:rPr>
        <w:t>3</w:t>
      </w:r>
      <w:r>
        <w:rPr>
          <w:rFonts w:ascii="宋体" w:hAnsi="宋体"/>
          <w:b w:val="0"/>
          <w:color w:val="000000"/>
          <w:sz w:val="21"/>
          <w:szCs w:val="21"/>
          <w:highlight w:val="none"/>
        </w:rPr>
        <w:t>5</w:t>
      </w:r>
      <w:r>
        <w:rPr>
          <w:rFonts w:hint="eastAsia" w:ascii="宋体" w:hAnsi="宋体"/>
          <w:b w:val="0"/>
          <w:color w:val="000000"/>
          <w:sz w:val="21"/>
          <w:szCs w:val="21"/>
          <w:highlight w:val="none"/>
        </w:rPr>
        <w:t>.1 履约保证金的金额、提交方式、退付的时间和条件详见 “投标人须知前附表”。中标人未按规定提交履约保证金的，视为拒绝与采购人签订合同。</w:t>
      </w:r>
    </w:p>
    <w:p w14:paraId="0A48A145">
      <w:pPr>
        <w:pStyle w:val="6"/>
        <w:keepNext w:val="0"/>
        <w:keepLines w:val="0"/>
        <w:spacing w:before="0" w:after="0" w:line="360" w:lineRule="auto"/>
        <w:ind w:firstLine="316" w:firstLineChars="150"/>
        <w:rPr>
          <w:rFonts w:ascii="宋体" w:hAnsi="宋体"/>
          <w:color w:val="000000"/>
          <w:sz w:val="21"/>
          <w:szCs w:val="21"/>
          <w:highlight w:val="none"/>
        </w:rPr>
      </w:pPr>
      <w:r>
        <w:rPr>
          <w:rFonts w:hint="eastAsia" w:ascii="宋体" w:hAnsi="宋体"/>
          <w:color w:val="000000"/>
          <w:sz w:val="21"/>
          <w:szCs w:val="21"/>
          <w:highlight w:val="none"/>
        </w:rPr>
        <w:t xml:space="preserve"> </w:t>
      </w:r>
      <w:r>
        <w:rPr>
          <w:rFonts w:hint="eastAsia" w:ascii="宋体" w:hAnsi="宋体"/>
          <w:b w:val="0"/>
          <w:bCs/>
          <w:color w:val="000000"/>
          <w:sz w:val="21"/>
          <w:szCs w:val="21"/>
          <w:highlight w:val="none"/>
        </w:rPr>
        <w:t>35.2在履约保证金退还日期前，若中标人的开户名称、开户银行、</w:t>
      </w:r>
      <w:r>
        <w:rPr>
          <w:rFonts w:hint="eastAsia" w:ascii="宋体" w:hAnsi="宋体"/>
          <w:b w:val="0"/>
          <w:bCs/>
          <w:color w:val="000000"/>
          <w:sz w:val="21"/>
          <w:szCs w:val="21"/>
          <w:highlight w:val="none"/>
          <w:lang w:eastAsia="zh-CN"/>
        </w:rPr>
        <w:t>账</w:t>
      </w:r>
      <w:r>
        <w:rPr>
          <w:rFonts w:hint="eastAsia" w:ascii="宋体" w:hAnsi="宋体"/>
          <w:b w:val="0"/>
          <w:bCs/>
          <w:color w:val="000000"/>
          <w:sz w:val="21"/>
          <w:szCs w:val="21"/>
          <w:highlight w:val="none"/>
        </w:rPr>
        <w:t>号有变动的，请以书面形式通知履约保证金收取单位，否则由此产生的后果由中标人自行承担。</w:t>
      </w:r>
    </w:p>
    <w:p w14:paraId="514104B2">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36.签订合同</w:t>
      </w:r>
    </w:p>
    <w:p w14:paraId="6A718488">
      <w:pPr>
        <w:pStyle w:val="6"/>
        <w:keepNext w:val="0"/>
        <w:keepLines w:val="0"/>
        <w:spacing w:before="0" w:after="0" w:line="360" w:lineRule="auto"/>
        <w:ind w:firstLine="315" w:firstLineChars="150"/>
        <w:rPr>
          <w:rFonts w:ascii="宋体" w:hAnsi="宋体"/>
          <w:b w:val="0"/>
          <w:color w:val="000000"/>
          <w:sz w:val="21"/>
          <w:szCs w:val="21"/>
          <w:highlight w:val="none"/>
        </w:rPr>
      </w:pPr>
      <w:bookmarkStart w:id="145" w:name="_40.1投标人接到中标通知书后，按须知前附表规定向采购人出示相关资格证"/>
      <w:bookmarkEnd w:id="145"/>
      <w:r>
        <w:rPr>
          <w:rFonts w:hint="eastAsia" w:ascii="宋体" w:hAnsi="宋体"/>
          <w:b w:val="0"/>
          <w:color w:val="000000"/>
          <w:sz w:val="21"/>
          <w:szCs w:val="21"/>
          <w:highlight w:val="none"/>
        </w:rPr>
        <w:t xml:space="preserve"> </w:t>
      </w:r>
      <w:r>
        <w:rPr>
          <w:rFonts w:hint="eastAsia" w:ascii="宋体" w:hAnsi="宋体"/>
          <w:color w:val="000000"/>
          <w:sz w:val="21"/>
          <w:szCs w:val="21"/>
          <w:highlight w:val="none"/>
        </w:rPr>
        <w:t>36.1签订电子采购合同：中标人领取电子中标通知书后，</w:t>
      </w:r>
      <w:r>
        <w:rPr>
          <w:rFonts w:hint="eastAsia" w:ascii="宋体" w:hAnsi="宋体"/>
          <w:color w:val="000000"/>
          <w:kern w:val="0"/>
          <w:sz w:val="21"/>
          <w:szCs w:val="21"/>
          <w:highlight w:val="none"/>
        </w:rPr>
        <w:t>在</w:t>
      </w:r>
      <w:r>
        <w:rPr>
          <w:rFonts w:hint="eastAsia" w:ascii="宋体" w:hAnsi="宋体"/>
          <w:color w:val="000000"/>
          <w:kern w:val="0"/>
          <w:sz w:val="21"/>
          <w:szCs w:val="21"/>
          <w:highlight w:val="none"/>
          <w:lang w:val="zh-CN"/>
        </w:rPr>
        <w:t>规定的日期、时间、地点，由法定代表人（或负责人）或其授权代表与采购人代表签订电子采购合同。如中标人为联合体的，由联合体成员各方法定代表人（或负责人）或其授权代表与采购人代表签订合同。</w:t>
      </w:r>
    </w:p>
    <w:p w14:paraId="12A3247C">
      <w:pPr>
        <w:pStyle w:val="6"/>
        <w:keepNext w:val="0"/>
        <w:keepLines w:val="0"/>
        <w:spacing w:before="0" w:after="0" w:line="360" w:lineRule="auto"/>
        <w:ind w:firstLine="315" w:firstLineChars="150"/>
        <w:rPr>
          <w:rFonts w:ascii="宋体" w:hAnsi="宋体"/>
          <w:b w:val="0"/>
          <w:color w:val="000000"/>
          <w:sz w:val="21"/>
          <w:szCs w:val="21"/>
          <w:highlight w:val="none"/>
        </w:rPr>
      </w:pPr>
      <w:r>
        <w:rPr>
          <w:rFonts w:hint="eastAsia" w:ascii="宋体" w:hAnsi="宋体"/>
          <w:b w:val="0"/>
          <w:color w:val="000000"/>
          <w:sz w:val="21"/>
          <w:szCs w:val="21"/>
          <w:highlight w:val="none"/>
        </w:rPr>
        <w:t xml:space="preserve"> 线下签订纸质合同：投标人领取中标通知书后，按“投标人须知前附表”规定向采购人出示相关证明材料，经采购人核验合格后方可签订合同。</w:t>
      </w:r>
    </w:p>
    <w:p w14:paraId="0B26EED1">
      <w:pPr>
        <w:pStyle w:val="6"/>
        <w:keepNext w:val="0"/>
        <w:keepLines w:val="0"/>
        <w:numPr>
          <w:ilvl w:val="4"/>
          <w:numId w:val="0"/>
        </w:numPr>
        <w:spacing w:before="0" w:after="0" w:line="360" w:lineRule="auto"/>
        <w:ind w:firstLine="420" w:firstLineChars="200"/>
        <w:rPr>
          <w:rFonts w:ascii="宋体" w:hAnsi="宋体"/>
          <w:b w:val="0"/>
          <w:color w:val="000000"/>
          <w:sz w:val="21"/>
          <w:szCs w:val="21"/>
          <w:highlight w:val="none"/>
        </w:rPr>
      </w:pPr>
      <w:r>
        <w:rPr>
          <w:rFonts w:hint="eastAsia" w:ascii="宋体" w:hAnsi="宋体"/>
          <w:b w:val="0"/>
          <w:color w:val="000000"/>
          <w:sz w:val="21"/>
          <w:szCs w:val="21"/>
          <w:highlight w:val="none"/>
        </w:rPr>
        <w:t>36.2签订合同时间：按中标通知书规定的时间与采购人签订合同。</w:t>
      </w:r>
    </w:p>
    <w:p w14:paraId="7672C4C7">
      <w:pPr>
        <w:pStyle w:val="6"/>
        <w:keepNext w:val="0"/>
        <w:keepLines w:val="0"/>
        <w:spacing w:before="0" w:after="0" w:line="360" w:lineRule="auto"/>
        <w:rPr>
          <w:rFonts w:ascii="宋体" w:hAnsi="宋体"/>
          <w:b w:val="0"/>
          <w:color w:val="000000"/>
          <w:sz w:val="21"/>
          <w:szCs w:val="21"/>
          <w:highlight w:val="none"/>
        </w:rPr>
      </w:pPr>
      <w:r>
        <w:rPr>
          <w:rFonts w:hint="eastAsia" w:ascii="宋体" w:hAnsi="宋体"/>
          <w:b w:val="0"/>
          <w:color w:val="000000"/>
          <w:sz w:val="21"/>
          <w:szCs w:val="21"/>
          <w:highlight w:val="none"/>
        </w:rPr>
        <w:t xml:space="preserve">    36.</w:t>
      </w:r>
      <w:r>
        <w:rPr>
          <w:rFonts w:ascii="宋体" w:hAnsi="宋体"/>
          <w:b w:val="0"/>
          <w:color w:val="000000"/>
          <w:sz w:val="21"/>
          <w:szCs w:val="21"/>
          <w:highlight w:val="none"/>
        </w:rPr>
        <w:t>3</w:t>
      </w:r>
      <w:r>
        <w:rPr>
          <w:rFonts w:hint="eastAsia" w:ascii="宋体" w:hAnsi="宋体"/>
          <w:b w:val="0"/>
          <w:color w:val="000000"/>
          <w:sz w:val="21"/>
          <w:szCs w:val="21"/>
          <w:highlight w:val="none"/>
        </w:rPr>
        <w:t>中标人拒绝签订政府采购合同（包括但不限于放弃中标、因不可抗力不能履行合同而放弃签订合同），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654837C8">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36.4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104A499">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36.5采购人或中标人不得单方面向合同另一方提出任何招标文件没有约定的条件或不合理的要求，作为签订合同的条件；也不得协商另行订立背离招标文件和合同实质性内容的协议。</w:t>
      </w:r>
    </w:p>
    <w:p w14:paraId="463CC384">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36.6</w:t>
      </w:r>
      <w:r>
        <w:rPr>
          <w:rFonts w:hint="eastAsia" w:ascii="宋体" w:hAnsi="宋体" w:cs="仿宋_GB2312"/>
          <w:color w:val="000000"/>
          <w:szCs w:val="21"/>
          <w:highlight w:val="none"/>
        </w:rPr>
        <w:t>如签订合同并生效后，供应商无故拒绝或延期，除按照合同条款处理外，将承担相应的法律责任。</w:t>
      </w:r>
    </w:p>
    <w:p w14:paraId="5EB45A1A">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36.7</w:t>
      </w:r>
      <w:r>
        <w:rPr>
          <w:rFonts w:hint="eastAsia" w:ascii="宋体" w:hAnsi="宋体" w:cs="宋体"/>
          <w:color w:val="000000"/>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44309010">
      <w:pPr>
        <w:pStyle w:val="6"/>
        <w:keepNext w:val="0"/>
        <w:keepLines w:val="0"/>
        <w:spacing w:before="0" w:after="0" w:line="360" w:lineRule="auto"/>
        <w:ind w:left="420" w:leftChars="200"/>
        <w:rPr>
          <w:rFonts w:ascii="黑体" w:hAnsi="黑体" w:eastAsia="黑体"/>
          <w:color w:val="000000"/>
          <w:sz w:val="24"/>
          <w:highlight w:val="none"/>
        </w:rPr>
      </w:pPr>
      <w:bookmarkStart w:id="146" w:name="_41.政府采购合同公告"/>
      <w:bookmarkEnd w:id="146"/>
      <w:r>
        <w:rPr>
          <w:rFonts w:hint="eastAsia" w:ascii="黑体" w:hAnsi="黑体" w:eastAsia="黑体"/>
          <w:color w:val="000000"/>
          <w:sz w:val="24"/>
          <w:highlight w:val="none"/>
        </w:rPr>
        <w:t>37.政府采购合同公告</w:t>
      </w:r>
    </w:p>
    <w:p w14:paraId="0FA55087">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采购人或者受托采购代理机构应当自政府采购合同签订之日起2个工作日内，将政府采购合同在省级以上人民政府财政部门指定的媒体上公告，</w:t>
      </w:r>
      <w:r>
        <w:rPr>
          <w:rFonts w:hAnsi="宋体"/>
          <w:color w:val="000000"/>
          <w:sz w:val="21"/>
          <w:highlight w:val="none"/>
        </w:rPr>
        <w:t>但政府采购合同中涉及国家秘密、商业秘密的内容除外。</w:t>
      </w:r>
    </w:p>
    <w:p w14:paraId="1F48B506">
      <w:pPr>
        <w:pStyle w:val="6"/>
        <w:keepNext w:val="0"/>
        <w:keepLines w:val="0"/>
        <w:spacing w:before="0" w:after="0" w:line="360" w:lineRule="auto"/>
        <w:ind w:left="420" w:leftChars="200"/>
        <w:rPr>
          <w:rFonts w:ascii="黑体" w:hAnsi="黑体" w:eastAsia="黑体"/>
          <w:color w:val="000000"/>
          <w:sz w:val="24"/>
          <w:highlight w:val="none"/>
        </w:rPr>
      </w:pPr>
      <w:r>
        <w:rPr>
          <w:rFonts w:hint="eastAsia" w:ascii="黑体" w:hAnsi="黑体" w:eastAsia="黑体"/>
          <w:color w:val="000000"/>
          <w:sz w:val="24"/>
          <w:highlight w:val="none"/>
        </w:rPr>
        <w:t>3</w:t>
      </w:r>
      <w:r>
        <w:rPr>
          <w:rFonts w:ascii="黑体" w:hAnsi="黑体" w:eastAsia="黑体"/>
          <w:color w:val="000000"/>
          <w:sz w:val="24"/>
          <w:highlight w:val="none"/>
        </w:rPr>
        <w:t>8.</w:t>
      </w:r>
      <w:r>
        <w:rPr>
          <w:rFonts w:hint="eastAsia" w:ascii="黑体" w:hAnsi="黑体" w:eastAsia="黑体"/>
          <w:color w:val="000000"/>
          <w:sz w:val="24"/>
          <w:highlight w:val="none"/>
        </w:rPr>
        <w:t xml:space="preserve"> 询问、质疑和投诉</w:t>
      </w:r>
    </w:p>
    <w:p w14:paraId="42B1F60A">
      <w:pPr>
        <w:pStyle w:val="7"/>
        <w:spacing w:line="360" w:lineRule="auto"/>
        <w:rPr>
          <w:rFonts w:ascii="宋体" w:hAnsi="宋体"/>
          <w:color w:val="000000"/>
          <w:szCs w:val="21"/>
          <w:highlight w:val="none"/>
        </w:rPr>
      </w:pPr>
      <w:r>
        <w:rPr>
          <w:rFonts w:ascii="宋体" w:hAnsi="宋体"/>
          <w:color w:val="000000"/>
          <w:szCs w:val="21"/>
          <w:highlight w:val="none"/>
        </w:rPr>
        <w:t>38.1</w:t>
      </w:r>
      <w:r>
        <w:rPr>
          <w:rFonts w:hint="eastAsia" w:ascii="宋体" w:hAnsi="宋体"/>
          <w:color w:val="000000"/>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0811F5FB">
      <w:pPr>
        <w:pStyle w:val="6"/>
        <w:keepNext w:val="0"/>
        <w:keepLines w:val="0"/>
        <w:spacing w:before="0" w:after="0" w:line="360" w:lineRule="auto"/>
        <w:ind w:firstLine="315" w:firstLineChars="150"/>
        <w:rPr>
          <w:rFonts w:ascii="宋体" w:hAnsi="宋体"/>
          <w:b w:val="0"/>
          <w:color w:val="000000"/>
          <w:sz w:val="21"/>
          <w:szCs w:val="21"/>
          <w:highlight w:val="none"/>
        </w:rPr>
      </w:pPr>
      <w:r>
        <w:rPr>
          <w:rFonts w:hint="eastAsia" w:ascii="宋体" w:hAnsi="宋体"/>
          <w:b w:val="0"/>
          <w:color w:val="000000"/>
          <w:sz w:val="21"/>
          <w:szCs w:val="21"/>
          <w:highlight w:val="none"/>
        </w:rPr>
        <w:t xml:space="preserve"> </w:t>
      </w:r>
      <w:r>
        <w:rPr>
          <w:rFonts w:ascii="宋体" w:hAnsi="宋体"/>
          <w:b w:val="0"/>
          <w:color w:val="000000"/>
          <w:sz w:val="21"/>
          <w:szCs w:val="21"/>
          <w:highlight w:val="none"/>
        </w:rPr>
        <w:t>38</w:t>
      </w:r>
      <w:r>
        <w:rPr>
          <w:rFonts w:hint="eastAsia" w:ascii="宋体" w:hAnsi="宋体"/>
          <w:b w:val="0"/>
          <w:color w:val="000000"/>
          <w:sz w:val="21"/>
          <w:szCs w:val="21"/>
          <w:highlight w:val="none"/>
        </w:rPr>
        <w:t>.</w:t>
      </w:r>
      <w:r>
        <w:rPr>
          <w:rFonts w:ascii="宋体" w:hAnsi="宋体"/>
          <w:b w:val="0"/>
          <w:color w:val="000000"/>
          <w:sz w:val="21"/>
          <w:szCs w:val="21"/>
          <w:highlight w:val="none"/>
        </w:rPr>
        <w:t>2</w:t>
      </w:r>
      <w:r>
        <w:rPr>
          <w:rFonts w:hint="eastAsia" w:ascii="宋体" w:hAnsi="宋体"/>
          <w:b w:val="0"/>
          <w:color w:val="000000"/>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6C2B8F44">
      <w:pPr>
        <w:pStyle w:val="25"/>
        <w:snapToGrid w:val="0"/>
        <w:spacing w:line="360" w:lineRule="auto"/>
        <w:ind w:firstLine="420" w:firstLineChars="200"/>
        <w:rPr>
          <w:rFonts w:hAnsi="宋体"/>
          <w:color w:val="000000"/>
          <w:sz w:val="21"/>
          <w:highlight w:val="none"/>
        </w:rPr>
      </w:pPr>
      <w:r>
        <w:rPr>
          <w:rFonts w:hAnsi="宋体"/>
          <w:color w:val="000000"/>
          <w:sz w:val="21"/>
          <w:highlight w:val="none"/>
        </w:rPr>
        <w:t>（</w:t>
      </w:r>
      <w:r>
        <w:rPr>
          <w:rFonts w:hint="eastAsia" w:hAnsi="宋体"/>
          <w:color w:val="000000"/>
          <w:sz w:val="21"/>
          <w:highlight w:val="none"/>
        </w:rPr>
        <w:t>1</w:t>
      </w:r>
      <w:r>
        <w:rPr>
          <w:rFonts w:hAnsi="宋体"/>
          <w:color w:val="000000"/>
          <w:sz w:val="21"/>
          <w:highlight w:val="none"/>
        </w:rPr>
        <w:t>）对可以质疑的</w:t>
      </w:r>
      <w:r>
        <w:rPr>
          <w:rFonts w:hint="eastAsia" w:hAnsi="宋体"/>
          <w:color w:val="000000"/>
          <w:sz w:val="21"/>
          <w:highlight w:val="none"/>
        </w:rPr>
        <w:t>招标</w:t>
      </w:r>
      <w:r>
        <w:rPr>
          <w:rFonts w:hAnsi="宋体"/>
          <w:color w:val="000000"/>
          <w:sz w:val="21"/>
          <w:highlight w:val="none"/>
        </w:rPr>
        <w:t>文件提出质疑的，为</w:t>
      </w:r>
      <w:r>
        <w:rPr>
          <w:rFonts w:hint="eastAsia" w:hAnsi="宋体"/>
          <w:color w:val="000000"/>
          <w:sz w:val="21"/>
          <w:highlight w:val="none"/>
        </w:rPr>
        <w:t>获取招标</w:t>
      </w:r>
      <w:r>
        <w:rPr>
          <w:rFonts w:hAnsi="宋体"/>
          <w:color w:val="000000"/>
          <w:sz w:val="21"/>
          <w:highlight w:val="none"/>
        </w:rPr>
        <w:t>文件之日</w:t>
      </w:r>
      <w:r>
        <w:rPr>
          <w:rFonts w:hint="eastAsia" w:hAnsi="宋体"/>
          <w:color w:val="000000"/>
          <w:sz w:val="21"/>
          <w:highlight w:val="none"/>
        </w:rPr>
        <w:t>或者招标文件公告期限届满之日</w:t>
      </w:r>
      <w:r>
        <w:rPr>
          <w:rFonts w:hAnsi="宋体"/>
          <w:color w:val="000000"/>
          <w:sz w:val="21"/>
          <w:highlight w:val="none"/>
        </w:rPr>
        <w:t>；</w:t>
      </w:r>
    </w:p>
    <w:p w14:paraId="2CDC20E0">
      <w:pPr>
        <w:pStyle w:val="25"/>
        <w:snapToGrid w:val="0"/>
        <w:spacing w:line="360" w:lineRule="auto"/>
        <w:ind w:firstLine="420" w:firstLineChars="200"/>
        <w:rPr>
          <w:rFonts w:hAnsi="宋体"/>
          <w:color w:val="000000"/>
          <w:sz w:val="21"/>
          <w:highlight w:val="none"/>
        </w:rPr>
      </w:pPr>
      <w:r>
        <w:rPr>
          <w:rFonts w:hAnsi="宋体"/>
          <w:color w:val="000000"/>
          <w:sz w:val="21"/>
          <w:highlight w:val="none"/>
        </w:rPr>
        <w:t>（</w:t>
      </w:r>
      <w:r>
        <w:rPr>
          <w:rFonts w:hint="eastAsia" w:hAnsi="宋体"/>
          <w:color w:val="000000"/>
          <w:sz w:val="21"/>
          <w:highlight w:val="none"/>
        </w:rPr>
        <w:t>2</w:t>
      </w:r>
      <w:r>
        <w:rPr>
          <w:rFonts w:hAnsi="宋体"/>
          <w:color w:val="000000"/>
          <w:sz w:val="21"/>
          <w:highlight w:val="none"/>
        </w:rPr>
        <w:t>）对</w:t>
      </w:r>
      <w:r>
        <w:rPr>
          <w:rFonts w:hint="eastAsia" w:hAnsi="宋体"/>
          <w:color w:val="000000"/>
          <w:sz w:val="21"/>
          <w:highlight w:val="none"/>
        </w:rPr>
        <w:t>采购</w:t>
      </w:r>
      <w:r>
        <w:rPr>
          <w:rFonts w:hAnsi="宋体"/>
          <w:color w:val="000000"/>
          <w:sz w:val="21"/>
          <w:highlight w:val="none"/>
        </w:rPr>
        <w:t>过程提出质疑的，为各采购程序环节结束之日；</w:t>
      </w:r>
    </w:p>
    <w:p w14:paraId="11E24E40">
      <w:pPr>
        <w:pStyle w:val="25"/>
        <w:snapToGrid w:val="0"/>
        <w:spacing w:line="360" w:lineRule="auto"/>
        <w:ind w:firstLine="420" w:firstLineChars="200"/>
        <w:rPr>
          <w:rFonts w:hAnsi="宋体"/>
          <w:bCs/>
          <w:color w:val="000000"/>
          <w:sz w:val="21"/>
          <w:highlight w:val="none"/>
        </w:rPr>
      </w:pPr>
      <w:r>
        <w:rPr>
          <w:rFonts w:hAnsi="宋体"/>
          <w:color w:val="000000"/>
          <w:sz w:val="21"/>
          <w:highlight w:val="none"/>
        </w:rPr>
        <w:t>（</w:t>
      </w:r>
      <w:r>
        <w:rPr>
          <w:rFonts w:hint="eastAsia" w:hAnsi="宋体"/>
          <w:color w:val="000000"/>
          <w:sz w:val="21"/>
          <w:highlight w:val="none"/>
        </w:rPr>
        <w:t>3</w:t>
      </w:r>
      <w:r>
        <w:rPr>
          <w:rFonts w:hAnsi="宋体"/>
          <w:color w:val="000000"/>
          <w:sz w:val="21"/>
          <w:highlight w:val="none"/>
        </w:rPr>
        <w:t>）对中标结果提出质疑的，为中标结果公告期限届满之日。</w:t>
      </w:r>
    </w:p>
    <w:p w14:paraId="7C143569">
      <w:pPr>
        <w:pStyle w:val="6"/>
        <w:keepNext w:val="0"/>
        <w:keepLines w:val="0"/>
        <w:spacing w:before="0" w:after="0" w:line="360" w:lineRule="auto"/>
        <w:ind w:firstLine="315" w:firstLineChars="150"/>
        <w:rPr>
          <w:rFonts w:ascii="宋体" w:hAnsi="宋体"/>
          <w:b w:val="0"/>
          <w:color w:val="000000"/>
          <w:sz w:val="21"/>
          <w:szCs w:val="21"/>
          <w:highlight w:val="none"/>
        </w:rPr>
      </w:pPr>
      <w:r>
        <w:rPr>
          <w:rFonts w:ascii="宋体" w:hAnsi="宋体"/>
          <w:b w:val="0"/>
          <w:color w:val="000000"/>
          <w:sz w:val="21"/>
          <w:szCs w:val="21"/>
          <w:highlight w:val="none"/>
        </w:rPr>
        <w:t>38</w:t>
      </w:r>
      <w:r>
        <w:rPr>
          <w:rFonts w:hint="eastAsia" w:ascii="宋体" w:hAnsi="宋体"/>
          <w:b w:val="0"/>
          <w:color w:val="000000"/>
          <w:sz w:val="21"/>
          <w:szCs w:val="21"/>
          <w:highlight w:val="none"/>
        </w:rPr>
        <w:t>.</w:t>
      </w:r>
      <w:r>
        <w:rPr>
          <w:rFonts w:ascii="宋体" w:hAnsi="宋体"/>
          <w:b w:val="0"/>
          <w:color w:val="000000"/>
          <w:sz w:val="21"/>
          <w:szCs w:val="21"/>
          <w:highlight w:val="none"/>
        </w:rPr>
        <w:t>3</w:t>
      </w:r>
      <w:r>
        <w:rPr>
          <w:rFonts w:hint="eastAsia" w:ascii="宋体" w:hAnsi="宋体"/>
          <w:b w:val="0"/>
          <w:color w:val="000000"/>
          <w:sz w:val="21"/>
          <w:szCs w:val="21"/>
          <w:highlight w:val="none"/>
        </w:rPr>
        <w:t xml:space="preserve"> </w:t>
      </w:r>
      <w:r>
        <w:rPr>
          <w:rFonts w:hAnsi="宋体"/>
          <w:b w:val="0"/>
          <w:bCs/>
          <w:color w:val="000000"/>
          <w:sz w:val="21"/>
          <w:highlight w:val="none"/>
        </w:rPr>
        <w:t>供应商提出质疑应当提交质疑函和必要的证明材料</w:t>
      </w:r>
      <w:r>
        <w:rPr>
          <w:rFonts w:hint="eastAsia" w:hAnsi="宋体"/>
          <w:b w:val="0"/>
          <w:bCs/>
          <w:color w:val="000000"/>
          <w:sz w:val="21"/>
          <w:highlight w:val="none"/>
        </w:rPr>
        <w:t>，</w:t>
      </w:r>
      <w:r>
        <w:rPr>
          <w:rFonts w:hAnsi="宋体"/>
          <w:b w:val="0"/>
          <w:bCs/>
          <w:color w:val="000000"/>
          <w:sz w:val="21"/>
          <w:highlight w:val="none"/>
        </w:rPr>
        <w:t>针对同一采购程序环节的质疑</w:t>
      </w:r>
      <w:r>
        <w:rPr>
          <w:rFonts w:hint="eastAsia" w:hAnsi="宋体"/>
          <w:b w:val="0"/>
          <w:bCs/>
          <w:color w:val="000000"/>
          <w:sz w:val="21"/>
          <w:highlight w:val="none"/>
        </w:rPr>
        <w:t>必须</w:t>
      </w:r>
      <w:r>
        <w:rPr>
          <w:rFonts w:hAnsi="宋体"/>
          <w:b w:val="0"/>
          <w:bCs/>
          <w:color w:val="000000"/>
          <w:sz w:val="21"/>
          <w:highlight w:val="none"/>
        </w:rPr>
        <w:t>在法定质疑期内一次性提出。质疑函应当包括下列内容</w:t>
      </w:r>
      <w:r>
        <w:rPr>
          <w:rFonts w:hint="eastAsia" w:hAnsi="宋体"/>
          <w:b w:val="0"/>
          <w:bCs/>
          <w:color w:val="000000"/>
          <w:sz w:val="21"/>
          <w:highlight w:val="none"/>
        </w:rPr>
        <w:t>（质疑函格式后附）</w:t>
      </w:r>
      <w:r>
        <w:rPr>
          <w:rFonts w:hAnsi="宋体"/>
          <w:b w:val="0"/>
          <w:bCs/>
          <w:color w:val="000000"/>
          <w:sz w:val="21"/>
          <w:highlight w:val="none"/>
        </w:rPr>
        <w:t>：</w:t>
      </w:r>
    </w:p>
    <w:p w14:paraId="668BEE3C">
      <w:pPr>
        <w:pStyle w:val="25"/>
        <w:snapToGrid w:val="0"/>
        <w:spacing w:line="360" w:lineRule="auto"/>
        <w:ind w:firstLine="420" w:firstLineChars="20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1</w:t>
      </w:r>
      <w:r>
        <w:rPr>
          <w:rFonts w:hAnsi="宋体"/>
          <w:bCs/>
          <w:color w:val="000000"/>
          <w:sz w:val="21"/>
          <w:highlight w:val="none"/>
        </w:rPr>
        <w:t>）供应商的姓名或者名称、地址、邮编、联系人及联系电话；</w:t>
      </w:r>
    </w:p>
    <w:p w14:paraId="376EF7C4">
      <w:pPr>
        <w:pStyle w:val="25"/>
        <w:snapToGrid w:val="0"/>
        <w:spacing w:line="360" w:lineRule="auto"/>
        <w:ind w:firstLine="420" w:firstLineChars="20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2</w:t>
      </w:r>
      <w:r>
        <w:rPr>
          <w:rFonts w:hAnsi="宋体"/>
          <w:bCs/>
          <w:color w:val="000000"/>
          <w:sz w:val="21"/>
          <w:highlight w:val="none"/>
        </w:rPr>
        <w:t>）质疑项目的名称、编号；</w:t>
      </w:r>
    </w:p>
    <w:p w14:paraId="03D4CE63">
      <w:pPr>
        <w:pStyle w:val="25"/>
        <w:snapToGrid w:val="0"/>
        <w:spacing w:line="360" w:lineRule="auto"/>
        <w:ind w:firstLine="420" w:firstLineChars="20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3</w:t>
      </w:r>
      <w:r>
        <w:rPr>
          <w:rFonts w:hAnsi="宋体"/>
          <w:bCs/>
          <w:color w:val="000000"/>
          <w:sz w:val="21"/>
          <w:highlight w:val="none"/>
        </w:rPr>
        <w:t>）具体、明确的质疑事项和与质疑事项相关的请求；</w:t>
      </w:r>
    </w:p>
    <w:p w14:paraId="1E646A14">
      <w:pPr>
        <w:pStyle w:val="25"/>
        <w:snapToGrid w:val="0"/>
        <w:spacing w:line="360" w:lineRule="auto"/>
        <w:ind w:firstLine="420" w:firstLineChars="20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4</w:t>
      </w:r>
      <w:r>
        <w:rPr>
          <w:rFonts w:hAnsi="宋体"/>
          <w:bCs/>
          <w:color w:val="000000"/>
          <w:sz w:val="21"/>
          <w:highlight w:val="none"/>
        </w:rPr>
        <w:t>）事实依据；</w:t>
      </w:r>
    </w:p>
    <w:p w14:paraId="2D03722E">
      <w:pPr>
        <w:pStyle w:val="25"/>
        <w:snapToGrid w:val="0"/>
        <w:spacing w:line="360" w:lineRule="auto"/>
        <w:ind w:firstLine="420" w:firstLineChars="20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5</w:t>
      </w:r>
      <w:r>
        <w:rPr>
          <w:rFonts w:hAnsi="宋体"/>
          <w:bCs/>
          <w:color w:val="000000"/>
          <w:sz w:val="21"/>
          <w:highlight w:val="none"/>
        </w:rPr>
        <w:t>）必要的法律依据；</w:t>
      </w:r>
    </w:p>
    <w:p w14:paraId="1F933CBD">
      <w:pPr>
        <w:pStyle w:val="25"/>
        <w:snapToGrid w:val="0"/>
        <w:spacing w:line="360" w:lineRule="auto"/>
        <w:ind w:firstLine="420" w:firstLineChars="20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6</w:t>
      </w:r>
      <w:r>
        <w:rPr>
          <w:rFonts w:hAnsi="宋体"/>
          <w:bCs/>
          <w:color w:val="000000"/>
          <w:sz w:val="21"/>
          <w:highlight w:val="none"/>
        </w:rPr>
        <w:t>）提出质疑的日期。</w:t>
      </w:r>
    </w:p>
    <w:p w14:paraId="2FE1AFB0">
      <w:pPr>
        <w:pStyle w:val="25"/>
        <w:snapToGrid w:val="0"/>
        <w:spacing w:line="360" w:lineRule="auto"/>
        <w:ind w:firstLine="420" w:firstLineChars="200"/>
        <w:rPr>
          <w:rFonts w:hAnsi="宋体"/>
          <w:bCs/>
          <w:color w:val="000000"/>
          <w:sz w:val="21"/>
          <w:highlight w:val="none"/>
        </w:rPr>
      </w:pPr>
      <w:r>
        <w:rPr>
          <w:rFonts w:hAnsi="宋体"/>
          <w:bCs/>
          <w:color w:val="000000"/>
          <w:sz w:val="21"/>
          <w:highlight w:val="none"/>
        </w:rPr>
        <w:t>供应商为自然人的，应当由本人签字；供应商为法人或者其他组织的，应当由</w:t>
      </w:r>
      <w:r>
        <w:rPr>
          <w:rFonts w:hint="eastAsia" w:hAnsi="宋体"/>
          <w:bCs/>
          <w:color w:val="000000"/>
          <w:sz w:val="21"/>
          <w:highlight w:val="none"/>
        </w:rPr>
        <w:t>法定代表人（或负责人）</w:t>
      </w:r>
      <w:r>
        <w:rPr>
          <w:rFonts w:hAnsi="宋体"/>
          <w:bCs/>
          <w:color w:val="000000"/>
          <w:sz w:val="21"/>
          <w:highlight w:val="none"/>
        </w:rPr>
        <w:t>、主要负责人，或者其委托代理人签字或者盖章，并加盖公章</w:t>
      </w:r>
      <w:r>
        <w:rPr>
          <w:rFonts w:hint="eastAsia" w:hAnsi="宋体"/>
          <w:bCs/>
          <w:color w:val="000000"/>
          <w:sz w:val="21"/>
          <w:highlight w:val="none"/>
        </w:rPr>
        <w:t>。</w:t>
      </w:r>
    </w:p>
    <w:p w14:paraId="5D20F75D">
      <w:pPr>
        <w:pStyle w:val="6"/>
        <w:keepNext w:val="0"/>
        <w:keepLines w:val="0"/>
        <w:snapToGrid w:val="0"/>
        <w:spacing w:before="0" w:after="0" w:line="360" w:lineRule="auto"/>
        <w:ind w:firstLine="420" w:firstLineChars="200"/>
        <w:rPr>
          <w:rFonts w:ascii="宋体" w:hAnsi="宋体"/>
          <w:b w:val="0"/>
          <w:bCs/>
          <w:color w:val="000000"/>
          <w:sz w:val="21"/>
          <w:szCs w:val="21"/>
          <w:highlight w:val="none"/>
        </w:rPr>
      </w:pPr>
      <w:r>
        <w:rPr>
          <w:rFonts w:ascii="宋体" w:hAnsi="宋体"/>
          <w:b w:val="0"/>
          <w:color w:val="000000"/>
          <w:sz w:val="21"/>
          <w:szCs w:val="21"/>
          <w:highlight w:val="none"/>
        </w:rPr>
        <w:t>3</w:t>
      </w:r>
      <w:r>
        <w:rPr>
          <w:rFonts w:ascii="宋体" w:hAnsi="宋体"/>
          <w:b w:val="0"/>
          <w:bCs/>
          <w:color w:val="000000"/>
          <w:sz w:val="21"/>
          <w:szCs w:val="21"/>
          <w:highlight w:val="none"/>
        </w:rPr>
        <w:t>8.4</w:t>
      </w:r>
      <w:r>
        <w:rPr>
          <w:rFonts w:hint="eastAsia" w:ascii="宋体" w:hAnsi="宋体"/>
          <w:b w:val="0"/>
          <w:bCs/>
          <w:color w:val="000000"/>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1C821EB9">
      <w:pPr>
        <w:pStyle w:val="25"/>
        <w:snapToGrid w:val="0"/>
        <w:spacing w:line="360" w:lineRule="auto"/>
        <w:rPr>
          <w:rFonts w:hAnsi="宋体"/>
          <w:bCs/>
          <w:color w:val="000000"/>
          <w:sz w:val="21"/>
          <w:highlight w:val="none"/>
        </w:rPr>
      </w:pPr>
      <w:r>
        <w:rPr>
          <w:rFonts w:hint="eastAsia" w:hAnsi="宋体"/>
          <w:bCs/>
          <w:color w:val="000000"/>
          <w:sz w:val="21"/>
          <w:highlight w:val="none"/>
        </w:rPr>
        <w:t>　　（一）对招标文件提出的质疑，依法通过澄清或者修改可以继续开展采购活动的，澄清或者修改招标文件后继续开展采购活动；否则应当修改招标文件后重新开展采购活动。</w:t>
      </w:r>
    </w:p>
    <w:p w14:paraId="39B63436">
      <w:pPr>
        <w:pStyle w:val="25"/>
        <w:snapToGrid w:val="0"/>
        <w:spacing w:line="360" w:lineRule="auto"/>
        <w:rPr>
          <w:rFonts w:hAnsi="宋体"/>
          <w:bCs/>
          <w:color w:val="000000"/>
          <w:sz w:val="21"/>
          <w:highlight w:val="none"/>
        </w:rPr>
      </w:pPr>
      <w:r>
        <w:rPr>
          <w:rFonts w:hint="eastAsia" w:hAnsi="宋体"/>
          <w:bCs/>
          <w:color w:val="000000"/>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35463D39">
      <w:pPr>
        <w:pStyle w:val="25"/>
        <w:snapToGrid w:val="0"/>
        <w:spacing w:line="360" w:lineRule="auto"/>
        <w:ind w:firstLine="420"/>
        <w:rPr>
          <w:rFonts w:hAnsi="宋体"/>
          <w:bCs/>
          <w:color w:val="000000"/>
          <w:sz w:val="21"/>
          <w:highlight w:val="none"/>
        </w:rPr>
      </w:pPr>
      <w:r>
        <w:rPr>
          <w:rFonts w:hint="eastAsia" w:hAnsi="宋体"/>
          <w:bCs/>
          <w:color w:val="000000"/>
          <w:sz w:val="21"/>
          <w:highlight w:val="none"/>
        </w:rPr>
        <w:t>质疑答复导致中标结果改变的，采购人或者采购代理机构应当将有关情况书面报告本级财政部门。</w:t>
      </w:r>
    </w:p>
    <w:p w14:paraId="59AC609F">
      <w:pPr>
        <w:pStyle w:val="25"/>
        <w:snapToGrid w:val="0"/>
        <w:spacing w:line="360" w:lineRule="auto"/>
        <w:ind w:firstLine="420" w:firstLineChars="200"/>
        <w:rPr>
          <w:rFonts w:hAnsi="宋体"/>
          <w:color w:val="000000"/>
          <w:sz w:val="21"/>
          <w:highlight w:val="none"/>
        </w:rPr>
      </w:pPr>
      <w:r>
        <w:rPr>
          <w:rFonts w:hAnsi="宋体"/>
          <w:color w:val="000000"/>
          <w:sz w:val="21"/>
          <w:highlight w:val="none"/>
        </w:rPr>
        <w:t>38</w:t>
      </w:r>
      <w:r>
        <w:rPr>
          <w:rFonts w:hint="eastAsia" w:hAnsi="宋体"/>
          <w:color w:val="000000"/>
          <w:sz w:val="21"/>
          <w:highlight w:val="none"/>
        </w:rPr>
        <w:t>.</w:t>
      </w:r>
      <w:r>
        <w:rPr>
          <w:rFonts w:hAnsi="宋体"/>
          <w:color w:val="000000"/>
          <w:sz w:val="21"/>
          <w:highlight w:val="none"/>
        </w:rPr>
        <w:t>5</w:t>
      </w:r>
      <w:r>
        <w:rPr>
          <w:rFonts w:hint="eastAsia" w:hAnsi="宋体"/>
          <w:color w:val="000000"/>
          <w:sz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8190A12">
      <w:pPr>
        <w:pStyle w:val="4"/>
        <w:keepNext w:val="0"/>
        <w:keepLines w:val="0"/>
        <w:jc w:val="center"/>
        <w:rPr>
          <w:color w:val="000000"/>
          <w:highlight w:val="none"/>
        </w:rPr>
      </w:pPr>
      <w:r>
        <w:rPr>
          <w:rFonts w:hint="eastAsia"/>
          <w:color w:val="000000"/>
          <w:highlight w:val="none"/>
        </w:rPr>
        <w:t>八、其他事项</w:t>
      </w:r>
    </w:p>
    <w:p w14:paraId="241A2BA9">
      <w:pPr>
        <w:pStyle w:val="6"/>
        <w:keepNext w:val="0"/>
        <w:keepLines w:val="0"/>
        <w:spacing w:before="0" w:after="0" w:line="360" w:lineRule="auto"/>
        <w:ind w:left="420" w:leftChars="200"/>
        <w:rPr>
          <w:rFonts w:ascii="黑体" w:hAnsi="黑体" w:eastAsia="黑体"/>
          <w:color w:val="000000"/>
          <w:sz w:val="24"/>
          <w:highlight w:val="none"/>
        </w:rPr>
      </w:pPr>
      <w:bookmarkStart w:id="147" w:name="_42.代理服务费"/>
      <w:bookmarkEnd w:id="147"/>
      <w:r>
        <w:rPr>
          <w:rFonts w:hint="eastAsia" w:ascii="黑体" w:hAnsi="黑体" w:eastAsia="黑体"/>
          <w:color w:val="000000"/>
          <w:sz w:val="24"/>
          <w:highlight w:val="none"/>
        </w:rPr>
        <w:t>3</w:t>
      </w:r>
      <w:r>
        <w:rPr>
          <w:rFonts w:ascii="黑体" w:hAnsi="黑体" w:eastAsia="黑体"/>
          <w:color w:val="000000"/>
          <w:sz w:val="24"/>
          <w:highlight w:val="none"/>
        </w:rPr>
        <w:t>9</w:t>
      </w:r>
      <w:r>
        <w:rPr>
          <w:rFonts w:hint="eastAsia" w:ascii="黑体" w:hAnsi="黑体" w:eastAsia="黑体"/>
          <w:color w:val="000000"/>
          <w:sz w:val="24"/>
          <w:highlight w:val="none"/>
        </w:rPr>
        <w:t>.代理服务费</w:t>
      </w:r>
    </w:p>
    <w:p w14:paraId="74D76ABE">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3</w:t>
      </w:r>
      <w:r>
        <w:rPr>
          <w:rFonts w:ascii="宋体" w:hAnsi="宋体"/>
          <w:b w:val="0"/>
          <w:color w:val="000000"/>
          <w:sz w:val="21"/>
          <w:szCs w:val="21"/>
          <w:highlight w:val="none"/>
        </w:rPr>
        <w:t>9</w:t>
      </w:r>
      <w:r>
        <w:rPr>
          <w:rFonts w:hint="eastAsia" w:ascii="宋体" w:hAnsi="宋体"/>
          <w:b w:val="0"/>
          <w:color w:val="000000"/>
          <w:sz w:val="21"/>
          <w:szCs w:val="21"/>
          <w:highlight w:val="none"/>
        </w:rPr>
        <w:t>.1代理服务收取标准及缴费账户详见“投标人须知前附表”，投标人为联合体的，可以由联合体中的一方或者多方共同交纳代理服务费。</w:t>
      </w:r>
    </w:p>
    <w:p w14:paraId="5A4406F2">
      <w:pPr>
        <w:pStyle w:val="6"/>
        <w:keepNext w:val="0"/>
        <w:keepLines w:val="0"/>
        <w:spacing w:before="0" w:after="0" w:line="360" w:lineRule="auto"/>
        <w:ind w:left="420" w:leftChars="200"/>
        <w:rPr>
          <w:rFonts w:ascii="宋体" w:hAnsi="宋体"/>
          <w:b w:val="0"/>
          <w:color w:val="000000"/>
          <w:sz w:val="21"/>
          <w:szCs w:val="21"/>
          <w:highlight w:val="none"/>
        </w:rPr>
      </w:pPr>
      <w:r>
        <w:rPr>
          <w:rFonts w:hint="eastAsia" w:ascii="宋体" w:hAnsi="宋体"/>
          <w:b w:val="0"/>
          <w:color w:val="000000"/>
          <w:sz w:val="21"/>
          <w:szCs w:val="21"/>
          <w:highlight w:val="none"/>
        </w:rPr>
        <w:t>3</w:t>
      </w:r>
      <w:r>
        <w:rPr>
          <w:rFonts w:ascii="宋体" w:hAnsi="宋体"/>
          <w:b w:val="0"/>
          <w:color w:val="000000"/>
          <w:sz w:val="21"/>
          <w:szCs w:val="21"/>
          <w:highlight w:val="none"/>
        </w:rPr>
        <w:t>9</w:t>
      </w:r>
      <w:r>
        <w:rPr>
          <w:rFonts w:hint="eastAsia" w:ascii="宋体" w:hAnsi="宋体"/>
          <w:b w:val="0"/>
          <w:color w:val="000000"/>
          <w:sz w:val="21"/>
          <w:szCs w:val="21"/>
          <w:highlight w:val="none"/>
        </w:rPr>
        <w:t>.2代理服务收费标准：</w:t>
      </w:r>
    </w:p>
    <w:tbl>
      <w:tblPr>
        <w:tblStyle w:val="48"/>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6C82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4D7D91E6">
            <w:pPr>
              <w:spacing w:line="360" w:lineRule="auto"/>
              <w:rPr>
                <w:rFonts w:ascii="宋体" w:hAnsi="宋体"/>
                <w:color w:val="000000"/>
                <w:szCs w:val="21"/>
                <w:highlight w:val="none"/>
              </w:rPr>
            </w:pPr>
            <w:r>
              <w:rPr>
                <w:rFonts w:hint="eastAsia" w:ascii="宋体" w:hAnsi="宋体"/>
                <w:color w:val="000000"/>
                <w:szCs w:val="21"/>
                <w:highlight w:val="none"/>
              </w:rPr>
              <w:t xml:space="preserve">               费率</w:t>
            </w:r>
          </w:p>
          <w:p w14:paraId="3453E5B6">
            <w:pPr>
              <w:spacing w:line="360" w:lineRule="auto"/>
              <w:rPr>
                <w:rFonts w:ascii="宋体" w:hAnsi="宋体"/>
                <w:color w:val="000000"/>
                <w:szCs w:val="21"/>
                <w:highlight w:val="none"/>
              </w:rPr>
            </w:pPr>
            <w:r>
              <w:rPr>
                <w:rFonts w:hint="eastAsia" w:ascii="宋体" w:hAnsi="宋体"/>
                <w:color w:val="000000"/>
                <w:szCs w:val="21"/>
                <w:highlight w:val="none"/>
              </w:rPr>
              <w:t>中标金额</w:t>
            </w:r>
          </w:p>
        </w:tc>
        <w:tc>
          <w:tcPr>
            <w:tcW w:w="1659" w:type="dxa"/>
            <w:vAlign w:val="center"/>
          </w:tcPr>
          <w:p w14:paraId="1EC5ED50">
            <w:pPr>
              <w:spacing w:line="360" w:lineRule="auto"/>
              <w:ind w:firstLine="105" w:firstLineChars="50"/>
              <w:jc w:val="center"/>
              <w:rPr>
                <w:rFonts w:ascii="宋体" w:hAnsi="宋体"/>
                <w:color w:val="000000"/>
                <w:szCs w:val="21"/>
                <w:highlight w:val="none"/>
              </w:rPr>
            </w:pPr>
            <w:r>
              <w:rPr>
                <w:rFonts w:hint="eastAsia" w:ascii="宋体" w:hAnsi="宋体"/>
                <w:color w:val="000000"/>
                <w:szCs w:val="21"/>
                <w:highlight w:val="none"/>
              </w:rPr>
              <w:t>货物招标</w:t>
            </w:r>
          </w:p>
        </w:tc>
        <w:tc>
          <w:tcPr>
            <w:tcW w:w="1687" w:type="dxa"/>
            <w:vAlign w:val="center"/>
          </w:tcPr>
          <w:p w14:paraId="1A0AEB00">
            <w:pPr>
              <w:spacing w:line="360" w:lineRule="auto"/>
              <w:jc w:val="center"/>
              <w:rPr>
                <w:rFonts w:ascii="宋体" w:hAnsi="宋体"/>
                <w:color w:val="000000"/>
                <w:szCs w:val="21"/>
                <w:highlight w:val="none"/>
              </w:rPr>
            </w:pPr>
            <w:r>
              <w:rPr>
                <w:rFonts w:hint="eastAsia" w:ascii="宋体" w:hAnsi="宋体"/>
                <w:color w:val="000000"/>
                <w:szCs w:val="21"/>
                <w:highlight w:val="none"/>
              </w:rPr>
              <w:t>服务招标</w:t>
            </w:r>
          </w:p>
        </w:tc>
        <w:tc>
          <w:tcPr>
            <w:tcW w:w="1659" w:type="dxa"/>
            <w:vAlign w:val="center"/>
          </w:tcPr>
          <w:p w14:paraId="62E80B9B">
            <w:pPr>
              <w:spacing w:line="360" w:lineRule="auto"/>
              <w:jc w:val="center"/>
              <w:rPr>
                <w:rFonts w:ascii="宋体" w:hAnsi="宋体"/>
                <w:color w:val="000000"/>
                <w:szCs w:val="21"/>
                <w:highlight w:val="none"/>
              </w:rPr>
            </w:pPr>
            <w:r>
              <w:rPr>
                <w:rFonts w:hint="eastAsia" w:ascii="宋体" w:hAnsi="宋体"/>
                <w:color w:val="000000"/>
                <w:szCs w:val="21"/>
                <w:highlight w:val="none"/>
              </w:rPr>
              <w:t>工程招标</w:t>
            </w:r>
          </w:p>
        </w:tc>
      </w:tr>
      <w:tr w14:paraId="30CA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B6DDD14">
            <w:pPr>
              <w:spacing w:line="360" w:lineRule="auto"/>
              <w:rPr>
                <w:rFonts w:ascii="宋体" w:hAnsi="宋体"/>
                <w:color w:val="000000"/>
                <w:szCs w:val="21"/>
                <w:highlight w:val="none"/>
              </w:rPr>
            </w:pPr>
            <w:r>
              <w:rPr>
                <w:rFonts w:hint="eastAsia" w:ascii="宋体" w:hAnsi="宋体"/>
                <w:color w:val="000000"/>
                <w:szCs w:val="21"/>
                <w:highlight w:val="none"/>
              </w:rPr>
              <w:t>100万元以下</w:t>
            </w:r>
          </w:p>
        </w:tc>
        <w:tc>
          <w:tcPr>
            <w:tcW w:w="1659" w:type="dxa"/>
          </w:tcPr>
          <w:p w14:paraId="36CB925E">
            <w:pPr>
              <w:spacing w:line="360" w:lineRule="auto"/>
              <w:rPr>
                <w:rFonts w:ascii="宋体" w:hAnsi="宋体"/>
                <w:color w:val="000000"/>
                <w:szCs w:val="21"/>
                <w:highlight w:val="none"/>
              </w:rPr>
            </w:pP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1.5% </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 </w:t>
            </w:r>
            <w:r>
              <w:rPr>
                <w:rFonts w:hint="eastAsia" w:ascii="宋体" w:hAnsi="宋体" w:cs="宋体"/>
                <w:color w:val="000000"/>
                <w:kern w:val="0"/>
                <w:szCs w:val="21"/>
                <w:highlight w:val="none"/>
              </w:rPr>
              <w:t xml:space="preserve">    </w:t>
            </w:r>
          </w:p>
        </w:tc>
        <w:tc>
          <w:tcPr>
            <w:tcW w:w="1687" w:type="dxa"/>
          </w:tcPr>
          <w:p w14:paraId="1CA9F2F9">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1.5%</w:t>
            </w:r>
          </w:p>
        </w:tc>
        <w:tc>
          <w:tcPr>
            <w:tcW w:w="1659" w:type="dxa"/>
          </w:tcPr>
          <w:p w14:paraId="29C0EE44">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 xml:space="preserve">1.0% </w:t>
            </w:r>
          </w:p>
        </w:tc>
      </w:tr>
      <w:tr w14:paraId="2715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2DAF407">
            <w:pPr>
              <w:spacing w:line="360" w:lineRule="auto"/>
              <w:rPr>
                <w:rFonts w:ascii="宋体" w:hAnsi="宋体"/>
                <w:color w:val="000000"/>
                <w:szCs w:val="21"/>
                <w:highlight w:val="none"/>
              </w:rPr>
            </w:pPr>
            <w:r>
              <w:rPr>
                <w:rFonts w:hint="eastAsia" w:ascii="宋体" w:hAnsi="宋体"/>
                <w:color w:val="000000"/>
                <w:szCs w:val="21"/>
                <w:highlight w:val="none"/>
              </w:rPr>
              <w:t>100～500万元</w:t>
            </w:r>
          </w:p>
        </w:tc>
        <w:tc>
          <w:tcPr>
            <w:tcW w:w="1659" w:type="dxa"/>
          </w:tcPr>
          <w:p w14:paraId="1FBA0D80">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 xml:space="preserve">1.1% </w:t>
            </w:r>
            <w:r>
              <w:rPr>
                <w:rFonts w:hint="eastAsia" w:ascii="宋体" w:hAnsi="宋体" w:cs="宋体"/>
                <w:color w:val="000000"/>
                <w:kern w:val="0"/>
                <w:szCs w:val="21"/>
                <w:highlight w:val="none"/>
              </w:rPr>
              <w:t xml:space="preserve">                </w:t>
            </w:r>
          </w:p>
        </w:tc>
        <w:tc>
          <w:tcPr>
            <w:tcW w:w="1687" w:type="dxa"/>
          </w:tcPr>
          <w:p w14:paraId="4385664D">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0.8%</w:t>
            </w:r>
          </w:p>
        </w:tc>
        <w:tc>
          <w:tcPr>
            <w:tcW w:w="1659" w:type="dxa"/>
          </w:tcPr>
          <w:p w14:paraId="5ABB8350">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 xml:space="preserve">0.7% </w:t>
            </w:r>
          </w:p>
        </w:tc>
      </w:tr>
      <w:tr w14:paraId="0A39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A9EFF03">
            <w:pPr>
              <w:spacing w:line="360" w:lineRule="auto"/>
              <w:rPr>
                <w:rFonts w:ascii="宋体" w:hAnsi="宋体"/>
                <w:color w:val="000000"/>
                <w:szCs w:val="21"/>
                <w:highlight w:val="none"/>
              </w:rPr>
            </w:pPr>
            <w:r>
              <w:rPr>
                <w:rFonts w:hint="eastAsia" w:ascii="宋体" w:hAnsi="宋体"/>
                <w:color w:val="000000"/>
                <w:szCs w:val="21"/>
                <w:highlight w:val="none"/>
              </w:rPr>
              <w:t>500～1000万元</w:t>
            </w:r>
          </w:p>
        </w:tc>
        <w:tc>
          <w:tcPr>
            <w:tcW w:w="1659" w:type="dxa"/>
          </w:tcPr>
          <w:p w14:paraId="7E2AC119">
            <w:pPr>
              <w:spacing w:line="360" w:lineRule="auto"/>
              <w:rPr>
                <w:rFonts w:ascii="宋体" w:hAnsi="宋体"/>
                <w:color w:val="000000"/>
                <w:szCs w:val="21"/>
                <w:highlight w:val="none"/>
              </w:rPr>
            </w:pP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0.8% </w:t>
            </w:r>
            <w:r>
              <w:rPr>
                <w:rFonts w:hint="eastAsia" w:ascii="宋体" w:hAnsi="宋体" w:cs="宋体"/>
                <w:color w:val="000000"/>
                <w:kern w:val="0"/>
                <w:szCs w:val="21"/>
                <w:highlight w:val="none"/>
              </w:rPr>
              <w:t xml:space="preserve">               </w:t>
            </w:r>
          </w:p>
        </w:tc>
        <w:tc>
          <w:tcPr>
            <w:tcW w:w="1687" w:type="dxa"/>
          </w:tcPr>
          <w:p w14:paraId="5DFFB937">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0.45%</w:t>
            </w:r>
          </w:p>
        </w:tc>
        <w:tc>
          <w:tcPr>
            <w:tcW w:w="1659" w:type="dxa"/>
          </w:tcPr>
          <w:p w14:paraId="3167469B">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0.55%</w:t>
            </w:r>
          </w:p>
        </w:tc>
      </w:tr>
      <w:tr w14:paraId="328C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EFFE4B2">
            <w:pPr>
              <w:spacing w:line="360" w:lineRule="auto"/>
              <w:rPr>
                <w:rFonts w:ascii="宋体" w:hAnsi="宋体"/>
                <w:color w:val="000000"/>
                <w:szCs w:val="21"/>
                <w:highlight w:val="none"/>
              </w:rPr>
            </w:pPr>
            <w:r>
              <w:rPr>
                <w:rFonts w:hint="eastAsia" w:ascii="宋体" w:hAnsi="宋体"/>
                <w:color w:val="000000"/>
                <w:szCs w:val="21"/>
                <w:highlight w:val="none"/>
              </w:rPr>
              <w:t>1000～5000万元</w:t>
            </w:r>
          </w:p>
        </w:tc>
        <w:tc>
          <w:tcPr>
            <w:tcW w:w="1659" w:type="dxa"/>
          </w:tcPr>
          <w:p w14:paraId="63882105">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 xml:space="preserve">0.5% </w:t>
            </w:r>
            <w:r>
              <w:rPr>
                <w:rFonts w:hint="eastAsia" w:ascii="宋体" w:hAnsi="宋体" w:cs="宋体"/>
                <w:color w:val="000000"/>
                <w:kern w:val="0"/>
                <w:szCs w:val="21"/>
                <w:highlight w:val="none"/>
              </w:rPr>
              <w:t xml:space="preserve">               </w:t>
            </w:r>
          </w:p>
        </w:tc>
        <w:tc>
          <w:tcPr>
            <w:tcW w:w="1687" w:type="dxa"/>
          </w:tcPr>
          <w:p w14:paraId="7491414B">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0.25%</w:t>
            </w:r>
          </w:p>
        </w:tc>
        <w:tc>
          <w:tcPr>
            <w:tcW w:w="1659" w:type="dxa"/>
          </w:tcPr>
          <w:p w14:paraId="1B9DCA2B">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 xml:space="preserve">0.35% </w:t>
            </w:r>
          </w:p>
        </w:tc>
      </w:tr>
      <w:tr w14:paraId="0765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90DC311">
            <w:pPr>
              <w:spacing w:line="360" w:lineRule="auto"/>
              <w:rPr>
                <w:rFonts w:ascii="宋体" w:hAnsi="宋体"/>
                <w:color w:val="000000"/>
                <w:szCs w:val="21"/>
                <w:highlight w:val="none"/>
              </w:rPr>
            </w:pPr>
            <w:r>
              <w:rPr>
                <w:rFonts w:hint="eastAsia" w:ascii="宋体" w:hAnsi="宋体"/>
                <w:color w:val="000000"/>
                <w:szCs w:val="21"/>
                <w:highlight w:val="none"/>
              </w:rPr>
              <w:t>5000万元～1亿元</w:t>
            </w:r>
          </w:p>
        </w:tc>
        <w:tc>
          <w:tcPr>
            <w:tcW w:w="1659" w:type="dxa"/>
          </w:tcPr>
          <w:p w14:paraId="7200BA1B">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 xml:space="preserve">0.25% </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 </w:t>
            </w:r>
            <w:r>
              <w:rPr>
                <w:rFonts w:hint="eastAsia" w:ascii="宋体" w:hAnsi="宋体" w:cs="宋体"/>
                <w:color w:val="000000"/>
                <w:kern w:val="0"/>
                <w:szCs w:val="21"/>
                <w:highlight w:val="none"/>
              </w:rPr>
              <w:t xml:space="preserve">         </w:t>
            </w:r>
          </w:p>
        </w:tc>
        <w:tc>
          <w:tcPr>
            <w:tcW w:w="1687" w:type="dxa"/>
          </w:tcPr>
          <w:p w14:paraId="4822015F">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0.1%</w:t>
            </w:r>
          </w:p>
        </w:tc>
        <w:tc>
          <w:tcPr>
            <w:tcW w:w="1659" w:type="dxa"/>
          </w:tcPr>
          <w:p w14:paraId="044BA377">
            <w:pPr>
              <w:spacing w:line="360" w:lineRule="auto"/>
              <w:ind w:firstLine="210" w:firstLineChars="100"/>
              <w:rPr>
                <w:rFonts w:ascii="宋体" w:hAnsi="宋体"/>
                <w:color w:val="000000"/>
                <w:szCs w:val="21"/>
                <w:highlight w:val="none"/>
              </w:rPr>
            </w:pPr>
            <w:r>
              <w:rPr>
                <w:rFonts w:ascii="宋体" w:hAnsi="宋体" w:cs="宋体"/>
                <w:color w:val="000000"/>
                <w:kern w:val="0"/>
                <w:szCs w:val="21"/>
                <w:highlight w:val="none"/>
              </w:rPr>
              <w:t>0.2%</w:t>
            </w:r>
          </w:p>
        </w:tc>
      </w:tr>
      <w:tr w14:paraId="64D0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B3556EF">
            <w:pPr>
              <w:spacing w:line="360" w:lineRule="auto"/>
              <w:rPr>
                <w:rFonts w:ascii="宋体" w:hAnsi="宋体"/>
                <w:color w:val="000000"/>
                <w:szCs w:val="21"/>
                <w:highlight w:val="none"/>
              </w:rPr>
            </w:pPr>
            <w:r>
              <w:rPr>
                <w:rFonts w:hint="eastAsia" w:ascii="宋体" w:hAnsi="宋体"/>
                <w:color w:val="000000"/>
                <w:szCs w:val="21"/>
                <w:highlight w:val="none"/>
              </w:rPr>
              <w:t>1～5亿元</w:t>
            </w:r>
          </w:p>
        </w:tc>
        <w:tc>
          <w:tcPr>
            <w:tcW w:w="1659" w:type="dxa"/>
          </w:tcPr>
          <w:p w14:paraId="2DF4C54F">
            <w:pPr>
              <w:spacing w:line="360" w:lineRule="auto"/>
              <w:ind w:firstLine="210" w:firstLineChars="100"/>
              <w:rPr>
                <w:rFonts w:ascii="宋体" w:hAnsi="宋体"/>
                <w:color w:val="000000"/>
                <w:szCs w:val="21"/>
                <w:highlight w:val="none"/>
              </w:rPr>
            </w:pPr>
            <w:r>
              <w:rPr>
                <w:rFonts w:hint="eastAsia" w:ascii="宋体" w:hAnsi="宋体"/>
                <w:color w:val="000000"/>
                <w:szCs w:val="21"/>
                <w:highlight w:val="none"/>
              </w:rPr>
              <w:t>0.05%</w:t>
            </w:r>
          </w:p>
        </w:tc>
        <w:tc>
          <w:tcPr>
            <w:tcW w:w="1687" w:type="dxa"/>
          </w:tcPr>
          <w:p w14:paraId="42BC979C">
            <w:pPr>
              <w:spacing w:line="360" w:lineRule="auto"/>
              <w:rPr>
                <w:rFonts w:ascii="宋体" w:hAnsi="宋体"/>
                <w:color w:val="000000"/>
                <w:szCs w:val="21"/>
                <w:highlight w:val="none"/>
              </w:rPr>
            </w:pPr>
            <w:r>
              <w:rPr>
                <w:rFonts w:hint="eastAsia" w:ascii="宋体" w:hAnsi="宋体"/>
                <w:color w:val="000000"/>
                <w:szCs w:val="21"/>
                <w:highlight w:val="none"/>
              </w:rPr>
              <w:t xml:space="preserve">  0.05%</w:t>
            </w:r>
          </w:p>
        </w:tc>
        <w:tc>
          <w:tcPr>
            <w:tcW w:w="1659" w:type="dxa"/>
          </w:tcPr>
          <w:p w14:paraId="6F8962DD">
            <w:pPr>
              <w:spacing w:line="360" w:lineRule="auto"/>
              <w:rPr>
                <w:rFonts w:ascii="宋体" w:hAnsi="宋体"/>
                <w:color w:val="000000"/>
                <w:szCs w:val="21"/>
                <w:highlight w:val="none"/>
              </w:rPr>
            </w:pPr>
            <w:r>
              <w:rPr>
                <w:rFonts w:hint="eastAsia" w:ascii="宋体" w:hAnsi="宋体"/>
                <w:color w:val="000000"/>
                <w:szCs w:val="21"/>
                <w:highlight w:val="none"/>
              </w:rPr>
              <w:t xml:space="preserve">  0.05%</w:t>
            </w:r>
          </w:p>
        </w:tc>
      </w:tr>
      <w:tr w14:paraId="1FCA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F8EEA64">
            <w:pPr>
              <w:spacing w:line="360" w:lineRule="auto"/>
              <w:rPr>
                <w:rFonts w:ascii="宋体" w:hAnsi="宋体"/>
                <w:color w:val="000000"/>
                <w:szCs w:val="21"/>
                <w:highlight w:val="none"/>
              </w:rPr>
            </w:pPr>
            <w:r>
              <w:rPr>
                <w:rFonts w:hint="eastAsia" w:ascii="宋体" w:hAnsi="宋体"/>
                <w:color w:val="000000"/>
                <w:szCs w:val="21"/>
                <w:highlight w:val="none"/>
              </w:rPr>
              <w:t>5～10亿元</w:t>
            </w:r>
          </w:p>
        </w:tc>
        <w:tc>
          <w:tcPr>
            <w:tcW w:w="1659" w:type="dxa"/>
          </w:tcPr>
          <w:p w14:paraId="548D045D">
            <w:pPr>
              <w:spacing w:line="360" w:lineRule="auto"/>
              <w:ind w:firstLine="105" w:firstLineChars="50"/>
              <w:rPr>
                <w:rFonts w:ascii="宋体" w:hAnsi="宋体"/>
                <w:color w:val="000000"/>
                <w:szCs w:val="21"/>
                <w:highlight w:val="none"/>
              </w:rPr>
            </w:pPr>
            <w:r>
              <w:rPr>
                <w:rFonts w:hint="eastAsia" w:ascii="宋体" w:hAnsi="宋体"/>
                <w:color w:val="000000"/>
                <w:szCs w:val="21"/>
                <w:highlight w:val="none"/>
              </w:rPr>
              <w:t>0.035%</w:t>
            </w:r>
          </w:p>
        </w:tc>
        <w:tc>
          <w:tcPr>
            <w:tcW w:w="1687" w:type="dxa"/>
          </w:tcPr>
          <w:p w14:paraId="632AA90F">
            <w:pPr>
              <w:spacing w:line="360" w:lineRule="auto"/>
              <w:rPr>
                <w:rFonts w:ascii="宋体" w:hAnsi="宋体"/>
                <w:color w:val="000000"/>
                <w:szCs w:val="21"/>
                <w:highlight w:val="none"/>
              </w:rPr>
            </w:pPr>
            <w:r>
              <w:rPr>
                <w:rFonts w:hint="eastAsia" w:ascii="宋体" w:hAnsi="宋体"/>
                <w:color w:val="000000"/>
                <w:szCs w:val="21"/>
                <w:highlight w:val="none"/>
              </w:rPr>
              <w:t xml:space="preserve">  0.035%</w:t>
            </w:r>
          </w:p>
        </w:tc>
        <w:tc>
          <w:tcPr>
            <w:tcW w:w="1659" w:type="dxa"/>
          </w:tcPr>
          <w:p w14:paraId="687F0842">
            <w:pPr>
              <w:spacing w:line="360" w:lineRule="auto"/>
              <w:ind w:firstLine="105" w:firstLineChars="50"/>
              <w:rPr>
                <w:rFonts w:ascii="宋体" w:hAnsi="宋体"/>
                <w:color w:val="000000"/>
                <w:szCs w:val="21"/>
                <w:highlight w:val="none"/>
              </w:rPr>
            </w:pPr>
            <w:r>
              <w:rPr>
                <w:rFonts w:hint="eastAsia" w:ascii="宋体" w:hAnsi="宋体"/>
                <w:color w:val="000000"/>
                <w:szCs w:val="21"/>
                <w:highlight w:val="none"/>
              </w:rPr>
              <w:t>0.035%</w:t>
            </w:r>
          </w:p>
        </w:tc>
      </w:tr>
      <w:tr w14:paraId="464C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FF5FE1B">
            <w:pPr>
              <w:spacing w:line="360" w:lineRule="auto"/>
              <w:rPr>
                <w:rFonts w:ascii="宋体" w:hAnsi="宋体"/>
                <w:color w:val="000000"/>
                <w:szCs w:val="21"/>
                <w:highlight w:val="none"/>
              </w:rPr>
            </w:pPr>
            <w:r>
              <w:rPr>
                <w:rFonts w:hint="eastAsia" w:ascii="宋体" w:hAnsi="宋体"/>
                <w:color w:val="000000"/>
                <w:szCs w:val="21"/>
                <w:highlight w:val="none"/>
              </w:rPr>
              <w:t>10～50亿元</w:t>
            </w:r>
          </w:p>
        </w:tc>
        <w:tc>
          <w:tcPr>
            <w:tcW w:w="1659" w:type="dxa"/>
          </w:tcPr>
          <w:p w14:paraId="1FD5E31A">
            <w:pPr>
              <w:spacing w:line="360" w:lineRule="auto"/>
              <w:ind w:firstLine="105" w:firstLineChars="50"/>
              <w:rPr>
                <w:rFonts w:ascii="宋体" w:hAnsi="宋体"/>
                <w:color w:val="000000"/>
                <w:szCs w:val="21"/>
                <w:highlight w:val="none"/>
              </w:rPr>
            </w:pPr>
            <w:r>
              <w:rPr>
                <w:rFonts w:hint="eastAsia" w:ascii="宋体" w:hAnsi="宋体"/>
                <w:color w:val="000000"/>
                <w:szCs w:val="21"/>
                <w:highlight w:val="none"/>
              </w:rPr>
              <w:t>0.008%</w:t>
            </w:r>
          </w:p>
        </w:tc>
        <w:tc>
          <w:tcPr>
            <w:tcW w:w="1687" w:type="dxa"/>
          </w:tcPr>
          <w:p w14:paraId="0EC3BDF6">
            <w:pPr>
              <w:spacing w:line="360" w:lineRule="auto"/>
              <w:ind w:firstLine="210" w:firstLineChars="100"/>
              <w:rPr>
                <w:rFonts w:ascii="宋体" w:hAnsi="宋体"/>
                <w:color w:val="000000"/>
                <w:szCs w:val="21"/>
                <w:highlight w:val="none"/>
              </w:rPr>
            </w:pPr>
            <w:r>
              <w:rPr>
                <w:rFonts w:hint="eastAsia" w:ascii="宋体" w:hAnsi="宋体"/>
                <w:color w:val="000000"/>
                <w:szCs w:val="21"/>
                <w:highlight w:val="none"/>
              </w:rPr>
              <w:t>0.008%</w:t>
            </w:r>
          </w:p>
        </w:tc>
        <w:tc>
          <w:tcPr>
            <w:tcW w:w="1659" w:type="dxa"/>
          </w:tcPr>
          <w:p w14:paraId="0491103B">
            <w:pPr>
              <w:spacing w:line="360" w:lineRule="auto"/>
              <w:ind w:firstLine="105" w:firstLineChars="50"/>
              <w:rPr>
                <w:rFonts w:ascii="宋体" w:hAnsi="宋体"/>
                <w:color w:val="000000"/>
                <w:szCs w:val="21"/>
                <w:highlight w:val="none"/>
              </w:rPr>
            </w:pPr>
            <w:r>
              <w:rPr>
                <w:rFonts w:hint="eastAsia" w:ascii="宋体" w:hAnsi="宋体"/>
                <w:color w:val="000000"/>
                <w:szCs w:val="21"/>
                <w:highlight w:val="none"/>
              </w:rPr>
              <w:t>0.008%</w:t>
            </w:r>
          </w:p>
        </w:tc>
      </w:tr>
      <w:tr w14:paraId="370F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48E013F">
            <w:pPr>
              <w:spacing w:line="360" w:lineRule="auto"/>
              <w:rPr>
                <w:rFonts w:ascii="宋体" w:hAnsi="宋体"/>
                <w:color w:val="000000"/>
                <w:szCs w:val="21"/>
                <w:highlight w:val="none"/>
              </w:rPr>
            </w:pPr>
            <w:r>
              <w:rPr>
                <w:rFonts w:hint="eastAsia" w:ascii="宋体" w:hAnsi="宋体"/>
                <w:color w:val="000000"/>
                <w:szCs w:val="21"/>
                <w:highlight w:val="none"/>
              </w:rPr>
              <w:t>50～100亿元</w:t>
            </w:r>
          </w:p>
        </w:tc>
        <w:tc>
          <w:tcPr>
            <w:tcW w:w="1659" w:type="dxa"/>
          </w:tcPr>
          <w:p w14:paraId="5E333EA6">
            <w:pPr>
              <w:spacing w:line="360" w:lineRule="auto"/>
              <w:rPr>
                <w:rFonts w:ascii="宋体" w:hAnsi="宋体"/>
                <w:color w:val="000000"/>
                <w:szCs w:val="21"/>
                <w:highlight w:val="none"/>
              </w:rPr>
            </w:pPr>
            <w:r>
              <w:rPr>
                <w:rFonts w:hint="eastAsia" w:ascii="宋体" w:hAnsi="宋体"/>
                <w:color w:val="000000"/>
                <w:szCs w:val="21"/>
                <w:highlight w:val="none"/>
              </w:rPr>
              <w:t xml:space="preserve"> 0.006%</w:t>
            </w:r>
          </w:p>
        </w:tc>
        <w:tc>
          <w:tcPr>
            <w:tcW w:w="1687" w:type="dxa"/>
          </w:tcPr>
          <w:p w14:paraId="411A1BAA">
            <w:pPr>
              <w:spacing w:line="360" w:lineRule="auto"/>
              <w:ind w:firstLine="210" w:firstLineChars="100"/>
              <w:rPr>
                <w:rFonts w:ascii="宋体" w:hAnsi="宋体"/>
                <w:color w:val="000000"/>
                <w:szCs w:val="21"/>
                <w:highlight w:val="none"/>
              </w:rPr>
            </w:pPr>
            <w:r>
              <w:rPr>
                <w:rFonts w:hint="eastAsia" w:ascii="宋体" w:hAnsi="宋体"/>
                <w:color w:val="000000"/>
                <w:szCs w:val="21"/>
                <w:highlight w:val="none"/>
              </w:rPr>
              <w:t>0.006%</w:t>
            </w:r>
          </w:p>
        </w:tc>
        <w:tc>
          <w:tcPr>
            <w:tcW w:w="1659" w:type="dxa"/>
          </w:tcPr>
          <w:p w14:paraId="78D464B9">
            <w:pPr>
              <w:spacing w:line="360" w:lineRule="auto"/>
              <w:ind w:firstLine="105" w:firstLineChars="50"/>
              <w:rPr>
                <w:rFonts w:ascii="宋体" w:hAnsi="宋体"/>
                <w:color w:val="000000"/>
                <w:szCs w:val="21"/>
                <w:highlight w:val="none"/>
              </w:rPr>
            </w:pPr>
            <w:r>
              <w:rPr>
                <w:rFonts w:hint="eastAsia" w:ascii="宋体" w:hAnsi="宋体"/>
                <w:color w:val="000000"/>
                <w:szCs w:val="21"/>
                <w:highlight w:val="none"/>
              </w:rPr>
              <w:t>0.006%</w:t>
            </w:r>
          </w:p>
        </w:tc>
      </w:tr>
      <w:tr w14:paraId="2324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0511AD2">
            <w:pPr>
              <w:spacing w:line="360" w:lineRule="auto"/>
              <w:rPr>
                <w:rFonts w:ascii="宋体" w:hAnsi="宋体"/>
                <w:color w:val="000000"/>
                <w:szCs w:val="21"/>
                <w:highlight w:val="none"/>
              </w:rPr>
            </w:pPr>
            <w:r>
              <w:rPr>
                <w:rFonts w:hint="eastAsia" w:ascii="宋体" w:hAnsi="宋体"/>
                <w:color w:val="000000"/>
                <w:szCs w:val="21"/>
                <w:highlight w:val="none"/>
              </w:rPr>
              <w:t>100亿以上</w:t>
            </w:r>
          </w:p>
        </w:tc>
        <w:tc>
          <w:tcPr>
            <w:tcW w:w="1659" w:type="dxa"/>
          </w:tcPr>
          <w:p w14:paraId="345710A3">
            <w:pPr>
              <w:spacing w:line="360" w:lineRule="auto"/>
              <w:rPr>
                <w:rFonts w:ascii="宋体" w:hAnsi="宋体"/>
                <w:color w:val="000000"/>
                <w:szCs w:val="21"/>
                <w:highlight w:val="none"/>
              </w:rPr>
            </w:pPr>
            <w:r>
              <w:rPr>
                <w:rFonts w:hint="eastAsia" w:ascii="宋体" w:hAnsi="宋体"/>
                <w:color w:val="000000"/>
                <w:szCs w:val="21"/>
                <w:highlight w:val="none"/>
              </w:rPr>
              <w:t xml:space="preserve"> 0.004%</w:t>
            </w:r>
          </w:p>
        </w:tc>
        <w:tc>
          <w:tcPr>
            <w:tcW w:w="1687" w:type="dxa"/>
          </w:tcPr>
          <w:p w14:paraId="07A74C0D">
            <w:pPr>
              <w:spacing w:line="360" w:lineRule="auto"/>
              <w:ind w:firstLine="210" w:firstLineChars="100"/>
              <w:rPr>
                <w:rFonts w:ascii="宋体" w:hAnsi="宋体"/>
                <w:color w:val="000000"/>
                <w:szCs w:val="21"/>
                <w:highlight w:val="none"/>
              </w:rPr>
            </w:pPr>
            <w:r>
              <w:rPr>
                <w:rFonts w:hint="eastAsia" w:ascii="宋体" w:hAnsi="宋体"/>
                <w:color w:val="000000"/>
                <w:szCs w:val="21"/>
                <w:highlight w:val="none"/>
              </w:rPr>
              <w:t>0.004%</w:t>
            </w:r>
          </w:p>
        </w:tc>
        <w:tc>
          <w:tcPr>
            <w:tcW w:w="1659" w:type="dxa"/>
          </w:tcPr>
          <w:p w14:paraId="65BE7196">
            <w:pPr>
              <w:spacing w:line="360" w:lineRule="auto"/>
              <w:ind w:firstLine="105" w:firstLineChars="50"/>
              <w:rPr>
                <w:rFonts w:ascii="宋体" w:hAnsi="宋体"/>
                <w:color w:val="000000"/>
                <w:szCs w:val="21"/>
                <w:highlight w:val="none"/>
              </w:rPr>
            </w:pPr>
            <w:r>
              <w:rPr>
                <w:rFonts w:hint="eastAsia" w:ascii="宋体" w:hAnsi="宋体"/>
                <w:color w:val="000000"/>
                <w:szCs w:val="21"/>
                <w:highlight w:val="none"/>
              </w:rPr>
              <w:t>0.004%</w:t>
            </w:r>
          </w:p>
        </w:tc>
      </w:tr>
    </w:tbl>
    <w:p w14:paraId="762A2386">
      <w:pPr>
        <w:spacing w:line="360" w:lineRule="auto"/>
        <w:ind w:firstLine="420" w:firstLineChars="200"/>
        <w:rPr>
          <w:rFonts w:ascii="宋体" w:hAnsi="宋体" w:cs="宋体"/>
          <w:color w:val="000000"/>
          <w:szCs w:val="21"/>
          <w:highlight w:val="none"/>
        </w:rPr>
      </w:pPr>
      <w:r>
        <w:rPr>
          <w:rFonts w:hint="eastAsia" w:ascii="宋体" w:hAnsi="宋体"/>
          <w:color w:val="000000"/>
          <w:szCs w:val="21"/>
          <w:highlight w:val="none"/>
        </w:rPr>
        <w:t>注:</w:t>
      </w:r>
      <w:r>
        <w:rPr>
          <w:rFonts w:ascii="宋体" w:hAnsi="宋体" w:cs="宋体"/>
          <w:color w:val="000000"/>
          <w:szCs w:val="21"/>
          <w:highlight w:val="none"/>
        </w:rPr>
        <w:t xml:space="preserve"> </w:t>
      </w:r>
    </w:p>
    <w:p w14:paraId="62BBA198">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ascii="宋体" w:hAnsi="宋体" w:cs="宋体"/>
          <w:color w:val="000000"/>
          <w:szCs w:val="21"/>
          <w:highlight w:val="none"/>
        </w:rPr>
        <w:t>按本表费率计算的收费为</w:t>
      </w:r>
      <w:r>
        <w:rPr>
          <w:rFonts w:hint="eastAsia" w:ascii="宋体" w:hAnsi="宋体" w:cs="宋体"/>
          <w:color w:val="000000"/>
          <w:szCs w:val="21"/>
          <w:highlight w:val="none"/>
        </w:rPr>
        <w:t>采购</w:t>
      </w:r>
      <w:r>
        <w:rPr>
          <w:rFonts w:ascii="宋体" w:hAnsi="宋体" w:cs="宋体"/>
          <w:color w:val="000000"/>
          <w:szCs w:val="21"/>
          <w:highlight w:val="none"/>
        </w:rPr>
        <w:t>代理的收费基准价格</w:t>
      </w:r>
      <w:r>
        <w:rPr>
          <w:rFonts w:hint="eastAsia" w:ascii="宋体" w:hAnsi="宋体" w:cs="宋体"/>
          <w:color w:val="000000"/>
          <w:szCs w:val="21"/>
          <w:highlight w:val="none"/>
        </w:rPr>
        <w:t>；</w:t>
      </w:r>
    </w:p>
    <w:p w14:paraId="2DC5149D">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（2）采购</w:t>
      </w:r>
      <w:r>
        <w:rPr>
          <w:rFonts w:ascii="宋体" w:hAnsi="宋体" w:cs="宋体"/>
          <w:color w:val="000000"/>
          <w:szCs w:val="21"/>
          <w:highlight w:val="none"/>
        </w:rPr>
        <w:t>代理收费按差额定率累进法计算。</w:t>
      </w:r>
    </w:p>
    <w:p w14:paraId="767EE0BC">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例如：某</w:t>
      </w:r>
      <w:r>
        <w:rPr>
          <w:rFonts w:hint="eastAsia" w:ascii="宋体" w:hAnsi="宋体" w:cs="宋体"/>
          <w:color w:val="000000"/>
          <w:szCs w:val="21"/>
          <w:highlight w:val="none"/>
        </w:rPr>
        <w:t>货物采购</w:t>
      </w:r>
      <w:r>
        <w:rPr>
          <w:rFonts w:ascii="宋体" w:hAnsi="宋体" w:cs="宋体"/>
          <w:color w:val="000000"/>
          <w:szCs w:val="21"/>
          <w:highlight w:val="none"/>
        </w:rPr>
        <w:t>代理业务</w:t>
      </w:r>
      <w:r>
        <w:rPr>
          <w:rFonts w:hint="eastAsia" w:ascii="宋体" w:hAnsi="宋体" w:cs="宋体"/>
          <w:color w:val="000000"/>
          <w:szCs w:val="21"/>
          <w:highlight w:val="none"/>
        </w:rPr>
        <w:t>中标</w:t>
      </w:r>
      <w:r>
        <w:rPr>
          <w:rFonts w:ascii="宋体" w:hAnsi="宋体" w:cs="宋体"/>
          <w:color w:val="000000"/>
          <w:szCs w:val="21"/>
          <w:highlight w:val="none"/>
        </w:rPr>
        <w:t>金额</w:t>
      </w:r>
      <w:r>
        <w:rPr>
          <w:rFonts w:hint="eastAsia" w:ascii="宋体" w:hAnsi="宋体" w:cs="宋体"/>
          <w:color w:val="000000"/>
          <w:szCs w:val="21"/>
          <w:highlight w:val="none"/>
        </w:rPr>
        <w:t>或者暂定价</w:t>
      </w:r>
      <w:r>
        <w:rPr>
          <w:rFonts w:ascii="宋体" w:hAnsi="宋体" w:cs="宋体"/>
          <w:color w:val="000000"/>
          <w:szCs w:val="21"/>
          <w:highlight w:val="none"/>
        </w:rPr>
        <w:t>为200万元，计算</w:t>
      </w:r>
      <w:r>
        <w:rPr>
          <w:rFonts w:hint="eastAsia" w:ascii="宋体" w:hAnsi="宋体" w:cs="宋体"/>
          <w:color w:val="000000"/>
          <w:szCs w:val="21"/>
          <w:highlight w:val="none"/>
        </w:rPr>
        <w:t>采购</w:t>
      </w:r>
      <w:r>
        <w:rPr>
          <w:rFonts w:ascii="宋体" w:hAnsi="宋体" w:cs="宋体"/>
          <w:color w:val="000000"/>
          <w:szCs w:val="21"/>
          <w:highlight w:val="none"/>
        </w:rPr>
        <w:t>代理收费额如下：</w:t>
      </w:r>
    </w:p>
    <w:p w14:paraId="028B54C9">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100 万元×l.5 ％＝ 1.5 万元</w:t>
      </w:r>
    </w:p>
    <w:p w14:paraId="5629261C">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 200 － 100 ）万元 ×1.1％＝1.1万元</w:t>
      </w:r>
    </w:p>
    <w:p w14:paraId="03DCE8D1">
      <w:pPr>
        <w:pStyle w:val="25"/>
        <w:snapToGrid w:val="0"/>
        <w:spacing w:before="120" w:after="120" w:line="360" w:lineRule="auto"/>
        <w:ind w:firstLine="420" w:firstLineChars="200"/>
        <w:rPr>
          <w:rFonts w:hAnsi="宋体" w:cs="宋体"/>
          <w:color w:val="000000"/>
          <w:sz w:val="21"/>
          <w:highlight w:val="none"/>
        </w:rPr>
      </w:pPr>
      <w:r>
        <w:rPr>
          <w:rFonts w:hAnsi="宋体" w:cs="宋体"/>
          <w:color w:val="000000"/>
          <w:sz w:val="21"/>
          <w:highlight w:val="none"/>
        </w:rPr>
        <w:t>合计收费＝ 1.5</w:t>
      </w:r>
      <w:r>
        <w:rPr>
          <w:rFonts w:hint="eastAsia" w:hAnsi="宋体" w:cs="宋体"/>
          <w:color w:val="000000"/>
          <w:sz w:val="21"/>
          <w:highlight w:val="none"/>
        </w:rPr>
        <w:t>+</w:t>
      </w:r>
      <w:r>
        <w:rPr>
          <w:rFonts w:hAnsi="宋体" w:cs="宋体"/>
          <w:color w:val="000000"/>
          <w:sz w:val="21"/>
          <w:highlight w:val="none"/>
        </w:rPr>
        <w:t>1.1＝ 2.6 （万元）</w:t>
      </w:r>
    </w:p>
    <w:p w14:paraId="4DCCBCBE">
      <w:pPr>
        <w:pStyle w:val="6"/>
        <w:keepNext w:val="0"/>
        <w:keepLines w:val="0"/>
        <w:spacing w:before="0" w:after="0" w:line="360" w:lineRule="auto"/>
        <w:ind w:left="420" w:leftChars="200"/>
        <w:rPr>
          <w:rFonts w:ascii="黑体" w:hAnsi="黑体" w:eastAsia="黑体"/>
          <w:color w:val="000000"/>
          <w:sz w:val="24"/>
          <w:highlight w:val="none"/>
        </w:rPr>
      </w:pPr>
      <w:r>
        <w:rPr>
          <w:rFonts w:ascii="黑体" w:hAnsi="黑体" w:eastAsia="黑体"/>
          <w:color w:val="000000"/>
          <w:sz w:val="24"/>
          <w:highlight w:val="none"/>
        </w:rPr>
        <w:t>40. 需要补充的其他内容</w:t>
      </w:r>
    </w:p>
    <w:p w14:paraId="571D001F">
      <w:pPr>
        <w:pStyle w:val="25"/>
        <w:spacing w:before="120" w:after="120" w:line="360" w:lineRule="auto"/>
        <w:ind w:firstLine="420" w:firstLineChars="200"/>
        <w:contextualSpacing/>
        <w:rPr>
          <w:rFonts w:hAnsi="宋体" w:cs="宋体"/>
          <w:color w:val="000000"/>
          <w:sz w:val="21"/>
          <w:highlight w:val="none"/>
        </w:rPr>
      </w:pPr>
      <w:r>
        <w:rPr>
          <w:rFonts w:hint="eastAsia" w:hAnsi="宋体" w:cs="宋体"/>
          <w:color w:val="000000"/>
          <w:sz w:val="21"/>
          <w:highlight w:val="none"/>
        </w:rPr>
        <w:t>40.1本招标文件解释规则详见“投标人须知前附表”。</w:t>
      </w:r>
    </w:p>
    <w:p w14:paraId="7AA22E7A">
      <w:pPr>
        <w:pStyle w:val="25"/>
        <w:spacing w:before="120" w:after="120" w:line="360" w:lineRule="auto"/>
        <w:ind w:firstLine="420" w:firstLineChars="200"/>
        <w:contextualSpacing/>
        <w:rPr>
          <w:rFonts w:hAnsi="宋体" w:cs="宋体"/>
          <w:color w:val="000000"/>
          <w:sz w:val="21"/>
          <w:highlight w:val="none"/>
        </w:rPr>
      </w:pPr>
      <w:r>
        <w:rPr>
          <w:rFonts w:hint="eastAsia" w:hAnsi="宋体" w:cs="宋体"/>
          <w:color w:val="000000"/>
          <w:sz w:val="21"/>
          <w:highlight w:val="none"/>
        </w:rPr>
        <w:t>40.2 其他事项详见“投标人须知前附表”。</w:t>
      </w:r>
    </w:p>
    <w:p w14:paraId="282B9BD4">
      <w:pPr>
        <w:pStyle w:val="25"/>
        <w:spacing w:before="120" w:after="120" w:line="360" w:lineRule="auto"/>
        <w:ind w:firstLine="420" w:firstLineChars="200"/>
        <w:contextualSpacing/>
        <w:rPr>
          <w:rFonts w:hAnsi="宋体" w:cs="宋体"/>
          <w:color w:val="000000"/>
          <w:sz w:val="21"/>
          <w:highlight w:val="none"/>
        </w:rPr>
      </w:pPr>
      <w:r>
        <w:rPr>
          <w:rFonts w:hint="eastAsia" w:hAnsi="宋体" w:cs="宋体"/>
          <w:color w:val="000000"/>
          <w:sz w:val="21"/>
          <w:highlight w:val="none"/>
        </w:rPr>
        <w:t>40.3</w:t>
      </w:r>
      <w:bookmarkStart w:id="148" w:name="_Hlk65857140"/>
      <w:r>
        <w:rPr>
          <w:rFonts w:hint="eastAsia" w:hAnsi="宋体" w:cs="宋体"/>
          <w:color w:val="000000"/>
          <w:sz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43AFA4A6">
      <w:pPr>
        <w:pStyle w:val="25"/>
        <w:spacing w:before="120" w:after="120" w:line="360" w:lineRule="auto"/>
        <w:ind w:firstLine="420" w:firstLineChars="200"/>
        <w:contextualSpacing/>
        <w:rPr>
          <w:rFonts w:hAnsi="宋体" w:cs="宋体"/>
          <w:color w:val="000000"/>
          <w:sz w:val="21"/>
          <w:highlight w:val="none"/>
        </w:rPr>
      </w:pPr>
      <w:r>
        <w:rPr>
          <w:rFonts w:hint="eastAsia" w:hAnsi="宋体" w:cs="宋体"/>
          <w:color w:val="000000"/>
          <w:sz w:val="21"/>
          <w:highlight w:val="none"/>
        </w:rPr>
        <w:t>（1）在货物采购项目中，货物由中小企业制造，即货物由中小企业生产且使用该中小企业商号或者注册商标，不对其中涉及的工程承建商和服务的承接商作出要求；</w:t>
      </w:r>
    </w:p>
    <w:p w14:paraId="26E1A88E">
      <w:pPr>
        <w:pStyle w:val="25"/>
        <w:spacing w:before="120" w:after="120" w:line="360" w:lineRule="auto"/>
        <w:ind w:firstLine="420" w:firstLineChars="200"/>
        <w:contextualSpacing/>
        <w:rPr>
          <w:rFonts w:hAnsi="宋体" w:cs="宋体"/>
          <w:color w:val="000000"/>
          <w:sz w:val="21"/>
          <w:highlight w:val="none"/>
        </w:rPr>
      </w:pPr>
      <w:r>
        <w:rPr>
          <w:rFonts w:hint="eastAsia" w:hAnsi="宋体" w:cs="宋体"/>
          <w:color w:val="000000"/>
          <w:sz w:val="21"/>
          <w:highlight w:val="none"/>
        </w:rPr>
        <w:t>（2）在工程采购项目中，工程由中小企业承建，即工程施工单位为中小企业，不对其中涉及的货物的制造商和服务的承接商作出要求；</w:t>
      </w:r>
    </w:p>
    <w:p w14:paraId="29F9E79F">
      <w:pPr>
        <w:pStyle w:val="25"/>
        <w:spacing w:before="120" w:after="120" w:line="360" w:lineRule="auto"/>
        <w:ind w:firstLine="420" w:firstLineChars="200"/>
        <w:contextualSpacing/>
        <w:rPr>
          <w:rFonts w:hAnsi="宋体" w:cs="宋体"/>
          <w:color w:val="000000"/>
          <w:sz w:val="21"/>
          <w:highlight w:val="none"/>
        </w:rPr>
      </w:pPr>
      <w:r>
        <w:rPr>
          <w:rFonts w:hint="eastAsia" w:hAnsi="宋体" w:cs="宋体"/>
          <w:color w:val="000000"/>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9912BFC">
      <w:pPr>
        <w:pStyle w:val="25"/>
        <w:spacing w:before="120" w:after="120" w:line="360" w:lineRule="auto"/>
        <w:ind w:firstLine="420" w:firstLineChars="200"/>
        <w:contextualSpacing/>
        <w:rPr>
          <w:rFonts w:hAnsi="宋体" w:cs="宋体"/>
          <w:color w:val="000000"/>
          <w:sz w:val="21"/>
          <w:highlight w:val="none"/>
        </w:rPr>
      </w:pPr>
      <w:r>
        <w:rPr>
          <w:rFonts w:hint="eastAsia" w:hAnsi="宋体" w:cs="宋体"/>
          <w:color w:val="000000"/>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5E97C5CD">
      <w:pPr>
        <w:pStyle w:val="25"/>
        <w:spacing w:before="120" w:after="120" w:line="360" w:lineRule="auto"/>
        <w:ind w:firstLine="420" w:firstLineChars="200"/>
        <w:contextualSpacing/>
        <w:rPr>
          <w:rFonts w:hAnsi="宋体" w:cs="宋体"/>
          <w:color w:val="000000"/>
          <w:sz w:val="21"/>
          <w:highlight w:val="none"/>
        </w:rPr>
        <w:sectPr>
          <w:pgSz w:w="11906" w:h="16838"/>
          <w:pgMar w:top="1701" w:right="1701" w:bottom="1701" w:left="1701" w:header="851" w:footer="992" w:gutter="0"/>
          <w:cols w:space="720" w:num="1"/>
          <w:titlePg/>
          <w:docGrid w:linePitch="312" w:charSpace="0"/>
        </w:sectPr>
      </w:pPr>
      <w:r>
        <w:rPr>
          <w:rFonts w:hint="eastAsia" w:hAnsi="宋体" w:cs="宋体"/>
          <w:color w:val="000000"/>
          <w:sz w:val="21"/>
          <w:highlight w:val="none"/>
        </w:rPr>
        <w:t>依据本招标文件规定享受扶持政策获得政府采购合同的，小微企业不得将合同分包给大中型企业，中型企业不得将合同分包给大型企业。</w:t>
      </w:r>
      <w:bookmarkEnd w:id="148"/>
    </w:p>
    <w:p w14:paraId="0798FE19">
      <w:pPr>
        <w:snapToGrid w:val="0"/>
        <w:spacing w:line="440" w:lineRule="exact"/>
        <w:ind w:firstLine="602" w:firstLineChars="200"/>
        <w:rPr>
          <w:rFonts w:ascii="宋体" w:hAnsi="宋体" w:cs="宋体"/>
          <w:b/>
          <w:bCs/>
          <w:kern w:val="0"/>
          <w:sz w:val="30"/>
          <w:szCs w:val="30"/>
          <w:highlight w:val="none"/>
        </w:rPr>
      </w:pPr>
      <w:r>
        <w:rPr>
          <w:rFonts w:hint="eastAsia" w:ascii="宋体" w:hAnsi="宋体" w:cs="宋体"/>
          <w:b/>
          <w:bCs/>
          <w:kern w:val="0"/>
          <w:sz w:val="30"/>
          <w:szCs w:val="30"/>
          <w:highlight w:val="none"/>
        </w:rPr>
        <w:t>附件1：</w:t>
      </w:r>
    </w:p>
    <w:p w14:paraId="5B93C741">
      <w:pPr>
        <w:widowControl/>
        <w:shd w:val="clear" w:color="auto" w:fill="FFFFFF"/>
        <w:spacing w:line="480" w:lineRule="atLeast"/>
        <w:jc w:val="center"/>
        <w:rPr>
          <w:rFonts w:ascii="宋体" w:hAnsi="宋体" w:cs="宋体"/>
          <w:b/>
          <w:bCs/>
          <w:kern w:val="0"/>
          <w:sz w:val="28"/>
          <w:szCs w:val="28"/>
          <w:highlight w:val="none"/>
        </w:rPr>
      </w:pPr>
      <w:r>
        <w:rPr>
          <w:rFonts w:hint="eastAsia" w:ascii="宋体" w:hAnsi="宋体" w:cs="宋体"/>
          <w:b/>
          <w:bCs/>
          <w:kern w:val="0"/>
          <w:sz w:val="28"/>
          <w:szCs w:val="28"/>
          <w:highlight w:val="none"/>
        </w:rPr>
        <w:t>采购项目合同验收书（格式）</w:t>
      </w:r>
    </w:p>
    <w:p w14:paraId="3F661F1B">
      <w:pPr>
        <w:widowControl/>
        <w:shd w:val="clear" w:color="auto" w:fill="FFFFFF"/>
        <w:snapToGrid w:val="0"/>
        <w:spacing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根据采购项目（</w:t>
      </w:r>
      <w:r>
        <w:rPr>
          <w:rFonts w:hint="eastAsia" w:ascii="宋体" w:hAnsi="宋体" w:cs="宋体"/>
          <w:kern w:val="0"/>
          <w:szCs w:val="21"/>
          <w:highlight w:val="none"/>
          <w:u w:val="single"/>
        </w:rPr>
        <w:t>采购合同编号：</w:t>
      </w:r>
      <w:r>
        <w:rPr>
          <w:rFonts w:hint="eastAsia" w:ascii="宋体" w:hAnsi="宋体" w:cs="宋体"/>
          <w:kern w:val="0"/>
          <w:szCs w:val="21"/>
          <w:highlight w:val="none"/>
          <w:u w:val="single"/>
        </w:rPr>
        <w:softHyphen/>
      </w:r>
      <w:r>
        <w:rPr>
          <w:rFonts w:hint="eastAsia" w:ascii="宋体" w:hAnsi="宋体" w:cs="宋体"/>
          <w:kern w:val="0"/>
          <w:szCs w:val="21"/>
          <w:highlight w:val="none"/>
          <w:u w:val="single"/>
        </w:rPr>
        <w:t>   </w:t>
      </w:r>
      <w:r>
        <w:rPr>
          <w:rFonts w:hint="eastAsia" w:ascii="宋体" w:hAnsi="宋体" w:cs="宋体"/>
          <w:kern w:val="0"/>
          <w:szCs w:val="21"/>
          <w:highlight w:val="none"/>
        </w:rPr>
        <w:t>）的约定，我单位对（</w:t>
      </w:r>
      <w:r>
        <w:rPr>
          <w:rFonts w:hint="eastAsia" w:ascii="宋体" w:hAnsi="宋体" w:cs="宋体"/>
          <w:kern w:val="0"/>
          <w:szCs w:val="21"/>
          <w:highlight w:val="none"/>
          <w:u w:val="single"/>
        </w:rPr>
        <w:t xml:space="preserve"> 项目名称   </w:t>
      </w:r>
      <w:r>
        <w:rPr>
          <w:rFonts w:hint="eastAsia" w:ascii="宋体" w:hAnsi="宋体" w:cs="宋体"/>
          <w:kern w:val="0"/>
          <w:szCs w:val="21"/>
          <w:highlight w:val="none"/>
        </w:rPr>
        <w:t>）采购项目中标（或成交）供应商（</w:t>
      </w:r>
      <w:r>
        <w:rPr>
          <w:rFonts w:hint="eastAsia" w:ascii="宋体" w:hAnsi="宋体" w:cs="宋体"/>
          <w:kern w:val="0"/>
          <w:szCs w:val="21"/>
          <w:highlight w:val="none"/>
          <w:u w:val="single"/>
        </w:rPr>
        <w:t xml:space="preserve">            公司名称              </w:t>
      </w:r>
      <w:r>
        <w:rPr>
          <w:rFonts w:hint="eastAsia" w:ascii="宋体" w:hAnsi="宋体" w:cs="宋体"/>
          <w:kern w:val="0"/>
          <w:szCs w:val="21"/>
          <w:highlight w:val="none"/>
        </w:rPr>
        <w:t>）提供的货物（或工程、服务）进行了验收，验收情况如下：</w:t>
      </w:r>
    </w:p>
    <w:tbl>
      <w:tblPr>
        <w:tblStyle w:val="48"/>
        <w:tblW w:w="0" w:type="auto"/>
        <w:jc w:val="center"/>
        <w:tblLayout w:type="fixed"/>
        <w:tblCellMar>
          <w:top w:w="0" w:type="dxa"/>
          <w:left w:w="0" w:type="dxa"/>
          <w:bottom w:w="0" w:type="dxa"/>
          <w:right w:w="0" w:type="dxa"/>
        </w:tblCellMar>
      </w:tblPr>
      <w:tblGrid>
        <w:gridCol w:w="1578"/>
        <w:gridCol w:w="1681"/>
        <w:gridCol w:w="664"/>
        <w:gridCol w:w="2017"/>
        <w:gridCol w:w="186"/>
        <w:gridCol w:w="720"/>
        <w:gridCol w:w="1796"/>
      </w:tblGrid>
      <w:tr w14:paraId="79AC530B">
        <w:tblPrEx>
          <w:tblCellMar>
            <w:top w:w="0" w:type="dxa"/>
            <w:left w:w="0" w:type="dxa"/>
            <w:bottom w:w="0" w:type="dxa"/>
            <w:right w:w="0" w:type="dxa"/>
          </w:tblCellMar>
        </w:tblPrEx>
        <w:trPr>
          <w:trHeight w:val="497" w:hRule="atLeast"/>
          <w:jc w:val="center"/>
        </w:trPr>
        <w:tc>
          <w:tcPr>
            <w:tcW w:w="3259" w:type="dxa"/>
            <w:gridSpan w:val="2"/>
            <w:tcBorders>
              <w:top w:val="single" w:color="auto" w:sz="8" w:space="0"/>
              <w:left w:val="single" w:color="auto" w:sz="8" w:space="0"/>
              <w:bottom w:val="single" w:color="auto" w:sz="8" w:space="0"/>
              <w:right w:val="single" w:color="auto" w:sz="8" w:space="0"/>
            </w:tcBorders>
            <w:vAlign w:val="center"/>
          </w:tcPr>
          <w:p w14:paraId="619B3E19">
            <w:pPr>
              <w:widowControl/>
              <w:snapToGrid w:val="0"/>
              <w:spacing w:before="100" w:beforeAutospacing="1" w:after="100" w:afterAutospacing="1" w:line="320" w:lineRule="atLeast"/>
              <w:ind w:firstLine="5"/>
              <w:jc w:val="center"/>
              <w:rPr>
                <w:rFonts w:ascii="宋体" w:hAnsi="宋体" w:cs="宋体"/>
                <w:kern w:val="0"/>
                <w:szCs w:val="21"/>
                <w:highlight w:val="none"/>
              </w:rPr>
            </w:pPr>
            <w:r>
              <w:rPr>
                <w:rFonts w:hint="eastAsia" w:ascii="宋体" w:hAnsi="宋体" w:cs="宋体"/>
                <w:kern w:val="0"/>
                <w:szCs w:val="21"/>
                <w:highlight w:val="none"/>
              </w:rPr>
              <w:t>验收方式：</w:t>
            </w:r>
          </w:p>
        </w:tc>
        <w:tc>
          <w:tcPr>
            <w:tcW w:w="5383" w:type="dxa"/>
            <w:gridSpan w:val="5"/>
            <w:tcBorders>
              <w:top w:val="single" w:color="auto" w:sz="8" w:space="0"/>
              <w:left w:val="nil"/>
              <w:bottom w:val="single" w:color="auto" w:sz="8" w:space="0"/>
              <w:right w:val="single" w:color="auto" w:sz="8" w:space="0"/>
            </w:tcBorders>
            <w:vAlign w:val="center"/>
          </w:tcPr>
          <w:p w14:paraId="795948E1">
            <w:pPr>
              <w:widowControl/>
              <w:snapToGrid w:val="0"/>
              <w:spacing w:before="100" w:beforeAutospacing="1" w:after="100" w:afterAutospacing="1" w:line="320" w:lineRule="atLeast"/>
              <w:ind w:firstLine="480"/>
              <w:jc w:val="center"/>
              <w:rPr>
                <w:rFonts w:ascii="宋体" w:hAnsi="宋体" w:cs="宋体"/>
                <w:kern w:val="0"/>
                <w:szCs w:val="21"/>
                <w:highlight w:val="none"/>
              </w:rPr>
            </w:pPr>
            <w:r>
              <w:rPr>
                <w:rFonts w:hint="eastAsia" w:ascii="宋体" w:hAnsi="宋体" w:cs="宋体"/>
                <w:kern w:val="0"/>
                <w:szCs w:val="21"/>
                <w:highlight w:val="none"/>
              </w:rPr>
              <w:t>□自行验收        □委托验收</w:t>
            </w:r>
          </w:p>
        </w:tc>
      </w:tr>
      <w:tr w14:paraId="196B4571">
        <w:tblPrEx>
          <w:tblCellMar>
            <w:top w:w="0" w:type="dxa"/>
            <w:left w:w="0" w:type="dxa"/>
            <w:bottom w:w="0" w:type="dxa"/>
            <w:right w:w="0" w:type="dxa"/>
          </w:tblCellMar>
        </w:tblPrEx>
        <w:trPr>
          <w:trHeight w:val="622" w:hRule="atLeast"/>
          <w:jc w:val="center"/>
        </w:trPr>
        <w:tc>
          <w:tcPr>
            <w:tcW w:w="1578" w:type="dxa"/>
            <w:tcBorders>
              <w:top w:val="nil"/>
              <w:left w:val="single" w:color="auto" w:sz="8" w:space="0"/>
              <w:bottom w:val="single" w:color="auto" w:sz="8" w:space="0"/>
              <w:right w:val="single" w:color="auto" w:sz="8" w:space="0"/>
            </w:tcBorders>
            <w:vAlign w:val="center"/>
          </w:tcPr>
          <w:p w14:paraId="097112AE">
            <w:pPr>
              <w:widowControl/>
              <w:snapToGrid w:val="0"/>
              <w:spacing w:before="100" w:beforeAutospacing="1" w:after="100" w:afterAutospacing="1" w:line="320" w:lineRule="atLeast"/>
              <w:ind w:firstLine="2"/>
              <w:jc w:val="center"/>
              <w:rPr>
                <w:rFonts w:ascii="宋体" w:hAnsi="宋体" w:cs="宋体"/>
                <w:kern w:val="0"/>
                <w:szCs w:val="21"/>
                <w:highlight w:val="none"/>
              </w:rPr>
            </w:pPr>
            <w:r>
              <w:rPr>
                <w:rFonts w:hint="eastAsia" w:ascii="宋体" w:hAnsi="宋体" w:cs="宋体"/>
                <w:kern w:val="0"/>
                <w:szCs w:val="21"/>
                <w:highlight w:val="none"/>
              </w:rPr>
              <w:t>序号</w:t>
            </w:r>
          </w:p>
        </w:tc>
        <w:tc>
          <w:tcPr>
            <w:tcW w:w="1681" w:type="dxa"/>
            <w:tcBorders>
              <w:top w:val="nil"/>
              <w:left w:val="nil"/>
              <w:bottom w:val="single" w:color="auto" w:sz="8" w:space="0"/>
              <w:right w:val="single" w:color="auto" w:sz="8" w:space="0"/>
            </w:tcBorders>
            <w:vAlign w:val="center"/>
          </w:tcPr>
          <w:p w14:paraId="55B77868">
            <w:pPr>
              <w:widowControl/>
              <w:snapToGrid w:val="0"/>
              <w:spacing w:before="100" w:beforeAutospacing="1" w:after="100" w:afterAutospacing="1" w:line="320" w:lineRule="atLeast"/>
              <w:ind w:firstLine="2"/>
              <w:jc w:val="center"/>
              <w:rPr>
                <w:rFonts w:ascii="宋体" w:hAnsi="宋体" w:cs="宋体"/>
                <w:kern w:val="0"/>
                <w:szCs w:val="21"/>
                <w:highlight w:val="none"/>
              </w:rPr>
            </w:pPr>
            <w:r>
              <w:rPr>
                <w:rFonts w:hint="eastAsia" w:ascii="宋体" w:hAnsi="宋体" w:cs="宋体"/>
                <w:kern w:val="0"/>
                <w:szCs w:val="21"/>
                <w:highlight w:val="none"/>
              </w:rPr>
              <w:t>名 称</w:t>
            </w:r>
          </w:p>
        </w:tc>
        <w:tc>
          <w:tcPr>
            <w:tcW w:w="2681" w:type="dxa"/>
            <w:gridSpan w:val="2"/>
            <w:tcBorders>
              <w:top w:val="nil"/>
              <w:left w:val="nil"/>
              <w:bottom w:val="single" w:color="auto" w:sz="8" w:space="0"/>
              <w:right w:val="single" w:color="auto" w:sz="8" w:space="0"/>
            </w:tcBorders>
            <w:vAlign w:val="center"/>
          </w:tcPr>
          <w:p w14:paraId="15B847A7">
            <w:pPr>
              <w:widowControl/>
              <w:snapToGrid w:val="0"/>
              <w:spacing w:before="100" w:beforeAutospacing="1" w:after="100" w:afterAutospacing="1" w:line="320" w:lineRule="atLeast"/>
              <w:ind w:firstLine="2"/>
              <w:jc w:val="center"/>
              <w:rPr>
                <w:rFonts w:ascii="宋体" w:hAnsi="宋体" w:cs="宋体"/>
                <w:kern w:val="0"/>
                <w:szCs w:val="21"/>
                <w:highlight w:val="none"/>
              </w:rPr>
            </w:pPr>
            <w:r>
              <w:rPr>
                <w:rFonts w:hint="eastAsia" w:ascii="宋体" w:hAnsi="宋体" w:cs="宋体"/>
                <w:kern w:val="0"/>
                <w:szCs w:val="21"/>
                <w:highlight w:val="none"/>
              </w:rPr>
              <w:t>货物型号规格、标准及配置等（或服务内容、标准）</w:t>
            </w:r>
          </w:p>
        </w:tc>
        <w:tc>
          <w:tcPr>
            <w:tcW w:w="906" w:type="dxa"/>
            <w:gridSpan w:val="2"/>
            <w:tcBorders>
              <w:top w:val="nil"/>
              <w:left w:val="nil"/>
              <w:bottom w:val="single" w:color="auto" w:sz="8" w:space="0"/>
              <w:right w:val="single" w:color="auto" w:sz="8" w:space="0"/>
            </w:tcBorders>
            <w:vAlign w:val="center"/>
          </w:tcPr>
          <w:p w14:paraId="4F4DC12A">
            <w:pPr>
              <w:widowControl/>
              <w:snapToGrid w:val="0"/>
              <w:spacing w:before="100" w:beforeAutospacing="1" w:after="100" w:afterAutospacing="1" w:line="320" w:lineRule="atLeast"/>
              <w:jc w:val="center"/>
              <w:rPr>
                <w:rFonts w:ascii="宋体" w:hAnsi="宋体" w:cs="宋体"/>
                <w:kern w:val="0"/>
                <w:szCs w:val="21"/>
                <w:highlight w:val="none"/>
              </w:rPr>
            </w:pPr>
            <w:r>
              <w:rPr>
                <w:rFonts w:hint="eastAsia" w:ascii="宋体" w:hAnsi="宋体" w:cs="宋体"/>
                <w:kern w:val="0"/>
                <w:szCs w:val="21"/>
                <w:highlight w:val="none"/>
              </w:rPr>
              <w:t>数量</w:t>
            </w:r>
          </w:p>
        </w:tc>
        <w:tc>
          <w:tcPr>
            <w:tcW w:w="1796" w:type="dxa"/>
            <w:tcBorders>
              <w:top w:val="nil"/>
              <w:left w:val="nil"/>
              <w:bottom w:val="single" w:color="auto" w:sz="8" w:space="0"/>
              <w:right w:val="single" w:color="auto" w:sz="8" w:space="0"/>
            </w:tcBorders>
            <w:vAlign w:val="center"/>
          </w:tcPr>
          <w:p w14:paraId="58382ECD">
            <w:pPr>
              <w:widowControl/>
              <w:snapToGrid w:val="0"/>
              <w:spacing w:before="100" w:beforeAutospacing="1" w:after="100" w:afterAutospacing="1" w:line="320" w:lineRule="atLeast"/>
              <w:ind w:firstLine="2"/>
              <w:jc w:val="center"/>
              <w:rPr>
                <w:rFonts w:ascii="宋体" w:hAnsi="宋体" w:cs="宋体"/>
                <w:kern w:val="0"/>
                <w:szCs w:val="21"/>
                <w:highlight w:val="none"/>
              </w:rPr>
            </w:pPr>
            <w:r>
              <w:rPr>
                <w:rFonts w:hint="eastAsia" w:ascii="宋体" w:hAnsi="宋体" w:cs="宋体"/>
                <w:kern w:val="0"/>
                <w:szCs w:val="21"/>
                <w:highlight w:val="none"/>
              </w:rPr>
              <w:t>金 额</w:t>
            </w:r>
          </w:p>
        </w:tc>
      </w:tr>
      <w:tr w14:paraId="2EC83996">
        <w:tblPrEx>
          <w:tblCellMar>
            <w:top w:w="0" w:type="dxa"/>
            <w:left w:w="0" w:type="dxa"/>
            <w:bottom w:w="0" w:type="dxa"/>
            <w:right w:w="0" w:type="dxa"/>
          </w:tblCellMar>
        </w:tblPrEx>
        <w:trPr>
          <w:trHeight w:val="487" w:hRule="atLeast"/>
          <w:jc w:val="center"/>
        </w:trPr>
        <w:tc>
          <w:tcPr>
            <w:tcW w:w="1578" w:type="dxa"/>
            <w:tcBorders>
              <w:top w:val="nil"/>
              <w:left w:val="single" w:color="auto" w:sz="8" w:space="0"/>
              <w:bottom w:val="single" w:color="auto" w:sz="8" w:space="0"/>
              <w:right w:val="single" w:color="auto" w:sz="8" w:space="0"/>
            </w:tcBorders>
            <w:vAlign w:val="center"/>
          </w:tcPr>
          <w:p w14:paraId="10F2318F">
            <w:pPr>
              <w:widowControl/>
              <w:snapToGrid w:val="0"/>
              <w:spacing w:before="100" w:beforeAutospacing="1" w:after="100" w:afterAutospacing="1" w:line="320" w:lineRule="atLeast"/>
              <w:ind w:firstLine="5"/>
              <w:jc w:val="left"/>
              <w:rPr>
                <w:rFonts w:ascii="宋体" w:hAnsi="宋体" w:cs="宋体"/>
                <w:kern w:val="0"/>
                <w:szCs w:val="21"/>
                <w:highlight w:val="none"/>
              </w:rPr>
            </w:pPr>
            <w:r>
              <w:rPr>
                <w:rFonts w:hint="eastAsia" w:ascii="宋体" w:hAnsi="宋体" w:cs="宋体"/>
                <w:kern w:val="0"/>
                <w:szCs w:val="21"/>
                <w:highlight w:val="none"/>
              </w:rPr>
              <w:t> </w:t>
            </w:r>
          </w:p>
        </w:tc>
        <w:tc>
          <w:tcPr>
            <w:tcW w:w="1681" w:type="dxa"/>
            <w:tcBorders>
              <w:top w:val="nil"/>
              <w:left w:val="nil"/>
              <w:bottom w:val="single" w:color="auto" w:sz="8" w:space="0"/>
              <w:right w:val="single" w:color="auto" w:sz="8" w:space="0"/>
            </w:tcBorders>
            <w:vAlign w:val="center"/>
          </w:tcPr>
          <w:p w14:paraId="1CFCF628">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2681" w:type="dxa"/>
            <w:gridSpan w:val="2"/>
            <w:tcBorders>
              <w:top w:val="nil"/>
              <w:left w:val="nil"/>
              <w:bottom w:val="single" w:color="auto" w:sz="8" w:space="0"/>
              <w:right w:val="single" w:color="auto" w:sz="8" w:space="0"/>
            </w:tcBorders>
            <w:vAlign w:val="center"/>
          </w:tcPr>
          <w:p w14:paraId="7DA8374B">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906" w:type="dxa"/>
            <w:gridSpan w:val="2"/>
            <w:tcBorders>
              <w:top w:val="nil"/>
              <w:left w:val="nil"/>
              <w:bottom w:val="single" w:color="auto" w:sz="8" w:space="0"/>
              <w:right w:val="single" w:color="auto" w:sz="8" w:space="0"/>
            </w:tcBorders>
            <w:vAlign w:val="center"/>
          </w:tcPr>
          <w:p w14:paraId="2DC9BFC3">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1796" w:type="dxa"/>
            <w:tcBorders>
              <w:top w:val="nil"/>
              <w:left w:val="nil"/>
              <w:bottom w:val="single" w:color="auto" w:sz="8" w:space="0"/>
              <w:right w:val="single" w:color="auto" w:sz="8" w:space="0"/>
            </w:tcBorders>
            <w:vAlign w:val="center"/>
          </w:tcPr>
          <w:p w14:paraId="33110B3B">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r>
      <w:tr w14:paraId="549EAA23">
        <w:tblPrEx>
          <w:tblCellMar>
            <w:top w:w="0" w:type="dxa"/>
            <w:left w:w="0" w:type="dxa"/>
            <w:bottom w:w="0" w:type="dxa"/>
            <w:right w:w="0" w:type="dxa"/>
          </w:tblCellMar>
        </w:tblPrEx>
        <w:trPr>
          <w:trHeight w:val="487" w:hRule="atLeast"/>
          <w:jc w:val="center"/>
        </w:trPr>
        <w:tc>
          <w:tcPr>
            <w:tcW w:w="1578" w:type="dxa"/>
            <w:tcBorders>
              <w:top w:val="nil"/>
              <w:left w:val="single" w:color="auto" w:sz="8" w:space="0"/>
              <w:bottom w:val="single" w:color="auto" w:sz="8" w:space="0"/>
              <w:right w:val="single" w:color="auto" w:sz="8" w:space="0"/>
            </w:tcBorders>
            <w:vAlign w:val="center"/>
          </w:tcPr>
          <w:p w14:paraId="76FBBBD8">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1681" w:type="dxa"/>
            <w:tcBorders>
              <w:top w:val="nil"/>
              <w:left w:val="nil"/>
              <w:bottom w:val="single" w:color="auto" w:sz="8" w:space="0"/>
              <w:right w:val="single" w:color="auto" w:sz="8" w:space="0"/>
            </w:tcBorders>
            <w:vAlign w:val="center"/>
          </w:tcPr>
          <w:p w14:paraId="1816CB36">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2681" w:type="dxa"/>
            <w:gridSpan w:val="2"/>
            <w:tcBorders>
              <w:top w:val="nil"/>
              <w:left w:val="nil"/>
              <w:bottom w:val="single" w:color="auto" w:sz="8" w:space="0"/>
              <w:right w:val="single" w:color="auto" w:sz="8" w:space="0"/>
            </w:tcBorders>
            <w:vAlign w:val="center"/>
          </w:tcPr>
          <w:p w14:paraId="41A7B163">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906" w:type="dxa"/>
            <w:gridSpan w:val="2"/>
            <w:tcBorders>
              <w:top w:val="nil"/>
              <w:left w:val="nil"/>
              <w:bottom w:val="single" w:color="auto" w:sz="8" w:space="0"/>
              <w:right w:val="single" w:color="auto" w:sz="8" w:space="0"/>
            </w:tcBorders>
            <w:vAlign w:val="center"/>
          </w:tcPr>
          <w:p w14:paraId="216E424F">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1796" w:type="dxa"/>
            <w:tcBorders>
              <w:top w:val="nil"/>
              <w:left w:val="nil"/>
              <w:bottom w:val="single" w:color="auto" w:sz="8" w:space="0"/>
              <w:right w:val="single" w:color="auto" w:sz="8" w:space="0"/>
            </w:tcBorders>
            <w:vAlign w:val="center"/>
          </w:tcPr>
          <w:p w14:paraId="2F0FF85E">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r>
      <w:tr w14:paraId="624E7DBB">
        <w:tblPrEx>
          <w:tblCellMar>
            <w:top w:w="0" w:type="dxa"/>
            <w:left w:w="0" w:type="dxa"/>
            <w:bottom w:w="0" w:type="dxa"/>
            <w:right w:w="0" w:type="dxa"/>
          </w:tblCellMar>
        </w:tblPrEx>
        <w:trPr>
          <w:trHeight w:val="487" w:hRule="atLeast"/>
          <w:jc w:val="center"/>
        </w:trPr>
        <w:tc>
          <w:tcPr>
            <w:tcW w:w="1578" w:type="dxa"/>
            <w:tcBorders>
              <w:top w:val="nil"/>
              <w:left w:val="single" w:color="auto" w:sz="8" w:space="0"/>
              <w:bottom w:val="single" w:color="auto" w:sz="8" w:space="0"/>
              <w:right w:val="single" w:color="auto" w:sz="8" w:space="0"/>
            </w:tcBorders>
            <w:vAlign w:val="center"/>
          </w:tcPr>
          <w:p w14:paraId="34749667">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1681" w:type="dxa"/>
            <w:tcBorders>
              <w:top w:val="nil"/>
              <w:left w:val="nil"/>
              <w:bottom w:val="single" w:color="auto" w:sz="8" w:space="0"/>
              <w:right w:val="single" w:color="auto" w:sz="8" w:space="0"/>
            </w:tcBorders>
            <w:vAlign w:val="center"/>
          </w:tcPr>
          <w:p w14:paraId="025A0B19">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2681" w:type="dxa"/>
            <w:gridSpan w:val="2"/>
            <w:tcBorders>
              <w:top w:val="nil"/>
              <w:left w:val="nil"/>
              <w:bottom w:val="single" w:color="auto" w:sz="8" w:space="0"/>
              <w:right w:val="single" w:color="auto" w:sz="8" w:space="0"/>
            </w:tcBorders>
            <w:vAlign w:val="center"/>
          </w:tcPr>
          <w:p w14:paraId="512DE9FB">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906" w:type="dxa"/>
            <w:gridSpan w:val="2"/>
            <w:tcBorders>
              <w:top w:val="nil"/>
              <w:left w:val="nil"/>
              <w:bottom w:val="single" w:color="auto" w:sz="8" w:space="0"/>
              <w:right w:val="single" w:color="auto" w:sz="8" w:space="0"/>
            </w:tcBorders>
            <w:vAlign w:val="center"/>
          </w:tcPr>
          <w:p w14:paraId="222670BF">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1796" w:type="dxa"/>
            <w:tcBorders>
              <w:top w:val="nil"/>
              <w:left w:val="nil"/>
              <w:bottom w:val="single" w:color="auto" w:sz="8" w:space="0"/>
              <w:right w:val="single" w:color="auto" w:sz="8" w:space="0"/>
            </w:tcBorders>
            <w:vAlign w:val="center"/>
          </w:tcPr>
          <w:p w14:paraId="286C7E65">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r>
      <w:tr w14:paraId="51CD1AF6">
        <w:tblPrEx>
          <w:tblCellMar>
            <w:top w:w="0" w:type="dxa"/>
            <w:left w:w="0" w:type="dxa"/>
            <w:bottom w:w="0" w:type="dxa"/>
            <w:right w:w="0" w:type="dxa"/>
          </w:tblCellMar>
        </w:tblPrEx>
        <w:trPr>
          <w:trHeight w:val="487" w:hRule="atLeast"/>
          <w:jc w:val="center"/>
        </w:trPr>
        <w:tc>
          <w:tcPr>
            <w:tcW w:w="5940" w:type="dxa"/>
            <w:gridSpan w:val="4"/>
            <w:tcBorders>
              <w:top w:val="nil"/>
              <w:left w:val="single" w:color="auto" w:sz="8" w:space="0"/>
              <w:bottom w:val="single" w:color="auto" w:sz="8" w:space="0"/>
              <w:right w:val="single" w:color="auto" w:sz="8" w:space="0"/>
            </w:tcBorders>
            <w:vAlign w:val="center"/>
          </w:tcPr>
          <w:p w14:paraId="3E082F4E">
            <w:pPr>
              <w:widowControl/>
              <w:snapToGrid w:val="0"/>
              <w:spacing w:before="100" w:beforeAutospacing="1" w:after="100" w:afterAutospacing="1" w:line="320" w:lineRule="atLeast"/>
              <w:ind w:firstLine="5"/>
              <w:jc w:val="center"/>
              <w:rPr>
                <w:rFonts w:ascii="宋体" w:hAnsi="宋体" w:cs="宋体"/>
                <w:kern w:val="0"/>
                <w:szCs w:val="21"/>
                <w:highlight w:val="none"/>
              </w:rPr>
            </w:pPr>
            <w:r>
              <w:rPr>
                <w:rFonts w:hint="eastAsia" w:ascii="宋体" w:hAnsi="宋体" w:cs="宋体"/>
                <w:kern w:val="0"/>
                <w:szCs w:val="21"/>
                <w:highlight w:val="none"/>
              </w:rPr>
              <w:t>合       计</w:t>
            </w:r>
          </w:p>
        </w:tc>
        <w:tc>
          <w:tcPr>
            <w:tcW w:w="906" w:type="dxa"/>
            <w:gridSpan w:val="2"/>
            <w:tcBorders>
              <w:top w:val="nil"/>
              <w:left w:val="nil"/>
              <w:bottom w:val="single" w:color="auto" w:sz="8" w:space="0"/>
              <w:right w:val="single" w:color="auto" w:sz="8" w:space="0"/>
            </w:tcBorders>
            <w:vAlign w:val="center"/>
          </w:tcPr>
          <w:p w14:paraId="7E338CF6">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1796" w:type="dxa"/>
            <w:tcBorders>
              <w:top w:val="nil"/>
              <w:left w:val="nil"/>
              <w:bottom w:val="single" w:color="auto" w:sz="8" w:space="0"/>
              <w:right w:val="single" w:color="auto" w:sz="8" w:space="0"/>
            </w:tcBorders>
            <w:vAlign w:val="center"/>
          </w:tcPr>
          <w:p w14:paraId="4973554D">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r>
      <w:tr w14:paraId="48B4E42E">
        <w:tblPrEx>
          <w:tblCellMar>
            <w:top w:w="0" w:type="dxa"/>
            <w:left w:w="0" w:type="dxa"/>
            <w:bottom w:w="0" w:type="dxa"/>
            <w:right w:w="0" w:type="dxa"/>
          </w:tblCellMar>
        </w:tblPrEx>
        <w:trPr>
          <w:trHeight w:val="641" w:hRule="atLeast"/>
          <w:jc w:val="center"/>
        </w:trPr>
        <w:tc>
          <w:tcPr>
            <w:tcW w:w="8642" w:type="dxa"/>
            <w:gridSpan w:val="7"/>
            <w:tcBorders>
              <w:top w:val="nil"/>
              <w:left w:val="single" w:color="auto" w:sz="8" w:space="0"/>
              <w:bottom w:val="single" w:color="auto" w:sz="8" w:space="0"/>
              <w:right w:val="single" w:color="auto" w:sz="8" w:space="0"/>
            </w:tcBorders>
            <w:vAlign w:val="center"/>
          </w:tcPr>
          <w:p w14:paraId="1DF89551">
            <w:pPr>
              <w:widowControl/>
              <w:snapToGrid w:val="0"/>
              <w:spacing w:before="100" w:beforeAutospacing="1" w:after="100" w:afterAutospacing="1" w:line="320" w:lineRule="atLeast"/>
              <w:ind w:firstLine="2"/>
              <w:jc w:val="left"/>
              <w:rPr>
                <w:rFonts w:ascii="宋体" w:hAnsi="宋体" w:cs="宋体"/>
                <w:kern w:val="0"/>
                <w:szCs w:val="21"/>
                <w:highlight w:val="none"/>
              </w:rPr>
            </w:pPr>
            <w:r>
              <w:rPr>
                <w:rFonts w:hint="eastAsia" w:ascii="宋体" w:hAnsi="宋体" w:cs="宋体"/>
                <w:kern w:val="0"/>
                <w:szCs w:val="21"/>
                <w:highlight w:val="none"/>
              </w:rPr>
              <w:t>合计大写金额：  仟   佰   拾   万   仟   佰   拾   元</w:t>
            </w:r>
          </w:p>
        </w:tc>
      </w:tr>
      <w:tr w14:paraId="2FF196C5">
        <w:tblPrEx>
          <w:tblCellMar>
            <w:top w:w="0" w:type="dxa"/>
            <w:left w:w="0" w:type="dxa"/>
            <w:bottom w:w="0" w:type="dxa"/>
            <w:right w:w="0" w:type="dxa"/>
          </w:tblCellMar>
        </w:tblPrEx>
        <w:trPr>
          <w:trHeight w:val="641" w:hRule="atLeast"/>
          <w:jc w:val="center"/>
        </w:trPr>
        <w:tc>
          <w:tcPr>
            <w:tcW w:w="1578" w:type="dxa"/>
            <w:tcBorders>
              <w:top w:val="nil"/>
              <w:left w:val="single" w:color="auto" w:sz="8" w:space="0"/>
              <w:bottom w:val="single" w:color="auto" w:sz="8" w:space="0"/>
              <w:right w:val="single" w:color="auto" w:sz="8" w:space="0"/>
            </w:tcBorders>
            <w:vAlign w:val="center"/>
          </w:tcPr>
          <w:p w14:paraId="2B2AAC8C">
            <w:pPr>
              <w:widowControl/>
              <w:snapToGrid w:val="0"/>
              <w:spacing w:before="100" w:beforeAutospacing="1" w:after="100" w:afterAutospacing="1" w:line="320" w:lineRule="atLeast"/>
              <w:ind w:firstLine="2"/>
              <w:jc w:val="left"/>
              <w:rPr>
                <w:rFonts w:ascii="宋体" w:hAnsi="宋体" w:cs="宋体"/>
                <w:kern w:val="0"/>
                <w:szCs w:val="21"/>
                <w:highlight w:val="none"/>
              </w:rPr>
            </w:pPr>
            <w:r>
              <w:rPr>
                <w:rFonts w:hint="eastAsia" w:ascii="宋体" w:hAnsi="宋体" w:cs="宋体"/>
                <w:kern w:val="0"/>
                <w:szCs w:val="21"/>
                <w:highlight w:val="none"/>
              </w:rPr>
              <w:t>实际供货日期</w:t>
            </w:r>
          </w:p>
        </w:tc>
        <w:tc>
          <w:tcPr>
            <w:tcW w:w="2345" w:type="dxa"/>
            <w:gridSpan w:val="2"/>
            <w:tcBorders>
              <w:top w:val="nil"/>
              <w:left w:val="nil"/>
              <w:bottom w:val="single" w:color="auto" w:sz="8" w:space="0"/>
              <w:right w:val="single" w:color="auto" w:sz="8" w:space="0"/>
            </w:tcBorders>
            <w:vAlign w:val="center"/>
          </w:tcPr>
          <w:p w14:paraId="480198F8">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2203" w:type="dxa"/>
            <w:gridSpan w:val="2"/>
            <w:tcBorders>
              <w:top w:val="nil"/>
              <w:left w:val="nil"/>
              <w:bottom w:val="single" w:color="auto" w:sz="8" w:space="0"/>
              <w:right w:val="single" w:color="auto" w:sz="8" w:space="0"/>
            </w:tcBorders>
            <w:vAlign w:val="center"/>
          </w:tcPr>
          <w:p w14:paraId="5F6333F2">
            <w:pPr>
              <w:widowControl/>
              <w:snapToGrid w:val="0"/>
              <w:spacing w:before="100" w:beforeAutospacing="1" w:after="100" w:afterAutospacing="1" w:line="320" w:lineRule="atLeast"/>
              <w:ind w:firstLine="46"/>
              <w:jc w:val="center"/>
              <w:rPr>
                <w:rFonts w:ascii="宋体" w:hAnsi="宋体" w:cs="宋体"/>
                <w:kern w:val="0"/>
                <w:szCs w:val="21"/>
                <w:highlight w:val="none"/>
              </w:rPr>
            </w:pPr>
            <w:r>
              <w:rPr>
                <w:rFonts w:hint="eastAsia" w:ascii="宋体" w:hAnsi="宋体" w:cs="宋体"/>
                <w:kern w:val="0"/>
                <w:szCs w:val="21"/>
                <w:highlight w:val="none"/>
              </w:rPr>
              <w:t>合同交货验收日期</w:t>
            </w:r>
          </w:p>
        </w:tc>
        <w:tc>
          <w:tcPr>
            <w:tcW w:w="2516" w:type="dxa"/>
            <w:gridSpan w:val="2"/>
            <w:tcBorders>
              <w:top w:val="nil"/>
              <w:left w:val="nil"/>
              <w:bottom w:val="single" w:color="auto" w:sz="8" w:space="0"/>
              <w:right w:val="single" w:color="auto" w:sz="8" w:space="0"/>
            </w:tcBorders>
            <w:vAlign w:val="center"/>
          </w:tcPr>
          <w:p w14:paraId="42920F43">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r>
      <w:tr w14:paraId="642C47B8">
        <w:tblPrEx>
          <w:tblCellMar>
            <w:top w:w="0" w:type="dxa"/>
            <w:left w:w="0" w:type="dxa"/>
            <w:bottom w:w="0" w:type="dxa"/>
            <w:right w:w="0" w:type="dxa"/>
          </w:tblCellMar>
        </w:tblPrEx>
        <w:trPr>
          <w:trHeight w:val="394" w:hRule="atLeast"/>
          <w:jc w:val="center"/>
        </w:trPr>
        <w:tc>
          <w:tcPr>
            <w:tcW w:w="1578" w:type="dxa"/>
            <w:tcBorders>
              <w:top w:val="nil"/>
              <w:left w:val="single" w:color="auto" w:sz="8" w:space="0"/>
              <w:bottom w:val="single" w:color="auto" w:sz="8" w:space="0"/>
              <w:right w:val="single" w:color="auto" w:sz="8" w:space="0"/>
            </w:tcBorders>
            <w:vAlign w:val="center"/>
          </w:tcPr>
          <w:p w14:paraId="170A3864">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2345" w:type="dxa"/>
            <w:gridSpan w:val="2"/>
            <w:tcBorders>
              <w:top w:val="nil"/>
              <w:left w:val="nil"/>
              <w:bottom w:val="single" w:color="auto" w:sz="8" w:space="0"/>
              <w:right w:val="single" w:color="auto" w:sz="8" w:space="0"/>
            </w:tcBorders>
            <w:vAlign w:val="center"/>
          </w:tcPr>
          <w:p w14:paraId="6B012D6C">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2203" w:type="dxa"/>
            <w:gridSpan w:val="2"/>
            <w:tcBorders>
              <w:top w:val="nil"/>
              <w:left w:val="nil"/>
              <w:bottom w:val="single" w:color="auto" w:sz="8" w:space="0"/>
              <w:right w:val="single" w:color="auto" w:sz="8" w:space="0"/>
            </w:tcBorders>
            <w:vAlign w:val="center"/>
          </w:tcPr>
          <w:p w14:paraId="3E65DAB5">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c>
          <w:tcPr>
            <w:tcW w:w="2516" w:type="dxa"/>
            <w:gridSpan w:val="2"/>
            <w:tcBorders>
              <w:top w:val="nil"/>
              <w:left w:val="nil"/>
              <w:bottom w:val="single" w:color="auto" w:sz="8" w:space="0"/>
              <w:right w:val="single" w:color="auto" w:sz="8" w:space="0"/>
            </w:tcBorders>
            <w:vAlign w:val="center"/>
          </w:tcPr>
          <w:p w14:paraId="26016657">
            <w:pPr>
              <w:widowControl/>
              <w:snapToGrid w:val="0"/>
              <w:spacing w:before="100" w:beforeAutospacing="1" w:after="100" w:afterAutospacing="1" w:line="320" w:lineRule="atLeast"/>
              <w:ind w:firstLine="480"/>
              <w:jc w:val="left"/>
              <w:rPr>
                <w:rFonts w:ascii="宋体" w:hAnsi="宋体" w:cs="宋体"/>
                <w:kern w:val="0"/>
                <w:szCs w:val="21"/>
                <w:highlight w:val="none"/>
              </w:rPr>
            </w:pPr>
            <w:r>
              <w:rPr>
                <w:rFonts w:hint="eastAsia" w:ascii="宋体" w:hAnsi="宋体" w:cs="宋体"/>
                <w:kern w:val="0"/>
                <w:szCs w:val="21"/>
                <w:highlight w:val="none"/>
              </w:rPr>
              <w:t> </w:t>
            </w:r>
          </w:p>
        </w:tc>
      </w:tr>
      <w:tr w14:paraId="459C9E53">
        <w:tblPrEx>
          <w:tblCellMar>
            <w:top w:w="0" w:type="dxa"/>
            <w:left w:w="0" w:type="dxa"/>
            <w:bottom w:w="0" w:type="dxa"/>
            <w:right w:w="0" w:type="dxa"/>
          </w:tblCellMar>
        </w:tblPrEx>
        <w:trPr>
          <w:trHeight w:val="693" w:hRule="atLeast"/>
          <w:jc w:val="center"/>
        </w:trPr>
        <w:tc>
          <w:tcPr>
            <w:tcW w:w="15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C54EB5">
            <w:pPr>
              <w:widowControl/>
              <w:snapToGrid w:val="0"/>
              <w:spacing w:before="100" w:beforeAutospacing="1" w:after="100" w:afterAutospacing="1" w:line="320" w:lineRule="atLeast"/>
              <w:jc w:val="left"/>
              <w:rPr>
                <w:rFonts w:ascii="宋体" w:hAnsi="宋体" w:cs="宋体"/>
                <w:kern w:val="0"/>
                <w:szCs w:val="21"/>
                <w:highlight w:val="none"/>
              </w:rPr>
            </w:pPr>
            <w:r>
              <w:rPr>
                <w:rFonts w:hint="eastAsia" w:ascii="宋体" w:hAnsi="宋体" w:cs="宋体"/>
                <w:kern w:val="0"/>
                <w:szCs w:val="21"/>
                <w:highlight w:val="none"/>
              </w:rPr>
              <w:t>验收具体内容</w:t>
            </w:r>
          </w:p>
        </w:tc>
        <w:tc>
          <w:tcPr>
            <w:tcW w:w="7064"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14:paraId="5CCF8417">
            <w:pPr>
              <w:widowControl/>
              <w:snapToGrid w:val="0"/>
              <w:spacing w:before="100" w:beforeAutospacing="1" w:after="100" w:afterAutospacing="1" w:line="320" w:lineRule="atLeast"/>
              <w:jc w:val="left"/>
              <w:rPr>
                <w:rFonts w:ascii="宋体" w:hAnsi="宋体" w:cs="宋体"/>
                <w:kern w:val="0"/>
                <w:szCs w:val="21"/>
                <w:highlight w:val="none"/>
              </w:rPr>
            </w:pPr>
            <w:r>
              <w:rPr>
                <w:rFonts w:hint="eastAsia" w:ascii="宋体" w:hAnsi="宋体" w:cs="宋体"/>
                <w:kern w:val="0"/>
                <w:szCs w:val="21"/>
                <w:highlight w:val="none"/>
              </w:rPr>
              <w:t>（应按采购合同、</w:t>
            </w:r>
            <w:r>
              <w:rPr>
                <w:rFonts w:hint="eastAsia" w:ascii="宋体" w:hAnsi="宋体" w:cs="宋体"/>
                <w:bCs/>
                <w:color w:val="000000"/>
                <w:szCs w:val="21"/>
                <w:highlight w:val="none"/>
                <w:lang w:eastAsia="zh-CN"/>
              </w:rPr>
              <w:t>招标</w:t>
            </w:r>
            <w:r>
              <w:rPr>
                <w:rFonts w:hint="eastAsia" w:ascii="宋体" w:hAnsi="宋体" w:cs="宋体"/>
                <w:kern w:val="0"/>
                <w:szCs w:val="21"/>
                <w:highlight w:val="none"/>
              </w:rPr>
              <w:t>文件、</w:t>
            </w:r>
            <w:r>
              <w:rPr>
                <w:rFonts w:hint="eastAsia" w:ascii="宋体" w:hAnsi="宋体" w:cs="宋体"/>
                <w:kern w:val="0"/>
                <w:szCs w:val="21"/>
                <w:highlight w:val="none"/>
                <w:lang w:eastAsia="zh-CN"/>
              </w:rPr>
              <w:t>投标</w:t>
            </w:r>
            <w:r>
              <w:rPr>
                <w:rFonts w:hint="eastAsia" w:ascii="宋体" w:hAnsi="宋体" w:cs="宋体"/>
                <w:kern w:val="0"/>
                <w:szCs w:val="21"/>
                <w:highlight w:val="none"/>
              </w:rPr>
              <w:t>文件及验收方案等进行验收；并核对中标或者</w:t>
            </w:r>
            <w:r>
              <w:rPr>
                <w:rFonts w:hint="eastAsia" w:ascii="宋体" w:hAnsi="宋体" w:cs="宋体"/>
                <w:kern w:val="0"/>
                <w:szCs w:val="21"/>
                <w:highlight w:val="none"/>
                <w:lang w:eastAsia="zh-CN"/>
              </w:rPr>
              <w:t>中标人</w:t>
            </w:r>
            <w:r>
              <w:rPr>
                <w:rFonts w:hint="eastAsia" w:ascii="宋体" w:hAnsi="宋体" w:cs="宋体"/>
                <w:kern w:val="0"/>
                <w:szCs w:val="21"/>
                <w:highlight w:val="none"/>
              </w:rPr>
              <w:t>在安装调试等方面是否违反合同约定或服务规范要求、提供的质量保证证明材料是否齐全、应有的配件及附件是否达到合同约定等。可附件)</w:t>
            </w:r>
          </w:p>
        </w:tc>
      </w:tr>
      <w:tr w14:paraId="2C2D2C5F">
        <w:tblPrEx>
          <w:tblCellMar>
            <w:top w:w="0" w:type="dxa"/>
            <w:left w:w="0" w:type="dxa"/>
            <w:bottom w:w="0" w:type="dxa"/>
            <w:right w:w="0" w:type="dxa"/>
          </w:tblCellMar>
        </w:tblPrEx>
        <w:trPr>
          <w:trHeight w:val="1281" w:hRule="atLeast"/>
          <w:jc w:val="center"/>
        </w:trPr>
        <w:tc>
          <w:tcPr>
            <w:tcW w:w="1578"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F27943">
            <w:pPr>
              <w:widowControl/>
              <w:spacing w:before="100" w:beforeAutospacing="1" w:after="100" w:afterAutospacing="1" w:line="320" w:lineRule="atLeast"/>
              <w:jc w:val="left"/>
              <w:rPr>
                <w:rFonts w:ascii="宋体" w:hAnsi="宋体" w:cs="宋体"/>
                <w:kern w:val="0"/>
                <w:szCs w:val="21"/>
                <w:highlight w:val="none"/>
              </w:rPr>
            </w:pPr>
            <w:r>
              <w:rPr>
                <w:rFonts w:hint="eastAsia" w:ascii="宋体" w:hAnsi="宋体" w:cs="宋体"/>
                <w:kern w:val="0"/>
                <w:szCs w:val="21"/>
                <w:highlight w:val="none"/>
              </w:rPr>
              <w:t>验收小组意见</w:t>
            </w:r>
          </w:p>
        </w:tc>
        <w:tc>
          <w:tcPr>
            <w:tcW w:w="7064" w:type="dxa"/>
            <w:gridSpan w:val="6"/>
            <w:tcBorders>
              <w:top w:val="nil"/>
              <w:left w:val="nil"/>
              <w:bottom w:val="single" w:color="auto" w:sz="8" w:space="0"/>
              <w:right w:val="single" w:color="auto" w:sz="8" w:space="0"/>
            </w:tcBorders>
            <w:vAlign w:val="center"/>
          </w:tcPr>
          <w:p w14:paraId="1413835D">
            <w:pPr>
              <w:widowControl/>
              <w:spacing w:before="100" w:beforeAutospacing="1" w:after="100" w:afterAutospacing="1" w:line="320" w:lineRule="atLeast"/>
              <w:jc w:val="left"/>
              <w:rPr>
                <w:rFonts w:ascii="宋体" w:hAnsi="宋体" w:cs="宋体"/>
                <w:kern w:val="0"/>
                <w:szCs w:val="21"/>
                <w:highlight w:val="none"/>
              </w:rPr>
            </w:pPr>
            <w:r>
              <w:rPr>
                <w:rFonts w:hint="eastAsia" w:ascii="宋体" w:hAnsi="宋体" w:cs="宋体"/>
                <w:kern w:val="0"/>
                <w:szCs w:val="21"/>
                <w:highlight w:val="none"/>
              </w:rPr>
              <w:t> 验收结论性意见：</w:t>
            </w:r>
          </w:p>
          <w:p w14:paraId="000C21B7">
            <w:pPr>
              <w:widowControl/>
              <w:spacing w:before="100" w:beforeAutospacing="1" w:after="100" w:afterAutospacing="1" w:line="320" w:lineRule="atLeast"/>
              <w:jc w:val="left"/>
              <w:rPr>
                <w:rFonts w:ascii="宋体" w:hAnsi="宋体" w:cs="宋体"/>
                <w:kern w:val="0"/>
                <w:szCs w:val="21"/>
                <w:highlight w:val="none"/>
              </w:rPr>
            </w:pPr>
            <w:r>
              <w:rPr>
                <w:rFonts w:hint="eastAsia" w:ascii="宋体" w:hAnsi="宋体" w:cs="宋体"/>
                <w:kern w:val="0"/>
                <w:szCs w:val="21"/>
                <w:highlight w:val="none"/>
              </w:rPr>
              <w:t> </w:t>
            </w:r>
          </w:p>
        </w:tc>
      </w:tr>
      <w:tr w14:paraId="48277F86">
        <w:tblPrEx>
          <w:tblCellMar>
            <w:top w:w="0" w:type="dxa"/>
            <w:left w:w="0" w:type="dxa"/>
            <w:bottom w:w="0" w:type="dxa"/>
            <w:right w:w="0" w:type="dxa"/>
          </w:tblCellMar>
        </w:tblPrEx>
        <w:trPr>
          <w:trHeight w:val="607" w:hRule="atLeast"/>
          <w:jc w:val="center"/>
        </w:trPr>
        <w:tc>
          <w:tcPr>
            <w:tcW w:w="1578" w:type="dxa"/>
            <w:vMerge w:val="continue"/>
            <w:tcBorders>
              <w:top w:val="nil"/>
              <w:left w:val="single" w:color="auto" w:sz="8" w:space="0"/>
              <w:bottom w:val="single" w:color="auto" w:sz="8" w:space="0"/>
              <w:right w:val="single" w:color="auto" w:sz="8" w:space="0"/>
            </w:tcBorders>
            <w:vAlign w:val="center"/>
          </w:tcPr>
          <w:p w14:paraId="5A51A25D">
            <w:pPr>
              <w:widowControl/>
              <w:jc w:val="left"/>
              <w:rPr>
                <w:rFonts w:ascii="宋体" w:hAnsi="宋体" w:cs="宋体"/>
                <w:kern w:val="0"/>
                <w:szCs w:val="21"/>
                <w:highlight w:val="none"/>
              </w:rPr>
            </w:pPr>
          </w:p>
        </w:tc>
        <w:tc>
          <w:tcPr>
            <w:tcW w:w="7064" w:type="dxa"/>
            <w:gridSpan w:val="6"/>
            <w:tcBorders>
              <w:top w:val="nil"/>
              <w:left w:val="nil"/>
              <w:bottom w:val="single" w:color="auto" w:sz="8" w:space="0"/>
              <w:right w:val="single" w:color="auto" w:sz="8" w:space="0"/>
            </w:tcBorders>
            <w:vAlign w:val="center"/>
          </w:tcPr>
          <w:p w14:paraId="7C9F44E1">
            <w:pPr>
              <w:widowControl/>
              <w:spacing w:before="100" w:beforeAutospacing="1" w:after="100" w:afterAutospacing="1" w:line="320" w:lineRule="atLeast"/>
              <w:ind w:firstLine="96"/>
              <w:jc w:val="left"/>
              <w:rPr>
                <w:rFonts w:ascii="宋体" w:hAnsi="宋体" w:cs="宋体"/>
                <w:kern w:val="0"/>
                <w:szCs w:val="21"/>
                <w:highlight w:val="none"/>
              </w:rPr>
            </w:pPr>
            <w:r>
              <w:rPr>
                <w:rFonts w:hint="eastAsia" w:ascii="宋体" w:hAnsi="宋体" w:cs="宋体"/>
                <w:kern w:val="0"/>
                <w:szCs w:val="21"/>
                <w:highlight w:val="none"/>
              </w:rPr>
              <w:t>有异议的意见和说明理由：</w:t>
            </w:r>
          </w:p>
          <w:p w14:paraId="12F1BE7D">
            <w:pPr>
              <w:widowControl/>
              <w:spacing w:before="100" w:beforeAutospacing="1" w:after="100" w:afterAutospacing="1" w:line="320" w:lineRule="atLeast"/>
              <w:jc w:val="left"/>
              <w:rPr>
                <w:rFonts w:ascii="宋体" w:hAnsi="宋体" w:cs="宋体"/>
                <w:kern w:val="0"/>
                <w:szCs w:val="21"/>
                <w:highlight w:val="none"/>
              </w:rPr>
            </w:pPr>
            <w:r>
              <w:rPr>
                <w:rFonts w:hint="eastAsia" w:ascii="宋体" w:hAnsi="宋体" w:cs="宋体"/>
                <w:kern w:val="0"/>
                <w:szCs w:val="21"/>
                <w:highlight w:val="none"/>
              </w:rPr>
              <w:t>                                      签字：</w:t>
            </w:r>
          </w:p>
        </w:tc>
      </w:tr>
      <w:tr w14:paraId="26F5A134">
        <w:tblPrEx>
          <w:tblCellMar>
            <w:top w:w="0" w:type="dxa"/>
            <w:left w:w="0" w:type="dxa"/>
            <w:bottom w:w="0" w:type="dxa"/>
            <w:right w:w="0" w:type="dxa"/>
          </w:tblCellMar>
        </w:tblPrEx>
        <w:trPr>
          <w:trHeight w:val="507" w:hRule="atLeast"/>
          <w:jc w:val="center"/>
        </w:trPr>
        <w:tc>
          <w:tcPr>
            <w:tcW w:w="8642" w:type="dxa"/>
            <w:gridSpan w:val="7"/>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F7D42E">
            <w:pPr>
              <w:widowControl/>
              <w:spacing w:before="100" w:beforeAutospacing="1" w:after="100" w:afterAutospacing="1" w:line="320" w:lineRule="atLeast"/>
              <w:jc w:val="left"/>
              <w:rPr>
                <w:rFonts w:ascii="宋体" w:hAnsi="宋体" w:cs="宋体"/>
                <w:kern w:val="0"/>
                <w:szCs w:val="21"/>
                <w:highlight w:val="none"/>
              </w:rPr>
            </w:pPr>
            <w:r>
              <w:rPr>
                <w:rFonts w:hint="eastAsia" w:ascii="宋体" w:hAnsi="宋体" w:cs="宋体"/>
                <w:kern w:val="0"/>
                <w:szCs w:val="21"/>
                <w:highlight w:val="none"/>
              </w:rPr>
              <w:t>验收小组成员签字：</w:t>
            </w:r>
          </w:p>
        </w:tc>
      </w:tr>
      <w:tr w14:paraId="1E56B604">
        <w:tblPrEx>
          <w:tblCellMar>
            <w:top w:w="0" w:type="dxa"/>
            <w:left w:w="0" w:type="dxa"/>
            <w:bottom w:w="0" w:type="dxa"/>
            <w:right w:w="0" w:type="dxa"/>
          </w:tblCellMar>
        </w:tblPrEx>
        <w:trPr>
          <w:trHeight w:val="736" w:hRule="atLeast"/>
          <w:jc w:val="center"/>
        </w:trPr>
        <w:tc>
          <w:tcPr>
            <w:tcW w:w="8642" w:type="dxa"/>
            <w:gridSpan w:val="7"/>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A5623B">
            <w:pPr>
              <w:widowControl/>
              <w:spacing w:before="100" w:beforeAutospacing="1" w:after="100" w:afterAutospacing="1" w:line="320" w:lineRule="atLeast"/>
              <w:jc w:val="left"/>
              <w:rPr>
                <w:rFonts w:ascii="宋体" w:hAnsi="宋体" w:cs="宋体"/>
                <w:kern w:val="0"/>
                <w:szCs w:val="21"/>
                <w:highlight w:val="none"/>
              </w:rPr>
            </w:pPr>
            <w:r>
              <w:rPr>
                <w:rFonts w:hint="eastAsia" w:ascii="宋体" w:hAnsi="宋体" w:cs="宋体"/>
                <w:kern w:val="0"/>
                <w:szCs w:val="21"/>
                <w:highlight w:val="none"/>
              </w:rPr>
              <w:t>监督人员或其他相关人员签字：</w:t>
            </w:r>
          </w:p>
          <w:p w14:paraId="37107EBF">
            <w:pPr>
              <w:widowControl/>
              <w:spacing w:before="100" w:beforeAutospacing="1" w:after="100" w:afterAutospacing="1" w:line="320" w:lineRule="atLeast"/>
              <w:ind w:firstLine="74"/>
              <w:jc w:val="left"/>
              <w:rPr>
                <w:rFonts w:ascii="宋体" w:hAnsi="宋体" w:cs="宋体"/>
                <w:kern w:val="0"/>
                <w:szCs w:val="21"/>
                <w:highlight w:val="none"/>
              </w:rPr>
            </w:pPr>
            <w:r>
              <w:rPr>
                <w:rFonts w:hint="eastAsia" w:ascii="宋体" w:hAnsi="宋体" w:cs="宋体"/>
                <w:kern w:val="0"/>
                <w:szCs w:val="21"/>
                <w:highlight w:val="none"/>
              </w:rPr>
              <w:t>或受邀机构的意见（盖章）：</w:t>
            </w:r>
          </w:p>
        </w:tc>
      </w:tr>
      <w:tr w14:paraId="030DA369">
        <w:tblPrEx>
          <w:tblCellMar>
            <w:top w:w="0" w:type="dxa"/>
            <w:left w:w="0" w:type="dxa"/>
            <w:bottom w:w="0" w:type="dxa"/>
            <w:right w:w="0" w:type="dxa"/>
          </w:tblCellMar>
        </w:tblPrEx>
        <w:trPr>
          <w:trHeight w:val="758" w:hRule="atLeast"/>
          <w:jc w:val="center"/>
        </w:trPr>
        <w:tc>
          <w:tcPr>
            <w:tcW w:w="3923" w:type="dxa"/>
            <w:gridSpan w:val="3"/>
            <w:tcBorders>
              <w:top w:val="nil"/>
              <w:left w:val="single" w:color="auto" w:sz="8" w:space="0"/>
              <w:bottom w:val="single" w:color="auto" w:sz="8" w:space="0"/>
              <w:right w:val="nil"/>
            </w:tcBorders>
            <w:tcMar>
              <w:top w:w="0" w:type="dxa"/>
              <w:left w:w="108" w:type="dxa"/>
              <w:bottom w:w="0" w:type="dxa"/>
              <w:right w:w="108" w:type="dxa"/>
            </w:tcMar>
            <w:vAlign w:val="center"/>
          </w:tcPr>
          <w:p w14:paraId="4CF62A60">
            <w:pPr>
              <w:widowControl/>
              <w:spacing w:before="100" w:beforeAutospacing="1" w:after="100" w:afterAutospacing="1" w:line="320" w:lineRule="atLeast"/>
              <w:ind w:right="-223" w:rightChars="-106" w:firstLine="74"/>
              <w:jc w:val="left"/>
              <w:rPr>
                <w:rFonts w:ascii="宋体" w:hAnsi="宋体" w:cs="宋体"/>
                <w:kern w:val="0"/>
                <w:szCs w:val="21"/>
                <w:highlight w:val="none"/>
              </w:rPr>
            </w:pPr>
            <w:r>
              <w:rPr>
                <w:rFonts w:hint="eastAsia" w:ascii="宋体" w:hAnsi="宋体" w:cs="宋体"/>
                <w:kern w:val="0"/>
                <w:szCs w:val="21"/>
                <w:highlight w:val="none"/>
              </w:rPr>
              <w:t>中标或者</w:t>
            </w:r>
            <w:r>
              <w:rPr>
                <w:rFonts w:hint="eastAsia" w:ascii="宋体" w:hAnsi="宋体" w:cs="宋体"/>
                <w:kern w:val="0"/>
                <w:szCs w:val="21"/>
                <w:highlight w:val="none"/>
                <w:lang w:eastAsia="zh-CN"/>
              </w:rPr>
              <w:t>中标人</w:t>
            </w:r>
            <w:r>
              <w:rPr>
                <w:rFonts w:hint="eastAsia" w:ascii="宋体" w:hAnsi="宋体" w:cs="宋体"/>
                <w:kern w:val="0"/>
                <w:szCs w:val="21"/>
                <w:highlight w:val="none"/>
              </w:rPr>
              <w:t>负责人签字或盖章：</w:t>
            </w:r>
          </w:p>
          <w:p w14:paraId="5719EEC9">
            <w:pPr>
              <w:widowControl/>
              <w:spacing w:before="100" w:beforeAutospacing="1" w:after="100" w:afterAutospacing="1" w:line="320" w:lineRule="atLeast"/>
              <w:jc w:val="left"/>
              <w:rPr>
                <w:rFonts w:ascii="宋体" w:hAnsi="宋体" w:cs="宋体"/>
                <w:kern w:val="0"/>
                <w:szCs w:val="21"/>
                <w:highlight w:val="none"/>
              </w:rPr>
            </w:pPr>
            <w:r>
              <w:rPr>
                <w:rFonts w:hint="eastAsia" w:ascii="宋体" w:hAnsi="宋体" w:cs="宋体"/>
                <w:kern w:val="0"/>
                <w:szCs w:val="21"/>
                <w:highlight w:val="none"/>
              </w:rPr>
              <w:t>联系电话：        年 月 日</w:t>
            </w:r>
          </w:p>
        </w:tc>
        <w:tc>
          <w:tcPr>
            <w:tcW w:w="4719" w:type="dxa"/>
            <w:gridSpan w:val="4"/>
            <w:tcBorders>
              <w:top w:val="nil"/>
              <w:left w:val="nil"/>
              <w:bottom w:val="single" w:color="auto" w:sz="8" w:space="0"/>
              <w:right w:val="single" w:color="auto" w:sz="8" w:space="0"/>
            </w:tcBorders>
            <w:vAlign w:val="center"/>
          </w:tcPr>
          <w:p w14:paraId="3D676593">
            <w:pPr>
              <w:widowControl/>
              <w:spacing w:before="100" w:beforeAutospacing="1" w:after="100" w:afterAutospacing="1" w:line="320" w:lineRule="atLeast"/>
              <w:jc w:val="left"/>
              <w:rPr>
                <w:rFonts w:ascii="宋体" w:hAnsi="宋体" w:cs="宋体"/>
                <w:kern w:val="0"/>
                <w:szCs w:val="21"/>
                <w:highlight w:val="none"/>
              </w:rPr>
            </w:pPr>
            <w:r>
              <w:rPr>
                <w:rFonts w:hint="eastAsia" w:ascii="宋体" w:hAnsi="宋体" w:cs="宋体"/>
                <w:kern w:val="0"/>
                <w:szCs w:val="21"/>
                <w:highlight w:val="none"/>
              </w:rPr>
              <w:t> 采购人或受托机构的意见（盖章）：</w:t>
            </w:r>
          </w:p>
          <w:p w14:paraId="1F9F61B2">
            <w:pPr>
              <w:widowControl/>
              <w:spacing w:before="100" w:beforeAutospacing="1" w:after="100" w:afterAutospacing="1" w:line="320" w:lineRule="atLeast"/>
              <w:ind w:left="399" w:leftChars="190"/>
              <w:jc w:val="left"/>
              <w:rPr>
                <w:rFonts w:ascii="宋体" w:hAnsi="宋体" w:cs="宋体"/>
                <w:kern w:val="0"/>
                <w:szCs w:val="21"/>
                <w:highlight w:val="none"/>
              </w:rPr>
            </w:pPr>
            <w:r>
              <w:rPr>
                <w:rFonts w:hint="eastAsia" w:ascii="宋体" w:hAnsi="宋体" w:cs="宋体"/>
                <w:kern w:val="0"/>
                <w:szCs w:val="21"/>
                <w:highlight w:val="none"/>
              </w:rPr>
              <w:t>联系电话：        年  月  日</w:t>
            </w:r>
          </w:p>
        </w:tc>
      </w:tr>
    </w:tbl>
    <w:p w14:paraId="5D7B8E6D">
      <w:pPr>
        <w:snapToGrid w:val="0"/>
        <w:rPr>
          <w:rFonts w:ascii="宋体" w:hAnsi="宋体" w:cs="宋体"/>
          <w:b/>
          <w:szCs w:val="20"/>
          <w:highlight w:val="none"/>
        </w:rPr>
        <w:sectPr>
          <w:pgSz w:w="11906" w:h="16838"/>
          <w:pgMar w:top="1701" w:right="1701" w:bottom="1701" w:left="1701" w:header="851" w:footer="992" w:gutter="0"/>
          <w:cols w:space="720" w:num="1"/>
          <w:titlePg/>
          <w:docGrid w:linePitch="312" w:charSpace="0"/>
        </w:sectPr>
      </w:pPr>
    </w:p>
    <w:p w14:paraId="1555B37E">
      <w:pPr>
        <w:snapToGrid w:val="0"/>
        <w:rPr>
          <w:rFonts w:ascii="宋体" w:hAnsi="宋体" w:cs="宋体"/>
          <w:sz w:val="30"/>
          <w:szCs w:val="30"/>
          <w:highlight w:val="none"/>
        </w:rPr>
      </w:pPr>
      <w:r>
        <w:rPr>
          <w:rFonts w:hint="eastAsia" w:ascii="宋体" w:hAnsi="宋体" w:cs="宋体"/>
          <w:b/>
          <w:sz w:val="30"/>
          <w:szCs w:val="30"/>
          <w:highlight w:val="none"/>
        </w:rPr>
        <w:t>附件2：</w:t>
      </w:r>
    </w:p>
    <w:p w14:paraId="5241D331">
      <w:pPr>
        <w:jc w:val="center"/>
        <w:rPr>
          <w:rFonts w:ascii="宋体" w:hAnsi="宋体" w:cs="宋体"/>
          <w:b/>
          <w:bCs/>
          <w:sz w:val="28"/>
          <w:szCs w:val="28"/>
          <w:highlight w:val="none"/>
        </w:rPr>
      </w:pPr>
      <w:r>
        <w:rPr>
          <w:rFonts w:hint="eastAsia" w:ascii="宋体" w:hAnsi="宋体" w:cs="宋体"/>
          <w:b/>
          <w:bCs/>
          <w:sz w:val="28"/>
          <w:szCs w:val="28"/>
          <w:highlight w:val="none"/>
        </w:rPr>
        <w:t>政府采购项目履约保证金退付意见书</w:t>
      </w:r>
    </w:p>
    <w:p w14:paraId="3B67FFF5">
      <w:pPr>
        <w:jc w:val="center"/>
        <w:rPr>
          <w:rFonts w:ascii="黑体" w:hAnsi="黑体" w:eastAsia="黑体"/>
          <w:sz w:val="36"/>
          <w:szCs w:val="36"/>
          <w:highlight w:val="none"/>
        </w:rPr>
      </w:pPr>
      <w:r>
        <w:rPr>
          <w:rFonts w:hint="eastAsia"/>
          <w:highlight w:val="none"/>
          <w:lang w:eastAsia="zh-CN"/>
        </w:rPr>
        <w:tab/>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1AE9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1FD32875">
            <w:pPr>
              <w:jc w:val="center"/>
              <w:rPr>
                <w:sz w:val="24"/>
                <w:highlight w:val="none"/>
              </w:rPr>
            </w:pPr>
            <w:r>
              <w:rPr>
                <w:rFonts w:hint="eastAsia"/>
                <w:sz w:val="24"/>
                <w:highlight w:val="none"/>
              </w:rPr>
              <w:t>供</w:t>
            </w:r>
          </w:p>
          <w:p w14:paraId="02C3CACD">
            <w:pPr>
              <w:jc w:val="center"/>
              <w:rPr>
                <w:sz w:val="24"/>
                <w:highlight w:val="none"/>
              </w:rPr>
            </w:pPr>
            <w:r>
              <w:rPr>
                <w:rFonts w:hint="eastAsia"/>
                <w:sz w:val="24"/>
                <w:highlight w:val="none"/>
              </w:rPr>
              <w:t>应</w:t>
            </w:r>
          </w:p>
          <w:p w14:paraId="2C47DA17">
            <w:pPr>
              <w:jc w:val="center"/>
              <w:rPr>
                <w:sz w:val="24"/>
                <w:highlight w:val="none"/>
              </w:rPr>
            </w:pPr>
            <w:r>
              <w:rPr>
                <w:rFonts w:hint="eastAsia"/>
                <w:sz w:val="24"/>
                <w:highlight w:val="none"/>
              </w:rPr>
              <w:t>商</w:t>
            </w:r>
          </w:p>
          <w:p w14:paraId="5B866000">
            <w:pPr>
              <w:jc w:val="center"/>
              <w:rPr>
                <w:sz w:val="24"/>
                <w:highlight w:val="none"/>
              </w:rPr>
            </w:pPr>
            <w:r>
              <w:rPr>
                <w:rFonts w:hint="eastAsia"/>
                <w:sz w:val="24"/>
                <w:highlight w:val="none"/>
              </w:rPr>
              <w:t>申</w:t>
            </w:r>
          </w:p>
          <w:p w14:paraId="4D1DC0F5">
            <w:pPr>
              <w:jc w:val="center"/>
              <w:rPr>
                <w:sz w:val="24"/>
                <w:highlight w:val="none"/>
              </w:rPr>
            </w:pPr>
            <w:r>
              <w:rPr>
                <w:rFonts w:hint="eastAsia"/>
                <w:sz w:val="24"/>
                <w:highlight w:val="none"/>
              </w:rPr>
              <w:t>请</w:t>
            </w:r>
          </w:p>
        </w:tc>
        <w:tc>
          <w:tcPr>
            <w:tcW w:w="8009" w:type="dxa"/>
            <w:vAlign w:val="center"/>
          </w:tcPr>
          <w:p w14:paraId="0980527F">
            <w:pPr>
              <w:rPr>
                <w:sz w:val="24"/>
                <w:highlight w:val="none"/>
              </w:rPr>
            </w:pPr>
            <w:r>
              <w:rPr>
                <w:rFonts w:hint="eastAsia"/>
                <w:sz w:val="24"/>
                <w:highlight w:val="none"/>
              </w:rPr>
              <w:t>项目编号：</w:t>
            </w:r>
          </w:p>
        </w:tc>
      </w:tr>
      <w:tr w14:paraId="5B6F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0A789811">
            <w:pPr>
              <w:rPr>
                <w:sz w:val="24"/>
                <w:highlight w:val="none"/>
              </w:rPr>
            </w:pPr>
          </w:p>
        </w:tc>
        <w:tc>
          <w:tcPr>
            <w:tcW w:w="8009" w:type="dxa"/>
            <w:vAlign w:val="center"/>
          </w:tcPr>
          <w:p w14:paraId="4F6E7447">
            <w:pPr>
              <w:rPr>
                <w:sz w:val="24"/>
                <w:highlight w:val="none"/>
              </w:rPr>
            </w:pPr>
            <w:r>
              <w:rPr>
                <w:rFonts w:hint="eastAsia"/>
                <w:sz w:val="24"/>
                <w:highlight w:val="none"/>
              </w:rPr>
              <w:t>项目名称：</w:t>
            </w:r>
          </w:p>
        </w:tc>
      </w:tr>
      <w:tr w14:paraId="31C2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681F2CEA">
            <w:pPr>
              <w:rPr>
                <w:sz w:val="24"/>
                <w:highlight w:val="none"/>
              </w:rPr>
            </w:pPr>
          </w:p>
        </w:tc>
        <w:tc>
          <w:tcPr>
            <w:tcW w:w="8009" w:type="dxa"/>
            <w:vAlign w:val="center"/>
          </w:tcPr>
          <w:p w14:paraId="0F0AF0BE">
            <w:pPr>
              <w:rPr>
                <w:sz w:val="24"/>
                <w:highlight w:val="none"/>
              </w:rPr>
            </w:pPr>
            <w:r>
              <w:rPr>
                <w:rFonts w:hint="eastAsia"/>
                <w:sz w:val="24"/>
                <w:highlight w:val="none"/>
              </w:rPr>
              <w:t>合同编号：</w:t>
            </w:r>
          </w:p>
        </w:tc>
      </w:tr>
      <w:tr w14:paraId="63EE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07079BD3">
            <w:pPr>
              <w:rPr>
                <w:sz w:val="24"/>
                <w:highlight w:val="none"/>
              </w:rPr>
            </w:pPr>
          </w:p>
        </w:tc>
        <w:tc>
          <w:tcPr>
            <w:tcW w:w="8009" w:type="dxa"/>
          </w:tcPr>
          <w:p w14:paraId="49F1A09A">
            <w:pPr>
              <w:rPr>
                <w:sz w:val="24"/>
                <w:highlight w:val="none"/>
              </w:rPr>
            </w:pPr>
            <w:r>
              <w:rPr>
                <w:rFonts w:hint="eastAsia"/>
                <w:sz w:val="24"/>
                <w:highlight w:val="none"/>
              </w:rPr>
              <w:t xml:space="preserve">  </w:t>
            </w:r>
          </w:p>
          <w:p w14:paraId="55AB2190">
            <w:pPr>
              <w:ind w:firstLine="480" w:firstLineChars="200"/>
              <w:rPr>
                <w:sz w:val="24"/>
                <w:highlight w:val="none"/>
              </w:rPr>
            </w:pPr>
            <w:r>
              <w:rPr>
                <w:rFonts w:hint="eastAsia"/>
                <w:sz w:val="24"/>
                <w:highlight w:val="none"/>
              </w:rPr>
              <w:t>该项目已于</w:t>
            </w:r>
            <w:r>
              <w:rPr>
                <w:rFonts w:hint="eastAsia"/>
                <w:sz w:val="24"/>
                <w:highlight w:val="none"/>
                <w:u w:val="single"/>
              </w:rPr>
              <w:t xml:space="preserve">       </w:t>
            </w:r>
            <w:r>
              <w:rPr>
                <w:rFonts w:hint="eastAsia"/>
                <w:sz w:val="24"/>
                <w:highlight w:val="none"/>
              </w:rPr>
              <w:t>年</w:t>
            </w:r>
            <w:r>
              <w:rPr>
                <w:rFonts w:hint="eastAsia"/>
                <w:sz w:val="24"/>
                <w:highlight w:val="none"/>
                <w:u w:val="single"/>
              </w:rPr>
              <w:t xml:space="preserve">     </w:t>
            </w:r>
            <w:r>
              <w:rPr>
                <w:rFonts w:hint="eastAsia"/>
                <w:sz w:val="24"/>
                <w:highlight w:val="none"/>
              </w:rPr>
              <w:t>月</w:t>
            </w:r>
            <w:r>
              <w:rPr>
                <w:rFonts w:hint="eastAsia"/>
                <w:sz w:val="24"/>
                <w:highlight w:val="none"/>
                <w:u w:val="single"/>
              </w:rPr>
              <w:t xml:space="preserve">     </w:t>
            </w:r>
            <w:r>
              <w:rPr>
                <w:rFonts w:hint="eastAsia"/>
                <w:sz w:val="24"/>
                <w:highlight w:val="none"/>
              </w:rPr>
              <w:t>日验收并交付使用。根据合同规定，该项目的履约保证金期限于</w:t>
            </w:r>
            <w:r>
              <w:rPr>
                <w:rFonts w:hint="eastAsia"/>
                <w:sz w:val="24"/>
                <w:highlight w:val="none"/>
                <w:u w:val="single"/>
              </w:rPr>
              <w:t xml:space="preserve">         </w:t>
            </w:r>
            <w:r>
              <w:rPr>
                <w:rFonts w:hint="eastAsia"/>
                <w:sz w:val="24"/>
                <w:highlight w:val="none"/>
              </w:rPr>
              <w:t>年</w:t>
            </w:r>
            <w:r>
              <w:rPr>
                <w:rFonts w:hint="eastAsia"/>
                <w:sz w:val="24"/>
                <w:highlight w:val="none"/>
                <w:u w:val="single"/>
              </w:rPr>
              <w:t xml:space="preserve">      </w:t>
            </w:r>
            <w:r>
              <w:rPr>
                <w:rFonts w:hint="eastAsia"/>
                <w:sz w:val="24"/>
                <w:highlight w:val="none"/>
              </w:rPr>
              <w:t>月</w:t>
            </w:r>
            <w:r>
              <w:rPr>
                <w:rFonts w:hint="eastAsia"/>
                <w:sz w:val="24"/>
                <w:highlight w:val="none"/>
                <w:u w:val="single"/>
              </w:rPr>
              <w:t xml:space="preserve">      </w:t>
            </w:r>
            <w:r>
              <w:rPr>
                <w:rFonts w:hint="eastAsia"/>
                <w:sz w:val="24"/>
                <w:highlight w:val="none"/>
              </w:rPr>
              <w:t>日已满，请将履约保证金（大写金额）</w:t>
            </w:r>
            <w:r>
              <w:rPr>
                <w:rFonts w:hint="eastAsia"/>
                <w:sz w:val="24"/>
                <w:highlight w:val="none"/>
                <w:u w:val="single"/>
              </w:rPr>
              <w:t xml:space="preserve">                              </w:t>
            </w:r>
            <w:r>
              <w:rPr>
                <w:rFonts w:hint="eastAsia"/>
                <w:sz w:val="24"/>
                <w:highlight w:val="none"/>
              </w:rPr>
              <w:t>，（小写金额）¥</w:t>
            </w:r>
            <w:r>
              <w:rPr>
                <w:rFonts w:hint="eastAsia"/>
                <w:sz w:val="24"/>
                <w:highlight w:val="none"/>
                <w:u w:val="single"/>
              </w:rPr>
              <w:t xml:space="preserve">          </w:t>
            </w:r>
            <w:r>
              <w:rPr>
                <w:rFonts w:hint="eastAsia"/>
                <w:sz w:val="24"/>
                <w:highlight w:val="none"/>
              </w:rPr>
              <w:t>退付到达以下</w:t>
            </w:r>
            <w:r>
              <w:rPr>
                <w:rFonts w:hint="eastAsia"/>
                <w:sz w:val="24"/>
                <w:highlight w:val="none"/>
                <w:lang w:eastAsia="zh-CN"/>
              </w:rPr>
              <w:t>账</w:t>
            </w:r>
            <w:r>
              <w:rPr>
                <w:rFonts w:hint="eastAsia"/>
                <w:sz w:val="24"/>
                <w:highlight w:val="none"/>
              </w:rPr>
              <w:t>户。</w:t>
            </w:r>
          </w:p>
          <w:p w14:paraId="2133878D">
            <w:pPr>
              <w:rPr>
                <w:sz w:val="24"/>
                <w:highlight w:val="none"/>
              </w:rPr>
            </w:pPr>
            <w:r>
              <w:rPr>
                <w:rFonts w:hint="eastAsia"/>
                <w:sz w:val="24"/>
                <w:highlight w:val="none"/>
              </w:rPr>
              <w:t>单位名称：</w:t>
            </w:r>
          </w:p>
          <w:p w14:paraId="50E3F7D3">
            <w:pPr>
              <w:rPr>
                <w:sz w:val="24"/>
                <w:highlight w:val="none"/>
              </w:rPr>
            </w:pPr>
            <w:r>
              <w:rPr>
                <w:rFonts w:hint="eastAsia"/>
                <w:sz w:val="24"/>
                <w:highlight w:val="none"/>
              </w:rPr>
              <w:t>开户银行：</w:t>
            </w:r>
          </w:p>
          <w:p w14:paraId="54A73E0E">
            <w:pPr>
              <w:rPr>
                <w:sz w:val="24"/>
                <w:highlight w:val="none"/>
              </w:rPr>
            </w:pPr>
            <w:r>
              <w:rPr>
                <w:rFonts w:hint="eastAsia"/>
                <w:sz w:val="24"/>
                <w:highlight w:val="none"/>
                <w:lang w:eastAsia="zh-CN"/>
              </w:rPr>
              <w:t>账</w:t>
            </w:r>
            <w:r>
              <w:rPr>
                <w:rFonts w:hint="eastAsia"/>
                <w:sz w:val="24"/>
                <w:highlight w:val="none"/>
              </w:rPr>
              <w:t xml:space="preserve">    号：</w:t>
            </w:r>
          </w:p>
          <w:p w14:paraId="2F048836">
            <w:pPr>
              <w:rPr>
                <w:sz w:val="24"/>
                <w:highlight w:val="none"/>
              </w:rPr>
            </w:pPr>
            <w:r>
              <w:rPr>
                <w:rFonts w:hint="eastAsia"/>
                <w:sz w:val="24"/>
                <w:highlight w:val="none"/>
              </w:rPr>
              <w:t>联系人及电话：</w:t>
            </w:r>
          </w:p>
          <w:p w14:paraId="5BEA5363">
            <w:pPr>
              <w:rPr>
                <w:sz w:val="24"/>
                <w:highlight w:val="none"/>
              </w:rPr>
            </w:pPr>
          </w:p>
          <w:p w14:paraId="478DD9A7">
            <w:pPr>
              <w:jc w:val="center"/>
              <w:rPr>
                <w:sz w:val="24"/>
                <w:highlight w:val="none"/>
              </w:rPr>
            </w:pPr>
            <w:r>
              <w:rPr>
                <w:rFonts w:hint="eastAsia"/>
                <w:sz w:val="24"/>
                <w:highlight w:val="none"/>
              </w:rPr>
              <w:t xml:space="preserve">                           供应商公章：</w:t>
            </w:r>
          </w:p>
          <w:p w14:paraId="27E3A998">
            <w:pPr>
              <w:jc w:val="center"/>
              <w:rPr>
                <w:sz w:val="24"/>
                <w:highlight w:val="none"/>
              </w:rPr>
            </w:pPr>
            <w:r>
              <w:rPr>
                <w:rFonts w:hint="eastAsia"/>
                <w:sz w:val="24"/>
                <w:highlight w:val="none"/>
              </w:rPr>
              <w:t xml:space="preserve">                                                年    月    日</w:t>
            </w:r>
          </w:p>
        </w:tc>
      </w:tr>
      <w:tr w14:paraId="1855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3CE14554">
            <w:pPr>
              <w:jc w:val="center"/>
              <w:rPr>
                <w:sz w:val="24"/>
                <w:highlight w:val="none"/>
              </w:rPr>
            </w:pPr>
            <w:r>
              <w:rPr>
                <w:rFonts w:hint="eastAsia"/>
                <w:sz w:val="24"/>
                <w:highlight w:val="none"/>
              </w:rPr>
              <w:t>采</w:t>
            </w:r>
          </w:p>
          <w:p w14:paraId="292D86E7">
            <w:pPr>
              <w:jc w:val="center"/>
              <w:rPr>
                <w:sz w:val="24"/>
                <w:highlight w:val="none"/>
              </w:rPr>
            </w:pPr>
            <w:r>
              <w:rPr>
                <w:rFonts w:hint="eastAsia"/>
                <w:sz w:val="24"/>
                <w:highlight w:val="none"/>
              </w:rPr>
              <w:t>购</w:t>
            </w:r>
          </w:p>
          <w:p w14:paraId="529D0829">
            <w:pPr>
              <w:jc w:val="center"/>
              <w:rPr>
                <w:sz w:val="24"/>
                <w:highlight w:val="none"/>
              </w:rPr>
            </w:pPr>
            <w:r>
              <w:rPr>
                <w:rFonts w:hint="eastAsia"/>
                <w:sz w:val="24"/>
                <w:highlight w:val="none"/>
              </w:rPr>
              <w:t>单</w:t>
            </w:r>
          </w:p>
          <w:p w14:paraId="6D4EE83B">
            <w:pPr>
              <w:jc w:val="center"/>
              <w:rPr>
                <w:sz w:val="24"/>
                <w:highlight w:val="none"/>
              </w:rPr>
            </w:pPr>
            <w:r>
              <w:rPr>
                <w:rFonts w:hint="eastAsia"/>
                <w:sz w:val="24"/>
                <w:highlight w:val="none"/>
              </w:rPr>
              <w:t>位</w:t>
            </w:r>
          </w:p>
          <w:p w14:paraId="07300963">
            <w:pPr>
              <w:jc w:val="center"/>
              <w:rPr>
                <w:sz w:val="24"/>
                <w:highlight w:val="none"/>
              </w:rPr>
            </w:pPr>
            <w:r>
              <w:rPr>
                <w:rFonts w:hint="eastAsia"/>
                <w:sz w:val="24"/>
                <w:highlight w:val="none"/>
              </w:rPr>
              <w:t>意</w:t>
            </w:r>
          </w:p>
          <w:p w14:paraId="58E4C872">
            <w:pPr>
              <w:jc w:val="center"/>
              <w:rPr>
                <w:sz w:val="24"/>
                <w:highlight w:val="none"/>
              </w:rPr>
            </w:pPr>
            <w:r>
              <w:rPr>
                <w:rFonts w:hint="eastAsia"/>
                <w:sz w:val="24"/>
                <w:highlight w:val="none"/>
              </w:rPr>
              <w:t>见</w:t>
            </w:r>
          </w:p>
        </w:tc>
        <w:tc>
          <w:tcPr>
            <w:tcW w:w="8009" w:type="dxa"/>
          </w:tcPr>
          <w:p w14:paraId="5BEAA111">
            <w:pPr>
              <w:rPr>
                <w:sz w:val="24"/>
                <w:highlight w:val="none"/>
              </w:rPr>
            </w:pPr>
          </w:p>
          <w:p w14:paraId="5331F958">
            <w:pPr>
              <w:rPr>
                <w:sz w:val="24"/>
                <w:highlight w:val="none"/>
              </w:rPr>
            </w:pPr>
            <w:r>
              <w:rPr>
                <w:rFonts w:hint="eastAsia"/>
                <w:sz w:val="24"/>
                <w:highlight w:val="none"/>
              </w:rPr>
              <w:t>退付意见：是否同意退付履约保证金及退付金额：</w:t>
            </w:r>
          </w:p>
          <w:p w14:paraId="3F377B96">
            <w:pPr>
              <w:rPr>
                <w:sz w:val="24"/>
                <w:highlight w:val="none"/>
              </w:rPr>
            </w:pPr>
          </w:p>
          <w:p w14:paraId="4E8D026E">
            <w:pPr>
              <w:rPr>
                <w:sz w:val="24"/>
                <w:highlight w:val="none"/>
              </w:rPr>
            </w:pPr>
          </w:p>
          <w:p w14:paraId="29F092AC">
            <w:pPr>
              <w:rPr>
                <w:rFonts w:hint="eastAsia"/>
                <w:sz w:val="24"/>
                <w:highlight w:val="none"/>
              </w:rPr>
            </w:pPr>
          </w:p>
          <w:p w14:paraId="295E1998">
            <w:pPr>
              <w:rPr>
                <w:sz w:val="24"/>
                <w:highlight w:val="none"/>
              </w:rPr>
            </w:pPr>
            <w:r>
              <w:rPr>
                <w:rFonts w:hint="eastAsia"/>
                <w:sz w:val="24"/>
                <w:highlight w:val="none"/>
              </w:rPr>
              <w:t xml:space="preserve">联系人及电话： </w:t>
            </w:r>
          </w:p>
          <w:p w14:paraId="12A3271B">
            <w:pPr>
              <w:rPr>
                <w:sz w:val="24"/>
                <w:highlight w:val="none"/>
              </w:rPr>
            </w:pPr>
            <w:r>
              <w:rPr>
                <w:rFonts w:hint="eastAsia"/>
                <w:sz w:val="24"/>
                <w:highlight w:val="none"/>
              </w:rPr>
              <w:t xml:space="preserve">                               </w:t>
            </w:r>
          </w:p>
          <w:p w14:paraId="181FF4ED">
            <w:pPr>
              <w:rPr>
                <w:sz w:val="24"/>
                <w:highlight w:val="none"/>
              </w:rPr>
            </w:pPr>
            <w:r>
              <w:rPr>
                <w:rFonts w:hint="eastAsia"/>
                <w:sz w:val="24"/>
                <w:highlight w:val="none"/>
              </w:rPr>
              <w:t>分管校领导签字：</w:t>
            </w:r>
          </w:p>
          <w:p w14:paraId="599C6D60">
            <w:pPr>
              <w:rPr>
                <w:rFonts w:hint="eastAsia"/>
                <w:sz w:val="24"/>
                <w:highlight w:val="none"/>
              </w:rPr>
            </w:pPr>
          </w:p>
          <w:p w14:paraId="1D03F1D4">
            <w:pPr>
              <w:ind w:firstLine="4560" w:firstLineChars="1900"/>
              <w:rPr>
                <w:sz w:val="24"/>
                <w:highlight w:val="none"/>
              </w:rPr>
            </w:pPr>
            <w:r>
              <w:rPr>
                <w:rFonts w:hint="eastAsia"/>
                <w:sz w:val="24"/>
                <w:highlight w:val="none"/>
              </w:rPr>
              <w:t xml:space="preserve"> 采购单位公章：</w:t>
            </w:r>
          </w:p>
          <w:p w14:paraId="3B6121AA">
            <w:pPr>
              <w:jc w:val="center"/>
              <w:rPr>
                <w:sz w:val="24"/>
                <w:highlight w:val="none"/>
              </w:rPr>
            </w:pPr>
            <w:r>
              <w:rPr>
                <w:rFonts w:hint="eastAsia"/>
                <w:sz w:val="24"/>
                <w:highlight w:val="none"/>
              </w:rPr>
              <w:t xml:space="preserve">                                                年    月    日</w:t>
            </w:r>
          </w:p>
        </w:tc>
      </w:tr>
      <w:tr w14:paraId="7615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1C7D69B2">
            <w:pPr>
              <w:jc w:val="center"/>
              <w:rPr>
                <w:sz w:val="24"/>
                <w:highlight w:val="none"/>
              </w:rPr>
            </w:pPr>
            <w:r>
              <w:rPr>
                <w:rFonts w:hint="eastAsia"/>
                <w:sz w:val="24"/>
                <w:highlight w:val="none"/>
              </w:rPr>
              <w:t>财</w:t>
            </w:r>
          </w:p>
          <w:p w14:paraId="124C934E">
            <w:pPr>
              <w:jc w:val="center"/>
              <w:rPr>
                <w:sz w:val="24"/>
                <w:highlight w:val="none"/>
              </w:rPr>
            </w:pPr>
            <w:r>
              <w:rPr>
                <w:rFonts w:hint="eastAsia"/>
                <w:sz w:val="24"/>
                <w:highlight w:val="none"/>
              </w:rPr>
              <w:t>务</w:t>
            </w:r>
          </w:p>
          <w:p w14:paraId="1EBBCF4F">
            <w:pPr>
              <w:jc w:val="center"/>
              <w:rPr>
                <w:sz w:val="24"/>
                <w:highlight w:val="none"/>
              </w:rPr>
            </w:pPr>
            <w:r>
              <w:rPr>
                <w:rFonts w:hint="eastAsia"/>
                <w:sz w:val="24"/>
                <w:highlight w:val="none"/>
              </w:rPr>
              <w:t>部</w:t>
            </w:r>
          </w:p>
          <w:p w14:paraId="260CD77A">
            <w:pPr>
              <w:jc w:val="center"/>
              <w:rPr>
                <w:sz w:val="24"/>
                <w:highlight w:val="none"/>
              </w:rPr>
            </w:pPr>
            <w:r>
              <w:rPr>
                <w:rFonts w:hint="eastAsia"/>
                <w:sz w:val="24"/>
                <w:highlight w:val="none"/>
              </w:rPr>
              <w:t>门</w:t>
            </w:r>
          </w:p>
          <w:p w14:paraId="55B32BA0">
            <w:pPr>
              <w:jc w:val="center"/>
              <w:rPr>
                <w:sz w:val="24"/>
                <w:highlight w:val="none"/>
              </w:rPr>
            </w:pPr>
            <w:r>
              <w:rPr>
                <w:rFonts w:hint="eastAsia"/>
                <w:sz w:val="24"/>
                <w:highlight w:val="none"/>
              </w:rPr>
              <w:t>意</w:t>
            </w:r>
          </w:p>
          <w:p w14:paraId="559D7DD4">
            <w:pPr>
              <w:jc w:val="center"/>
              <w:rPr>
                <w:sz w:val="24"/>
                <w:highlight w:val="none"/>
              </w:rPr>
            </w:pPr>
            <w:r>
              <w:rPr>
                <w:rFonts w:hint="eastAsia"/>
                <w:sz w:val="24"/>
                <w:highlight w:val="none"/>
              </w:rPr>
              <w:t>见</w:t>
            </w:r>
          </w:p>
        </w:tc>
        <w:tc>
          <w:tcPr>
            <w:tcW w:w="8009" w:type="dxa"/>
          </w:tcPr>
          <w:p w14:paraId="15F10CA7">
            <w:pPr>
              <w:rPr>
                <w:sz w:val="24"/>
                <w:highlight w:val="none"/>
              </w:rPr>
            </w:pPr>
            <w:r>
              <w:rPr>
                <w:rFonts w:hint="eastAsia"/>
                <w:sz w:val="24"/>
                <w:highlight w:val="none"/>
              </w:rPr>
              <w:t>此表于</w:t>
            </w:r>
            <w:r>
              <w:rPr>
                <w:rFonts w:hint="eastAsia"/>
                <w:sz w:val="24"/>
                <w:highlight w:val="none"/>
                <w:u w:val="single"/>
              </w:rPr>
              <w:t xml:space="preserve">     </w:t>
            </w:r>
            <w:r>
              <w:rPr>
                <w:rFonts w:hint="eastAsia"/>
                <w:sz w:val="24"/>
                <w:highlight w:val="none"/>
              </w:rPr>
              <w:t>年</w:t>
            </w:r>
            <w:r>
              <w:rPr>
                <w:rFonts w:hint="eastAsia"/>
                <w:sz w:val="24"/>
                <w:highlight w:val="none"/>
                <w:u w:val="single"/>
              </w:rPr>
              <w:t xml:space="preserve">     </w:t>
            </w:r>
            <w:r>
              <w:rPr>
                <w:rFonts w:hint="eastAsia"/>
                <w:sz w:val="24"/>
                <w:highlight w:val="none"/>
              </w:rPr>
              <w:t>月</w:t>
            </w:r>
            <w:r>
              <w:rPr>
                <w:rFonts w:hint="eastAsia"/>
                <w:sz w:val="24"/>
                <w:highlight w:val="none"/>
                <w:u w:val="single"/>
              </w:rPr>
              <w:t xml:space="preserve">      </w:t>
            </w:r>
            <w:r>
              <w:rPr>
                <w:rFonts w:hint="eastAsia"/>
                <w:sz w:val="24"/>
                <w:highlight w:val="none"/>
              </w:rPr>
              <w:t>日收到。</w:t>
            </w:r>
          </w:p>
          <w:p w14:paraId="5B7F25F4">
            <w:pPr>
              <w:rPr>
                <w:sz w:val="24"/>
                <w:highlight w:val="none"/>
              </w:rPr>
            </w:pPr>
          </w:p>
          <w:p w14:paraId="37DFDFD4">
            <w:pPr>
              <w:rPr>
                <w:sz w:val="24"/>
                <w:highlight w:val="none"/>
              </w:rPr>
            </w:pPr>
            <w:r>
              <w:rPr>
                <w:rFonts w:hint="eastAsia"/>
                <w:sz w:val="24"/>
                <w:highlight w:val="none"/>
              </w:rPr>
              <w:t>会计审核：</w:t>
            </w:r>
          </w:p>
          <w:p w14:paraId="229A87DB">
            <w:pPr>
              <w:rPr>
                <w:sz w:val="24"/>
                <w:highlight w:val="none"/>
              </w:rPr>
            </w:pPr>
          </w:p>
          <w:p w14:paraId="1D5AAD1C">
            <w:pPr>
              <w:rPr>
                <w:sz w:val="24"/>
                <w:highlight w:val="none"/>
              </w:rPr>
            </w:pPr>
            <w:r>
              <w:rPr>
                <w:rFonts w:hint="eastAsia"/>
                <w:sz w:val="24"/>
                <w:highlight w:val="none"/>
              </w:rPr>
              <w:t>财务负责人审核：</w:t>
            </w:r>
          </w:p>
          <w:p w14:paraId="4C8DA273">
            <w:pPr>
              <w:rPr>
                <w:sz w:val="24"/>
                <w:highlight w:val="none"/>
              </w:rPr>
            </w:pPr>
          </w:p>
          <w:p w14:paraId="709DF037">
            <w:pPr>
              <w:rPr>
                <w:sz w:val="24"/>
                <w:highlight w:val="none"/>
              </w:rPr>
            </w:pPr>
            <w:r>
              <w:rPr>
                <w:rFonts w:hint="eastAsia"/>
                <w:sz w:val="24"/>
                <w:highlight w:val="none"/>
              </w:rPr>
              <w:t>出纳办理转账日期：</w:t>
            </w:r>
          </w:p>
        </w:tc>
      </w:tr>
    </w:tbl>
    <w:p w14:paraId="2AD2A535">
      <w:pPr>
        <w:pStyle w:val="19"/>
        <w:ind w:left="420" w:leftChars="114" w:hanging="181" w:hangingChars="100"/>
        <w:rPr>
          <w:rFonts w:hAnsi="宋体"/>
          <w:highlight w:val="none"/>
        </w:rPr>
      </w:pPr>
      <w:r>
        <w:rPr>
          <w:rFonts w:hint="eastAsia" w:ascii="宋体"/>
          <w:b/>
          <w:bCs/>
          <w:sz w:val="18"/>
          <w:szCs w:val="18"/>
          <w:highlight w:val="none"/>
        </w:rPr>
        <w:t>注：供应商凭经采购单位审批的退付意见书到履约保证金收取单位财务部门办理履约保证金退付事宜。</w:t>
      </w:r>
    </w:p>
    <w:p w14:paraId="16567552">
      <w:pPr>
        <w:tabs>
          <w:tab w:val="center" w:pos="4252"/>
        </w:tabs>
        <w:bidi w:val="0"/>
        <w:jc w:val="left"/>
        <w:rPr>
          <w:rFonts w:hint="eastAsia" w:eastAsia="宋体"/>
          <w:highlight w:val="none"/>
          <w:lang w:eastAsia="zh-CN"/>
        </w:rPr>
        <w:sectPr>
          <w:pgSz w:w="11906" w:h="16838"/>
          <w:pgMar w:top="1701" w:right="1701" w:bottom="1701" w:left="1701" w:header="851" w:footer="992" w:gutter="0"/>
          <w:cols w:space="720" w:num="1"/>
          <w:titlePg/>
          <w:docGrid w:linePitch="312" w:charSpace="0"/>
        </w:sectPr>
      </w:pPr>
    </w:p>
    <w:p w14:paraId="417E453F">
      <w:pPr>
        <w:pStyle w:val="2"/>
        <w:jc w:val="center"/>
        <w:rPr>
          <w:color w:val="000000"/>
          <w:highlight w:val="none"/>
        </w:rPr>
      </w:pPr>
      <w:bookmarkStart w:id="149" w:name="_Toc254970548"/>
      <w:bookmarkStart w:id="150" w:name="_Toc22874"/>
      <w:bookmarkStart w:id="151" w:name="_Toc330456896"/>
      <w:bookmarkStart w:id="152" w:name="_Toc254970689"/>
      <w:r>
        <w:rPr>
          <w:rFonts w:hint="eastAsia"/>
          <w:color w:val="000000"/>
          <w:highlight w:val="none"/>
        </w:rPr>
        <w:t>第四章  评标方法及评标标准</w:t>
      </w:r>
      <w:bookmarkEnd w:id="149"/>
      <w:bookmarkEnd w:id="150"/>
      <w:bookmarkEnd w:id="151"/>
      <w:bookmarkEnd w:id="152"/>
    </w:p>
    <w:p w14:paraId="2CDE4857">
      <w:pPr>
        <w:pStyle w:val="4"/>
        <w:keepNext w:val="0"/>
        <w:keepLines w:val="0"/>
        <w:jc w:val="center"/>
        <w:rPr>
          <w:color w:val="000000"/>
          <w:sz w:val="30"/>
          <w:szCs w:val="30"/>
          <w:highlight w:val="none"/>
        </w:rPr>
      </w:pPr>
      <w:r>
        <w:rPr>
          <w:rFonts w:hint="eastAsia"/>
          <w:color w:val="000000"/>
          <w:sz w:val="30"/>
          <w:szCs w:val="30"/>
          <w:highlight w:val="none"/>
        </w:rPr>
        <w:t>一、评标方法</w:t>
      </w:r>
    </w:p>
    <w:p w14:paraId="286EDA05">
      <w:pPr>
        <w:pStyle w:val="25"/>
        <w:spacing w:line="360" w:lineRule="auto"/>
        <w:ind w:firstLine="420"/>
        <w:rPr>
          <w:rFonts w:hAnsi="宋体"/>
          <w:color w:val="000000"/>
          <w:sz w:val="21"/>
          <w:highlight w:val="none"/>
        </w:rPr>
      </w:pPr>
      <w:r>
        <w:rPr>
          <w:rFonts w:hint="eastAsia" w:hAnsi="宋体"/>
          <w:color w:val="000000"/>
          <w:sz w:val="21"/>
          <w:highlight w:val="none"/>
        </w:rPr>
        <w:t>综合评分法，是指投标文件满足招标文件全部实质性要求，且按照评审因素的量化指标评审得分最高的投标人为中标候选人的评标方法。</w:t>
      </w:r>
    </w:p>
    <w:p w14:paraId="10940710">
      <w:pPr>
        <w:pStyle w:val="25"/>
        <w:spacing w:line="360" w:lineRule="auto"/>
        <w:ind w:firstLine="420"/>
        <w:rPr>
          <w:rFonts w:hAnsi="宋体"/>
          <w:color w:val="000000"/>
          <w:sz w:val="21"/>
          <w:highlight w:val="none"/>
        </w:rPr>
      </w:pPr>
      <w:r>
        <w:rPr>
          <w:rFonts w:hint="eastAsia" w:hAnsi="宋体"/>
          <w:color w:val="000000"/>
          <w:sz w:val="21"/>
          <w:highlight w:val="none"/>
        </w:rPr>
        <w:t>最低评标价法，是指投标文件满足招标文件全部实质性要求，且投标报价最低的投标人为中标候选人的评标方法。</w:t>
      </w:r>
    </w:p>
    <w:p w14:paraId="1736B414">
      <w:pPr>
        <w:pStyle w:val="4"/>
        <w:keepNext w:val="0"/>
        <w:keepLines w:val="0"/>
        <w:jc w:val="center"/>
        <w:rPr>
          <w:color w:val="000000"/>
          <w:sz w:val="30"/>
          <w:szCs w:val="30"/>
          <w:highlight w:val="none"/>
        </w:rPr>
      </w:pPr>
      <w:r>
        <w:rPr>
          <w:rFonts w:hint="eastAsia"/>
          <w:color w:val="000000"/>
          <w:sz w:val="30"/>
          <w:szCs w:val="30"/>
          <w:highlight w:val="none"/>
        </w:rPr>
        <w:t>二、评标程序</w:t>
      </w:r>
    </w:p>
    <w:p w14:paraId="27E936BB">
      <w:pPr>
        <w:pStyle w:val="6"/>
        <w:keepNext w:val="0"/>
        <w:keepLines w:val="0"/>
        <w:spacing w:before="0" w:after="0" w:line="360" w:lineRule="auto"/>
        <w:ind w:left="420" w:leftChars="200"/>
        <w:rPr>
          <w:rFonts w:ascii="宋体" w:hAnsi="宋体"/>
          <w:color w:val="000000"/>
          <w:sz w:val="21"/>
          <w:szCs w:val="21"/>
          <w:highlight w:val="none"/>
        </w:rPr>
      </w:pPr>
      <w:r>
        <w:rPr>
          <w:rFonts w:hint="eastAsia" w:ascii="宋体" w:hAnsi="宋体"/>
          <w:color w:val="000000"/>
          <w:sz w:val="21"/>
          <w:szCs w:val="21"/>
          <w:highlight w:val="none"/>
        </w:rPr>
        <w:t>1.符合性审查</w:t>
      </w:r>
    </w:p>
    <w:p w14:paraId="4494906A">
      <w:pPr>
        <w:pStyle w:val="25"/>
        <w:snapToGrid w:val="0"/>
        <w:spacing w:line="360" w:lineRule="auto"/>
        <w:ind w:left="1" w:firstLine="420"/>
        <w:rPr>
          <w:rFonts w:hAnsi="宋体"/>
          <w:b/>
          <w:color w:val="000000"/>
          <w:kern w:val="2"/>
          <w:sz w:val="21"/>
          <w:highlight w:val="none"/>
        </w:rPr>
      </w:pPr>
      <w:r>
        <w:rPr>
          <w:rFonts w:hint="eastAsia" w:hAnsi="宋体"/>
          <w:b/>
          <w:color w:val="000000"/>
          <w:kern w:val="2"/>
          <w:sz w:val="21"/>
          <w:highlight w:val="none"/>
        </w:rPr>
        <w:t>评标委员会应当对符合资格的投标人的投标文件进行投标报价、商务、技术等实质性内容符合性审查，以确定其是否满足招标文件的实质性要求。</w:t>
      </w:r>
    </w:p>
    <w:p w14:paraId="072C53C0">
      <w:pPr>
        <w:pStyle w:val="6"/>
        <w:keepNext w:val="0"/>
        <w:keepLines w:val="0"/>
        <w:spacing w:before="0" w:after="0" w:line="360" w:lineRule="auto"/>
        <w:ind w:left="420" w:leftChars="200"/>
        <w:rPr>
          <w:rFonts w:ascii="宋体" w:hAnsi="宋体"/>
          <w:color w:val="000000"/>
          <w:sz w:val="21"/>
          <w:szCs w:val="21"/>
          <w:highlight w:val="none"/>
        </w:rPr>
      </w:pPr>
      <w:r>
        <w:rPr>
          <w:rFonts w:hint="eastAsia" w:ascii="宋体" w:hAnsi="宋体"/>
          <w:color w:val="000000"/>
          <w:sz w:val="21"/>
          <w:szCs w:val="21"/>
          <w:highlight w:val="none"/>
        </w:rPr>
        <w:t>2</w:t>
      </w:r>
      <w:r>
        <w:rPr>
          <w:rFonts w:ascii="宋体" w:hAnsi="宋体"/>
          <w:color w:val="000000"/>
          <w:sz w:val="21"/>
          <w:szCs w:val="21"/>
          <w:highlight w:val="none"/>
        </w:rPr>
        <w:t>.</w:t>
      </w:r>
      <w:r>
        <w:rPr>
          <w:rFonts w:hint="eastAsia" w:ascii="宋体" w:hAnsi="宋体"/>
          <w:color w:val="000000"/>
          <w:sz w:val="21"/>
          <w:szCs w:val="21"/>
          <w:highlight w:val="none"/>
        </w:rPr>
        <w:t>符合性审查不通过而导致投标无效的情形</w:t>
      </w:r>
    </w:p>
    <w:p w14:paraId="330C935F">
      <w:p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投标人的投标文件中存在对招标文件的任何实质性要求和条件的负偏离，将被视为投标无效。</w:t>
      </w:r>
    </w:p>
    <w:p w14:paraId="2428287F">
      <w:pPr>
        <w:pStyle w:val="6"/>
        <w:keepNext w:val="0"/>
        <w:keepLines w:val="0"/>
        <w:spacing w:before="0" w:after="0" w:line="360" w:lineRule="auto"/>
        <w:ind w:left="420" w:leftChars="200"/>
        <w:rPr>
          <w:rFonts w:ascii="宋体" w:hAnsi="宋体"/>
          <w:color w:val="000000"/>
          <w:sz w:val="21"/>
          <w:szCs w:val="21"/>
          <w:highlight w:val="none"/>
        </w:rPr>
      </w:pPr>
      <w:r>
        <w:rPr>
          <w:rFonts w:hint="eastAsia" w:ascii="宋体" w:hAnsi="宋体"/>
          <w:color w:val="000000"/>
          <w:sz w:val="21"/>
          <w:szCs w:val="21"/>
          <w:highlight w:val="none"/>
        </w:rPr>
        <w:t>2.1在报价评审时，如发现下列情形之一的，将被视为投标无效：</w:t>
      </w:r>
    </w:p>
    <w:p w14:paraId="1A257102">
      <w:pPr>
        <w:pStyle w:val="7"/>
        <w:numPr>
          <w:ilvl w:val="0"/>
          <w:numId w:val="9"/>
        </w:numPr>
        <w:spacing w:line="360" w:lineRule="auto"/>
        <w:ind w:firstLine="422"/>
        <w:rPr>
          <w:rFonts w:ascii="宋体" w:hAnsi="宋体"/>
          <w:b/>
          <w:color w:val="000000"/>
          <w:szCs w:val="21"/>
          <w:highlight w:val="none"/>
        </w:rPr>
      </w:pPr>
      <w:r>
        <w:rPr>
          <w:rFonts w:hint="eastAsia" w:ascii="宋体" w:hAnsi="宋体"/>
          <w:b/>
          <w:color w:val="000000"/>
          <w:spacing w:val="-6"/>
          <w:szCs w:val="21"/>
          <w:highlight w:val="none"/>
        </w:rPr>
        <w:t>报价文件</w:t>
      </w:r>
      <w:r>
        <w:rPr>
          <w:rFonts w:hint="eastAsia" w:ascii="宋体" w:hAnsi="宋体"/>
          <w:b/>
          <w:color w:val="000000"/>
          <w:szCs w:val="21"/>
          <w:highlight w:val="none"/>
        </w:rPr>
        <w:t>未提供“投标人须知前附表”第13.1条规定中“必须提供”的文件资料的；</w:t>
      </w:r>
    </w:p>
    <w:p w14:paraId="08D24750">
      <w:pPr>
        <w:pStyle w:val="7"/>
        <w:numPr>
          <w:ilvl w:val="0"/>
          <w:numId w:val="9"/>
        </w:numPr>
        <w:spacing w:line="360" w:lineRule="auto"/>
        <w:ind w:firstLine="422"/>
        <w:rPr>
          <w:rFonts w:ascii="宋体" w:hAnsi="宋体"/>
          <w:b/>
          <w:color w:val="000000"/>
          <w:szCs w:val="21"/>
          <w:highlight w:val="none"/>
        </w:rPr>
      </w:pPr>
      <w:r>
        <w:rPr>
          <w:rFonts w:hint="eastAsia" w:ascii="宋体" w:hAnsi="宋体"/>
          <w:b/>
          <w:color w:val="000000"/>
          <w:szCs w:val="21"/>
          <w:highlight w:val="none"/>
        </w:rPr>
        <w:t>未采用人民币报价或者未按照招标文件标明的币种报价的；</w:t>
      </w:r>
    </w:p>
    <w:p w14:paraId="62D78F99">
      <w:pPr>
        <w:pStyle w:val="7"/>
        <w:numPr>
          <w:ilvl w:val="0"/>
          <w:numId w:val="9"/>
        </w:numPr>
        <w:spacing w:line="360" w:lineRule="auto"/>
        <w:ind w:firstLine="422"/>
        <w:rPr>
          <w:rFonts w:ascii="宋体" w:hAnsi="宋体"/>
          <w:b/>
          <w:color w:val="000000"/>
          <w:szCs w:val="21"/>
          <w:highlight w:val="none"/>
        </w:rPr>
      </w:pPr>
      <w:r>
        <w:rPr>
          <w:rFonts w:hint="eastAsia" w:ascii="宋体" w:hAnsi="宋体"/>
          <w:b/>
          <w:color w:val="000000"/>
          <w:szCs w:val="21"/>
          <w:highlight w:val="none"/>
        </w:rPr>
        <w:t>各分标报价超出招标文件相应分标规定最高限价，或者超出相应分标采购预算金额的；</w:t>
      </w:r>
    </w:p>
    <w:p w14:paraId="4F6A3ACD">
      <w:pPr>
        <w:pStyle w:val="7"/>
        <w:numPr>
          <w:ilvl w:val="0"/>
          <w:numId w:val="9"/>
        </w:numPr>
        <w:spacing w:line="360" w:lineRule="auto"/>
        <w:ind w:firstLine="422"/>
        <w:rPr>
          <w:rFonts w:ascii="宋体" w:hAnsi="宋体"/>
          <w:b/>
          <w:color w:val="000000"/>
          <w:szCs w:val="21"/>
          <w:highlight w:val="none"/>
        </w:rPr>
      </w:pPr>
      <w:r>
        <w:rPr>
          <w:rFonts w:hint="eastAsia" w:ascii="宋体" w:hAnsi="宋体"/>
          <w:b/>
          <w:color w:val="000000"/>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5344B986">
      <w:pPr>
        <w:pStyle w:val="7"/>
        <w:numPr>
          <w:ilvl w:val="0"/>
          <w:numId w:val="9"/>
        </w:numPr>
        <w:spacing w:line="360" w:lineRule="auto"/>
        <w:ind w:firstLine="422"/>
        <w:rPr>
          <w:rFonts w:ascii="宋体" w:hAnsi="宋体"/>
          <w:b/>
          <w:color w:val="000000"/>
          <w:szCs w:val="21"/>
          <w:highlight w:val="none"/>
        </w:rPr>
      </w:pPr>
      <w:r>
        <w:rPr>
          <w:rFonts w:hint="eastAsia" w:ascii="宋体" w:hAnsi="宋体"/>
          <w:b/>
          <w:color w:val="000000"/>
          <w:szCs w:val="21"/>
          <w:highlight w:val="none"/>
        </w:rPr>
        <w:t>修正后的报价，投标人不确认的；</w:t>
      </w:r>
    </w:p>
    <w:p w14:paraId="6BF24B4B">
      <w:pPr>
        <w:pStyle w:val="7"/>
        <w:numPr>
          <w:ilvl w:val="0"/>
          <w:numId w:val="9"/>
        </w:numPr>
        <w:spacing w:line="360" w:lineRule="auto"/>
        <w:ind w:firstLine="422"/>
        <w:rPr>
          <w:rFonts w:ascii="宋体" w:hAnsi="宋体"/>
          <w:b/>
          <w:color w:val="000000"/>
          <w:szCs w:val="21"/>
          <w:highlight w:val="none"/>
        </w:rPr>
      </w:pPr>
      <w:r>
        <w:rPr>
          <w:rFonts w:hint="eastAsia" w:ascii="宋体" w:hAnsi="宋体"/>
          <w:b/>
          <w:color w:val="000000"/>
          <w:szCs w:val="21"/>
          <w:highlight w:val="none"/>
        </w:rPr>
        <w:t>投标人属于本章第</w:t>
      </w:r>
      <w:r>
        <w:rPr>
          <w:rFonts w:ascii="宋体" w:hAnsi="宋体"/>
          <w:b/>
          <w:color w:val="000000"/>
          <w:szCs w:val="21"/>
          <w:highlight w:val="none"/>
        </w:rPr>
        <w:t>5.1</w:t>
      </w:r>
      <w:r>
        <w:rPr>
          <w:rFonts w:hint="eastAsia" w:ascii="宋体" w:hAnsi="宋体"/>
          <w:b/>
          <w:color w:val="000000"/>
          <w:szCs w:val="21"/>
          <w:highlight w:val="none"/>
        </w:rPr>
        <w:t>条（2）或者第5</w:t>
      </w:r>
      <w:r>
        <w:rPr>
          <w:rFonts w:ascii="宋体" w:hAnsi="宋体"/>
          <w:b/>
          <w:color w:val="000000"/>
          <w:szCs w:val="21"/>
          <w:highlight w:val="none"/>
        </w:rPr>
        <w:t>.2条</w:t>
      </w:r>
      <w:r>
        <w:rPr>
          <w:rFonts w:hint="eastAsia" w:ascii="宋体" w:hAnsi="宋体"/>
          <w:b/>
          <w:color w:val="000000"/>
          <w:szCs w:val="21"/>
          <w:highlight w:val="none"/>
        </w:rPr>
        <w:t>（2）项情形的；</w:t>
      </w:r>
    </w:p>
    <w:p w14:paraId="5F06E715">
      <w:pPr>
        <w:pStyle w:val="7"/>
        <w:numPr>
          <w:ilvl w:val="0"/>
          <w:numId w:val="9"/>
        </w:numPr>
        <w:spacing w:line="360" w:lineRule="auto"/>
        <w:ind w:firstLine="422"/>
        <w:rPr>
          <w:rFonts w:ascii="宋体" w:hAnsi="宋体"/>
          <w:b/>
          <w:color w:val="000000"/>
          <w:szCs w:val="21"/>
          <w:highlight w:val="none"/>
        </w:rPr>
      </w:pPr>
      <w:r>
        <w:rPr>
          <w:rFonts w:hint="eastAsia" w:ascii="宋体" w:hAnsi="宋体"/>
          <w:b/>
          <w:color w:val="000000"/>
          <w:spacing w:val="-6"/>
          <w:szCs w:val="21"/>
          <w:highlight w:val="none"/>
        </w:rPr>
        <w:t>报价文件</w:t>
      </w:r>
      <w:r>
        <w:rPr>
          <w:rFonts w:hint="eastAsia" w:ascii="宋体" w:hAnsi="宋体"/>
          <w:b/>
          <w:color w:val="000000"/>
          <w:szCs w:val="21"/>
          <w:highlight w:val="none"/>
        </w:rPr>
        <w:t>响应的标的数量及单位与招标文件要求实质性不一致的。</w:t>
      </w:r>
    </w:p>
    <w:p w14:paraId="71560C75">
      <w:pPr>
        <w:pStyle w:val="6"/>
        <w:keepNext w:val="0"/>
        <w:keepLines w:val="0"/>
        <w:spacing w:before="0" w:after="0" w:line="360" w:lineRule="auto"/>
        <w:ind w:left="420" w:leftChars="200"/>
        <w:rPr>
          <w:rFonts w:ascii="宋体" w:hAnsi="宋体"/>
          <w:color w:val="000000"/>
          <w:sz w:val="21"/>
          <w:szCs w:val="21"/>
          <w:highlight w:val="none"/>
        </w:rPr>
      </w:pPr>
      <w:r>
        <w:rPr>
          <w:rFonts w:hint="eastAsia" w:ascii="宋体" w:hAnsi="宋体"/>
          <w:color w:val="000000"/>
          <w:sz w:val="21"/>
          <w:szCs w:val="21"/>
          <w:highlight w:val="none"/>
        </w:rPr>
        <w:t>2.2在商务评审时，如发现下列情形之一的，将被视为投标无效：</w:t>
      </w:r>
    </w:p>
    <w:p w14:paraId="640520E1">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投标文件未按招标文件要求签署、盖章的；</w:t>
      </w:r>
    </w:p>
    <w:p w14:paraId="1DBB7FB8">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委托代理人未能出具有效身份证或者出具的身份证与授权委托书中的信息不符的；</w:t>
      </w:r>
    </w:p>
    <w:p w14:paraId="341018C3">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为无效投标保证金的或者未按照招标文件的规定提交投标保证金的；</w:t>
      </w:r>
    </w:p>
    <w:p w14:paraId="6AB3A1D8">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投标文件未提供“投标人须知前附表”第13.</w:t>
      </w:r>
      <w:r>
        <w:rPr>
          <w:rFonts w:ascii="宋体" w:hAnsi="宋体"/>
          <w:b/>
          <w:color w:val="000000"/>
          <w:szCs w:val="21"/>
          <w:highlight w:val="none"/>
        </w:rPr>
        <w:t>1</w:t>
      </w:r>
      <w:r>
        <w:rPr>
          <w:rFonts w:hint="eastAsia" w:ascii="宋体" w:hAnsi="宋体"/>
          <w:b/>
          <w:color w:val="000000"/>
          <w:szCs w:val="21"/>
          <w:highlight w:val="none"/>
        </w:rPr>
        <w:t>条规定中“必须提供”或者“委托时必须提供”的文件资料的；</w:t>
      </w:r>
    </w:p>
    <w:p w14:paraId="45231D1C">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商务要求评审允许负偏离的条款数超过“投标人须知前附表”规定项数的；</w:t>
      </w:r>
    </w:p>
    <w:p w14:paraId="57FB63F3">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投标文件的实质性内容未使用中文表述、使用计量单位不符合招标文件要求的；</w:t>
      </w:r>
    </w:p>
    <w:p w14:paraId="7FF16F80">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投标文件中的文件资料因填写不齐全或者内容虚假或者出现其他情形而导致被评标委员会认定无效的；</w:t>
      </w:r>
    </w:p>
    <w:p w14:paraId="236B1AAC">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投标文件含有采购人不能接受的附加条件的；</w:t>
      </w:r>
    </w:p>
    <w:p w14:paraId="232C415E">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属于投标人须知正文第</w:t>
      </w:r>
      <w:r>
        <w:rPr>
          <w:rFonts w:ascii="宋体" w:hAnsi="宋体"/>
          <w:b/>
          <w:color w:val="000000"/>
          <w:szCs w:val="21"/>
          <w:highlight w:val="none"/>
        </w:rPr>
        <w:t>9.2</w:t>
      </w:r>
      <w:r>
        <w:rPr>
          <w:rFonts w:hint="eastAsia" w:ascii="宋体" w:hAnsi="宋体"/>
          <w:b/>
          <w:color w:val="000000"/>
          <w:szCs w:val="21"/>
          <w:highlight w:val="none"/>
        </w:rPr>
        <w:t>条情形的；</w:t>
      </w:r>
    </w:p>
    <w:p w14:paraId="6B289E95">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投标文件标注的项目名称或者项目编号与招标文件标注的项目名称或者项目编号不一致的；</w:t>
      </w:r>
    </w:p>
    <w:p w14:paraId="4A7E34C1">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招标文件明确不允许分包，投标文件拟分包的；</w:t>
      </w:r>
    </w:p>
    <w:p w14:paraId="0205CE97">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未响应招标文件实质性要求的；</w:t>
      </w:r>
    </w:p>
    <w:p w14:paraId="0A00BC40">
      <w:pPr>
        <w:numPr>
          <w:ilvl w:val="0"/>
          <w:numId w:val="10"/>
        </w:numPr>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法律、法规和招标文件规定的其他无效情形。</w:t>
      </w:r>
    </w:p>
    <w:p w14:paraId="3CB707F9">
      <w:pPr>
        <w:pStyle w:val="6"/>
        <w:keepNext w:val="0"/>
        <w:keepLines w:val="0"/>
        <w:spacing w:before="0" w:after="0" w:line="360" w:lineRule="auto"/>
        <w:ind w:left="420" w:leftChars="200"/>
        <w:rPr>
          <w:rFonts w:ascii="宋体" w:hAnsi="宋体"/>
          <w:color w:val="000000"/>
          <w:sz w:val="21"/>
          <w:szCs w:val="21"/>
          <w:highlight w:val="none"/>
        </w:rPr>
      </w:pPr>
      <w:r>
        <w:rPr>
          <w:rFonts w:hint="eastAsia" w:ascii="宋体" w:hAnsi="宋体"/>
          <w:color w:val="000000"/>
          <w:sz w:val="21"/>
          <w:szCs w:val="21"/>
          <w:highlight w:val="none"/>
        </w:rPr>
        <w:t>2.3在技术评审时，如发现下列情形之一的，将被视为投标无效：</w:t>
      </w:r>
    </w:p>
    <w:p w14:paraId="3BBC86F4">
      <w:pPr>
        <w:pStyle w:val="20"/>
        <w:snapToGrid w:val="0"/>
        <w:spacing w:line="360" w:lineRule="auto"/>
        <w:ind w:firstLine="413" w:firstLineChars="196"/>
        <w:rPr>
          <w:rFonts w:ascii="宋体" w:hAnsi="宋体" w:eastAsia="宋体"/>
          <w:b/>
          <w:color w:val="000000"/>
          <w:kern w:val="2"/>
          <w:sz w:val="21"/>
          <w:szCs w:val="21"/>
          <w:highlight w:val="none"/>
        </w:rPr>
      </w:pPr>
      <w:r>
        <w:rPr>
          <w:rFonts w:hint="eastAsia" w:ascii="宋体" w:hAnsi="宋体" w:eastAsia="宋体"/>
          <w:b/>
          <w:color w:val="000000"/>
          <w:kern w:val="2"/>
          <w:sz w:val="21"/>
          <w:szCs w:val="21"/>
          <w:highlight w:val="none"/>
        </w:rPr>
        <w:t>（1）技术要求评审允许负偏离的条款数超过“投标人须知前附表”规定项数的；</w:t>
      </w:r>
    </w:p>
    <w:p w14:paraId="4D3D7C3D">
      <w:pPr>
        <w:pStyle w:val="20"/>
        <w:snapToGrid w:val="0"/>
        <w:spacing w:line="360" w:lineRule="auto"/>
        <w:ind w:firstLine="413" w:firstLineChars="196"/>
        <w:rPr>
          <w:rFonts w:ascii="宋体" w:hAnsi="宋体" w:eastAsia="宋体"/>
          <w:b/>
          <w:color w:val="000000"/>
          <w:kern w:val="2"/>
          <w:sz w:val="21"/>
          <w:szCs w:val="21"/>
          <w:highlight w:val="none"/>
        </w:rPr>
      </w:pPr>
      <w:r>
        <w:rPr>
          <w:rFonts w:hint="eastAsia" w:ascii="宋体" w:hAnsi="宋体" w:eastAsia="宋体"/>
          <w:b/>
          <w:color w:val="000000"/>
          <w:kern w:val="2"/>
          <w:sz w:val="21"/>
          <w:szCs w:val="21"/>
          <w:highlight w:val="none"/>
        </w:rPr>
        <w:t>（2）投标文件未提供“投标人须知前附表”第13.</w:t>
      </w:r>
      <w:r>
        <w:rPr>
          <w:rFonts w:ascii="宋体" w:hAnsi="宋体" w:eastAsia="宋体"/>
          <w:b/>
          <w:color w:val="000000"/>
          <w:kern w:val="2"/>
          <w:sz w:val="21"/>
          <w:szCs w:val="21"/>
          <w:highlight w:val="none"/>
        </w:rPr>
        <w:t>1</w:t>
      </w:r>
      <w:r>
        <w:rPr>
          <w:rFonts w:hint="eastAsia" w:ascii="宋体" w:hAnsi="宋体" w:eastAsia="宋体"/>
          <w:b/>
          <w:color w:val="000000"/>
          <w:kern w:val="2"/>
          <w:sz w:val="21"/>
          <w:szCs w:val="21"/>
          <w:highlight w:val="none"/>
        </w:rPr>
        <w:t>条规定中“必须提供”的文件资料的；</w:t>
      </w:r>
    </w:p>
    <w:p w14:paraId="36A2BFBF">
      <w:pPr>
        <w:pStyle w:val="20"/>
        <w:snapToGrid w:val="0"/>
        <w:spacing w:line="360" w:lineRule="auto"/>
        <w:ind w:firstLine="413" w:firstLineChars="196"/>
        <w:rPr>
          <w:rFonts w:ascii="宋体" w:hAnsi="宋体" w:eastAsia="宋体"/>
          <w:b/>
          <w:color w:val="000000"/>
          <w:kern w:val="2"/>
          <w:sz w:val="21"/>
          <w:szCs w:val="21"/>
          <w:highlight w:val="none"/>
        </w:rPr>
      </w:pPr>
      <w:r>
        <w:rPr>
          <w:rFonts w:hint="eastAsia" w:ascii="宋体" w:hAnsi="宋体" w:eastAsia="宋体"/>
          <w:b/>
          <w:color w:val="000000"/>
          <w:kern w:val="2"/>
          <w:sz w:val="21"/>
          <w:szCs w:val="21"/>
          <w:highlight w:val="none"/>
        </w:rPr>
        <w:t>（3）虚假投标，或者出现其他情形而导致被评标委员会认定无效的；</w:t>
      </w:r>
    </w:p>
    <w:p w14:paraId="72DD99A5">
      <w:pPr>
        <w:pStyle w:val="20"/>
        <w:snapToGrid w:val="0"/>
        <w:spacing w:line="360" w:lineRule="auto"/>
        <w:ind w:firstLine="413" w:firstLineChars="196"/>
        <w:rPr>
          <w:rFonts w:ascii="宋体" w:hAnsi="宋体" w:eastAsia="宋体"/>
          <w:b/>
          <w:color w:val="000000"/>
          <w:kern w:val="2"/>
          <w:sz w:val="21"/>
          <w:szCs w:val="21"/>
          <w:highlight w:val="none"/>
        </w:rPr>
      </w:pPr>
      <w:r>
        <w:rPr>
          <w:rFonts w:hint="eastAsia" w:ascii="宋体" w:hAnsi="宋体" w:eastAsia="宋体"/>
          <w:b/>
          <w:color w:val="000000"/>
          <w:kern w:val="2"/>
          <w:sz w:val="21"/>
          <w:szCs w:val="21"/>
          <w:highlight w:val="none"/>
        </w:rPr>
        <w:t>（4）</w:t>
      </w:r>
      <w:bookmarkStart w:id="153" w:name="_Hlk71706244"/>
      <w:r>
        <w:rPr>
          <w:rFonts w:hint="eastAsia" w:ascii="宋体" w:hAnsi="宋体" w:eastAsia="宋体"/>
          <w:b/>
          <w:color w:val="000000"/>
          <w:kern w:val="2"/>
          <w:sz w:val="21"/>
          <w:szCs w:val="21"/>
          <w:highlight w:val="none"/>
        </w:rPr>
        <w:t>招标文件未载明允许提供备选（替代）投标方案或明确不允许提供备选（替代）投标方案时，投标人提供了备选（替代）投标方案的；</w:t>
      </w:r>
      <w:bookmarkEnd w:id="153"/>
    </w:p>
    <w:p w14:paraId="784D307D">
      <w:pPr>
        <w:pStyle w:val="20"/>
        <w:snapToGrid w:val="0"/>
        <w:spacing w:line="360" w:lineRule="auto"/>
        <w:ind w:firstLine="413" w:firstLineChars="196"/>
        <w:rPr>
          <w:rFonts w:ascii="宋体" w:hAnsi="宋体" w:eastAsia="宋体"/>
          <w:b/>
          <w:color w:val="000000"/>
          <w:kern w:val="2"/>
          <w:sz w:val="21"/>
          <w:szCs w:val="21"/>
          <w:highlight w:val="none"/>
        </w:rPr>
      </w:pPr>
      <w:r>
        <w:rPr>
          <w:rFonts w:hint="eastAsia" w:ascii="宋体" w:hAnsi="宋体" w:eastAsia="宋体"/>
          <w:b/>
          <w:color w:val="000000"/>
          <w:kern w:val="2"/>
          <w:sz w:val="21"/>
          <w:szCs w:val="21"/>
          <w:highlight w:val="none"/>
        </w:rPr>
        <w:t>（5）未响应招标文件实质性要求的。</w:t>
      </w:r>
    </w:p>
    <w:p w14:paraId="5974E6F3">
      <w:pPr>
        <w:pStyle w:val="6"/>
        <w:keepNext w:val="0"/>
        <w:keepLines w:val="0"/>
        <w:spacing w:before="0" w:after="0" w:line="360" w:lineRule="auto"/>
        <w:ind w:left="420" w:leftChars="200"/>
        <w:rPr>
          <w:rFonts w:ascii="宋体" w:hAnsi="宋体"/>
          <w:color w:val="000000"/>
          <w:sz w:val="21"/>
          <w:szCs w:val="21"/>
          <w:highlight w:val="none"/>
        </w:rPr>
      </w:pPr>
      <w:r>
        <w:rPr>
          <w:rFonts w:hint="eastAsia" w:ascii="宋体" w:hAnsi="宋体"/>
          <w:color w:val="000000"/>
          <w:sz w:val="21"/>
          <w:szCs w:val="21"/>
          <w:highlight w:val="none"/>
        </w:rPr>
        <w:t>3</w:t>
      </w:r>
      <w:r>
        <w:rPr>
          <w:rFonts w:ascii="宋体" w:hAnsi="宋体"/>
          <w:color w:val="000000"/>
          <w:sz w:val="21"/>
          <w:szCs w:val="21"/>
          <w:highlight w:val="none"/>
        </w:rPr>
        <w:t>.</w:t>
      </w:r>
      <w:r>
        <w:rPr>
          <w:rFonts w:hint="eastAsia" w:ascii="宋体" w:hAnsi="宋体"/>
          <w:color w:val="000000"/>
          <w:sz w:val="21"/>
          <w:szCs w:val="21"/>
          <w:highlight w:val="none"/>
        </w:rPr>
        <w:t>澄清补正</w:t>
      </w:r>
    </w:p>
    <w:p w14:paraId="67CBE558">
      <w:pPr>
        <w:spacing w:line="360" w:lineRule="auto"/>
        <w:ind w:firstLine="420" w:firstLineChars="200"/>
        <w:rPr>
          <w:rFonts w:ascii="宋体" w:hAnsi="宋体" w:cs="Courier New"/>
          <w:b/>
          <w:color w:val="000000"/>
          <w:szCs w:val="21"/>
          <w:highlight w:val="none"/>
        </w:rPr>
      </w:pPr>
      <w:r>
        <w:rPr>
          <w:rFonts w:hint="eastAsia" w:ascii="宋体" w:hAnsi="宋体" w:cs="Courier New"/>
          <w:color w:val="000000"/>
          <w:szCs w:val="21"/>
          <w:highlight w:val="none"/>
        </w:rPr>
        <w:t>对投标文件中含义不明确、同类问题表述不一致或者有明显文字和计算错误的内容，评标委员会应在</w:t>
      </w:r>
      <w:r>
        <w:rPr>
          <w:rFonts w:hint="eastAsia" w:ascii="宋体" w:hAnsi="宋体"/>
          <w:color w:val="000000"/>
          <w:szCs w:val="21"/>
          <w:highlight w:val="none"/>
        </w:rPr>
        <w:t>广西政府采购云平台</w:t>
      </w:r>
      <w:r>
        <w:rPr>
          <w:rFonts w:hint="eastAsia" w:ascii="宋体" w:hAnsi="宋体" w:cs="Courier New"/>
          <w:color w:val="000000"/>
          <w:szCs w:val="21"/>
          <w:highlight w:val="none"/>
        </w:rPr>
        <w:t>发布电子询标函，要求投标人在规定时间内作出必要的澄清、说明或者补正。投标人在</w:t>
      </w:r>
      <w:r>
        <w:rPr>
          <w:rFonts w:hint="eastAsia" w:ascii="宋体" w:hAnsi="宋体"/>
          <w:color w:val="000000"/>
          <w:szCs w:val="21"/>
          <w:highlight w:val="none"/>
        </w:rPr>
        <w:t>广西政府采购云平台</w:t>
      </w:r>
      <w:r>
        <w:rPr>
          <w:rFonts w:hint="eastAsia" w:ascii="宋体" w:hAnsi="宋体" w:cs="Courier New"/>
          <w:color w:val="000000"/>
          <w:szCs w:val="21"/>
          <w:highlight w:val="none"/>
        </w:rPr>
        <w:t>接收到电子询标函后根据澄清函内容上传PDF格式回函，电子澄清答复函使用CA证书加盖单位公章后在线上传至评标委员会。投标人的澄清、说明或者补正不得超出投标文件的范围或者改变投标文件的实质性内容。</w:t>
      </w:r>
    </w:p>
    <w:p w14:paraId="71ADE7F4">
      <w:pPr>
        <w:spacing w:line="360" w:lineRule="auto"/>
        <w:ind w:firstLine="420" w:firstLineChars="200"/>
        <w:rPr>
          <w:rFonts w:ascii="宋体" w:hAnsi="宋体" w:cs="Courier New"/>
          <w:color w:val="000000"/>
          <w:szCs w:val="21"/>
          <w:highlight w:val="none"/>
        </w:rPr>
      </w:pPr>
      <w:r>
        <w:rPr>
          <w:rFonts w:hint="eastAsia" w:ascii="宋体" w:hAnsi="宋体" w:cs="Courier New"/>
          <w:color w:val="000000"/>
          <w:szCs w:val="21"/>
          <w:highlight w:val="none"/>
        </w:rPr>
        <w:t>异常情况处理：如遇无法正常使用线上发送询标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负责人）或者其授权的代表签字。</w:t>
      </w:r>
    </w:p>
    <w:p w14:paraId="652B163A">
      <w:pPr>
        <w:spacing w:line="360" w:lineRule="auto"/>
        <w:ind w:firstLine="420" w:firstLineChars="200"/>
        <w:rPr>
          <w:rFonts w:ascii="宋体" w:hAnsi="宋体" w:cs="Courier New"/>
          <w:color w:val="000000"/>
          <w:szCs w:val="21"/>
          <w:highlight w:val="none"/>
        </w:rPr>
      </w:pPr>
      <w:r>
        <w:rPr>
          <w:rFonts w:hint="eastAsia" w:ascii="宋体" w:hAnsi="宋体" w:cs="Courier New"/>
          <w:color w:val="000000"/>
          <w:szCs w:val="21"/>
          <w:highlight w:val="none"/>
        </w:rPr>
        <w:t>未按评标委员会的要求作出明确澄清、说明或者更正的投标人的投标文件将按照有利于采购人的原则由评标委员会进行判定。</w:t>
      </w:r>
    </w:p>
    <w:p w14:paraId="6EF03683">
      <w:pPr>
        <w:pStyle w:val="6"/>
        <w:keepNext w:val="0"/>
        <w:keepLines w:val="0"/>
        <w:spacing w:before="0" w:after="0" w:line="360" w:lineRule="auto"/>
        <w:ind w:left="420" w:leftChars="200"/>
        <w:rPr>
          <w:rFonts w:ascii="宋体" w:hAnsi="宋体"/>
          <w:color w:val="000000"/>
          <w:sz w:val="21"/>
          <w:szCs w:val="21"/>
          <w:highlight w:val="none"/>
        </w:rPr>
      </w:pPr>
      <w:r>
        <w:rPr>
          <w:rFonts w:ascii="宋体" w:hAnsi="宋体"/>
          <w:color w:val="000000"/>
          <w:sz w:val="21"/>
          <w:szCs w:val="21"/>
          <w:highlight w:val="none"/>
        </w:rPr>
        <w:t>4.</w:t>
      </w:r>
      <w:r>
        <w:rPr>
          <w:rFonts w:hint="eastAsia" w:ascii="宋体" w:hAnsi="宋体"/>
          <w:color w:val="000000"/>
          <w:sz w:val="21"/>
          <w:szCs w:val="21"/>
          <w:highlight w:val="none"/>
        </w:rPr>
        <w:t>投标文件修正</w:t>
      </w:r>
    </w:p>
    <w:p w14:paraId="1B8A9C21">
      <w:pPr>
        <w:pStyle w:val="6"/>
        <w:keepNext w:val="0"/>
        <w:keepLines w:val="0"/>
        <w:spacing w:before="0" w:after="0" w:line="360" w:lineRule="auto"/>
        <w:ind w:left="420" w:leftChars="200"/>
        <w:rPr>
          <w:rFonts w:ascii="宋体" w:hAnsi="宋体"/>
          <w:b w:val="0"/>
          <w:color w:val="000000"/>
          <w:sz w:val="21"/>
          <w:szCs w:val="21"/>
          <w:highlight w:val="none"/>
        </w:rPr>
      </w:pPr>
      <w:r>
        <w:rPr>
          <w:rFonts w:ascii="宋体" w:hAnsi="宋体"/>
          <w:b w:val="0"/>
          <w:color w:val="000000"/>
          <w:sz w:val="21"/>
          <w:szCs w:val="21"/>
          <w:highlight w:val="none"/>
        </w:rPr>
        <w:t>4</w:t>
      </w:r>
      <w:r>
        <w:rPr>
          <w:rFonts w:hint="eastAsia" w:ascii="宋体" w:hAnsi="宋体"/>
          <w:b w:val="0"/>
          <w:color w:val="000000"/>
          <w:sz w:val="21"/>
          <w:szCs w:val="21"/>
          <w:highlight w:val="none"/>
        </w:rPr>
        <w:t xml:space="preserve">.1投标文件报价出现前后不一致的，按照下列规定修正： </w:t>
      </w:r>
    </w:p>
    <w:p w14:paraId="5CC3145B">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（1）投标文件中开标一览表（报价表）内容与投标文件中相应内容不一致的，以开标一览表（报价表）为准；</w:t>
      </w:r>
    </w:p>
    <w:p w14:paraId="1B6E55BB">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（2）大写金额和小写金额不一致的，以大写金额为准；</w:t>
      </w:r>
    </w:p>
    <w:p w14:paraId="4CBF2067">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（3）单价金额小数点或者百分比有明显错位的，以开标一览表的总价为准，并修改单价；</w:t>
      </w:r>
    </w:p>
    <w:p w14:paraId="56700319">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（4）总价金额与按单价汇总金额不一致的，以单价金额计算结果为准。</w:t>
      </w:r>
    </w:p>
    <w:p w14:paraId="638F18D9">
      <w:pPr>
        <w:pStyle w:val="25"/>
        <w:snapToGrid w:val="0"/>
        <w:spacing w:line="360" w:lineRule="auto"/>
        <w:ind w:firstLine="420" w:firstLineChars="200"/>
        <w:rPr>
          <w:rFonts w:hAnsi="宋体"/>
          <w:color w:val="000000"/>
          <w:sz w:val="21"/>
          <w:highlight w:val="none"/>
        </w:rPr>
      </w:pPr>
      <w:r>
        <w:rPr>
          <w:rFonts w:hint="eastAsia" w:hAnsi="宋体"/>
          <w:color w:val="000000"/>
          <w:sz w:val="21"/>
          <w:highlight w:val="none"/>
        </w:rPr>
        <w:t>同时出现两种以上不一致的，按照以上（1）-（4）规定的顺序修正。修正后的报价经投标人确认后产生约束力，投标人不确认的，</w:t>
      </w:r>
      <w:r>
        <w:rPr>
          <w:rFonts w:hint="eastAsia" w:hAnsi="宋体"/>
          <w:b/>
          <w:color w:val="000000"/>
          <w:kern w:val="2"/>
          <w:sz w:val="21"/>
          <w:highlight w:val="none"/>
        </w:rPr>
        <w:t>其投标无效</w:t>
      </w:r>
      <w:r>
        <w:rPr>
          <w:rFonts w:hint="eastAsia" w:hAnsi="宋体"/>
          <w:color w:val="000000"/>
          <w:sz w:val="21"/>
          <w:highlight w:val="none"/>
        </w:rPr>
        <w:t>。</w:t>
      </w:r>
    </w:p>
    <w:p w14:paraId="4139C25C">
      <w:pPr>
        <w:pStyle w:val="6"/>
        <w:keepNext w:val="0"/>
        <w:keepLines w:val="0"/>
        <w:spacing w:before="0" w:after="0" w:line="360" w:lineRule="auto"/>
        <w:rPr>
          <w:rFonts w:ascii="宋体" w:hAnsi="宋体"/>
          <w:b w:val="0"/>
          <w:color w:val="000000"/>
          <w:sz w:val="21"/>
          <w:szCs w:val="21"/>
          <w:highlight w:val="none"/>
        </w:rPr>
      </w:pPr>
      <w:r>
        <w:rPr>
          <w:rFonts w:ascii="宋体" w:hAnsi="宋体"/>
          <w:b w:val="0"/>
          <w:color w:val="000000"/>
          <w:sz w:val="21"/>
          <w:szCs w:val="21"/>
          <w:highlight w:val="none"/>
        </w:rPr>
        <w:t xml:space="preserve">    4</w:t>
      </w:r>
      <w:r>
        <w:rPr>
          <w:rFonts w:hint="eastAsia" w:ascii="宋体" w:hAnsi="宋体"/>
          <w:b w:val="0"/>
          <w:color w:val="000000"/>
          <w:sz w:val="21"/>
          <w:szCs w:val="21"/>
          <w:highlight w:val="none"/>
        </w:rPr>
        <w:t>.2经投标人确认修正后的报价若超过采购预算金额或者最高限价，</w:t>
      </w:r>
      <w:r>
        <w:rPr>
          <w:rFonts w:hint="eastAsia" w:ascii="宋体" w:hAnsi="宋体"/>
          <w:color w:val="000000"/>
          <w:sz w:val="21"/>
          <w:szCs w:val="21"/>
          <w:highlight w:val="none"/>
        </w:rPr>
        <w:t>投标人的投标文件作无效投标处理</w:t>
      </w:r>
      <w:r>
        <w:rPr>
          <w:rFonts w:hint="eastAsia" w:ascii="宋体" w:hAnsi="宋体"/>
          <w:b w:val="0"/>
          <w:color w:val="000000"/>
          <w:sz w:val="21"/>
          <w:szCs w:val="21"/>
          <w:highlight w:val="none"/>
        </w:rPr>
        <w:t>。</w:t>
      </w:r>
    </w:p>
    <w:p w14:paraId="65E4B1C5">
      <w:pPr>
        <w:snapToGrid w:val="0"/>
        <w:spacing w:line="360" w:lineRule="auto"/>
        <w:ind w:firstLine="420" w:firstLineChars="200"/>
        <w:rPr>
          <w:rFonts w:ascii="宋体" w:hAnsi="宋体"/>
          <w:color w:val="000000"/>
          <w:szCs w:val="21"/>
          <w:highlight w:val="none"/>
        </w:rPr>
      </w:pPr>
      <w:r>
        <w:rPr>
          <w:rFonts w:ascii="宋体" w:hAnsi="宋体"/>
          <w:color w:val="000000"/>
          <w:szCs w:val="21"/>
          <w:highlight w:val="none"/>
        </w:rPr>
        <w:t>4</w:t>
      </w:r>
      <w:r>
        <w:rPr>
          <w:rFonts w:hint="eastAsia" w:ascii="宋体" w:hAnsi="宋体"/>
          <w:color w:val="000000"/>
          <w:szCs w:val="21"/>
          <w:highlight w:val="none"/>
        </w:rPr>
        <w:t>.3经投标人确认修正后的报价作为签订合同的依据，并以此报价计算价格分。</w:t>
      </w:r>
    </w:p>
    <w:p w14:paraId="3D1B00D8">
      <w:pPr>
        <w:pStyle w:val="6"/>
        <w:keepNext w:val="0"/>
        <w:keepLines w:val="0"/>
        <w:spacing w:before="0" w:after="0" w:line="360" w:lineRule="auto"/>
        <w:ind w:left="420" w:leftChars="200"/>
        <w:rPr>
          <w:rFonts w:ascii="宋体" w:hAnsi="宋体"/>
          <w:color w:val="000000"/>
          <w:sz w:val="21"/>
          <w:szCs w:val="21"/>
          <w:highlight w:val="none"/>
        </w:rPr>
      </w:pPr>
      <w:r>
        <w:rPr>
          <w:rFonts w:ascii="宋体" w:hAnsi="宋体"/>
          <w:color w:val="000000"/>
          <w:sz w:val="21"/>
          <w:szCs w:val="21"/>
          <w:highlight w:val="none"/>
        </w:rPr>
        <w:t>5.</w:t>
      </w:r>
      <w:r>
        <w:rPr>
          <w:rFonts w:hint="eastAsia" w:ascii="宋体" w:hAnsi="宋体"/>
          <w:color w:val="000000"/>
          <w:sz w:val="21"/>
          <w:szCs w:val="21"/>
          <w:highlight w:val="none"/>
        </w:rPr>
        <w:t>比较与评价</w:t>
      </w:r>
    </w:p>
    <w:p w14:paraId="01C63E64">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5.1采用综合评分法的</w:t>
      </w:r>
    </w:p>
    <w:p w14:paraId="0A504B60">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（1）评标委员会按照招标文件中规定的评标方法及评标标准，对符合性审查合格的投标文件进行商务和技术评估，综合比较与评价。</w:t>
      </w:r>
    </w:p>
    <w:p w14:paraId="1577A584">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（2）评标委员会独立对每个投标人的投标文件进行评价，并汇总每个投标人的得分。</w:t>
      </w:r>
    </w:p>
    <w:p w14:paraId="255F8A6D">
      <w:pPr>
        <w:snapToGrid w:val="0"/>
        <w:spacing w:line="360" w:lineRule="auto"/>
        <w:ind w:firstLine="420" w:firstLineChars="200"/>
        <w:rPr>
          <w:rFonts w:ascii="宋体" w:hAnsi="宋体"/>
          <w:szCs w:val="21"/>
          <w:highlight w:val="none"/>
        </w:rPr>
      </w:pPr>
      <w:r>
        <w:rPr>
          <w:rFonts w:hint="eastAsia" w:ascii="宋体" w:hAnsi="宋体"/>
          <w:szCs w:val="21"/>
          <w:highlight w:val="none"/>
        </w:rPr>
        <w:t>1）评标委员会在评审中发现下列情形之一的，应当启动异常低价投标审查程序：</w:t>
      </w:r>
    </w:p>
    <w:p w14:paraId="57D2E44D">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①投标报价低于全部通过符合性审查供应商投标报价平均值</w:t>
      </w:r>
      <w:bookmarkStart w:id="154" w:name="OLE_LINK10"/>
      <w:r>
        <w:rPr>
          <w:rFonts w:hint="eastAsia" w:ascii="宋体" w:hAnsi="宋体"/>
          <w:iCs/>
          <w:szCs w:val="21"/>
          <w:highlight w:val="none"/>
        </w:rPr>
        <w:t>65</w:t>
      </w:r>
      <w:r>
        <w:rPr>
          <w:rFonts w:ascii="宋体" w:hAnsi="宋体"/>
          <w:iCs/>
          <w:szCs w:val="21"/>
          <w:highlight w:val="none"/>
        </w:rPr>
        <w:t>%</w:t>
      </w:r>
      <w:bookmarkEnd w:id="154"/>
      <w:r>
        <w:rPr>
          <w:rFonts w:hint="eastAsia" w:ascii="宋体" w:hAnsi="宋体"/>
          <w:szCs w:val="21"/>
          <w:highlight w:val="none"/>
        </w:rPr>
        <w:t>的，即投标报价＜全部通过符合性审查供应商投标报价平均值×</w:t>
      </w:r>
      <w:r>
        <w:rPr>
          <w:rFonts w:hint="eastAsia" w:ascii="宋体" w:hAnsi="宋体"/>
          <w:iCs/>
          <w:szCs w:val="21"/>
          <w:highlight w:val="none"/>
        </w:rPr>
        <w:t>65</w:t>
      </w:r>
      <w:r>
        <w:rPr>
          <w:rFonts w:ascii="宋体" w:hAnsi="宋体"/>
          <w:iCs/>
          <w:szCs w:val="21"/>
          <w:highlight w:val="none"/>
        </w:rPr>
        <w:t>%</w:t>
      </w:r>
      <w:r>
        <w:rPr>
          <w:rFonts w:hint="eastAsia" w:ascii="宋体" w:hAnsi="宋体"/>
          <w:szCs w:val="21"/>
          <w:highlight w:val="none"/>
        </w:rPr>
        <w:t xml:space="preserve">； </w:t>
      </w:r>
    </w:p>
    <w:p w14:paraId="0B40F683">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②投标报价低于通过符合性审查的次低报价供应商投标报价</w:t>
      </w:r>
      <w:r>
        <w:rPr>
          <w:rFonts w:hint="eastAsia" w:ascii="宋体" w:hAnsi="宋体"/>
          <w:iCs/>
          <w:szCs w:val="21"/>
          <w:highlight w:val="none"/>
        </w:rPr>
        <w:t>65</w:t>
      </w:r>
      <w:r>
        <w:rPr>
          <w:rFonts w:ascii="宋体" w:hAnsi="宋体"/>
          <w:iCs/>
          <w:szCs w:val="21"/>
          <w:highlight w:val="none"/>
        </w:rPr>
        <w:t>%</w:t>
      </w:r>
      <w:r>
        <w:rPr>
          <w:rFonts w:hint="eastAsia" w:ascii="宋体" w:hAnsi="宋体"/>
          <w:szCs w:val="21"/>
          <w:highlight w:val="none"/>
        </w:rPr>
        <w:t>的，即投标报价＜通过符合性审查的次低报价供应商投标报价×</w:t>
      </w:r>
      <w:r>
        <w:rPr>
          <w:rFonts w:hint="eastAsia" w:ascii="宋体" w:hAnsi="宋体"/>
          <w:iCs/>
          <w:szCs w:val="21"/>
          <w:highlight w:val="none"/>
        </w:rPr>
        <w:t>65</w:t>
      </w:r>
      <w:r>
        <w:rPr>
          <w:rFonts w:ascii="宋体" w:hAnsi="宋体"/>
          <w:iCs/>
          <w:szCs w:val="21"/>
          <w:highlight w:val="none"/>
        </w:rPr>
        <w:t>%</w:t>
      </w:r>
      <w:r>
        <w:rPr>
          <w:rFonts w:hint="eastAsia" w:ascii="宋体" w:hAnsi="宋体"/>
          <w:szCs w:val="21"/>
          <w:highlight w:val="none"/>
        </w:rPr>
        <w:t xml:space="preserve">； </w:t>
      </w:r>
    </w:p>
    <w:p w14:paraId="2C31F425">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③投标报价低于采购项目最高限价</w:t>
      </w:r>
      <w:r>
        <w:rPr>
          <w:rFonts w:hint="eastAsia" w:ascii="宋体" w:hAnsi="宋体"/>
          <w:iCs/>
          <w:szCs w:val="21"/>
          <w:highlight w:val="none"/>
        </w:rPr>
        <w:t>65</w:t>
      </w:r>
      <w:r>
        <w:rPr>
          <w:rFonts w:ascii="宋体" w:hAnsi="宋体"/>
          <w:iCs/>
          <w:szCs w:val="21"/>
          <w:highlight w:val="none"/>
        </w:rPr>
        <w:t>%</w:t>
      </w:r>
      <w:r>
        <w:rPr>
          <w:rFonts w:hint="eastAsia" w:ascii="宋体" w:hAnsi="宋体"/>
          <w:szCs w:val="21"/>
          <w:highlight w:val="none"/>
        </w:rPr>
        <w:t>的，即投标报价＜采购项目最高限价×</w:t>
      </w:r>
      <w:r>
        <w:rPr>
          <w:rFonts w:hint="eastAsia" w:ascii="宋体" w:hAnsi="宋体"/>
          <w:iCs/>
          <w:szCs w:val="21"/>
          <w:highlight w:val="none"/>
        </w:rPr>
        <w:t>65</w:t>
      </w:r>
      <w:r>
        <w:rPr>
          <w:rFonts w:ascii="宋体" w:hAnsi="宋体"/>
          <w:iCs/>
          <w:szCs w:val="21"/>
          <w:highlight w:val="none"/>
        </w:rPr>
        <w:t>%</w:t>
      </w:r>
      <w:r>
        <w:rPr>
          <w:rFonts w:hint="eastAsia" w:ascii="宋体" w:hAnsi="宋体"/>
          <w:szCs w:val="21"/>
          <w:highlight w:val="none"/>
        </w:rPr>
        <w:t xml:space="preserve">； </w:t>
      </w:r>
    </w:p>
    <w:p w14:paraId="3546A5BA">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④评标委员会基于专业判断，认为供应商报价过低，有可能影响产品质量或者不能诚信履约的其他情形。</w:t>
      </w:r>
    </w:p>
    <w:p w14:paraId="7F4C6C64">
      <w:pPr>
        <w:snapToGrid w:val="0"/>
        <w:spacing w:line="360" w:lineRule="auto"/>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1EA279E3">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szCs w:val="21"/>
          <w:highlight w:val="none"/>
        </w:rPr>
        <w:t>投标供应商不能提供书面说明、证明材料，或者提供的书面说明、证明材料不能证明其报价合理性的，评标委员会应当将其作为无效投标处理。</w:t>
      </w:r>
    </w:p>
    <w:p w14:paraId="014037C2">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05E2C599">
      <w:pPr>
        <w:snapToGrid w:val="0"/>
        <w:spacing w:line="360" w:lineRule="auto"/>
        <w:ind w:firstLine="420" w:firstLineChars="200"/>
        <w:rPr>
          <w:rFonts w:ascii="宋体" w:hAnsi="宋体"/>
          <w:szCs w:val="21"/>
          <w:highlight w:val="none"/>
        </w:rPr>
      </w:pPr>
      <w:r>
        <w:rPr>
          <w:rFonts w:hint="eastAsia" w:ascii="宋体" w:hAnsi="宋体"/>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5A33A2E3">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（3）评标委员会按照招标文件中规定的评标方法和标准计算各投标人的报价得分。在计算过程中，不得去掉最高报价或者最低报价。</w:t>
      </w:r>
    </w:p>
    <w:p w14:paraId="7CC922F8">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（4）各投标人的得分为所有评委的有效评分的算术平均数。</w:t>
      </w:r>
    </w:p>
    <w:p w14:paraId="280A988C">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（5）评标委员会按照招标文件中的规定推荐中标候选人。</w:t>
      </w:r>
    </w:p>
    <w:p w14:paraId="3B6A432A">
      <w:pPr>
        <w:snapToGrid w:val="0"/>
        <w:spacing w:line="360" w:lineRule="auto"/>
        <w:ind w:firstLine="424" w:firstLineChars="202"/>
        <w:jc w:val="left"/>
        <w:rPr>
          <w:rFonts w:ascii="宋体" w:hAnsi="宋体"/>
          <w:color w:val="000000"/>
          <w:szCs w:val="21"/>
          <w:highlight w:val="none"/>
        </w:rPr>
      </w:pPr>
      <w:r>
        <w:rPr>
          <w:rFonts w:hint="eastAsia" w:ascii="宋体" w:hAnsi="宋体"/>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36EF816A">
      <w:pPr>
        <w:snapToGrid w:val="0"/>
        <w:spacing w:line="360" w:lineRule="auto"/>
        <w:jc w:val="center"/>
        <w:rPr>
          <w:color w:val="000000"/>
          <w:highlight w:val="none"/>
        </w:rPr>
      </w:pPr>
      <w:r>
        <w:rPr>
          <w:color w:val="000000"/>
          <w:highlight w:val="none"/>
        </w:rPr>
        <w:br w:type="page"/>
      </w:r>
      <w:r>
        <w:rPr>
          <w:rFonts w:ascii="宋体" w:hAnsi="宋体" w:cs="宋体"/>
          <w:b/>
          <w:bCs/>
          <w:color w:val="000000"/>
          <w:sz w:val="32"/>
          <w:szCs w:val="32"/>
          <w:highlight w:val="none"/>
        </w:rPr>
        <w:t>三</w:t>
      </w:r>
      <w:r>
        <w:rPr>
          <w:rFonts w:hint="eastAsia" w:ascii="宋体" w:hAnsi="宋体" w:cs="宋体"/>
          <w:b/>
          <w:bCs/>
          <w:color w:val="000000"/>
          <w:sz w:val="32"/>
          <w:szCs w:val="32"/>
          <w:highlight w:val="none"/>
        </w:rPr>
        <w:t>、评标标准</w:t>
      </w:r>
    </w:p>
    <w:p w14:paraId="67F0658A">
      <w:pPr>
        <w:pStyle w:val="4"/>
        <w:keepNext w:val="0"/>
        <w:keepLines w:val="0"/>
        <w:jc w:val="center"/>
        <w:rPr>
          <w:color w:val="000000"/>
          <w:highlight w:val="none"/>
        </w:rPr>
      </w:pPr>
      <w:r>
        <w:rPr>
          <w:rFonts w:hint="eastAsia"/>
          <w:color w:val="000000"/>
          <w:highlight w:val="none"/>
        </w:rPr>
        <w:t>综合评分法</w:t>
      </w:r>
    </w:p>
    <w:tbl>
      <w:tblPr>
        <w:tblStyle w:val="48"/>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851"/>
        <w:gridCol w:w="1105"/>
        <w:gridCol w:w="6523"/>
      </w:tblGrid>
      <w:tr w14:paraId="680D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9094" w:type="dxa"/>
            <w:gridSpan w:val="4"/>
            <w:tcBorders>
              <w:top w:val="single" w:color="auto" w:sz="4" w:space="0"/>
              <w:left w:val="single" w:color="auto" w:sz="4" w:space="0"/>
              <w:bottom w:val="single" w:color="auto" w:sz="4" w:space="0"/>
              <w:right w:val="single" w:color="auto" w:sz="4" w:space="0"/>
            </w:tcBorders>
            <w:vAlign w:val="center"/>
          </w:tcPr>
          <w:p w14:paraId="6D56D1E6">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000000"/>
                <w:sz w:val="21"/>
                <w:szCs w:val="21"/>
                <w:highlight w:val="none"/>
                <w:lang w:val="en-US"/>
              </w:rPr>
            </w:pPr>
            <w:r>
              <w:rPr>
                <w:rFonts w:hint="eastAsia" w:ascii="宋体" w:hAnsi="宋体" w:eastAsia="宋体" w:cs="宋体"/>
                <w:b/>
                <w:bCs/>
                <w:color w:val="000000"/>
                <w:kern w:val="0"/>
                <w:sz w:val="21"/>
                <w:szCs w:val="21"/>
                <w:highlight w:val="none"/>
              </w:rPr>
              <w:t>适用于</w:t>
            </w:r>
            <w:r>
              <w:rPr>
                <w:rFonts w:hint="eastAsia" w:ascii="宋体" w:hAnsi="宋体" w:eastAsia="宋体" w:cs="宋体"/>
                <w:b/>
                <w:bCs/>
                <w:color w:val="000000"/>
                <w:kern w:val="0"/>
                <w:sz w:val="21"/>
                <w:szCs w:val="21"/>
                <w:highlight w:val="none"/>
                <w:lang w:val="en-US" w:eastAsia="zh-CN"/>
              </w:rPr>
              <w:t>分标1</w:t>
            </w:r>
          </w:p>
        </w:tc>
      </w:tr>
      <w:tr w14:paraId="6167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466" w:type="dxa"/>
            <w:gridSpan w:val="2"/>
            <w:tcBorders>
              <w:top w:val="single" w:color="auto" w:sz="4" w:space="0"/>
              <w:left w:val="single" w:color="auto" w:sz="4" w:space="0"/>
              <w:bottom w:val="single" w:color="auto" w:sz="4" w:space="0"/>
              <w:right w:val="single" w:color="auto" w:sz="4" w:space="0"/>
            </w:tcBorders>
            <w:vAlign w:val="center"/>
          </w:tcPr>
          <w:p w14:paraId="66E5CA09">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1105" w:type="dxa"/>
            <w:tcBorders>
              <w:top w:val="single" w:color="auto" w:sz="4" w:space="0"/>
              <w:left w:val="single" w:color="auto" w:sz="4" w:space="0"/>
              <w:bottom w:val="single" w:color="auto" w:sz="4" w:space="0"/>
              <w:right w:val="single" w:color="auto" w:sz="4" w:space="0"/>
            </w:tcBorders>
            <w:vAlign w:val="center"/>
          </w:tcPr>
          <w:p w14:paraId="1884969C">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评分因素</w:t>
            </w:r>
          </w:p>
        </w:tc>
        <w:tc>
          <w:tcPr>
            <w:tcW w:w="6523" w:type="dxa"/>
            <w:tcBorders>
              <w:top w:val="single" w:color="auto" w:sz="4" w:space="0"/>
              <w:left w:val="single" w:color="auto" w:sz="4" w:space="0"/>
              <w:bottom w:val="single" w:color="auto" w:sz="4" w:space="0"/>
              <w:right w:val="single" w:color="auto" w:sz="4" w:space="0"/>
            </w:tcBorders>
            <w:vAlign w:val="center"/>
          </w:tcPr>
          <w:p w14:paraId="3192A242">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评分标准</w:t>
            </w:r>
          </w:p>
        </w:tc>
      </w:tr>
      <w:tr w14:paraId="5E1D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Borders>
              <w:top w:val="single" w:color="auto" w:sz="4" w:space="0"/>
              <w:left w:val="single" w:color="auto" w:sz="4" w:space="0"/>
              <w:bottom w:val="single" w:color="auto" w:sz="4" w:space="0"/>
              <w:right w:val="single" w:color="auto" w:sz="4" w:space="0"/>
            </w:tcBorders>
            <w:vAlign w:val="center"/>
          </w:tcPr>
          <w:p w14:paraId="5D4C4933">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1</w:t>
            </w:r>
          </w:p>
        </w:tc>
        <w:tc>
          <w:tcPr>
            <w:tcW w:w="851" w:type="dxa"/>
            <w:tcBorders>
              <w:top w:val="single" w:color="auto" w:sz="4" w:space="0"/>
              <w:left w:val="single" w:color="auto" w:sz="4" w:space="0"/>
              <w:bottom w:val="single" w:color="auto" w:sz="4" w:space="0"/>
              <w:right w:val="single" w:color="auto" w:sz="4" w:space="0"/>
            </w:tcBorders>
            <w:vAlign w:val="center"/>
          </w:tcPr>
          <w:p w14:paraId="52A121F0">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价格分</w:t>
            </w:r>
          </w:p>
          <w:p w14:paraId="0A9FCA0F">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w:t>
            </w:r>
            <w:r>
              <w:rPr>
                <w:rFonts w:hint="eastAsia" w:ascii="宋体" w:hAnsi="宋体" w:eastAsia="宋体" w:cs="宋体"/>
                <w:b/>
                <w:color w:val="000000"/>
                <w:sz w:val="21"/>
                <w:szCs w:val="21"/>
                <w:highlight w:val="none"/>
                <w:lang w:val="en-US" w:eastAsia="zh-CN"/>
              </w:rPr>
              <w:t>满分30分</w:t>
            </w:r>
            <w:r>
              <w:rPr>
                <w:rFonts w:hint="eastAsia" w:ascii="宋体" w:hAnsi="宋体" w:eastAsia="宋体" w:cs="宋体"/>
                <w:b/>
                <w:color w:val="000000"/>
                <w:sz w:val="21"/>
                <w:szCs w:val="21"/>
                <w:highlight w:val="none"/>
              </w:rPr>
              <w:t>）</w:t>
            </w:r>
          </w:p>
        </w:tc>
        <w:tc>
          <w:tcPr>
            <w:tcW w:w="1105" w:type="dxa"/>
            <w:tcBorders>
              <w:top w:val="single" w:color="auto" w:sz="4" w:space="0"/>
              <w:left w:val="single" w:color="auto" w:sz="4" w:space="0"/>
              <w:bottom w:val="single" w:color="auto" w:sz="4" w:space="0"/>
              <w:right w:val="single" w:color="auto" w:sz="4" w:space="0"/>
            </w:tcBorders>
            <w:vAlign w:val="center"/>
          </w:tcPr>
          <w:p w14:paraId="2F175B12">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投标报价（满分30分）</w:t>
            </w:r>
          </w:p>
        </w:tc>
        <w:tc>
          <w:tcPr>
            <w:tcW w:w="6523" w:type="dxa"/>
            <w:tcBorders>
              <w:top w:val="single" w:color="auto" w:sz="4" w:space="0"/>
              <w:left w:val="single" w:color="auto" w:sz="4" w:space="0"/>
              <w:bottom w:val="single" w:color="auto" w:sz="4" w:space="0"/>
              <w:right w:val="single" w:color="auto" w:sz="4" w:space="0"/>
            </w:tcBorders>
            <w:vAlign w:val="center"/>
          </w:tcPr>
          <w:p w14:paraId="2E0D8F2B">
            <w:pPr>
              <w:keepNext w:val="0"/>
              <w:keepLines w:val="0"/>
              <w:pageBreakBefore w:val="0"/>
              <w:kinsoku/>
              <w:wordWrap/>
              <w:overflowPunct/>
              <w:topLinePunct w:val="0"/>
              <w:autoSpaceDE/>
              <w:autoSpaceDN/>
              <w:bidi w:val="0"/>
              <w:snapToGrid w:val="0"/>
              <w:spacing w:line="400" w:lineRule="exact"/>
              <w:rPr>
                <w:rFonts w:hint="eastAsia" w:ascii="宋体" w:hAnsi="宋体" w:eastAsia="宋体" w:cs="宋体"/>
                <w:bCs/>
                <w:sz w:val="21"/>
                <w:szCs w:val="21"/>
                <w:highlight w:val="none"/>
              </w:rPr>
            </w:pPr>
            <w:r>
              <w:rPr>
                <w:rFonts w:hint="eastAsia" w:ascii="宋体" w:hAnsi="宋体" w:eastAsia="宋体" w:cs="宋体"/>
                <w:bCs/>
                <w:sz w:val="21"/>
                <w:szCs w:val="21"/>
                <w:highlight w:val="none"/>
              </w:rPr>
              <w:t>（1）评标报价为投标人的投标报价进行政策性扣除后的价格，评标报价只是作为评标时使用。最终中标人的中标金额等于投标报价。</w:t>
            </w:r>
          </w:p>
          <w:p w14:paraId="593A1EFD">
            <w:pPr>
              <w:keepNext w:val="0"/>
              <w:keepLines w:val="0"/>
              <w:pageBreakBefore w:val="0"/>
              <w:kinsoku/>
              <w:wordWrap/>
              <w:overflowPunct/>
              <w:topLinePunct w:val="0"/>
              <w:autoSpaceDE/>
              <w:autoSpaceDN/>
              <w:bidi w:val="0"/>
              <w:snapToGrid w:val="0"/>
              <w:spacing w:line="400" w:lineRule="exact"/>
              <w:rPr>
                <w:rFonts w:hint="eastAsia" w:ascii="宋体" w:hAnsi="宋体" w:eastAsia="宋体" w:cs="宋体"/>
                <w:bCs/>
                <w:sz w:val="21"/>
                <w:szCs w:val="21"/>
                <w:highlight w:val="none"/>
              </w:rPr>
            </w:pPr>
            <w:r>
              <w:rPr>
                <w:rFonts w:hint="eastAsia" w:ascii="宋体" w:hAnsi="宋体" w:eastAsia="宋体" w:cs="宋体"/>
                <w:bCs/>
                <w:sz w:val="21"/>
                <w:szCs w:val="21"/>
                <w:highlight w:val="none"/>
              </w:rPr>
              <w:t>（2）中小企业政策性扣除计算方法</w:t>
            </w:r>
          </w:p>
          <w:p w14:paraId="25C3BCDC">
            <w:pPr>
              <w:keepNext w:val="0"/>
              <w:keepLines w:val="0"/>
              <w:pageBreakBefore w:val="0"/>
              <w:kinsoku/>
              <w:wordWrap/>
              <w:overflowPunct/>
              <w:topLinePunct w:val="0"/>
              <w:autoSpaceDE/>
              <w:autoSpaceDN/>
              <w:bidi w:val="0"/>
              <w:snapToGrid w:val="0"/>
              <w:spacing w:line="400" w:lineRule="exact"/>
              <w:ind w:firstLine="443" w:firstLineChars="211"/>
              <w:rPr>
                <w:rFonts w:hint="eastAsia" w:ascii="宋体" w:hAnsi="宋体" w:eastAsia="宋体" w:cs="宋体"/>
                <w:sz w:val="21"/>
                <w:szCs w:val="21"/>
                <w:highlight w:val="none"/>
              </w:rPr>
            </w:pPr>
            <w:r>
              <w:rPr>
                <w:rFonts w:hint="eastAsia" w:ascii="宋体" w:hAnsi="宋体" w:eastAsia="宋体" w:cs="宋体"/>
                <w:bCs/>
                <w:sz w:val="21"/>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中小企业折扣=投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4%的扣除，用扣除后的价格参加评审，扣除后的价格为评标报价，即中小企业折扣=投标报价×4%。</w:t>
            </w:r>
          </w:p>
          <w:p w14:paraId="6130FB71">
            <w:pPr>
              <w:keepNext w:val="0"/>
              <w:keepLines w:val="0"/>
              <w:pageBreakBefore w:val="0"/>
              <w:kinsoku/>
              <w:wordWrap/>
              <w:overflowPunct/>
              <w:topLinePunct w:val="0"/>
              <w:autoSpaceDE/>
              <w:autoSpaceDN/>
              <w:bidi w:val="0"/>
              <w:snapToGrid w:val="0"/>
              <w:spacing w:line="400" w:lineRule="exact"/>
              <w:rPr>
                <w:rFonts w:hint="eastAsia" w:ascii="宋体" w:hAnsi="宋体" w:eastAsia="宋体" w:cs="宋体"/>
                <w:bCs/>
                <w:sz w:val="21"/>
                <w:szCs w:val="21"/>
                <w:highlight w:val="none"/>
              </w:rPr>
            </w:pPr>
            <w:r>
              <w:rPr>
                <w:rFonts w:hint="eastAsia" w:ascii="宋体" w:hAnsi="宋体" w:eastAsia="宋体" w:cs="宋体"/>
                <w:bCs/>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sz w:val="21"/>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sz w:val="21"/>
                <w:szCs w:val="21"/>
                <w:highlight w:val="none"/>
              </w:rPr>
              <w:t>监狱企业属于小型、微型企业的，不重复享受政策。</w:t>
            </w:r>
          </w:p>
          <w:p w14:paraId="2F2B0EBF">
            <w:pPr>
              <w:keepNext w:val="0"/>
              <w:keepLines w:val="0"/>
              <w:pageBreakBefore w:val="0"/>
              <w:kinsoku/>
              <w:wordWrap/>
              <w:overflowPunct/>
              <w:topLinePunct w:val="0"/>
              <w:autoSpaceDE/>
              <w:autoSpaceDN/>
              <w:bidi w:val="0"/>
              <w:snapToGrid w:val="0"/>
              <w:spacing w:line="400" w:lineRule="exact"/>
              <w:rPr>
                <w:rFonts w:hint="eastAsia" w:ascii="宋体" w:hAnsi="宋体" w:eastAsia="宋体" w:cs="宋体"/>
                <w:bCs/>
                <w:sz w:val="21"/>
                <w:szCs w:val="21"/>
                <w:highlight w:val="none"/>
              </w:rPr>
            </w:pPr>
            <w:r>
              <w:rPr>
                <w:rFonts w:hint="eastAsia" w:ascii="宋体" w:hAnsi="宋体" w:eastAsia="宋体" w:cs="宋体"/>
                <w:sz w:val="21"/>
                <w:szCs w:val="21"/>
                <w:highlight w:val="none"/>
              </w:rPr>
              <w:t>（4）按照</w:t>
            </w:r>
            <w:r>
              <w:rPr>
                <w:rFonts w:hint="eastAsia" w:ascii="宋体" w:hAnsi="宋体" w:eastAsia="宋体" w:cs="宋体"/>
                <w:bCs/>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sz w:val="21"/>
                <w:szCs w:val="21"/>
                <w:highlight w:val="none"/>
              </w:rPr>
              <w:t>残疾人福利性单位参加政府采购活动时，应当提供该通知规定的《残疾人福利性单位声明函》，并对声明的真实性负责。</w:t>
            </w:r>
            <w:r>
              <w:rPr>
                <w:rFonts w:hint="eastAsia" w:ascii="宋体" w:hAnsi="宋体" w:eastAsia="宋体" w:cs="宋体"/>
                <w:bCs/>
                <w:sz w:val="21"/>
                <w:szCs w:val="21"/>
                <w:highlight w:val="none"/>
              </w:rPr>
              <w:t>残疾人福利性单位属于小型、微型企业的，不重复享受政策。</w:t>
            </w:r>
          </w:p>
          <w:p w14:paraId="21E1700F">
            <w:pPr>
              <w:keepNext w:val="0"/>
              <w:keepLines w:val="0"/>
              <w:pageBreakBefore w:val="0"/>
              <w:kinsoku/>
              <w:wordWrap/>
              <w:overflowPunct/>
              <w:topLinePunct w:val="0"/>
              <w:autoSpaceDE/>
              <w:autoSpaceDN/>
              <w:bidi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（5）本国产品政策性扣除计算方法。</w:t>
            </w:r>
          </w:p>
          <w:p w14:paraId="6094AB8A">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4285C0E6">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20460362">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供应商在其投标文件中提供《关于符合本国产品标准的声明函》或财政部会同有关部门规定的有关证明文件，出具符合要求的《声明函》或有关证明文件的，该产品视为本国产品。</w:t>
            </w:r>
          </w:p>
          <w:p w14:paraId="38FC998C">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如果所有参与竞争的供应商均可享受本国产品价格评审优惠，则统一不进行价格扣除。</w:t>
            </w:r>
          </w:p>
          <w:p w14:paraId="4D9B6C9F">
            <w:pPr>
              <w:keepNext w:val="0"/>
              <w:keepLines w:val="0"/>
              <w:pageBreakBefore w:val="0"/>
              <w:kinsoku/>
              <w:wordWrap/>
              <w:overflowPunct/>
              <w:topLinePunct w:val="0"/>
              <w:autoSpaceDE/>
              <w:autoSpaceDN/>
              <w:bidi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（6）中小企业折扣与本国产品折扣进行叠加计算，用扣除后的价格参加评审。即评标价=投标报价-中小企业折扣-本国产品折扣，除上述情况外，评标价=投标报价。</w:t>
            </w:r>
          </w:p>
          <w:p w14:paraId="5EA2E4A7">
            <w:pPr>
              <w:keepNext w:val="0"/>
              <w:keepLines w:val="0"/>
              <w:pageBreakBefore w:val="0"/>
              <w:kinsoku/>
              <w:wordWrap/>
              <w:overflowPunct/>
              <w:topLinePunct w:val="0"/>
              <w:autoSpaceDE/>
              <w:autoSpaceDN/>
              <w:bidi w:val="0"/>
              <w:snapToGrid w:val="0"/>
              <w:spacing w:line="400" w:lineRule="exact"/>
              <w:rPr>
                <w:rFonts w:hint="eastAsia" w:ascii="宋体" w:hAnsi="宋体" w:eastAsia="宋体" w:cs="宋体"/>
                <w:bCs/>
                <w:sz w:val="21"/>
                <w:szCs w:val="21"/>
                <w:highlight w:val="none"/>
              </w:rPr>
            </w:pPr>
            <w:r>
              <w:rPr>
                <w:rFonts w:hint="eastAsia" w:ascii="宋体" w:hAnsi="宋体" w:eastAsia="宋体" w:cs="宋体"/>
                <w:bCs/>
                <w:sz w:val="21"/>
                <w:szCs w:val="21"/>
                <w:highlight w:val="none"/>
              </w:rPr>
              <w:t>（7）满足招标文件要求且评标报价最低的评标报价为评标基准价，其价格分为满分。</w:t>
            </w:r>
          </w:p>
          <w:p w14:paraId="2A2AD328">
            <w:pPr>
              <w:keepNext w:val="0"/>
              <w:keepLines w:val="0"/>
              <w:pageBreakBefore w:val="0"/>
              <w:kinsoku/>
              <w:wordWrap/>
              <w:overflowPunct/>
              <w:topLinePunct w:val="0"/>
              <w:autoSpaceDE/>
              <w:autoSpaceDN/>
              <w:bidi w:val="0"/>
              <w:spacing w:line="400" w:lineRule="exact"/>
              <w:rPr>
                <w:rFonts w:hint="eastAsia" w:ascii="宋体" w:hAnsi="宋体" w:eastAsia="宋体" w:cs="宋体"/>
                <w:bCs/>
                <w:sz w:val="21"/>
                <w:szCs w:val="21"/>
                <w:highlight w:val="none"/>
              </w:rPr>
            </w:pPr>
            <w:r>
              <w:rPr>
                <w:rFonts w:hint="eastAsia" w:ascii="宋体" w:hAnsi="宋体" w:eastAsia="宋体" w:cs="宋体"/>
                <w:bCs/>
                <w:sz w:val="21"/>
                <w:szCs w:val="21"/>
                <w:highlight w:val="none"/>
              </w:rPr>
              <w:t xml:space="preserve">（8）价格分计算公式：        </w:t>
            </w:r>
          </w:p>
          <w:p w14:paraId="47F35C01">
            <w:pPr>
              <w:keepNext w:val="0"/>
              <w:keepLines w:val="0"/>
              <w:pageBreakBefore w:val="0"/>
              <w:kinsoku/>
              <w:wordWrap/>
              <w:overflowPunct/>
              <w:topLinePunct w:val="0"/>
              <w:autoSpaceDE/>
              <w:autoSpaceDN/>
              <w:bidi w:val="0"/>
              <w:spacing w:line="400" w:lineRule="exact"/>
              <w:rPr>
                <w:rFonts w:hint="eastAsia" w:ascii="宋体" w:hAnsi="宋体" w:eastAsia="宋体" w:cs="宋体"/>
                <w:bCs/>
                <w:color w:val="000000"/>
                <w:sz w:val="21"/>
                <w:szCs w:val="21"/>
                <w:highlight w:val="none"/>
              </w:rPr>
            </w:pPr>
            <w:r>
              <w:rPr>
                <w:rFonts w:hint="eastAsia" w:ascii="宋体" w:hAnsi="宋体" w:eastAsia="宋体" w:cs="宋体"/>
                <w:bCs/>
                <w:kern w:val="0"/>
                <w:sz w:val="21"/>
                <w:szCs w:val="21"/>
                <w:highlight w:val="none"/>
              </w:rPr>
              <w:t>价格分</w:t>
            </w:r>
            <w:r>
              <w:rPr>
                <w:rFonts w:hint="eastAsia" w:ascii="宋体" w:hAnsi="宋体" w:eastAsia="宋体" w:cs="宋体"/>
                <w:bCs/>
                <w:sz w:val="21"/>
                <w:szCs w:val="21"/>
                <w:highlight w:val="none"/>
              </w:rPr>
              <w:t>=（评标基准价／评标报价）×</w:t>
            </w:r>
            <w:r>
              <w:rPr>
                <w:rFonts w:hint="eastAsia" w:ascii="宋体" w:hAnsi="宋体" w:eastAsia="宋体" w:cs="宋体"/>
                <w:bCs/>
                <w:kern w:val="0"/>
                <w:sz w:val="21"/>
                <w:szCs w:val="21"/>
                <w:highlight w:val="none"/>
              </w:rPr>
              <w:t>30</w:t>
            </w:r>
            <w:r>
              <w:rPr>
                <w:rFonts w:hint="eastAsia" w:ascii="宋体" w:hAnsi="宋体" w:eastAsia="宋体" w:cs="宋体"/>
                <w:bCs/>
                <w:sz w:val="21"/>
                <w:szCs w:val="21"/>
                <w:highlight w:val="none"/>
              </w:rPr>
              <w:t>分</w:t>
            </w:r>
          </w:p>
        </w:tc>
      </w:tr>
      <w:tr w14:paraId="78F5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615" w:type="dxa"/>
            <w:vMerge w:val="restart"/>
            <w:tcBorders>
              <w:top w:val="single" w:color="auto" w:sz="4" w:space="0"/>
              <w:left w:val="single" w:color="auto" w:sz="4" w:space="0"/>
              <w:right w:val="single" w:color="auto" w:sz="4" w:space="0"/>
            </w:tcBorders>
            <w:vAlign w:val="center"/>
          </w:tcPr>
          <w:p w14:paraId="2A1A7513">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2</w:t>
            </w:r>
          </w:p>
        </w:tc>
        <w:tc>
          <w:tcPr>
            <w:tcW w:w="851" w:type="dxa"/>
            <w:vMerge w:val="restart"/>
            <w:tcBorders>
              <w:top w:val="single" w:color="auto" w:sz="4" w:space="0"/>
              <w:left w:val="single" w:color="auto" w:sz="4" w:space="0"/>
              <w:right w:val="single" w:color="auto" w:sz="4" w:space="0"/>
            </w:tcBorders>
            <w:vAlign w:val="center"/>
          </w:tcPr>
          <w:p w14:paraId="540A10C0">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000000"/>
                <w:spacing w:val="-18"/>
                <w:sz w:val="21"/>
                <w:szCs w:val="21"/>
                <w:highlight w:val="none"/>
              </w:rPr>
            </w:pPr>
            <w:r>
              <w:rPr>
                <w:rFonts w:hint="eastAsia" w:ascii="宋体" w:hAnsi="宋体" w:eastAsia="宋体" w:cs="宋体"/>
                <w:b/>
                <w:bCs/>
                <w:sz w:val="21"/>
                <w:szCs w:val="21"/>
                <w:highlight w:val="none"/>
              </w:rPr>
              <w:t>技术分（满分</w:t>
            </w:r>
            <w:r>
              <w:rPr>
                <w:rFonts w:hint="eastAsia" w:ascii="宋体" w:hAnsi="宋体" w:eastAsia="宋体" w:cs="宋体"/>
                <w:b/>
                <w:bCs/>
                <w:sz w:val="21"/>
                <w:szCs w:val="21"/>
                <w:highlight w:val="none"/>
                <w:lang w:val="en-US" w:eastAsia="zh-CN"/>
              </w:rPr>
              <w:t>62</w:t>
            </w:r>
            <w:r>
              <w:rPr>
                <w:rFonts w:hint="eastAsia" w:ascii="宋体" w:hAnsi="宋体" w:eastAsia="宋体" w:cs="宋体"/>
                <w:b/>
                <w:bCs/>
                <w:sz w:val="21"/>
                <w:szCs w:val="21"/>
                <w:highlight w:val="none"/>
              </w:rPr>
              <w:t>分）</w:t>
            </w:r>
          </w:p>
        </w:tc>
        <w:tc>
          <w:tcPr>
            <w:tcW w:w="1105" w:type="dxa"/>
            <w:tcBorders>
              <w:top w:val="single" w:color="auto" w:sz="4" w:space="0"/>
              <w:left w:val="single" w:color="auto" w:sz="4" w:space="0"/>
              <w:right w:val="single" w:color="auto" w:sz="4" w:space="0"/>
            </w:tcBorders>
            <w:vAlign w:val="center"/>
          </w:tcPr>
          <w:p w14:paraId="21316E18">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Cs/>
                <w:sz w:val="21"/>
                <w:szCs w:val="21"/>
                <w:highlight w:val="none"/>
              </w:rPr>
            </w:pPr>
            <w:r>
              <w:rPr>
                <w:rFonts w:hint="eastAsia" w:ascii="宋体" w:hAnsi="宋体" w:eastAsia="宋体" w:cs="宋体"/>
                <w:bCs/>
                <w:sz w:val="21"/>
                <w:szCs w:val="21"/>
                <w:highlight w:val="none"/>
              </w:rPr>
              <w:t>设备性能及配置分（满分8分）</w:t>
            </w:r>
          </w:p>
        </w:tc>
        <w:tc>
          <w:tcPr>
            <w:tcW w:w="6523" w:type="dxa"/>
            <w:tcBorders>
              <w:top w:val="single" w:color="auto" w:sz="4" w:space="0"/>
              <w:left w:val="single" w:color="auto" w:sz="4" w:space="0"/>
              <w:bottom w:val="single" w:color="auto" w:sz="4" w:space="0"/>
              <w:right w:val="single" w:color="auto" w:sz="4" w:space="0"/>
            </w:tcBorders>
            <w:vAlign w:val="center"/>
          </w:tcPr>
          <w:p w14:paraId="0059481E">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rPr>
              <w:t>技术参数满足招标文件要求的前提下，标注“●”的技术参数能提供相关证明材料，每1项加2分，满分8分。</w:t>
            </w:r>
          </w:p>
          <w:p w14:paraId="6FDFD4D6">
            <w:pPr>
              <w:pStyle w:val="19"/>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rPr>
              <w:t>注：证明材料可以是：功能截图证明材料复印件或提供国家认可的有资质的第三方检测机构出具的检测报告复印件或产品生产厂家出具的技术参数说明或投标产品的彩页作为佐证，评审时被评标委员会接受的给予计分。</w:t>
            </w:r>
          </w:p>
        </w:tc>
      </w:tr>
      <w:tr w14:paraId="045C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15" w:type="dxa"/>
            <w:vMerge w:val="continue"/>
            <w:tcBorders>
              <w:left w:val="single" w:color="auto" w:sz="4" w:space="0"/>
              <w:right w:val="single" w:color="auto" w:sz="4" w:space="0"/>
            </w:tcBorders>
            <w:vAlign w:val="center"/>
          </w:tcPr>
          <w:p w14:paraId="6AF65213">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p>
        </w:tc>
        <w:tc>
          <w:tcPr>
            <w:tcW w:w="851" w:type="dxa"/>
            <w:vMerge w:val="continue"/>
            <w:tcBorders>
              <w:left w:val="single" w:color="auto" w:sz="4" w:space="0"/>
              <w:right w:val="single" w:color="auto" w:sz="4" w:space="0"/>
            </w:tcBorders>
            <w:vAlign w:val="center"/>
          </w:tcPr>
          <w:p w14:paraId="06B7A103">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p>
        </w:tc>
        <w:tc>
          <w:tcPr>
            <w:tcW w:w="110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DA8982D">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项目实施方案</w:t>
            </w:r>
            <w:r>
              <w:rPr>
                <w:rFonts w:hint="eastAsia" w:ascii="宋体" w:hAnsi="宋体" w:eastAsia="宋体" w:cs="宋体"/>
                <w:sz w:val="21"/>
                <w:szCs w:val="21"/>
                <w:highlight w:val="none"/>
                <w:lang w:eastAsia="zh-CN"/>
              </w:rPr>
              <w:t>分</w:t>
            </w:r>
            <w:r>
              <w:rPr>
                <w:rFonts w:hint="eastAsia" w:ascii="宋体" w:hAnsi="宋体" w:eastAsia="宋体" w:cs="宋体"/>
                <w:sz w:val="21"/>
                <w:szCs w:val="21"/>
                <w:highlight w:val="none"/>
              </w:rPr>
              <w:t>（满分</w:t>
            </w:r>
            <w:r>
              <w:rPr>
                <w:rFonts w:hint="eastAsia" w:ascii="宋体" w:hAnsi="宋体" w:eastAsia="宋体" w:cs="宋体"/>
                <w:sz w:val="21"/>
                <w:szCs w:val="21"/>
                <w:highlight w:val="none"/>
                <w:lang w:val="en-US" w:eastAsia="zh-CN"/>
              </w:rPr>
              <w:t>25</w:t>
            </w:r>
            <w:r>
              <w:rPr>
                <w:rFonts w:hint="eastAsia" w:ascii="宋体" w:hAnsi="宋体" w:eastAsia="宋体" w:cs="宋体"/>
                <w:sz w:val="21"/>
                <w:szCs w:val="21"/>
                <w:highlight w:val="none"/>
              </w:rPr>
              <w:t>分）</w:t>
            </w:r>
          </w:p>
          <w:p w14:paraId="57E2D701">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000000"/>
                <w:sz w:val="21"/>
                <w:szCs w:val="21"/>
                <w:highlight w:val="none"/>
              </w:rPr>
            </w:pPr>
          </w:p>
        </w:tc>
        <w:tc>
          <w:tcPr>
            <w:tcW w:w="6523" w:type="dxa"/>
            <w:tcBorders>
              <w:top w:val="single" w:color="auto" w:sz="4" w:space="0"/>
              <w:left w:val="single" w:color="auto" w:sz="4" w:space="0"/>
              <w:bottom w:val="single" w:color="auto" w:sz="4" w:space="0"/>
              <w:right w:val="single" w:color="auto" w:sz="4" w:space="0"/>
            </w:tcBorders>
            <w:vAlign w:val="center"/>
          </w:tcPr>
          <w:p w14:paraId="345F2757">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投标人提供的项目实施方案的科学性、针对性、前瞻性、保障措施，对于实施中难点的理解和实施重点的把握，考虑采购、运输、项目验收等对采购人的有利性，以及能否保证项目顺利实施等情况进行综合评定。</w:t>
            </w:r>
          </w:p>
          <w:p w14:paraId="4175169D">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一档（</w:t>
            </w: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分）提供了项目实施方案，但各项措施缺乏针对性，拟投入实施人员不少于1人对采购人使用需求响应的具体措施缺乏充分的合理性。方案未针对本项目核心产品的技术参数要求、各设备之间的匹配兼容、整体系统的集成调试等特定要求提出措施，或采购、运输、验收三个环节中至少有1个环节未作安排。未提供产品检验验收方案，或检验验收方案与采购人要求不符。</w:t>
            </w:r>
          </w:p>
          <w:p w14:paraId="43F14EFD">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二档（</w:t>
            </w:r>
            <w:r>
              <w:rPr>
                <w:rFonts w:hint="eastAsia" w:ascii="宋体" w:hAnsi="宋体" w:eastAsia="宋体" w:cs="宋体"/>
                <w:color w:val="000000"/>
                <w:sz w:val="21"/>
                <w:szCs w:val="21"/>
                <w:highlight w:val="none"/>
                <w:lang w:val="en-US" w:eastAsia="zh-CN"/>
              </w:rPr>
              <w:t>13</w:t>
            </w:r>
            <w:r>
              <w:rPr>
                <w:rFonts w:hint="eastAsia" w:ascii="宋体" w:hAnsi="宋体" w:eastAsia="宋体" w:cs="宋体"/>
                <w:color w:val="000000"/>
                <w:sz w:val="21"/>
                <w:szCs w:val="21"/>
                <w:highlight w:val="none"/>
              </w:rPr>
              <w:t>分）：项目实施方案包括人员配置、实施流程、进度安排；拟投入实施人员不少于2人；对采购、运输、项目验收等均有考虑，对项目实施目标、实施过程、实现思路设计进行了细化，各项措施针对采购人需求提出，考虑到了项目实际需求。方案对采购人核心需求中至少3项提出了具体措施，并提供了包含到货检验、过程检验、完工验收等基本要素的产品检验验收方案。</w:t>
            </w:r>
          </w:p>
          <w:p w14:paraId="1B702477">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三档（</w:t>
            </w:r>
            <w:r>
              <w:rPr>
                <w:rFonts w:hint="eastAsia" w:ascii="宋体" w:hAnsi="宋体" w:eastAsia="宋体" w:cs="宋体"/>
                <w:color w:val="000000"/>
                <w:sz w:val="21"/>
                <w:szCs w:val="21"/>
                <w:highlight w:val="none"/>
                <w:lang w:val="en-US" w:eastAsia="zh-CN"/>
              </w:rPr>
              <w:t>19</w:t>
            </w:r>
            <w:r>
              <w:rPr>
                <w:rFonts w:hint="eastAsia" w:ascii="宋体" w:hAnsi="宋体" w:eastAsia="宋体" w:cs="宋体"/>
                <w:color w:val="000000"/>
                <w:sz w:val="21"/>
                <w:szCs w:val="21"/>
                <w:highlight w:val="none"/>
              </w:rPr>
              <w:t>分）：项目实施方案包括人员配置、实施流程、进度安排、质量保证措施、供货方案等内容，具有针对本项目产品的检测检验措施和采购方案；拟投入实施人员不少于3人；对项目实施目标、实施过程、实现思路设计进行了优化；检测检验措施能保证产品质量，须覆盖到货检验、施工过程检验、完工验收三个环节。采购方案须包含采购排期和关键工序控制点。方案提供了合理的可行的彩色三维效果图，提供了完整的检验验收方案（含到货检验标准、过程检验标准、完工验收流程）。</w:t>
            </w:r>
          </w:p>
          <w:p w14:paraId="3833B9EE">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四档（</w:t>
            </w:r>
            <w:r>
              <w:rPr>
                <w:rFonts w:hint="eastAsia" w:ascii="宋体" w:hAnsi="宋体" w:eastAsia="宋体" w:cs="宋体"/>
                <w:color w:val="000000"/>
                <w:sz w:val="21"/>
                <w:szCs w:val="21"/>
                <w:highlight w:val="none"/>
                <w:lang w:val="en-US" w:eastAsia="zh-CN"/>
              </w:rPr>
              <w:t>25</w:t>
            </w:r>
            <w:r>
              <w:rPr>
                <w:rFonts w:hint="eastAsia" w:ascii="宋体" w:hAnsi="宋体" w:eastAsia="宋体" w:cs="宋体"/>
                <w:color w:val="000000"/>
                <w:sz w:val="21"/>
                <w:szCs w:val="21"/>
                <w:highlight w:val="none"/>
              </w:rPr>
              <w:t>分）：在满足三档的基础上，实施方案贴合采购人实际需求，对项目实施目标、实施过程、实现思路有详细的阐述。对采购人、采购项目的特点均有针对性，能够提供科学合理的项目实施流程，具有详细的项目实施人员分工；拟投入实施人员不少于4人；进度计划表须为甘特图或网络图形式，关键节点清晰。方案须包含对产品匹配保障、通信连接稳定性、调试精度控制、平台对接等核心难点的理解。提供不少于2套完整的检验验收方案。</w:t>
            </w:r>
          </w:p>
          <w:p w14:paraId="3370AAFD">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未提供项目实施方案或项目实施方案未达到一档标准要求的，得0分。</w:t>
            </w:r>
          </w:p>
        </w:tc>
      </w:tr>
      <w:tr w14:paraId="22FF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615" w:type="dxa"/>
            <w:vMerge w:val="continue"/>
            <w:tcBorders>
              <w:left w:val="single" w:color="auto" w:sz="4" w:space="0"/>
              <w:right w:val="single" w:color="auto" w:sz="4" w:space="0"/>
            </w:tcBorders>
            <w:vAlign w:val="center"/>
          </w:tcPr>
          <w:p w14:paraId="6D0DE236">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p>
        </w:tc>
        <w:tc>
          <w:tcPr>
            <w:tcW w:w="851" w:type="dxa"/>
            <w:vMerge w:val="continue"/>
            <w:tcBorders>
              <w:left w:val="single" w:color="auto" w:sz="4" w:space="0"/>
              <w:right w:val="single" w:color="auto" w:sz="4" w:space="0"/>
            </w:tcBorders>
            <w:vAlign w:val="center"/>
          </w:tcPr>
          <w:p w14:paraId="48AC2B60">
            <w:pPr>
              <w:keepNext w:val="0"/>
              <w:keepLines w:val="0"/>
              <w:pageBreakBefore w:val="0"/>
              <w:widowControl/>
              <w:kinsoku/>
              <w:wordWrap/>
              <w:overflowPunct/>
              <w:topLinePunct w:val="0"/>
              <w:autoSpaceDE/>
              <w:autoSpaceDN/>
              <w:bidi w:val="0"/>
              <w:spacing w:line="400" w:lineRule="exact"/>
              <w:jc w:val="left"/>
              <w:rPr>
                <w:rFonts w:hint="eastAsia" w:ascii="宋体" w:hAnsi="宋体" w:eastAsia="宋体" w:cs="宋体"/>
                <w:b/>
                <w:bCs/>
                <w:color w:val="000000"/>
                <w:sz w:val="21"/>
                <w:szCs w:val="21"/>
                <w:highlight w:val="none"/>
              </w:rPr>
            </w:pPr>
          </w:p>
        </w:tc>
        <w:tc>
          <w:tcPr>
            <w:tcW w:w="110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008E229">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bCs/>
                <w:sz w:val="21"/>
                <w:szCs w:val="21"/>
                <w:highlight w:val="none"/>
              </w:rPr>
              <w:t>售后服务方案</w:t>
            </w:r>
            <w:r>
              <w:rPr>
                <w:rFonts w:hint="eastAsia" w:ascii="宋体" w:hAnsi="宋体" w:eastAsia="宋体" w:cs="宋体"/>
                <w:bCs/>
                <w:sz w:val="21"/>
                <w:szCs w:val="21"/>
                <w:highlight w:val="none"/>
                <w:lang w:eastAsia="zh-CN"/>
              </w:rPr>
              <w:t>分</w:t>
            </w:r>
            <w:r>
              <w:rPr>
                <w:rFonts w:hint="eastAsia" w:ascii="宋体" w:hAnsi="宋体" w:eastAsia="宋体" w:cs="宋体"/>
                <w:bCs/>
                <w:sz w:val="21"/>
                <w:szCs w:val="21"/>
                <w:highlight w:val="none"/>
              </w:rPr>
              <w:t>（满分12分）</w:t>
            </w:r>
          </w:p>
        </w:tc>
        <w:tc>
          <w:tcPr>
            <w:tcW w:w="6523" w:type="dxa"/>
            <w:tcBorders>
              <w:top w:val="single" w:color="auto" w:sz="4" w:space="0"/>
              <w:left w:val="single" w:color="auto" w:sz="4" w:space="0"/>
              <w:bottom w:val="single" w:color="auto" w:sz="4" w:space="0"/>
              <w:right w:val="single" w:color="auto" w:sz="4" w:space="0"/>
            </w:tcBorders>
          </w:tcPr>
          <w:p w14:paraId="3FD90208">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由评标委员会根据投标人提供的售后服务方案进行综合评定。售后服务方案应包括但不限于以下内容：质保期承诺、质保期内及质保期外保修的具体措施、退换货政策、服务响应时间、服务质量保障措施、服务项目流程设计、备品备件支持、技术培训安排、售后服务网点分布、售后服务热线设立、客户回访机制、投诉处理渠道、档案管理制度等。具体分档如下：</w:t>
            </w:r>
          </w:p>
          <w:p w14:paraId="032FBD29">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一档（4分）：售后服务方案满足</w:t>
            </w:r>
            <w:r>
              <w:rPr>
                <w:rFonts w:hint="eastAsia" w:ascii="宋体" w:hAnsi="宋体" w:eastAsia="宋体" w:cs="宋体"/>
                <w:bCs/>
                <w:color w:val="000000"/>
                <w:sz w:val="21"/>
                <w:szCs w:val="21"/>
                <w:highlight w:val="none"/>
              </w:rPr>
              <w:t>招标</w:t>
            </w:r>
            <w:r>
              <w:rPr>
                <w:rFonts w:hint="eastAsia" w:ascii="宋体" w:hAnsi="宋体" w:eastAsia="宋体" w:cs="宋体"/>
                <w:color w:val="000000"/>
                <w:sz w:val="21"/>
                <w:szCs w:val="21"/>
                <w:highlight w:val="none"/>
              </w:rPr>
              <w:t>文件基本要求，服务内容及保障措施基本完整，但未针对本项目的实际需求和特点进行个性化、针对性设置，方案较为通用，缺乏必要的细节支撑。</w:t>
            </w:r>
          </w:p>
          <w:p w14:paraId="59786F9C">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二档（8分）：售后服务方案满足</w:t>
            </w:r>
            <w:r>
              <w:rPr>
                <w:rFonts w:hint="eastAsia" w:ascii="宋体" w:hAnsi="宋体" w:eastAsia="宋体" w:cs="宋体"/>
                <w:bCs/>
                <w:color w:val="000000"/>
                <w:sz w:val="21"/>
                <w:szCs w:val="21"/>
                <w:highlight w:val="none"/>
              </w:rPr>
              <w:t>招标</w:t>
            </w:r>
            <w:r>
              <w:rPr>
                <w:rFonts w:hint="eastAsia" w:ascii="宋体" w:hAnsi="宋体" w:eastAsia="宋体" w:cs="宋体"/>
                <w:color w:val="000000"/>
                <w:sz w:val="21"/>
                <w:szCs w:val="21"/>
                <w:highlight w:val="none"/>
              </w:rPr>
              <w:t>文件要求，服务内容明确、保障措施详尽、具体、完整。方案中对本项目的服务要求、质量问题响应流程、服务保障机制进行了详细描述。承诺接到质量问题反馈后1小时内响应，12小时内派技术人员到达现场处理；能够提供较为完善的服务团队配置和服务流程说明。</w:t>
            </w:r>
          </w:p>
          <w:p w14:paraId="7C5EA9D5">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三档（12分）：在达到二档各项要求的基础上，还具有以下特点：</w:t>
            </w:r>
          </w:p>
          <w:p w14:paraId="56A65261">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1.具有针对性的质量问题解决方案，能够对不同类型、不同等级的质量问题进行分类处置，预案科学可行；</w:t>
            </w:r>
          </w:p>
          <w:p w14:paraId="45B332C6">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2.有明确的服务团队组织架构、岗位职责、联系人员及完整的服务流程，配备专职服务经理对接采购人，并提供固定的办公联系电话及移动联系方式；</w:t>
            </w:r>
          </w:p>
          <w:p w14:paraId="06AFA01D">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3.承诺接到质量问题反馈后0.5小时内响应，6小时内派技术人员到达现场处理；</w:t>
            </w:r>
          </w:p>
          <w:p w14:paraId="1A9E2545">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4.建立了完善的服务质量监督机制和售后回访制度，能够对服务过程进行有效跟踪和持续改进；</w:t>
            </w:r>
          </w:p>
          <w:p w14:paraId="40088C67">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kern w:val="0"/>
                <w:sz w:val="21"/>
                <w:szCs w:val="21"/>
                <w:highlight w:val="none"/>
              </w:rPr>
            </w:pPr>
            <w:r>
              <w:rPr>
                <w:rFonts w:hint="eastAsia" w:ascii="宋体" w:hAnsi="宋体" w:eastAsia="宋体" w:cs="宋体"/>
                <w:color w:val="000000"/>
                <w:sz w:val="21"/>
                <w:szCs w:val="21"/>
                <w:highlight w:val="none"/>
              </w:rPr>
              <w:t xml:space="preserve">5.各项服务承诺措施具体、可操作性强，有利于项目售后服务的顺利实施和长期稳定运行。 </w:t>
            </w:r>
          </w:p>
        </w:tc>
      </w:tr>
      <w:tr w14:paraId="717B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615" w:type="dxa"/>
            <w:vMerge w:val="continue"/>
            <w:tcBorders>
              <w:left w:val="single" w:color="auto" w:sz="4" w:space="0"/>
              <w:bottom w:val="single" w:color="auto" w:sz="4" w:space="0"/>
              <w:right w:val="single" w:color="auto" w:sz="4" w:space="0"/>
            </w:tcBorders>
            <w:vAlign w:val="center"/>
          </w:tcPr>
          <w:p w14:paraId="2F4B3D69">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p>
        </w:tc>
        <w:tc>
          <w:tcPr>
            <w:tcW w:w="851" w:type="dxa"/>
            <w:vMerge w:val="continue"/>
            <w:tcBorders>
              <w:left w:val="single" w:color="auto" w:sz="4" w:space="0"/>
              <w:bottom w:val="single" w:color="auto" w:sz="4" w:space="0"/>
              <w:right w:val="single" w:color="auto" w:sz="4" w:space="0"/>
            </w:tcBorders>
            <w:vAlign w:val="center"/>
          </w:tcPr>
          <w:p w14:paraId="747FBAEF">
            <w:pPr>
              <w:keepNext w:val="0"/>
              <w:keepLines w:val="0"/>
              <w:pageBreakBefore w:val="0"/>
              <w:widowControl/>
              <w:kinsoku/>
              <w:wordWrap/>
              <w:overflowPunct/>
              <w:topLinePunct w:val="0"/>
              <w:autoSpaceDE/>
              <w:autoSpaceDN/>
              <w:bidi w:val="0"/>
              <w:spacing w:line="400" w:lineRule="exact"/>
              <w:jc w:val="left"/>
              <w:rPr>
                <w:rFonts w:hint="eastAsia" w:ascii="宋体" w:hAnsi="宋体" w:eastAsia="宋体" w:cs="宋体"/>
                <w:b/>
                <w:bCs/>
                <w:color w:val="000000"/>
                <w:sz w:val="21"/>
                <w:szCs w:val="21"/>
                <w:highlight w:val="none"/>
              </w:rPr>
            </w:pPr>
          </w:p>
        </w:tc>
        <w:tc>
          <w:tcPr>
            <w:tcW w:w="110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3336233">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演示分（满分</w:t>
            </w:r>
            <w:r>
              <w:rPr>
                <w:rFonts w:hint="eastAsia" w:ascii="宋体" w:hAnsi="宋体" w:eastAsia="宋体" w:cs="宋体"/>
                <w:color w:val="000000"/>
                <w:sz w:val="21"/>
                <w:szCs w:val="21"/>
                <w:highlight w:val="none"/>
                <w:lang w:val="en-US" w:eastAsia="zh-CN"/>
              </w:rPr>
              <w:t>15</w:t>
            </w:r>
            <w:r>
              <w:rPr>
                <w:rFonts w:hint="eastAsia" w:ascii="宋体" w:hAnsi="宋体" w:eastAsia="宋体" w:cs="宋体"/>
                <w:color w:val="000000"/>
                <w:sz w:val="21"/>
                <w:szCs w:val="21"/>
                <w:highlight w:val="none"/>
              </w:rPr>
              <w:t>分）</w:t>
            </w:r>
          </w:p>
        </w:tc>
        <w:tc>
          <w:tcPr>
            <w:tcW w:w="6523" w:type="dxa"/>
            <w:tcBorders>
              <w:top w:val="single" w:color="auto" w:sz="4" w:space="0"/>
              <w:left w:val="single" w:color="auto" w:sz="4" w:space="0"/>
              <w:bottom w:val="single" w:color="auto" w:sz="4" w:space="0"/>
              <w:right w:val="single" w:color="auto" w:sz="4" w:space="0"/>
            </w:tcBorders>
          </w:tcPr>
          <w:p w14:paraId="1E23E880">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投标人按本标项需求一览表标</w:t>
            </w: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的条款要求进行线上演示;评标委员会将根据演示内容及效果进行评分，标</w:t>
            </w: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条款共15项，且经评标委员会认可的，每项得分1分，满分15分。投标人提供演示须遵循以下要求:</w:t>
            </w:r>
          </w:p>
          <w:p w14:paraId="7268EA7E">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1.演示方式为线上演示，</w:t>
            </w:r>
          </w:p>
          <w:p w14:paraId="10F2D386">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2.演示时间:本项目开标后，具体时间以评标委员会或代理机构线上通知为准。</w:t>
            </w:r>
          </w:p>
          <w:p w14:paraId="5E1AC191">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3.投标人应提前准备好演示所需设备(如电脑等)、界面、排插、网络热点等，并做好线上演示的调试准备。</w:t>
            </w:r>
          </w:p>
          <w:p w14:paraId="200BF940">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4.演示开始后每个供应商的演示时间不超过25分钟，超时的须立即停止。</w:t>
            </w:r>
          </w:p>
          <w:p w14:paraId="454B36A3">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kern w:val="0"/>
                <w:sz w:val="21"/>
                <w:szCs w:val="21"/>
                <w:highlight w:val="none"/>
              </w:rPr>
            </w:pPr>
            <w:r>
              <w:rPr>
                <w:rFonts w:hint="eastAsia" w:ascii="宋体" w:hAnsi="宋体" w:eastAsia="宋体" w:cs="宋体"/>
                <w:sz w:val="21"/>
                <w:szCs w:val="21"/>
                <w:highlight w:val="none"/>
              </w:rPr>
              <w:t>5.投标人演示可根据自身情况选择采用视频或PPT或图像或图片或真实软件等进行演示。</w:t>
            </w:r>
          </w:p>
        </w:tc>
      </w:tr>
      <w:tr w14:paraId="44D6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5" w:type="dxa"/>
            <w:tcBorders>
              <w:left w:val="single" w:color="auto" w:sz="4" w:space="0"/>
              <w:right w:val="single" w:color="auto" w:sz="4" w:space="0"/>
            </w:tcBorders>
            <w:vAlign w:val="center"/>
          </w:tcPr>
          <w:p w14:paraId="3A093082">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3</w:t>
            </w:r>
          </w:p>
        </w:tc>
        <w:tc>
          <w:tcPr>
            <w:tcW w:w="851" w:type="dxa"/>
            <w:tcBorders>
              <w:left w:val="single" w:color="auto" w:sz="4" w:space="0"/>
              <w:right w:val="single" w:color="auto" w:sz="4" w:space="0"/>
            </w:tcBorders>
            <w:vAlign w:val="center"/>
          </w:tcPr>
          <w:p w14:paraId="0D96B76F">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bCs/>
                <w:color w:val="000000"/>
                <w:sz w:val="21"/>
                <w:szCs w:val="21"/>
                <w:highlight w:val="none"/>
              </w:rPr>
            </w:pPr>
            <w:r>
              <w:rPr>
                <w:rFonts w:hint="eastAsia" w:ascii="宋体" w:hAnsi="宋体" w:eastAsia="宋体" w:cs="宋体"/>
                <w:b/>
                <w:bCs/>
                <w:sz w:val="21"/>
                <w:szCs w:val="21"/>
                <w:highlight w:val="none"/>
              </w:rPr>
              <w:t>商务分（满分</w:t>
            </w:r>
            <w:r>
              <w:rPr>
                <w:rFonts w:hint="eastAsia" w:ascii="宋体" w:hAnsi="宋体" w:eastAsia="宋体" w:cs="宋体"/>
                <w:b/>
                <w:bCs/>
                <w:sz w:val="21"/>
                <w:szCs w:val="21"/>
                <w:highlight w:val="none"/>
                <w:lang w:val="en-US" w:eastAsia="zh-CN"/>
              </w:rPr>
              <w:t>8</w:t>
            </w:r>
            <w:r>
              <w:rPr>
                <w:rFonts w:hint="eastAsia" w:ascii="宋体" w:hAnsi="宋体" w:eastAsia="宋体" w:cs="宋体"/>
                <w:b/>
                <w:bCs/>
                <w:sz w:val="21"/>
                <w:szCs w:val="21"/>
                <w:highlight w:val="none"/>
              </w:rPr>
              <w:t>分）</w:t>
            </w:r>
          </w:p>
        </w:tc>
        <w:tc>
          <w:tcPr>
            <w:tcW w:w="1105"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6A07C662">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业绩分（满分</w:t>
            </w:r>
            <w:r>
              <w:rPr>
                <w:rFonts w:hint="eastAsia" w:ascii="宋体" w:hAnsi="宋体" w:eastAsia="宋体" w:cs="宋体"/>
                <w:bCs/>
                <w:sz w:val="21"/>
                <w:szCs w:val="21"/>
                <w:highlight w:val="none"/>
                <w:lang w:val="en-US" w:eastAsia="zh-CN"/>
              </w:rPr>
              <w:t>8</w:t>
            </w:r>
            <w:r>
              <w:rPr>
                <w:rFonts w:hint="eastAsia" w:ascii="宋体" w:hAnsi="宋体" w:eastAsia="宋体" w:cs="宋体"/>
                <w:bCs/>
                <w:sz w:val="21"/>
                <w:szCs w:val="21"/>
                <w:highlight w:val="none"/>
              </w:rPr>
              <w:t>）</w:t>
            </w:r>
          </w:p>
        </w:tc>
        <w:tc>
          <w:tcPr>
            <w:tcW w:w="6523" w:type="dxa"/>
            <w:tcBorders>
              <w:top w:val="single" w:color="auto" w:sz="4" w:space="0"/>
              <w:left w:val="single" w:color="auto" w:sz="4" w:space="0"/>
              <w:bottom w:val="single" w:color="auto" w:sz="4" w:space="0"/>
              <w:right w:val="single" w:color="auto" w:sz="4" w:space="0"/>
            </w:tcBorders>
          </w:tcPr>
          <w:p w14:paraId="47528C1F">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b/>
                <w:bCs/>
                <w:sz w:val="21"/>
                <w:szCs w:val="21"/>
                <w:highlight w:val="none"/>
              </w:rPr>
            </w:pPr>
            <w:r>
              <w:rPr>
                <w:rFonts w:hint="eastAsia" w:ascii="宋体" w:hAnsi="宋体" w:eastAsia="宋体" w:cs="宋体"/>
                <w:sz w:val="21"/>
                <w:szCs w:val="21"/>
                <w:highlight w:val="none"/>
              </w:rPr>
              <w:t>投标人自20</w:t>
            </w:r>
            <w:r>
              <w:rPr>
                <w:rFonts w:hint="eastAsia" w:ascii="宋体" w:hAnsi="宋体" w:eastAsia="宋体" w:cs="宋体"/>
                <w:sz w:val="21"/>
                <w:szCs w:val="21"/>
                <w:highlight w:val="none"/>
                <w:lang w:val="en-US" w:eastAsia="zh-CN"/>
              </w:rPr>
              <w:t>23</w:t>
            </w:r>
            <w:r>
              <w:rPr>
                <w:rFonts w:hint="eastAsia" w:ascii="宋体" w:hAnsi="宋体" w:eastAsia="宋体" w:cs="宋体"/>
                <w:sz w:val="21"/>
                <w:szCs w:val="21"/>
                <w:highlight w:val="none"/>
              </w:rPr>
              <w:t>年1月1日以来承接过类似项目的（类似项目指实训室设备项目或教学设备项目或与本项目采购标的相关的项目），每提供一份项目合同业绩的得</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分，本项满分</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分。</w:t>
            </w:r>
            <w:r>
              <w:rPr>
                <w:rFonts w:hint="eastAsia" w:ascii="宋体" w:hAnsi="宋体" w:eastAsia="宋体" w:cs="宋体"/>
                <w:b/>
                <w:sz w:val="21"/>
                <w:szCs w:val="21"/>
                <w:highlight w:val="none"/>
              </w:rPr>
              <w:t>【注：投标文件中要附业绩一览表，并列明采购单位信息及单位地址、联系人、电话等，同时提供采购合同或中标（成交）通知书复印件，未按要求提供材料的不予计分。如中标（成交）通知书不能清晰反映所承接项目的标的信息，还需提供有效的合同证明材料或履约验收证明材料。】</w:t>
            </w:r>
          </w:p>
        </w:tc>
      </w:tr>
      <w:tr w14:paraId="533F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Borders>
              <w:top w:val="single" w:color="auto" w:sz="4" w:space="0"/>
              <w:left w:val="single" w:color="auto" w:sz="4" w:space="0"/>
              <w:bottom w:val="single" w:color="auto" w:sz="4" w:space="0"/>
              <w:right w:val="single" w:color="auto" w:sz="4" w:space="0"/>
            </w:tcBorders>
            <w:vAlign w:val="center"/>
          </w:tcPr>
          <w:p w14:paraId="6DFBEB6B">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4</w:t>
            </w:r>
          </w:p>
        </w:tc>
        <w:tc>
          <w:tcPr>
            <w:tcW w:w="851" w:type="dxa"/>
            <w:tcBorders>
              <w:top w:val="single" w:color="auto" w:sz="4" w:space="0"/>
              <w:left w:val="single" w:color="auto" w:sz="4" w:space="0"/>
              <w:bottom w:val="single" w:color="auto" w:sz="4" w:space="0"/>
              <w:right w:val="single" w:color="auto" w:sz="4" w:space="0"/>
            </w:tcBorders>
            <w:vAlign w:val="center"/>
          </w:tcPr>
          <w:p w14:paraId="748350C5">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政策功能分（满分2分）</w:t>
            </w:r>
          </w:p>
        </w:tc>
        <w:tc>
          <w:tcPr>
            <w:tcW w:w="1105" w:type="dxa"/>
            <w:tcBorders>
              <w:top w:val="single" w:color="auto" w:sz="4" w:space="0"/>
              <w:left w:val="single" w:color="auto" w:sz="4" w:space="0"/>
              <w:bottom w:val="single" w:color="auto" w:sz="4" w:space="0"/>
              <w:right w:val="single" w:color="auto" w:sz="4" w:space="0"/>
            </w:tcBorders>
            <w:vAlign w:val="center"/>
          </w:tcPr>
          <w:p w14:paraId="6CBE7ACB">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节能、环保分</w:t>
            </w: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满分2分</w:t>
            </w:r>
            <w:r>
              <w:rPr>
                <w:rFonts w:hint="eastAsia" w:ascii="宋体" w:hAnsi="宋体" w:eastAsia="宋体" w:cs="宋体"/>
                <w:bCs/>
                <w:color w:val="000000"/>
                <w:sz w:val="21"/>
                <w:szCs w:val="21"/>
                <w:highlight w:val="none"/>
              </w:rPr>
              <w:t>）</w:t>
            </w:r>
          </w:p>
        </w:tc>
        <w:tc>
          <w:tcPr>
            <w:tcW w:w="6523" w:type="dxa"/>
            <w:tcBorders>
              <w:top w:val="single" w:color="auto" w:sz="4" w:space="0"/>
              <w:left w:val="single" w:color="auto" w:sz="4" w:space="0"/>
              <w:bottom w:val="single" w:color="auto" w:sz="4" w:space="0"/>
              <w:right w:val="single" w:color="auto" w:sz="4" w:space="0"/>
            </w:tcBorders>
          </w:tcPr>
          <w:p w14:paraId="6279A6DE">
            <w:pPr>
              <w:keepNext w:val="0"/>
              <w:keepLines w:val="0"/>
              <w:pageBreakBefore w:val="0"/>
              <w:widowControl/>
              <w:kinsoku/>
              <w:wordWrap/>
              <w:overflowPunct/>
              <w:topLinePunct w:val="0"/>
              <w:autoSpaceDE/>
              <w:autoSpaceDN/>
              <w:bidi w:val="0"/>
              <w:spacing w:line="40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节能产品分：投标产品列入品目清单范围内优先采购的，且提供国家确定的认证机构出具的、处于有效期之内的节能产品认证证书复印件（加盖投标人公章），每有一项得0.5分，最多得1分。采购内容中的强制产品不加分。</w:t>
            </w:r>
          </w:p>
          <w:p w14:paraId="70038CDB">
            <w:pPr>
              <w:keepNext w:val="0"/>
              <w:keepLines w:val="0"/>
              <w:pageBreakBefore w:val="0"/>
              <w:widowControl/>
              <w:kinsoku/>
              <w:wordWrap/>
              <w:overflowPunct/>
              <w:topLinePunct w:val="0"/>
              <w:autoSpaceDE/>
              <w:autoSpaceDN/>
              <w:bidi w:val="0"/>
              <w:spacing w:line="40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（2）环保标志产品分：投标产品列入品目清单范围内优先采购的，且提供国家确定的认证机构出具的、处于有效期之内的环境标志产品认证证书复印件（加盖投标人公章），每有一项得0.5分，最多得1分。</w:t>
            </w:r>
          </w:p>
        </w:tc>
      </w:tr>
      <w:tr w14:paraId="0AD4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4" w:type="dxa"/>
            <w:gridSpan w:val="4"/>
            <w:tcBorders>
              <w:top w:val="single" w:color="auto" w:sz="4" w:space="0"/>
              <w:left w:val="single" w:color="auto" w:sz="4" w:space="0"/>
              <w:bottom w:val="single" w:color="auto" w:sz="4" w:space="0"/>
              <w:right w:val="single" w:color="auto" w:sz="4" w:space="0"/>
            </w:tcBorders>
            <w:vAlign w:val="center"/>
          </w:tcPr>
          <w:p w14:paraId="48B2B4EF">
            <w:pPr>
              <w:keepNext w:val="0"/>
              <w:keepLines w:val="0"/>
              <w:pageBreakBefore w:val="0"/>
              <w:kinsoku/>
              <w:wordWrap/>
              <w:overflowPunct/>
              <w:topLinePunct w:val="0"/>
              <w:autoSpaceDE/>
              <w:autoSpaceDN/>
              <w:bidi w:val="0"/>
              <w:spacing w:line="400" w:lineRule="exact"/>
              <w:ind w:firstLine="420"/>
              <w:rPr>
                <w:rFonts w:hint="eastAsia" w:ascii="宋体" w:hAnsi="宋体" w:eastAsia="宋体" w:cs="宋体"/>
                <w:bCs/>
                <w:color w:val="000000"/>
                <w:sz w:val="21"/>
                <w:szCs w:val="21"/>
                <w:highlight w:val="none"/>
              </w:rPr>
            </w:pPr>
            <w:r>
              <w:rPr>
                <w:rFonts w:hint="eastAsia" w:ascii="宋体" w:hAnsi="宋体" w:eastAsia="宋体" w:cs="宋体"/>
                <w:b/>
                <w:bCs/>
                <w:color w:val="000000"/>
                <w:sz w:val="21"/>
                <w:szCs w:val="21"/>
                <w:highlight w:val="none"/>
              </w:rPr>
              <w:t>总得分=1+2+3+4。</w:t>
            </w:r>
          </w:p>
        </w:tc>
      </w:tr>
    </w:tbl>
    <w:p w14:paraId="6387612A">
      <w:pPr>
        <w:pStyle w:val="25"/>
        <w:spacing w:line="360" w:lineRule="auto"/>
        <w:ind w:firstLine="420"/>
        <w:rPr>
          <w:rFonts w:hint="eastAsia" w:hAnsi="宋体"/>
          <w:bCs/>
          <w:color w:val="000000"/>
          <w:sz w:val="21"/>
          <w:highlight w:val="none"/>
        </w:rPr>
      </w:pPr>
    </w:p>
    <w:p w14:paraId="7EB3124C">
      <w:pPr>
        <w:pStyle w:val="25"/>
        <w:spacing w:line="360" w:lineRule="auto"/>
        <w:ind w:firstLine="420"/>
        <w:rPr>
          <w:rFonts w:hint="eastAsia" w:hAnsi="宋体"/>
          <w:bCs/>
          <w:color w:val="000000"/>
          <w:sz w:val="21"/>
          <w:highlight w:val="none"/>
        </w:rPr>
      </w:pPr>
      <w:r>
        <w:rPr>
          <w:rFonts w:hint="eastAsia" w:hAnsi="宋体"/>
          <w:bCs/>
          <w:color w:val="000000"/>
          <w:sz w:val="21"/>
          <w:highlight w:val="none"/>
        </w:rPr>
        <w:t>注：计分方法按四舍五入取至百分位</w:t>
      </w:r>
    </w:p>
    <w:p w14:paraId="23149A7F">
      <w:pPr>
        <w:bidi w:val="0"/>
        <w:rPr>
          <w:highlight w:val="none"/>
        </w:rPr>
      </w:pPr>
    </w:p>
    <w:p w14:paraId="5C2B65B2">
      <w:pPr>
        <w:bidi w:val="0"/>
        <w:rPr>
          <w:highlight w:val="none"/>
        </w:rPr>
      </w:pPr>
    </w:p>
    <w:p w14:paraId="5264C98C">
      <w:pPr>
        <w:bidi w:val="0"/>
        <w:rPr>
          <w:highlight w:val="none"/>
        </w:rPr>
      </w:pPr>
    </w:p>
    <w:p w14:paraId="77A4FF33">
      <w:pPr>
        <w:bidi w:val="0"/>
        <w:rPr>
          <w:highlight w:val="none"/>
        </w:rPr>
      </w:pPr>
    </w:p>
    <w:p w14:paraId="39092DA7">
      <w:pPr>
        <w:bidi w:val="0"/>
        <w:rPr>
          <w:highlight w:val="none"/>
        </w:rPr>
      </w:pPr>
    </w:p>
    <w:p w14:paraId="1DE7D346">
      <w:pPr>
        <w:bidi w:val="0"/>
        <w:rPr>
          <w:highlight w:val="none"/>
        </w:rPr>
      </w:pPr>
    </w:p>
    <w:p w14:paraId="014F94CC">
      <w:pPr>
        <w:bidi w:val="0"/>
        <w:rPr>
          <w:highlight w:val="none"/>
        </w:rPr>
      </w:pPr>
    </w:p>
    <w:p w14:paraId="2392470B">
      <w:pPr>
        <w:bidi w:val="0"/>
        <w:rPr>
          <w:highlight w:val="none"/>
        </w:rPr>
      </w:pPr>
    </w:p>
    <w:p w14:paraId="6DE7098F">
      <w:pPr>
        <w:bidi w:val="0"/>
        <w:rPr>
          <w:highlight w:val="none"/>
        </w:rPr>
      </w:pPr>
    </w:p>
    <w:p w14:paraId="46656C48">
      <w:pPr>
        <w:bidi w:val="0"/>
        <w:rPr>
          <w:highlight w:val="none"/>
        </w:rPr>
      </w:pPr>
    </w:p>
    <w:p w14:paraId="1FAEB00F">
      <w:pPr>
        <w:bidi w:val="0"/>
        <w:rPr>
          <w:highlight w:val="none"/>
        </w:rPr>
      </w:pPr>
    </w:p>
    <w:p w14:paraId="0B4775E2">
      <w:pPr>
        <w:bidi w:val="0"/>
        <w:rPr>
          <w:highlight w:val="none"/>
        </w:rPr>
      </w:pPr>
    </w:p>
    <w:p w14:paraId="25A5796E">
      <w:pPr>
        <w:bidi w:val="0"/>
        <w:rPr>
          <w:highlight w:val="none"/>
        </w:rPr>
      </w:pPr>
    </w:p>
    <w:p w14:paraId="15C26693">
      <w:pPr>
        <w:bidi w:val="0"/>
        <w:rPr>
          <w:highlight w:val="none"/>
        </w:rPr>
      </w:pPr>
    </w:p>
    <w:p w14:paraId="6F86BDDC">
      <w:pPr>
        <w:bidi w:val="0"/>
        <w:rPr>
          <w:highlight w:val="none"/>
        </w:rPr>
      </w:pPr>
    </w:p>
    <w:p w14:paraId="3331CBEE">
      <w:pPr>
        <w:bidi w:val="0"/>
        <w:rPr>
          <w:highlight w:val="none"/>
        </w:rPr>
      </w:pPr>
    </w:p>
    <w:p w14:paraId="57879E8A">
      <w:pPr>
        <w:bidi w:val="0"/>
        <w:rPr>
          <w:highlight w:val="none"/>
        </w:rPr>
      </w:pPr>
    </w:p>
    <w:p w14:paraId="7E7A88A8">
      <w:pPr>
        <w:bidi w:val="0"/>
        <w:rPr>
          <w:highlight w:val="none"/>
        </w:rPr>
      </w:pPr>
    </w:p>
    <w:p w14:paraId="2B6B1716">
      <w:pPr>
        <w:bidi w:val="0"/>
        <w:rPr>
          <w:highlight w:val="none"/>
        </w:rPr>
      </w:pPr>
    </w:p>
    <w:tbl>
      <w:tblPr>
        <w:tblStyle w:val="48"/>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851"/>
        <w:gridCol w:w="1105"/>
        <w:gridCol w:w="6523"/>
      </w:tblGrid>
      <w:tr w14:paraId="6453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9094" w:type="dxa"/>
            <w:gridSpan w:val="4"/>
            <w:tcBorders>
              <w:top w:val="single" w:color="auto" w:sz="4" w:space="0"/>
              <w:left w:val="single" w:color="auto" w:sz="4" w:space="0"/>
              <w:bottom w:val="single" w:color="auto" w:sz="4" w:space="0"/>
              <w:right w:val="single" w:color="auto" w:sz="4" w:space="0"/>
            </w:tcBorders>
            <w:vAlign w:val="center"/>
          </w:tcPr>
          <w:p w14:paraId="06AB52C5">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000000"/>
                <w:sz w:val="21"/>
                <w:szCs w:val="21"/>
                <w:highlight w:val="none"/>
                <w:lang w:val="en-US"/>
              </w:rPr>
            </w:pPr>
            <w:r>
              <w:rPr>
                <w:rFonts w:hint="eastAsia" w:ascii="宋体" w:hAnsi="宋体" w:eastAsia="宋体" w:cs="宋体"/>
                <w:b/>
                <w:bCs/>
                <w:color w:val="000000"/>
                <w:kern w:val="0"/>
                <w:sz w:val="21"/>
                <w:szCs w:val="21"/>
                <w:highlight w:val="none"/>
              </w:rPr>
              <w:t>适用于</w:t>
            </w:r>
            <w:r>
              <w:rPr>
                <w:rFonts w:hint="eastAsia" w:ascii="宋体" w:hAnsi="宋体" w:eastAsia="宋体" w:cs="宋体"/>
                <w:b/>
                <w:bCs/>
                <w:color w:val="000000"/>
                <w:kern w:val="0"/>
                <w:sz w:val="21"/>
                <w:szCs w:val="21"/>
                <w:highlight w:val="none"/>
                <w:lang w:val="en-US" w:eastAsia="zh-CN"/>
              </w:rPr>
              <w:t>分标2</w:t>
            </w:r>
          </w:p>
        </w:tc>
      </w:tr>
      <w:tr w14:paraId="4EC3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466" w:type="dxa"/>
            <w:gridSpan w:val="2"/>
            <w:tcBorders>
              <w:top w:val="single" w:color="auto" w:sz="4" w:space="0"/>
              <w:left w:val="single" w:color="auto" w:sz="4" w:space="0"/>
              <w:bottom w:val="single" w:color="auto" w:sz="4" w:space="0"/>
              <w:right w:val="single" w:color="auto" w:sz="4" w:space="0"/>
            </w:tcBorders>
            <w:vAlign w:val="center"/>
          </w:tcPr>
          <w:p w14:paraId="6B9829EC">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1105" w:type="dxa"/>
            <w:tcBorders>
              <w:top w:val="single" w:color="auto" w:sz="4" w:space="0"/>
              <w:left w:val="single" w:color="auto" w:sz="4" w:space="0"/>
              <w:bottom w:val="single" w:color="auto" w:sz="4" w:space="0"/>
              <w:right w:val="single" w:color="auto" w:sz="4" w:space="0"/>
            </w:tcBorders>
            <w:vAlign w:val="center"/>
          </w:tcPr>
          <w:p w14:paraId="1FBCF96C">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评分因素</w:t>
            </w:r>
          </w:p>
        </w:tc>
        <w:tc>
          <w:tcPr>
            <w:tcW w:w="6523" w:type="dxa"/>
            <w:tcBorders>
              <w:top w:val="single" w:color="auto" w:sz="4" w:space="0"/>
              <w:left w:val="single" w:color="auto" w:sz="4" w:space="0"/>
              <w:bottom w:val="single" w:color="auto" w:sz="4" w:space="0"/>
              <w:right w:val="single" w:color="auto" w:sz="4" w:space="0"/>
            </w:tcBorders>
            <w:vAlign w:val="center"/>
          </w:tcPr>
          <w:p w14:paraId="12DC0C2B">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评分标准</w:t>
            </w:r>
          </w:p>
        </w:tc>
      </w:tr>
      <w:tr w14:paraId="60ED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Borders>
              <w:top w:val="single" w:color="auto" w:sz="4" w:space="0"/>
              <w:left w:val="single" w:color="auto" w:sz="4" w:space="0"/>
              <w:bottom w:val="single" w:color="auto" w:sz="4" w:space="0"/>
              <w:right w:val="single" w:color="auto" w:sz="4" w:space="0"/>
            </w:tcBorders>
            <w:vAlign w:val="center"/>
          </w:tcPr>
          <w:p w14:paraId="6747237B">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1</w:t>
            </w:r>
          </w:p>
        </w:tc>
        <w:tc>
          <w:tcPr>
            <w:tcW w:w="851" w:type="dxa"/>
            <w:tcBorders>
              <w:top w:val="single" w:color="auto" w:sz="4" w:space="0"/>
              <w:left w:val="single" w:color="auto" w:sz="4" w:space="0"/>
              <w:bottom w:val="single" w:color="auto" w:sz="4" w:space="0"/>
              <w:right w:val="single" w:color="auto" w:sz="4" w:space="0"/>
            </w:tcBorders>
            <w:vAlign w:val="center"/>
          </w:tcPr>
          <w:p w14:paraId="190704D7">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价格分</w:t>
            </w:r>
          </w:p>
          <w:p w14:paraId="3AFC18F5">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（满</w:t>
            </w:r>
            <w:r>
              <w:rPr>
                <w:rFonts w:hint="eastAsia" w:ascii="宋体" w:hAnsi="宋体" w:eastAsia="宋体" w:cs="宋体"/>
                <w:b/>
                <w:color w:val="000000"/>
                <w:sz w:val="21"/>
                <w:szCs w:val="21"/>
                <w:highlight w:val="none"/>
                <w:lang w:eastAsia="zh-CN"/>
              </w:rPr>
              <w:t>分</w:t>
            </w:r>
            <w:r>
              <w:rPr>
                <w:rFonts w:hint="eastAsia" w:ascii="宋体" w:hAnsi="宋体" w:eastAsia="宋体" w:cs="宋体"/>
                <w:b/>
                <w:color w:val="000000"/>
                <w:sz w:val="21"/>
                <w:szCs w:val="21"/>
                <w:highlight w:val="none"/>
              </w:rPr>
              <w:t>30</w:t>
            </w:r>
            <w:r>
              <w:rPr>
                <w:rFonts w:hint="eastAsia" w:ascii="宋体" w:hAnsi="宋体" w:eastAsia="宋体" w:cs="宋体"/>
                <w:b/>
                <w:color w:val="000000"/>
                <w:sz w:val="21"/>
                <w:szCs w:val="21"/>
                <w:highlight w:val="none"/>
                <w:lang w:val="en-US" w:eastAsia="zh-CN"/>
              </w:rPr>
              <w:t>分</w:t>
            </w:r>
            <w:r>
              <w:rPr>
                <w:rFonts w:hint="eastAsia" w:ascii="宋体" w:hAnsi="宋体" w:eastAsia="宋体" w:cs="宋体"/>
                <w:b/>
                <w:color w:val="000000"/>
                <w:sz w:val="21"/>
                <w:szCs w:val="21"/>
                <w:highlight w:val="none"/>
              </w:rPr>
              <w:t>）</w:t>
            </w:r>
          </w:p>
        </w:tc>
        <w:tc>
          <w:tcPr>
            <w:tcW w:w="1105" w:type="dxa"/>
            <w:tcBorders>
              <w:top w:val="single" w:color="auto" w:sz="4" w:space="0"/>
              <w:left w:val="single" w:color="auto" w:sz="4" w:space="0"/>
              <w:bottom w:val="single" w:color="auto" w:sz="4" w:space="0"/>
              <w:right w:val="single" w:color="auto" w:sz="4" w:space="0"/>
            </w:tcBorders>
            <w:vAlign w:val="center"/>
          </w:tcPr>
          <w:p w14:paraId="3804F342">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投标报价（满分30分）</w:t>
            </w:r>
          </w:p>
        </w:tc>
        <w:tc>
          <w:tcPr>
            <w:tcW w:w="6523" w:type="dxa"/>
            <w:tcBorders>
              <w:top w:val="single" w:color="auto" w:sz="4" w:space="0"/>
              <w:left w:val="single" w:color="auto" w:sz="4" w:space="0"/>
              <w:bottom w:val="single" w:color="auto" w:sz="4" w:space="0"/>
              <w:right w:val="single" w:color="auto" w:sz="4" w:space="0"/>
            </w:tcBorders>
            <w:vAlign w:val="center"/>
          </w:tcPr>
          <w:p w14:paraId="1D02400D">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（1）评标报价为投标人的投标报价进行政策性扣除后的价格，评标报价只是作为评标时使用。最终中标人的中标金额等于投标报价。</w:t>
            </w:r>
          </w:p>
          <w:p w14:paraId="3E2A1153">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（2）中小企业政策性扣除计算方法</w:t>
            </w:r>
          </w:p>
          <w:p w14:paraId="02DC6B23">
            <w:pPr>
              <w:keepNext w:val="0"/>
              <w:keepLines w:val="0"/>
              <w:pageBreakBefore w:val="0"/>
              <w:widowControl w:val="0"/>
              <w:kinsoku/>
              <w:wordWrap/>
              <w:overflowPunct/>
              <w:topLinePunct w:val="0"/>
              <w:autoSpaceDE/>
              <w:autoSpaceDN/>
              <w:bidi w:val="0"/>
              <w:adjustRightInd/>
              <w:snapToGrid w:val="0"/>
              <w:spacing w:line="400" w:lineRule="exact"/>
              <w:ind w:firstLine="443" w:firstLineChars="211"/>
              <w:textAlignment w:val="auto"/>
              <w:rPr>
                <w:rFonts w:hint="eastAsia" w:ascii="宋体" w:hAnsi="宋体" w:eastAsia="宋体" w:cs="宋体"/>
                <w:sz w:val="21"/>
                <w:szCs w:val="21"/>
                <w:highlight w:val="none"/>
                <w:lang w:val="en-US" w:eastAsia="zh-CN"/>
              </w:rPr>
            </w:pPr>
            <w:r>
              <w:rPr>
                <w:rFonts w:hint="eastAsia" w:ascii="宋体" w:hAnsi="宋体" w:eastAsia="宋体" w:cs="宋体"/>
                <w:bCs/>
                <w:sz w:val="21"/>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中小企业折扣=投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4%的扣除，用扣除后的价格参加评审，扣除后的价格为评标报价，即中小企业折扣=投标报价×4%</w:t>
            </w:r>
            <w:r>
              <w:rPr>
                <w:rFonts w:hint="eastAsia" w:ascii="宋体" w:hAnsi="宋体" w:eastAsia="宋体" w:cs="宋体"/>
                <w:bCs/>
                <w:sz w:val="21"/>
                <w:szCs w:val="21"/>
                <w:highlight w:val="none"/>
                <w:lang w:eastAsia="zh-CN"/>
              </w:rPr>
              <w:t>。</w:t>
            </w:r>
          </w:p>
          <w:p w14:paraId="484975C8">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sz w:val="21"/>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sz w:val="21"/>
                <w:szCs w:val="21"/>
                <w:highlight w:val="none"/>
              </w:rPr>
              <w:t>监狱企业属于小型、微型企业的，不重复享受政策。</w:t>
            </w:r>
          </w:p>
          <w:p w14:paraId="71FB5A22">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（4）按照</w:t>
            </w:r>
            <w:r>
              <w:rPr>
                <w:rFonts w:hint="eastAsia" w:ascii="宋体" w:hAnsi="宋体" w:eastAsia="宋体" w:cs="宋体"/>
                <w:bCs/>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sz w:val="21"/>
                <w:szCs w:val="21"/>
                <w:highlight w:val="none"/>
              </w:rPr>
              <w:t>残疾人福利性单位参加政府采购活动时，应当提供该通知规定的《残疾人福利性单位声明函》，并对声明的真实性负责。</w:t>
            </w:r>
            <w:r>
              <w:rPr>
                <w:rFonts w:hint="eastAsia" w:ascii="宋体" w:hAnsi="宋体" w:eastAsia="宋体" w:cs="宋体"/>
                <w:bCs/>
                <w:sz w:val="21"/>
                <w:szCs w:val="21"/>
                <w:highlight w:val="none"/>
              </w:rPr>
              <w:t>残疾人福利性单位属于小型、微型企业的，不重复享受政策。</w:t>
            </w:r>
          </w:p>
          <w:p w14:paraId="37D62692">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（5）本国产品政策性扣除计算方法。</w:t>
            </w:r>
          </w:p>
          <w:p w14:paraId="60CF3076">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AA97B50">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3E231C4D">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供应商在其投标文件中提供《关于符合本国产品标准的声明函》或财政部会同有关部门规定的有关证明文件，出具符合要求的《声明函》或有关证明文件的，该产品视为本国产品。</w:t>
            </w:r>
          </w:p>
          <w:p w14:paraId="483353A1">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如果所有参与竞争的供应商均可享受本国产品价格评审优惠，则统一不进行价格扣除。</w:t>
            </w:r>
          </w:p>
          <w:p w14:paraId="39638A2D">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（6）中小企业折扣与本国产品折扣进行叠加计算，用扣除后的价格参加评审。即评标价=投标报价-中小企业折扣-本国产品折扣，除上述情况外，评标价=投标报价。</w:t>
            </w:r>
          </w:p>
          <w:p w14:paraId="3A5994CB">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（7）满足招标文件要求且评标报价最低的评标报价为评标基准价，其价格分为满分。</w:t>
            </w:r>
          </w:p>
          <w:p w14:paraId="14F752ED">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 xml:space="preserve">（8）价格分计算公式：        </w:t>
            </w:r>
          </w:p>
          <w:p w14:paraId="4B2F41D2">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bCs/>
                <w:color w:val="000000"/>
                <w:sz w:val="21"/>
                <w:szCs w:val="21"/>
                <w:highlight w:val="none"/>
              </w:rPr>
            </w:pPr>
            <w:r>
              <w:rPr>
                <w:rFonts w:hint="eastAsia" w:ascii="宋体" w:hAnsi="宋体" w:eastAsia="宋体" w:cs="宋体"/>
                <w:bCs/>
                <w:kern w:val="0"/>
                <w:sz w:val="21"/>
                <w:szCs w:val="21"/>
                <w:highlight w:val="none"/>
              </w:rPr>
              <w:t>价格分</w:t>
            </w:r>
            <w:r>
              <w:rPr>
                <w:rFonts w:hint="eastAsia" w:ascii="宋体" w:hAnsi="宋体" w:eastAsia="宋体" w:cs="宋体"/>
                <w:bCs/>
                <w:sz w:val="21"/>
                <w:szCs w:val="21"/>
                <w:highlight w:val="none"/>
              </w:rPr>
              <w:t>=（评标基准价／评标报价）×</w:t>
            </w:r>
            <w:r>
              <w:rPr>
                <w:rFonts w:hint="eastAsia" w:ascii="宋体" w:hAnsi="宋体" w:eastAsia="宋体" w:cs="宋体"/>
                <w:bCs/>
                <w:kern w:val="0"/>
                <w:sz w:val="21"/>
                <w:szCs w:val="21"/>
                <w:highlight w:val="none"/>
              </w:rPr>
              <w:t>30</w:t>
            </w:r>
            <w:r>
              <w:rPr>
                <w:rFonts w:hint="eastAsia" w:ascii="宋体" w:hAnsi="宋体" w:eastAsia="宋体" w:cs="宋体"/>
                <w:bCs/>
                <w:sz w:val="21"/>
                <w:szCs w:val="21"/>
                <w:highlight w:val="none"/>
              </w:rPr>
              <w:t>分</w:t>
            </w:r>
          </w:p>
        </w:tc>
      </w:tr>
      <w:tr w14:paraId="7C17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615" w:type="dxa"/>
            <w:vMerge w:val="restart"/>
            <w:tcBorders>
              <w:top w:val="single" w:color="auto" w:sz="4" w:space="0"/>
              <w:left w:val="single" w:color="auto" w:sz="4" w:space="0"/>
              <w:right w:val="single" w:color="auto" w:sz="4" w:space="0"/>
            </w:tcBorders>
            <w:vAlign w:val="center"/>
          </w:tcPr>
          <w:p w14:paraId="62497936">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2</w:t>
            </w:r>
          </w:p>
        </w:tc>
        <w:tc>
          <w:tcPr>
            <w:tcW w:w="851" w:type="dxa"/>
            <w:vMerge w:val="restart"/>
            <w:tcBorders>
              <w:top w:val="single" w:color="auto" w:sz="4" w:space="0"/>
              <w:left w:val="single" w:color="auto" w:sz="4" w:space="0"/>
              <w:right w:val="single" w:color="auto" w:sz="4" w:space="0"/>
            </w:tcBorders>
            <w:vAlign w:val="center"/>
          </w:tcPr>
          <w:p w14:paraId="757D390C">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000000"/>
                <w:spacing w:val="-18"/>
                <w:sz w:val="21"/>
                <w:szCs w:val="21"/>
                <w:highlight w:val="none"/>
              </w:rPr>
            </w:pPr>
            <w:r>
              <w:rPr>
                <w:rFonts w:hint="eastAsia" w:ascii="宋体" w:hAnsi="宋体" w:eastAsia="宋体" w:cs="宋体"/>
                <w:b/>
                <w:bCs/>
                <w:sz w:val="21"/>
                <w:szCs w:val="21"/>
                <w:highlight w:val="none"/>
              </w:rPr>
              <w:t>技术分（满分</w:t>
            </w:r>
            <w:r>
              <w:rPr>
                <w:rFonts w:hint="eastAsia" w:ascii="宋体" w:hAnsi="宋体" w:eastAsia="宋体" w:cs="宋体"/>
                <w:b/>
                <w:bCs/>
                <w:sz w:val="21"/>
                <w:szCs w:val="21"/>
                <w:highlight w:val="none"/>
                <w:lang w:val="en-US" w:eastAsia="zh-CN"/>
              </w:rPr>
              <w:t>58</w:t>
            </w:r>
            <w:r>
              <w:rPr>
                <w:rFonts w:hint="eastAsia" w:ascii="宋体" w:hAnsi="宋体" w:eastAsia="宋体" w:cs="宋体"/>
                <w:b/>
                <w:bCs/>
                <w:sz w:val="21"/>
                <w:szCs w:val="21"/>
                <w:highlight w:val="none"/>
              </w:rPr>
              <w:t>分）</w:t>
            </w:r>
          </w:p>
        </w:tc>
        <w:tc>
          <w:tcPr>
            <w:tcW w:w="1105" w:type="dxa"/>
            <w:tcBorders>
              <w:top w:val="single" w:color="auto" w:sz="4" w:space="0"/>
              <w:left w:val="single" w:color="auto" w:sz="4" w:space="0"/>
              <w:right w:val="single" w:color="auto" w:sz="4" w:space="0"/>
            </w:tcBorders>
            <w:vAlign w:val="center"/>
          </w:tcPr>
          <w:p w14:paraId="3495728C">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Cs/>
                <w:sz w:val="21"/>
                <w:szCs w:val="21"/>
                <w:highlight w:val="none"/>
              </w:rPr>
            </w:pPr>
            <w:r>
              <w:rPr>
                <w:rFonts w:hint="eastAsia" w:ascii="宋体" w:hAnsi="宋体" w:eastAsia="宋体" w:cs="宋体"/>
                <w:bCs/>
                <w:sz w:val="21"/>
                <w:szCs w:val="21"/>
                <w:highlight w:val="none"/>
              </w:rPr>
              <w:t>设备性能及配置分（满分</w:t>
            </w:r>
            <w:r>
              <w:rPr>
                <w:rFonts w:hint="eastAsia" w:ascii="宋体" w:hAnsi="宋体" w:eastAsia="宋体" w:cs="宋体"/>
                <w:bCs/>
                <w:sz w:val="21"/>
                <w:szCs w:val="21"/>
                <w:highlight w:val="none"/>
                <w:lang w:val="en-US" w:eastAsia="zh-CN"/>
              </w:rPr>
              <w:t>18</w:t>
            </w:r>
            <w:r>
              <w:rPr>
                <w:rFonts w:hint="eastAsia" w:ascii="宋体" w:hAnsi="宋体" w:eastAsia="宋体" w:cs="宋体"/>
                <w:bCs/>
                <w:sz w:val="21"/>
                <w:szCs w:val="21"/>
                <w:highlight w:val="none"/>
              </w:rPr>
              <w:t>分）</w:t>
            </w:r>
          </w:p>
        </w:tc>
        <w:tc>
          <w:tcPr>
            <w:tcW w:w="6523" w:type="dxa"/>
            <w:tcBorders>
              <w:top w:val="single" w:color="auto" w:sz="4" w:space="0"/>
              <w:left w:val="single" w:color="auto" w:sz="4" w:space="0"/>
              <w:bottom w:val="single" w:color="auto" w:sz="4" w:space="0"/>
              <w:right w:val="single" w:color="auto" w:sz="4" w:space="0"/>
            </w:tcBorders>
            <w:vAlign w:val="center"/>
          </w:tcPr>
          <w:p w14:paraId="538F4837">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bCs/>
                <w:sz w:val="21"/>
                <w:szCs w:val="21"/>
                <w:highlight w:val="none"/>
                <w:lang w:val="en-US"/>
              </w:rPr>
            </w:pPr>
            <w:r>
              <w:rPr>
                <w:rFonts w:hint="eastAsia" w:ascii="宋体" w:hAnsi="宋体" w:eastAsia="宋体" w:cs="宋体"/>
                <w:bCs/>
                <w:color w:val="auto"/>
                <w:sz w:val="21"/>
                <w:szCs w:val="21"/>
                <w:highlight w:val="none"/>
                <w:lang w:val="en-US"/>
              </w:rPr>
              <w:t>技术参数满足招标文件要求的前提下</w:t>
            </w:r>
            <w:r>
              <w:rPr>
                <w:rFonts w:hint="eastAsia" w:ascii="宋体" w:hAnsi="宋体" w:eastAsia="宋体" w:cs="宋体"/>
                <w:bCs/>
                <w:sz w:val="21"/>
                <w:szCs w:val="21"/>
                <w:highlight w:val="none"/>
                <w:lang w:val="en-US"/>
              </w:rPr>
              <w:t>，标注“</w:t>
            </w:r>
            <w:r>
              <w:rPr>
                <w:rFonts w:hint="eastAsia" w:ascii="宋体" w:hAnsi="宋体" w:eastAsia="宋体" w:cs="宋体"/>
                <w:bCs/>
                <w:sz w:val="21"/>
                <w:szCs w:val="21"/>
                <w:highlight w:val="none"/>
                <w:lang w:val="en-US" w:eastAsia="zh-CN"/>
              </w:rPr>
              <w:t>●</w:t>
            </w:r>
            <w:r>
              <w:rPr>
                <w:rFonts w:hint="eastAsia" w:ascii="宋体" w:hAnsi="宋体" w:eastAsia="宋体" w:cs="宋体"/>
                <w:bCs/>
                <w:sz w:val="21"/>
                <w:szCs w:val="21"/>
                <w:highlight w:val="none"/>
                <w:lang w:val="en-US"/>
              </w:rPr>
              <w:t>”的技术参数能提供相关证明材料，每1项加</w:t>
            </w:r>
            <w:r>
              <w:rPr>
                <w:rFonts w:hint="eastAsia" w:ascii="宋体" w:hAnsi="宋体" w:eastAsia="宋体" w:cs="宋体"/>
                <w:bCs/>
                <w:sz w:val="21"/>
                <w:szCs w:val="21"/>
                <w:highlight w:val="none"/>
                <w:lang w:val="en-US" w:eastAsia="zh-CN"/>
              </w:rPr>
              <w:t>1.5</w:t>
            </w:r>
            <w:r>
              <w:rPr>
                <w:rFonts w:hint="eastAsia" w:ascii="宋体" w:hAnsi="宋体" w:eastAsia="宋体" w:cs="宋体"/>
                <w:bCs/>
                <w:sz w:val="21"/>
                <w:szCs w:val="21"/>
                <w:highlight w:val="none"/>
                <w:lang w:val="en-US"/>
              </w:rPr>
              <w:t>分，满分</w:t>
            </w:r>
            <w:r>
              <w:rPr>
                <w:rFonts w:hint="eastAsia" w:ascii="宋体" w:hAnsi="宋体" w:eastAsia="宋体" w:cs="宋体"/>
                <w:bCs/>
                <w:sz w:val="21"/>
                <w:szCs w:val="21"/>
                <w:highlight w:val="none"/>
                <w:lang w:val="en-US" w:eastAsia="zh-CN"/>
              </w:rPr>
              <w:t>18</w:t>
            </w:r>
            <w:r>
              <w:rPr>
                <w:rFonts w:hint="eastAsia" w:ascii="宋体" w:hAnsi="宋体" w:eastAsia="宋体" w:cs="宋体"/>
                <w:bCs/>
                <w:sz w:val="21"/>
                <w:szCs w:val="21"/>
                <w:highlight w:val="none"/>
                <w:lang w:val="en-US"/>
              </w:rPr>
              <w:t>分。</w:t>
            </w:r>
          </w:p>
          <w:p w14:paraId="7DB625D1">
            <w:pPr>
              <w:pStyle w:val="19"/>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rPr>
              <w:t>注：证明材料可以是：</w:t>
            </w:r>
            <w:r>
              <w:rPr>
                <w:rFonts w:hint="eastAsia" w:ascii="宋体" w:hAnsi="宋体" w:eastAsia="宋体" w:cs="宋体"/>
                <w:bCs/>
                <w:sz w:val="21"/>
                <w:szCs w:val="21"/>
                <w:highlight w:val="none"/>
                <w:lang w:val="en-US" w:eastAsia="zh-CN"/>
              </w:rPr>
              <w:t>功能</w:t>
            </w:r>
            <w:r>
              <w:rPr>
                <w:rFonts w:hint="eastAsia" w:ascii="宋体" w:hAnsi="宋体" w:eastAsia="宋体" w:cs="宋体"/>
                <w:bCs/>
                <w:sz w:val="21"/>
                <w:szCs w:val="21"/>
                <w:highlight w:val="none"/>
                <w:lang w:val="en-US"/>
              </w:rPr>
              <w:t>截图证明材料复印件或提供国家认可的有资质的第三方检测机构出具的检测报告复印件或产品生产厂家出具的技术参数说明或投标产品的彩页作为佐证，评审时被</w:t>
            </w:r>
            <w:r>
              <w:rPr>
                <w:rFonts w:hint="eastAsia" w:ascii="宋体" w:hAnsi="宋体" w:eastAsia="宋体" w:cs="宋体"/>
                <w:bCs/>
                <w:sz w:val="21"/>
                <w:szCs w:val="21"/>
                <w:highlight w:val="none"/>
                <w:lang w:val="en-US" w:eastAsia="zh-CN"/>
              </w:rPr>
              <w:t>评标委员会</w:t>
            </w:r>
            <w:r>
              <w:rPr>
                <w:rFonts w:hint="eastAsia" w:ascii="宋体" w:hAnsi="宋体" w:eastAsia="宋体" w:cs="宋体"/>
                <w:bCs/>
                <w:sz w:val="21"/>
                <w:szCs w:val="21"/>
                <w:highlight w:val="none"/>
                <w:lang w:val="en-US"/>
              </w:rPr>
              <w:t>接受的给予计分。</w:t>
            </w:r>
          </w:p>
        </w:tc>
      </w:tr>
      <w:tr w14:paraId="3174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15" w:type="dxa"/>
            <w:vMerge w:val="continue"/>
            <w:tcBorders>
              <w:left w:val="single" w:color="auto" w:sz="4" w:space="0"/>
              <w:right w:val="single" w:color="auto" w:sz="4" w:space="0"/>
            </w:tcBorders>
            <w:vAlign w:val="center"/>
          </w:tcPr>
          <w:p w14:paraId="67C35013">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p>
        </w:tc>
        <w:tc>
          <w:tcPr>
            <w:tcW w:w="851" w:type="dxa"/>
            <w:vMerge w:val="continue"/>
            <w:tcBorders>
              <w:left w:val="single" w:color="auto" w:sz="4" w:space="0"/>
              <w:right w:val="single" w:color="auto" w:sz="4" w:space="0"/>
            </w:tcBorders>
            <w:vAlign w:val="center"/>
          </w:tcPr>
          <w:p w14:paraId="73E22EF3">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p>
        </w:tc>
        <w:tc>
          <w:tcPr>
            <w:tcW w:w="110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6CE098E">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项目实施方案</w:t>
            </w:r>
            <w:r>
              <w:rPr>
                <w:rFonts w:hint="eastAsia" w:ascii="宋体" w:hAnsi="宋体" w:eastAsia="宋体" w:cs="宋体"/>
                <w:sz w:val="21"/>
                <w:szCs w:val="21"/>
                <w:highlight w:val="none"/>
                <w:lang w:eastAsia="zh-CN"/>
              </w:rPr>
              <w:t>分</w:t>
            </w:r>
            <w:r>
              <w:rPr>
                <w:rFonts w:hint="eastAsia" w:ascii="宋体" w:hAnsi="宋体" w:eastAsia="宋体" w:cs="宋体"/>
                <w:sz w:val="21"/>
                <w:szCs w:val="21"/>
                <w:highlight w:val="none"/>
              </w:rPr>
              <w:t>（满分</w:t>
            </w:r>
            <w:r>
              <w:rPr>
                <w:rFonts w:hint="eastAsia" w:ascii="宋体" w:hAnsi="宋体" w:eastAsia="宋体" w:cs="宋体"/>
                <w:sz w:val="21"/>
                <w:szCs w:val="21"/>
                <w:highlight w:val="none"/>
                <w:lang w:val="en-US" w:eastAsia="zh-CN"/>
              </w:rPr>
              <w:t>16</w:t>
            </w:r>
            <w:r>
              <w:rPr>
                <w:rFonts w:hint="eastAsia" w:ascii="宋体" w:hAnsi="宋体" w:eastAsia="宋体" w:cs="宋体"/>
                <w:sz w:val="21"/>
                <w:szCs w:val="21"/>
                <w:highlight w:val="none"/>
              </w:rPr>
              <w:t>分）</w:t>
            </w:r>
          </w:p>
          <w:p w14:paraId="7BDEF60C">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000000"/>
                <w:sz w:val="21"/>
                <w:szCs w:val="21"/>
                <w:highlight w:val="none"/>
              </w:rPr>
            </w:pPr>
          </w:p>
        </w:tc>
        <w:tc>
          <w:tcPr>
            <w:tcW w:w="6523" w:type="dxa"/>
            <w:tcBorders>
              <w:top w:val="single" w:color="auto" w:sz="4" w:space="0"/>
              <w:left w:val="single" w:color="auto" w:sz="4" w:space="0"/>
              <w:bottom w:val="single" w:color="auto" w:sz="4" w:space="0"/>
              <w:right w:val="single" w:color="auto" w:sz="4" w:space="0"/>
            </w:tcBorders>
            <w:vAlign w:val="center"/>
          </w:tcPr>
          <w:p w14:paraId="021D957E">
            <w:pPr>
              <w:pStyle w:val="2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投标人提供的项目实施方案的科学性、针对性、前瞻性、保障措施，对于实施中难点的理解和实施重点的把握，考虑采购、运输、项目验收等对采购人的有利性，以及能否保证项目顺利实施等情况进行综合评定。</w:t>
            </w:r>
          </w:p>
          <w:p w14:paraId="4246D5A0">
            <w:pPr>
              <w:pStyle w:val="2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一档（</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分）提供了项目实施方案，但各项措施缺乏针对性，拟投入实施人员不少于</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人</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对采购人使用需求响应的具体措施缺乏充分的合理性。方案未针对本项目核心产品的技术参数要求、各设备之间的匹配兼容、整体系统的集成调试等特定要求提出措施，或采购、运输、验收三个环节中至少有1个环节未作安排。未提供产品检验验收方案，或检验验收方案与采购人要求不符。</w:t>
            </w:r>
          </w:p>
          <w:p w14:paraId="59A7D7B8">
            <w:pPr>
              <w:pStyle w:val="2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二档（</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分）：项目实施方案包括人员配置、实施流程、进度安排；拟投入实施人员不少于2人；对采购、运输、项目验收等均有考虑，对项目实施目标、实施过程、实现思路设计进行了细化，各项措施针对采购人需求提出，考虑到了项目实际需求。方案对采购人核心需求中至少3项提出了具体措施，并提供了包含到货检验、过程检验、完工验收等基本要素的产品检验验收方案。</w:t>
            </w:r>
          </w:p>
          <w:p w14:paraId="647A106B">
            <w:pPr>
              <w:pStyle w:val="2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三档（</w:t>
            </w:r>
            <w:r>
              <w:rPr>
                <w:rFonts w:hint="eastAsia" w:ascii="宋体" w:hAnsi="宋体" w:eastAsia="宋体" w:cs="宋体"/>
                <w:color w:val="000000"/>
                <w:sz w:val="21"/>
                <w:szCs w:val="21"/>
                <w:highlight w:val="none"/>
                <w:lang w:val="en-US" w:eastAsia="zh-CN"/>
              </w:rPr>
              <w:t>12</w:t>
            </w:r>
            <w:r>
              <w:rPr>
                <w:rFonts w:hint="eastAsia" w:ascii="宋体" w:hAnsi="宋体" w:eastAsia="宋体" w:cs="宋体"/>
                <w:color w:val="000000"/>
                <w:sz w:val="21"/>
                <w:szCs w:val="21"/>
                <w:highlight w:val="none"/>
              </w:rPr>
              <w:t>分）：项目实施方案包括人员配置、实施流程、进度安排、质量保证措施、供货方案等内容，具有针对本项目产品的检测检验措施和采购方案；拟投入实施人员不少于3人；对项目实施目标、实施过程、实现思路设计进行了优化；检测检验措施能保证产品质量，须覆盖到货检验、施工过程检验、完工验收三个环节。采购方案须包含采购排期和关键工序控制点。提供了完整的检验验收方案（含到货检验标准、过程检验标准、完工验收流程）。</w:t>
            </w:r>
          </w:p>
          <w:p w14:paraId="646CC0F9">
            <w:pPr>
              <w:pStyle w:val="2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四档（</w:t>
            </w:r>
            <w:r>
              <w:rPr>
                <w:rFonts w:hint="eastAsia" w:ascii="宋体" w:hAnsi="宋体" w:eastAsia="宋体" w:cs="宋体"/>
                <w:color w:val="000000"/>
                <w:sz w:val="21"/>
                <w:szCs w:val="21"/>
                <w:highlight w:val="none"/>
                <w:lang w:val="en-US" w:eastAsia="zh-CN"/>
              </w:rPr>
              <w:t>16</w:t>
            </w:r>
            <w:r>
              <w:rPr>
                <w:rFonts w:hint="eastAsia" w:ascii="宋体" w:hAnsi="宋体" w:eastAsia="宋体" w:cs="宋体"/>
                <w:color w:val="000000"/>
                <w:sz w:val="21"/>
                <w:szCs w:val="21"/>
                <w:highlight w:val="none"/>
              </w:rPr>
              <w:t>分）：在满足三档的基础上，实施方案贴合采购人实际需求，对项目实施目标、实施过程、实现思路有详细的阐述。对采购人、采购项目的特点均有针对性，能够提供科学合理的项目实施流程，具有详细的项目实施人员分工；拟投入实施人员不少于4人；进度计划表须为甘特图或网络图形式，关键节点清晰。方案须包含对产品匹配保障、通信连接稳定性、调试精度控制、平台对接等核心难点的理解。提供不少于2套完整的检验验收方案。</w:t>
            </w:r>
          </w:p>
          <w:p w14:paraId="39F9FE9D">
            <w:pPr>
              <w:pStyle w:val="25"/>
              <w:keepNext w:val="0"/>
              <w:keepLines w:val="0"/>
              <w:pageBreakBefore w:val="0"/>
              <w:kinsoku/>
              <w:wordWrap/>
              <w:overflowPunct/>
              <w:topLinePunct w:val="0"/>
              <w:autoSpaceDE/>
              <w:autoSpaceDN/>
              <w:bidi w:val="0"/>
              <w:spacing w:line="400" w:lineRule="exact"/>
              <w:ind w:firstLine="630" w:firstLineChars="3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未提供项目实施方案或项目实施方案未达到一档标准要求的，得0分。</w:t>
            </w:r>
          </w:p>
        </w:tc>
      </w:tr>
      <w:tr w14:paraId="2C1D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615" w:type="dxa"/>
            <w:vMerge w:val="continue"/>
            <w:tcBorders>
              <w:left w:val="single" w:color="auto" w:sz="4" w:space="0"/>
              <w:right w:val="single" w:color="auto" w:sz="4" w:space="0"/>
            </w:tcBorders>
            <w:vAlign w:val="center"/>
          </w:tcPr>
          <w:p w14:paraId="433B0611">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p>
        </w:tc>
        <w:tc>
          <w:tcPr>
            <w:tcW w:w="851" w:type="dxa"/>
            <w:vMerge w:val="continue"/>
            <w:tcBorders>
              <w:left w:val="single" w:color="auto" w:sz="4" w:space="0"/>
              <w:right w:val="single" w:color="auto" w:sz="4" w:space="0"/>
            </w:tcBorders>
            <w:vAlign w:val="center"/>
          </w:tcPr>
          <w:p w14:paraId="5FB0C4F0">
            <w:pPr>
              <w:keepNext w:val="0"/>
              <w:keepLines w:val="0"/>
              <w:pageBreakBefore w:val="0"/>
              <w:widowControl/>
              <w:kinsoku/>
              <w:wordWrap/>
              <w:overflowPunct/>
              <w:topLinePunct w:val="0"/>
              <w:autoSpaceDE/>
              <w:autoSpaceDN/>
              <w:bidi w:val="0"/>
              <w:spacing w:line="400" w:lineRule="exact"/>
              <w:jc w:val="left"/>
              <w:rPr>
                <w:rFonts w:hint="eastAsia" w:ascii="宋体" w:hAnsi="宋体" w:eastAsia="宋体" w:cs="宋体"/>
                <w:b/>
                <w:bCs/>
                <w:color w:val="000000"/>
                <w:sz w:val="21"/>
                <w:szCs w:val="21"/>
                <w:highlight w:val="none"/>
              </w:rPr>
            </w:pPr>
          </w:p>
        </w:tc>
        <w:tc>
          <w:tcPr>
            <w:tcW w:w="110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E36C59B">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bCs/>
                <w:sz w:val="21"/>
                <w:szCs w:val="21"/>
                <w:highlight w:val="none"/>
              </w:rPr>
              <w:t>售后服务方案</w:t>
            </w:r>
            <w:r>
              <w:rPr>
                <w:rFonts w:hint="eastAsia" w:ascii="宋体" w:hAnsi="宋体" w:eastAsia="宋体" w:cs="宋体"/>
                <w:bCs/>
                <w:sz w:val="21"/>
                <w:szCs w:val="21"/>
                <w:highlight w:val="none"/>
                <w:lang w:eastAsia="zh-CN"/>
              </w:rPr>
              <w:t>分</w:t>
            </w:r>
            <w:r>
              <w:rPr>
                <w:rFonts w:hint="eastAsia" w:ascii="宋体" w:hAnsi="宋体" w:eastAsia="宋体" w:cs="宋体"/>
                <w:bCs/>
                <w:sz w:val="21"/>
                <w:szCs w:val="21"/>
                <w:highlight w:val="none"/>
              </w:rPr>
              <w:t>（满分</w:t>
            </w:r>
            <w:r>
              <w:rPr>
                <w:rFonts w:hint="eastAsia" w:ascii="宋体" w:hAnsi="宋体" w:eastAsia="宋体" w:cs="宋体"/>
                <w:bCs/>
                <w:sz w:val="21"/>
                <w:szCs w:val="21"/>
                <w:highlight w:val="none"/>
                <w:lang w:val="en-US" w:eastAsia="zh-CN"/>
              </w:rPr>
              <w:t>12</w:t>
            </w:r>
            <w:r>
              <w:rPr>
                <w:rFonts w:hint="eastAsia" w:ascii="宋体" w:hAnsi="宋体" w:eastAsia="宋体" w:cs="宋体"/>
                <w:bCs/>
                <w:sz w:val="21"/>
                <w:szCs w:val="21"/>
                <w:highlight w:val="none"/>
              </w:rPr>
              <w:t>分）</w:t>
            </w:r>
          </w:p>
        </w:tc>
        <w:tc>
          <w:tcPr>
            <w:tcW w:w="6523" w:type="dxa"/>
            <w:tcBorders>
              <w:top w:val="single" w:color="auto" w:sz="4" w:space="0"/>
              <w:left w:val="single" w:color="auto" w:sz="4" w:space="0"/>
              <w:bottom w:val="single" w:color="auto" w:sz="4" w:space="0"/>
              <w:right w:val="single" w:color="auto" w:sz="4" w:space="0"/>
            </w:tcBorders>
            <w:vAlign w:val="top"/>
          </w:tcPr>
          <w:p w14:paraId="59DD97CB">
            <w:pPr>
              <w:keepNext w:val="0"/>
              <w:keepLines w:val="0"/>
              <w:pageBreakBefore w:val="0"/>
              <w:widowControl w:val="0"/>
              <w:kinsoku/>
              <w:wordWrap/>
              <w:overflowPunct/>
              <w:topLinePunct w:val="0"/>
              <w:autoSpaceDE/>
              <w:autoSpaceDN/>
              <w:bidi w:val="0"/>
              <w:adjustRightInd/>
              <w:snapToGrid/>
              <w:spacing w:line="400" w:lineRule="exact"/>
              <w:ind w:firstLine="525" w:firstLineChars="25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由评标委员会根据投标人提供的售后服务方案进行综合评定。售后服务方案应包括但不限于以下内容：质保期承诺、质保期内及质保期外保修的具体措施、退换货政策、服务响应时间、服务质量保障措施、服务项目流程设计、备品备件支持、技术培训安排、售后服务网点分布、售后服务热线设立、客户回访机制、投诉处理渠道、档案管理制度等。具体分档如下：</w:t>
            </w:r>
          </w:p>
          <w:p w14:paraId="3EF0D828">
            <w:pPr>
              <w:keepNext w:val="0"/>
              <w:keepLines w:val="0"/>
              <w:pageBreakBefore w:val="0"/>
              <w:widowControl w:val="0"/>
              <w:kinsoku/>
              <w:wordWrap/>
              <w:overflowPunct/>
              <w:topLinePunct w:val="0"/>
              <w:autoSpaceDE/>
              <w:autoSpaceDN/>
              <w:bidi w:val="0"/>
              <w:adjustRightInd/>
              <w:snapToGrid/>
              <w:spacing w:line="400" w:lineRule="exact"/>
              <w:ind w:firstLine="525" w:firstLineChars="25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一档（</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分）：售后服务方案满足</w:t>
            </w:r>
            <w:r>
              <w:rPr>
                <w:rFonts w:hint="eastAsia" w:ascii="宋体" w:hAnsi="宋体" w:eastAsia="宋体" w:cs="宋体"/>
                <w:bCs/>
                <w:color w:val="000000"/>
                <w:sz w:val="21"/>
                <w:szCs w:val="21"/>
                <w:highlight w:val="none"/>
                <w:lang w:eastAsia="zh-CN"/>
              </w:rPr>
              <w:t>招标</w:t>
            </w:r>
            <w:r>
              <w:rPr>
                <w:rFonts w:hint="eastAsia" w:ascii="宋体" w:hAnsi="宋体" w:eastAsia="宋体" w:cs="宋体"/>
                <w:color w:val="000000"/>
                <w:sz w:val="21"/>
                <w:szCs w:val="21"/>
                <w:highlight w:val="none"/>
              </w:rPr>
              <w:t>文件基本要求，服务内容及保障措施基本完整，但未针对本项目的实际需求和特点进行个性化、针对性设置，方案较为通用，缺乏必要的细节支撑。</w:t>
            </w:r>
          </w:p>
          <w:p w14:paraId="57D510FF">
            <w:pPr>
              <w:keepNext w:val="0"/>
              <w:keepLines w:val="0"/>
              <w:pageBreakBefore w:val="0"/>
              <w:widowControl w:val="0"/>
              <w:kinsoku/>
              <w:wordWrap/>
              <w:overflowPunct/>
              <w:topLinePunct w:val="0"/>
              <w:autoSpaceDE/>
              <w:autoSpaceDN/>
              <w:bidi w:val="0"/>
              <w:adjustRightInd/>
              <w:snapToGrid/>
              <w:spacing w:line="400" w:lineRule="exact"/>
              <w:ind w:firstLine="525" w:firstLineChars="25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二档（</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分）：售后服务方案满足</w:t>
            </w:r>
            <w:r>
              <w:rPr>
                <w:rFonts w:hint="eastAsia" w:ascii="宋体" w:hAnsi="宋体" w:eastAsia="宋体" w:cs="宋体"/>
                <w:bCs/>
                <w:color w:val="000000"/>
                <w:sz w:val="21"/>
                <w:szCs w:val="21"/>
                <w:highlight w:val="none"/>
                <w:lang w:eastAsia="zh-CN"/>
              </w:rPr>
              <w:t>招标</w:t>
            </w:r>
            <w:r>
              <w:rPr>
                <w:rFonts w:hint="eastAsia" w:ascii="宋体" w:hAnsi="宋体" w:eastAsia="宋体" w:cs="宋体"/>
                <w:color w:val="000000"/>
                <w:sz w:val="21"/>
                <w:szCs w:val="21"/>
                <w:highlight w:val="none"/>
                <w:lang w:eastAsia="zh-CN"/>
              </w:rPr>
              <w:t>文件要求</w:t>
            </w:r>
            <w:r>
              <w:rPr>
                <w:rFonts w:hint="eastAsia" w:ascii="宋体" w:hAnsi="宋体" w:eastAsia="宋体" w:cs="宋体"/>
                <w:color w:val="000000"/>
                <w:sz w:val="21"/>
                <w:szCs w:val="21"/>
                <w:highlight w:val="none"/>
              </w:rPr>
              <w:t>，服务内容明确、保障措施详尽、具体、完整。方案中对本项目的服务要求、</w:t>
            </w:r>
            <w:r>
              <w:rPr>
                <w:rFonts w:hint="eastAsia" w:ascii="宋体" w:hAnsi="宋体" w:eastAsia="宋体" w:cs="宋体"/>
                <w:color w:val="000000"/>
                <w:sz w:val="21"/>
                <w:szCs w:val="21"/>
                <w:highlight w:val="none"/>
                <w:lang w:eastAsia="zh-CN"/>
              </w:rPr>
              <w:t>质量问题响应流程</w:t>
            </w:r>
            <w:r>
              <w:rPr>
                <w:rFonts w:hint="eastAsia" w:ascii="宋体" w:hAnsi="宋体" w:eastAsia="宋体" w:cs="宋体"/>
                <w:color w:val="000000"/>
                <w:sz w:val="21"/>
                <w:szCs w:val="21"/>
                <w:highlight w:val="none"/>
              </w:rPr>
              <w:t>、服务保障机制进行了详细描述。承诺接到</w:t>
            </w:r>
            <w:r>
              <w:rPr>
                <w:rFonts w:hint="eastAsia" w:ascii="宋体" w:hAnsi="宋体" w:eastAsia="宋体" w:cs="宋体"/>
                <w:color w:val="000000"/>
                <w:sz w:val="21"/>
                <w:szCs w:val="21"/>
                <w:highlight w:val="none"/>
                <w:lang w:eastAsia="zh-CN"/>
              </w:rPr>
              <w:t>质量问题反馈后</w:t>
            </w:r>
            <w:r>
              <w:rPr>
                <w:rFonts w:hint="eastAsia" w:ascii="宋体" w:hAnsi="宋体" w:eastAsia="宋体" w:cs="宋体"/>
                <w:color w:val="000000"/>
                <w:sz w:val="21"/>
                <w:szCs w:val="21"/>
                <w:highlight w:val="none"/>
              </w:rPr>
              <w:t>1小时内响应，</w:t>
            </w:r>
            <w:r>
              <w:rPr>
                <w:rFonts w:hint="eastAsia" w:ascii="宋体" w:hAnsi="宋体" w:eastAsia="宋体" w:cs="宋体"/>
                <w:color w:val="000000"/>
                <w:sz w:val="21"/>
                <w:szCs w:val="21"/>
                <w:highlight w:val="none"/>
                <w:lang w:val="en-US" w:eastAsia="zh-CN"/>
              </w:rPr>
              <w:t>12</w:t>
            </w:r>
            <w:r>
              <w:rPr>
                <w:rFonts w:hint="eastAsia" w:ascii="宋体" w:hAnsi="宋体" w:eastAsia="宋体" w:cs="宋体"/>
                <w:color w:val="000000"/>
                <w:sz w:val="21"/>
                <w:szCs w:val="21"/>
                <w:highlight w:val="none"/>
              </w:rPr>
              <w:t>小时内派技术人员到达现场处理；能够提供较为完善的服务团队配置和服务流程说明。</w:t>
            </w:r>
          </w:p>
          <w:p w14:paraId="6D1F8D84">
            <w:pPr>
              <w:keepNext w:val="0"/>
              <w:keepLines w:val="0"/>
              <w:pageBreakBefore w:val="0"/>
              <w:widowControl w:val="0"/>
              <w:kinsoku/>
              <w:wordWrap/>
              <w:overflowPunct/>
              <w:topLinePunct w:val="0"/>
              <w:autoSpaceDE/>
              <w:autoSpaceDN/>
              <w:bidi w:val="0"/>
              <w:adjustRightInd/>
              <w:snapToGrid/>
              <w:spacing w:line="400" w:lineRule="exact"/>
              <w:ind w:firstLine="525" w:firstLineChars="25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三档（</w:t>
            </w:r>
            <w:r>
              <w:rPr>
                <w:rFonts w:hint="eastAsia" w:ascii="宋体" w:hAnsi="宋体" w:eastAsia="宋体" w:cs="宋体"/>
                <w:color w:val="000000"/>
                <w:sz w:val="21"/>
                <w:szCs w:val="21"/>
                <w:highlight w:val="none"/>
                <w:lang w:val="en-US" w:eastAsia="zh-CN"/>
              </w:rPr>
              <w:t>12</w:t>
            </w:r>
            <w:r>
              <w:rPr>
                <w:rFonts w:hint="eastAsia" w:ascii="宋体" w:hAnsi="宋体" w:eastAsia="宋体" w:cs="宋体"/>
                <w:color w:val="000000"/>
                <w:sz w:val="21"/>
                <w:szCs w:val="21"/>
                <w:highlight w:val="none"/>
              </w:rPr>
              <w:t>分）：在达到二档各项要求的基础上，还具有以下特点：</w:t>
            </w:r>
          </w:p>
          <w:p w14:paraId="3A8D7D77">
            <w:pPr>
              <w:keepNext w:val="0"/>
              <w:keepLines w:val="0"/>
              <w:pageBreakBefore w:val="0"/>
              <w:widowControl w:val="0"/>
              <w:kinsoku/>
              <w:wordWrap/>
              <w:overflowPunct/>
              <w:topLinePunct w:val="0"/>
              <w:autoSpaceDE/>
              <w:autoSpaceDN/>
              <w:bidi w:val="0"/>
              <w:adjustRightInd/>
              <w:snapToGrid/>
              <w:spacing w:line="400" w:lineRule="exact"/>
              <w:ind w:firstLine="525" w:firstLineChars="25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具有针对性的</w:t>
            </w:r>
            <w:r>
              <w:rPr>
                <w:rFonts w:hint="eastAsia" w:ascii="宋体" w:hAnsi="宋体" w:eastAsia="宋体" w:cs="宋体"/>
                <w:color w:val="000000"/>
                <w:sz w:val="21"/>
                <w:szCs w:val="21"/>
                <w:highlight w:val="none"/>
                <w:lang w:eastAsia="zh-CN"/>
              </w:rPr>
              <w:t>质量问题解决方案</w:t>
            </w:r>
            <w:r>
              <w:rPr>
                <w:rFonts w:hint="eastAsia" w:ascii="宋体" w:hAnsi="宋体" w:eastAsia="宋体" w:cs="宋体"/>
                <w:color w:val="000000"/>
                <w:sz w:val="21"/>
                <w:szCs w:val="21"/>
                <w:highlight w:val="none"/>
              </w:rPr>
              <w:t>，能够对不同类型、</w:t>
            </w:r>
            <w:r>
              <w:rPr>
                <w:rFonts w:hint="eastAsia" w:ascii="宋体" w:hAnsi="宋体" w:eastAsia="宋体" w:cs="宋体"/>
                <w:color w:val="000000"/>
                <w:sz w:val="21"/>
                <w:szCs w:val="21"/>
                <w:highlight w:val="none"/>
                <w:lang w:eastAsia="zh-CN"/>
              </w:rPr>
              <w:t>不同等级的质量问题进行分类处置</w:t>
            </w:r>
            <w:r>
              <w:rPr>
                <w:rFonts w:hint="eastAsia" w:ascii="宋体" w:hAnsi="宋体" w:eastAsia="宋体" w:cs="宋体"/>
                <w:color w:val="000000"/>
                <w:sz w:val="21"/>
                <w:szCs w:val="21"/>
                <w:highlight w:val="none"/>
              </w:rPr>
              <w:t>，预案科学可行；</w:t>
            </w:r>
          </w:p>
          <w:p w14:paraId="15EFA7F0">
            <w:pPr>
              <w:keepNext w:val="0"/>
              <w:keepLines w:val="0"/>
              <w:pageBreakBefore w:val="0"/>
              <w:widowControl w:val="0"/>
              <w:kinsoku/>
              <w:wordWrap/>
              <w:overflowPunct/>
              <w:topLinePunct w:val="0"/>
              <w:autoSpaceDE/>
              <w:autoSpaceDN/>
              <w:bidi w:val="0"/>
              <w:adjustRightInd/>
              <w:snapToGrid/>
              <w:spacing w:line="400" w:lineRule="exact"/>
              <w:ind w:firstLine="525" w:firstLineChars="25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有明确的服务团队组织架构、岗位职责、联系人员及完整的服务流程，配备专职服务经理对接采购人，并提供固定的办公联系电话及移动联系方式；</w:t>
            </w:r>
          </w:p>
          <w:p w14:paraId="6B81B2A2">
            <w:pPr>
              <w:keepNext w:val="0"/>
              <w:keepLines w:val="0"/>
              <w:pageBreakBefore w:val="0"/>
              <w:widowControl w:val="0"/>
              <w:kinsoku/>
              <w:wordWrap/>
              <w:overflowPunct/>
              <w:topLinePunct w:val="0"/>
              <w:autoSpaceDE/>
              <w:autoSpaceDN/>
              <w:bidi w:val="0"/>
              <w:adjustRightInd/>
              <w:snapToGrid/>
              <w:spacing w:line="400" w:lineRule="exact"/>
              <w:ind w:firstLine="525" w:firstLineChars="25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承诺接到</w:t>
            </w:r>
            <w:r>
              <w:rPr>
                <w:rFonts w:hint="eastAsia" w:ascii="宋体" w:hAnsi="宋体" w:eastAsia="宋体" w:cs="宋体"/>
                <w:color w:val="000000"/>
                <w:sz w:val="21"/>
                <w:szCs w:val="21"/>
                <w:highlight w:val="none"/>
                <w:lang w:eastAsia="zh-CN"/>
              </w:rPr>
              <w:t>质量问题反馈后</w:t>
            </w:r>
            <w:r>
              <w:rPr>
                <w:rFonts w:hint="eastAsia" w:ascii="宋体" w:hAnsi="宋体" w:eastAsia="宋体" w:cs="宋体"/>
                <w:color w:val="000000"/>
                <w:sz w:val="21"/>
                <w:szCs w:val="21"/>
                <w:highlight w:val="none"/>
              </w:rPr>
              <w:t>0.5小时内响应，</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小时内派技术人员到达现场处理；</w:t>
            </w:r>
          </w:p>
          <w:p w14:paraId="004EDE68">
            <w:pPr>
              <w:keepNext w:val="0"/>
              <w:keepLines w:val="0"/>
              <w:pageBreakBefore w:val="0"/>
              <w:widowControl w:val="0"/>
              <w:kinsoku/>
              <w:wordWrap/>
              <w:overflowPunct/>
              <w:topLinePunct w:val="0"/>
              <w:autoSpaceDE/>
              <w:autoSpaceDN/>
              <w:bidi w:val="0"/>
              <w:adjustRightInd/>
              <w:snapToGrid/>
              <w:spacing w:line="400" w:lineRule="exact"/>
              <w:ind w:firstLine="525" w:firstLineChars="25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建立了完善的服务质量监督机制和售后回访制度，能够对服务过程进行有效跟踪和持续改进；</w:t>
            </w:r>
          </w:p>
          <w:p w14:paraId="090245C2">
            <w:pPr>
              <w:keepNext w:val="0"/>
              <w:keepLines w:val="0"/>
              <w:pageBreakBefore w:val="0"/>
              <w:widowControl w:val="0"/>
              <w:kinsoku/>
              <w:wordWrap/>
              <w:overflowPunct/>
              <w:topLinePunct w:val="0"/>
              <w:autoSpaceDE/>
              <w:autoSpaceDN/>
              <w:bidi w:val="0"/>
              <w:adjustRightInd/>
              <w:snapToGrid/>
              <w:spacing w:line="400" w:lineRule="exact"/>
              <w:ind w:firstLine="525" w:firstLineChars="250"/>
              <w:jc w:val="left"/>
              <w:textAlignment w:val="auto"/>
              <w:rPr>
                <w:rFonts w:hint="eastAsia" w:ascii="宋体" w:hAnsi="宋体" w:eastAsia="宋体" w:cs="宋体"/>
                <w:kern w:val="0"/>
                <w:sz w:val="21"/>
                <w:szCs w:val="21"/>
                <w:highlight w:val="none"/>
              </w:rPr>
            </w:pP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 xml:space="preserve">各项服务承诺措施具体、可操作性强，有利于项目售后服务的顺利实施和长期稳定运行。 </w:t>
            </w:r>
          </w:p>
        </w:tc>
      </w:tr>
      <w:tr w14:paraId="474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615" w:type="dxa"/>
            <w:vMerge w:val="continue"/>
            <w:tcBorders>
              <w:left w:val="single" w:color="auto" w:sz="4" w:space="0"/>
              <w:bottom w:val="single" w:color="auto" w:sz="4" w:space="0"/>
              <w:right w:val="single" w:color="auto" w:sz="4" w:space="0"/>
            </w:tcBorders>
            <w:vAlign w:val="center"/>
          </w:tcPr>
          <w:p w14:paraId="440781C7">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p>
        </w:tc>
        <w:tc>
          <w:tcPr>
            <w:tcW w:w="851" w:type="dxa"/>
            <w:vMerge w:val="continue"/>
            <w:tcBorders>
              <w:left w:val="single" w:color="auto" w:sz="4" w:space="0"/>
              <w:bottom w:val="single" w:color="auto" w:sz="4" w:space="0"/>
              <w:right w:val="single" w:color="auto" w:sz="4" w:space="0"/>
            </w:tcBorders>
            <w:vAlign w:val="center"/>
          </w:tcPr>
          <w:p w14:paraId="22AFAA93">
            <w:pPr>
              <w:keepNext w:val="0"/>
              <w:keepLines w:val="0"/>
              <w:pageBreakBefore w:val="0"/>
              <w:widowControl/>
              <w:kinsoku/>
              <w:wordWrap/>
              <w:overflowPunct/>
              <w:topLinePunct w:val="0"/>
              <w:autoSpaceDE/>
              <w:autoSpaceDN/>
              <w:bidi w:val="0"/>
              <w:spacing w:line="400" w:lineRule="exact"/>
              <w:jc w:val="left"/>
              <w:rPr>
                <w:rFonts w:hint="eastAsia" w:ascii="宋体" w:hAnsi="宋体" w:eastAsia="宋体" w:cs="宋体"/>
                <w:b/>
                <w:bCs/>
                <w:color w:val="000000"/>
                <w:sz w:val="21"/>
                <w:szCs w:val="21"/>
                <w:highlight w:val="none"/>
              </w:rPr>
            </w:pPr>
          </w:p>
        </w:tc>
        <w:tc>
          <w:tcPr>
            <w:tcW w:w="110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2AEC5B9">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演示分</w:t>
            </w:r>
            <w:r>
              <w:rPr>
                <w:rFonts w:hint="eastAsia" w:ascii="宋体" w:hAnsi="宋体" w:eastAsia="宋体" w:cs="宋体"/>
                <w:color w:val="000000"/>
                <w:sz w:val="21"/>
                <w:szCs w:val="21"/>
                <w:highlight w:val="none"/>
              </w:rPr>
              <w:t>（满分</w:t>
            </w:r>
            <w:r>
              <w:rPr>
                <w:rFonts w:hint="eastAsia" w:ascii="宋体" w:hAnsi="宋体" w:eastAsia="宋体" w:cs="宋体"/>
                <w:color w:val="000000"/>
                <w:sz w:val="21"/>
                <w:szCs w:val="21"/>
                <w:highlight w:val="none"/>
                <w:lang w:val="en-US" w:eastAsia="zh-CN"/>
              </w:rPr>
              <w:t>12</w:t>
            </w:r>
            <w:r>
              <w:rPr>
                <w:rFonts w:hint="eastAsia" w:ascii="宋体" w:hAnsi="宋体" w:eastAsia="宋体" w:cs="宋体"/>
                <w:color w:val="000000"/>
                <w:sz w:val="21"/>
                <w:szCs w:val="21"/>
                <w:highlight w:val="none"/>
              </w:rPr>
              <w:t>分）</w:t>
            </w:r>
          </w:p>
        </w:tc>
        <w:tc>
          <w:tcPr>
            <w:tcW w:w="6523" w:type="dxa"/>
            <w:tcBorders>
              <w:top w:val="single" w:color="auto" w:sz="4" w:space="0"/>
              <w:left w:val="single" w:color="auto" w:sz="4" w:space="0"/>
              <w:bottom w:val="single" w:color="auto" w:sz="4" w:space="0"/>
              <w:right w:val="single" w:color="auto" w:sz="4" w:space="0"/>
            </w:tcBorders>
            <w:shd w:val="clear" w:color="auto" w:fill="auto"/>
            <w:vAlign w:val="top"/>
          </w:tcPr>
          <w:p w14:paraId="29E02E7C">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投标人按本标项需求一览表标</w:t>
            </w: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的条款要求进行线上演示;评标委员会将根据演示内容及效果进行评分，标</w:t>
            </w: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条款共</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项，且经评标委员会认可的，每项得分</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分，满分</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分。投标人提供演示须遵循以下要求:</w:t>
            </w:r>
          </w:p>
          <w:p w14:paraId="0E022AA8">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1.演示方式为线上演示，</w:t>
            </w:r>
          </w:p>
          <w:p w14:paraId="3187B71B">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2.演示时间:本项目开标后，具体时间以评标委员会或代理机构线上通知为准。</w:t>
            </w:r>
          </w:p>
          <w:p w14:paraId="44FEFFEE">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3.投标人应提前准备好演示所需设备(如电脑等)、界面、排插、网络热点等，并做好线上演示的调试准备。</w:t>
            </w:r>
          </w:p>
          <w:p w14:paraId="4ED389F8">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4.演示开始后每个供应商的演示时间不超过25分钟，超时的须立即停止。</w:t>
            </w:r>
          </w:p>
          <w:p w14:paraId="0B3DCF0A">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rPr>
              <w:t>5.投标人演示可根据自身情况选择采用视频或PPT或图像或图片或真实软件等进行演示。</w:t>
            </w:r>
          </w:p>
        </w:tc>
      </w:tr>
      <w:tr w14:paraId="372D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5" w:type="dxa"/>
            <w:vMerge w:val="restart"/>
            <w:tcBorders>
              <w:left w:val="single" w:color="auto" w:sz="4" w:space="0"/>
              <w:right w:val="single" w:color="auto" w:sz="4" w:space="0"/>
            </w:tcBorders>
            <w:vAlign w:val="center"/>
          </w:tcPr>
          <w:p w14:paraId="4CA478F3">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3</w:t>
            </w:r>
          </w:p>
        </w:tc>
        <w:tc>
          <w:tcPr>
            <w:tcW w:w="851" w:type="dxa"/>
            <w:vMerge w:val="restart"/>
            <w:tcBorders>
              <w:left w:val="single" w:color="auto" w:sz="4" w:space="0"/>
              <w:right w:val="single" w:color="auto" w:sz="4" w:space="0"/>
            </w:tcBorders>
            <w:vAlign w:val="center"/>
          </w:tcPr>
          <w:p w14:paraId="3B6B10C9">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bCs/>
                <w:color w:val="000000"/>
                <w:sz w:val="21"/>
                <w:szCs w:val="21"/>
                <w:highlight w:val="none"/>
              </w:rPr>
            </w:pPr>
            <w:r>
              <w:rPr>
                <w:rFonts w:hint="eastAsia" w:ascii="宋体" w:hAnsi="宋体" w:eastAsia="宋体" w:cs="宋体"/>
                <w:b/>
                <w:bCs/>
                <w:sz w:val="21"/>
                <w:szCs w:val="21"/>
                <w:highlight w:val="none"/>
              </w:rPr>
              <w:t>商务分（满分</w:t>
            </w:r>
            <w:r>
              <w:rPr>
                <w:rFonts w:hint="eastAsia" w:ascii="宋体" w:hAnsi="宋体" w:eastAsia="宋体" w:cs="宋体"/>
                <w:b/>
                <w:bCs/>
                <w:sz w:val="21"/>
                <w:szCs w:val="21"/>
                <w:highlight w:val="none"/>
                <w:lang w:val="en-US" w:eastAsia="zh-CN"/>
              </w:rPr>
              <w:t>10</w:t>
            </w:r>
            <w:r>
              <w:rPr>
                <w:rFonts w:hint="eastAsia" w:ascii="宋体" w:hAnsi="宋体" w:eastAsia="宋体" w:cs="宋体"/>
                <w:b/>
                <w:bCs/>
                <w:sz w:val="21"/>
                <w:szCs w:val="21"/>
                <w:highlight w:val="none"/>
              </w:rPr>
              <w:t>分）</w:t>
            </w:r>
          </w:p>
        </w:tc>
        <w:tc>
          <w:tcPr>
            <w:tcW w:w="1105"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2ED46798">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业绩分（满分</w:t>
            </w:r>
            <w:r>
              <w:rPr>
                <w:rFonts w:hint="eastAsia" w:ascii="宋体" w:hAnsi="宋体" w:eastAsia="宋体" w:cs="宋体"/>
                <w:bCs/>
                <w:sz w:val="21"/>
                <w:szCs w:val="21"/>
                <w:highlight w:val="none"/>
                <w:lang w:val="en-US" w:eastAsia="zh-CN"/>
              </w:rPr>
              <w:t>8</w:t>
            </w:r>
            <w:r>
              <w:rPr>
                <w:rFonts w:hint="eastAsia" w:ascii="宋体" w:hAnsi="宋体" w:eastAsia="宋体" w:cs="宋体"/>
                <w:bCs/>
                <w:sz w:val="21"/>
                <w:szCs w:val="21"/>
                <w:highlight w:val="none"/>
              </w:rPr>
              <w:t>分）</w:t>
            </w:r>
          </w:p>
        </w:tc>
        <w:tc>
          <w:tcPr>
            <w:tcW w:w="6523" w:type="dxa"/>
            <w:tcBorders>
              <w:top w:val="single" w:color="auto" w:sz="4" w:space="0"/>
              <w:left w:val="single" w:color="auto" w:sz="4" w:space="0"/>
              <w:bottom w:val="single" w:color="auto" w:sz="4" w:space="0"/>
              <w:right w:val="single" w:color="auto" w:sz="4" w:space="0"/>
            </w:tcBorders>
          </w:tcPr>
          <w:p w14:paraId="5116E7C8">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b/>
                <w:sz w:val="21"/>
                <w:szCs w:val="21"/>
                <w:highlight w:val="none"/>
              </w:rPr>
            </w:pPr>
            <w:r>
              <w:rPr>
                <w:rFonts w:hint="eastAsia" w:ascii="宋体" w:hAnsi="宋体" w:eastAsia="宋体" w:cs="宋体"/>
                <w:sz w:val="21"/>
                <w:szCs w:val="21"/>
                <w:highlight w:val="none"/>
              </w:rPr>
              <w:t>投标人自20</w:t>
            </w:r>
            <w:r>
              <w:rPr>
                <w:rFonts w:hint="eastAsia" w:ascii="宋体" w:hAnsi="宋体" w:eastAsia="宋体" w:cs="宋体"/>
                <w:sz w:val="21"/>
                <w:szCs w:val="21"/>
                <w:highlight w:val="none"/>
                <w:lang w:val="en-US" w:eastAsia="zh-CN"/>
              </w:rPr>
              <w:t>23</w:t>
            </w:r>
            <w:r>
              <w:rPr>
                <w:rFonts w:hint="eastAsia" w:ascii="宋体" w:hAnsi="宋体" w:eastAsia="宋体" w:cs="宋体"/>
                <w:sz w:val="21"/>
                <w:szCs w:val="21"/>
                <w:highlight w:val="none"/>
              </w:rPr>
              <w:t>年1月1日以来承接过类似项目的（类似项目指实训室设备项目或教学设备项目或教学信息化建设项目</w:t>
            </w:r>
            <w:r>
              <w:rPr>
                <w:rFonts w:hint="eastAsia" w:ascii="宋体" w:hAnsi="宋体" w:eastAsia="宋体" w:cs="宋体"/>
                <w:sz w:val="21"/>
                <w:szCs w:val="21"/>
                <w:highlight w:val="none"/>
                <w:lang w:eastAsia="zh-CN"/>
              </w:rPr>
              <w:t>或与本项目采购标的相关的项目</w:t>
            </w:r>
            <w:r>
              <w:rPr>
                <w:rFonts w:hint="eastAsia" w:ascii="宋体" w:hAnsi="宋体" w:eastAsia="宋体" w:cs="宋体"/>
                <w:sz w:val="21"/>
                <w:szCs w:val="21"/>
                <w:highlight w:val="none"/>
              </w:rPr>
              <w:t>），每提供一份项目合同业绩的得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分，本项满分</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分。</w:t>
            </w:r>
            <w:r>
              <w:rPr>
                <w:rFonts w:hint="eastAsia" w:ascii="宋体" w:hAnsi="宋体" w:eastAsia="宋体" w:cs="宋体"/>
                <w:b/>
                <w:sz w:val="21"/>
                <w:szCs w:val="21"/>
                <w:highlight w:val="none"/>
              </w:rPr>
              <w:t>【注：投标文件中要附业绩一览表，并列明采购单位信息及单位地址、联系人、电话等，同时提供采购合同或中标（成交）通知书复印件，未按要求提供材料的不予计分</w:t>
            </w: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lang w:val="en-US" w:eastAsia="zh-CN"/>
              </w:rPr>
              <w:t>如中标（成交）通知书不能清晰反映所承接项目的标的信息，还需提供有效的合同证明材料或履约验收证明材料。</w:t>
            </w:r>
            <w:r>
              <w:rPr>
                <w:rFonts w:hint="eastAsia" w:ascii="宋体" w:hAnsi="宋体" w:eastAsia="宋体" w:cs="宋体"/>
                <w:b/>
                <w:sz w:val="21"/>
                <w:szCs w:val="21"/>
                <w:highlight w:val="none"/>
              </w:rPr>
              <w:t>】</w:t>
            </w:r>
          </w:p>
        </w:tc>
      </w:tr>
      <w:tr w14:paraId="4617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3" w:hRule="atLeast"/>
          <w:jc w:val="center"/>
        </w:trPr>
        <w:tc>
          <w:tcPr>
            <w:tcW w:w="615" w:type="dxa"/>
            <w:vMerge w:val="continue"/>
            <w:tcBorders>
              <w:left w:val="single" w:color="auto" w:sz="4" w:space="0"/>
              <w:right w:val="single" w:color="auto" w:sz="4" w:space="0"/>
            </w:tcBorders>
            <w:vAlign w:val="center"/>
          </w:tcPr>
          <w:p w14:paraId="2E3A01D1">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000000"/>
                <w:sz w:val="21"/>
                <w:szCs w:val="21"/>
                <w:highlight w:val="none"/>
              </w:rPr>
            </w:pPr>
          </w:p>
        </w:tc>
        <w:tc>
          <w:tcPr>
            <w:tcW w:w="851" w:type="dxa"/>
            <w:vMerge w:val="continue"/>
            <w:tcBorders>
              <w:left w:val="single" w:color="auto" w:sz="4" w:space="0"/>
              <w:right w:val="single" w:color="auto" w:sz="4" w:space="0"/>
            </w:tcBorders>
            <w:vAlign w:val="center"/>
          </w:tcPr>
          <w:p w14:paraId="2F089AD7">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bCs/>
                <w:sz w:val="21"/>
                <w:szCs w:val="21"/>
                <w:highlight w:val="none"/>
              </w:rPr>
            </w:pPr>
          </w:p>
        </w:tc>
        <w:tc>
          <w:tcPr>
            <w:tcW w:w="1105"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4E059A63">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企业综合实力分（满分2分）</w:t>
            </w:r>
          </w:p>
        </w:tc>
        <w:tc>
          <w:tcPr>
            <w:tcW w:w="6523" w:type="dxa"/>
            <w:tcBorders>
              <w:top w:val="single" w:color="auto" w:sz="4" w:space="0"/>
              <w:left w:val="single" w:color="auto" w:sz="4" w:space="0"/>
              <w:bottom w:val="single" w:color="auto" w:sz="4" w:space="0"/>
              <w:right w:val="single" w:color="auto" w:sz="4" w:space="0"/>
            </w:tcBorders>
          </w:tcPr>
          <w:p w14:paraId="74150F1F">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投标人具有ISO9001质量管理体系认证证书，提供证明材料得</w:t>
            </w: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分，不提供不得分。（</w:t>
            </w:r>
            <w:r>
              <w:rPr>
                <w:rFonts w:hint="eastAsia" w:ascii="宋体" w:hAnsi="宋体" w:eastAsia="宋体" w:cs="宋体"/>
                <w:kern w:val="0"/>
                <w:sz w:val="21"/>
                <w:szCs w:val="21"/>
                <w:highlight w:val="none"/>
                <w:lang w:eastAsia="zh-CN"/>
              </w:rPr>
              <w:t>投标文件</w:t>
            </w:r>
            <w:r>
              <w:rPr>
                <w:rFonts w:hint="eastAsia" w:ascii="宋体" w:hAnsi="宋体" w:eastAsia="宋体" w:cs="宋体"/>
                <w:kern w:val="0"/>
                <w:sz w:val="21"/>
                <w:szCs w:val="21"/>
                <w:highlight w:val="none"/>
              </w:rPr>
              <w:t>中提供有效期内的证书复印件</w:t>
            </w:r>
            <w:r>
              <w:rPr>
                <w:rFonts w:hint="eastAsia" w:ascii="宋体" w:hAnsi="宋体" w:eastAsia="宋体" w:cs="宋体"/>
                <w:kern w:val="0"/>
                <w:sz w:val="21"/>
                <w:szCs w:val="21"/>
                <w:highlight w:val="none"/>
                <w:lang w:val="en-US" w:eastAsia="zh-CN"/>
              </w:rPr>
              <w:t>及官方网站查询截图复印件（全国认证认可信息公共服务平台http://cx.cnca.cn/CertECloud/index/index/page）</w:t>
            </w:r>
            <w:r>
              <w:rPr>
                <w:rFonts w:hint="eastAsia" w:ascii="宋体" w:hAnsi="宋体" w:eastAsia="宋体" w:cs="宋体"/>
                <w:kern w:val="0"/>
                <w:sz w:val="21"/>
                <w:szCs w:val="21"/>
                <w:highlight w:val="none"/>
              </w:rPr>
              <w:t>，并加盖</w:t>
            </w:r>
            <w:r>
              <w:rPr>
                <w:rFonts w:hint="eastAsia" w:ascii="宋体" w:hAnsi="宋体" w:eastAsia="宋体" w:cs="宋体"/>
                <w:kern w:val="0"/>
                <w:sz w:val="21"/>
                <w:szCs w:val="21"/>
                <w:highlight w:val="none"/>
                <w:lang w:val="en-US" w:eastAsia="zh-CN"/>
              </w:rPr>
              <w:t>投标人</w:t>
            </w:r>
            <w:r>
              <w:rPr>
                <w:rFonts w:hint="eastAsia" w:ascii="宋体" w:hAnsi="宋体" w:eastAsia="宋体" w:cs="宋体"/>
                <w:kern w:val="0"/>
                <w:sz w:val="21"/>
                <w:szCs w:val="21"/>
                <w:highlight w:val="none"/>
              </w:rPr>
              <w:t>公章，否则不计分。）</w:t>
            </w:r>
          </w:p>
        </w:tc>
      </w:tr>
      <w:tr w14:paraId="48DC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Borders>
              <w:top w:val="single" w:color="auto" w:sz="4" w:space="0"/>
              <w:left w:val="single" w:color="auto" w:sz="4" w:space="0"/>
              <w:bottom w:val="single" w:color="auto" w:sz="4" w:space="0"/>
              <w:right w:val="single" w:color="auto" w:sz="4" w:space="0"/>
            </w:tcBorders>
            <w:vAlign w:val="center"/>
          </w:tcPr>
          <w:p w14:paraId="7868FD22">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4</w:t>
            </w:r>
          </w:p>
        </w:tc>
        <w:tc>
          <w:tcPr>
            <w:tcW w:w="851" w:type="dxa"/>
            <w:tcBorders>
              <w:top w:val="single" w:color="auto" w:sz="4" w:space="0"/>
              <w:left w:val="single" w:color="auto" w:sz="4" w:space="0"/>
              <w:bottom w:val="single" w:color="auto" w:sz="4" w:space="0"/>
              <w:right w:val="single" w:color="auto" w:sz="4" w:space="0"/>
            </w:tcBorders>
            <w:vAlign w:val="center"/>
          </w:tcPr>
          <w:p w14:paraId="44FCBD47">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政策功能分（满分2分）</w:t>
            </w:r>
          </w:p>
        </w:tc>
        <w:tc>
          <w:tcPr>
            <w:tcW w:w="1105" w:type="dxa"/>
            <w:tcBorders>
              <w:top w:val="single" w:color="auto" w:sz="4" w:space="0"/>
              <w:left w:val="single" w:color="auto" w:sz="4" w:space="0"/>
              <w:bottom w:val="single" w:color="auto" w:sz="4" w:space="0"/>
              <w:right w:val="single" w:color="auto" w:sz="4" w:space="0"/>
            </w:tcBorders>
            <w:vAlign w:val="center"/>
          </w:tcPr>
          <w:p w14:paraId="7D2384D8">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节能、环保分</w:t>
            </w: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满分2分</w:t>
            </w:r>
            <w:r>
              <w:rPr>
                <w:rFonts w:hint="eastAsia" w:ascii="宋体" w:hAnsi="宋体" w:eastAsia="宋体" w:cs="宋体"/>
                <w:bCs/>
                <w:color w:val="000000"/>
                <w:sz w:val="21"/>
                <w:szCs w:val="21"/>
                <w:highlight w:val="none"/>
              </w:rPr>
              <w:t>）</w:t>
            </w:r>
          </w:p>
        </w:tc>
        <w:tc>
          <w:tcPr>
            <w:tcW w:w="6523" w:type="dxa"/>
            <w:tcBorders>
              <w:top w:val="single" w:color="auto" w:sz="4" w:space="0"/>
              <w:left w:val="single" w:color="auto" w:sz="4" w:space="0"/>
              <w:bottom w:val="single" w:color="auto" w:sz="4" w:space="0"/>
              <w:right w:val="single" w:color="auto" w:sz="4" w:space="0"/>
            </w:tcBorders>
          </w:tcPr>
          <w:p w14:paraId="2F5D708E">
            <w:pPr>
              <w:keepNext w:val="0"/>
              <w:keepLines w:val="0"/>
              <w:pageBreakBefore w:val="0"/>
              <w:widowControl/>
              <w:kinsoku/>
              <w:wordWrap/>
              <w:overflowPunct/>
              <w:topLinePunct w:val="0"/>
              <w:autoSpaceDE/>
              <w:autoSpaceDN/>
              <w:bidi w:val="0"/>
              <w:spacing w:line="40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（1）节能产品分：投标产品列入品目清单范围内优先采购的，且提供国家确定的认证机构出具的、处于有效期之内的节能产品认证证书复印件（加盖</w:t>
            </w:r>
            <w:r>
              <w:rPr>
                <w:rFonts w:hint="eastAsia" w:ascii="宋体" w:hAnsi="宋体" w:eastAsia="宋体" w:cs="宋体"/>
                <w:color w:val="000000"/>
                <w:sz w:val="21"/>
                <w:szCs w:val="21"/>
                <w:highlight w:val="none"/>
                <w:lang w:eastAsia="zh-CN"/>
              </w:rPr>
              <w:t>投标人公章</w:t>
            </w:r>
            <w:r>
              <w:rPr>
                <w:rFonts w:hint="eastAsia" w:ascii="宋体" w:hAnsi="宋体" w:eastAsia="宋体" w:cs="宋体"/>
                <w:color w:val="000000"/>
                <w:sz w:val="21"/>
                <w:szCs w:val="21"/>
                <w:highlight w:val="none"/>
              </w:rPr>
              <w:t>），每有一项得0.5分，最多得1分。采购内容中的强制产品不加分。</w:t>
            </w:r>
          </w:p>
          <w:p w14:paraId="76F9702E">
            <w:pPr>
              <w:keepNext w:val="0"/>
              <w:keepLines w:val="0"/>
              <w:pageBreakBefore w:val="0"/>
              <w:widowControl/>
              <w:kinsoku/>
              <w:wordWrap/>
              <w:overflowPunct/>
              <w:topLinePunct w:val="0"/>
              <w:autoSpaceDE/>
              <w:autoSpaceDN/>
              <w:bidi w:val="0"/>
              <w:spacing w:line="40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（2）环保标志产品分：投标产品列入品目清单范围内优先采购的，且提供国家确定的认证机构出具的、处于有效期之内的环境标志产品认证证书复印件（加盖</w:t>
            </w:r>
            <w:r>
              <w:rPr>
                <w:rFonts w:hint="eastAsia" w:ascii="宋体" w:hAnsi="宋体" w:eastAsia="宋体" w:cs="宋体"/>
                <w:color w:val="000000"/>
                <w:sz w:val="21"/>
                <w:szCs w:val="21"/>
                <w:highlight w:val="none"/>
                <w:lang w:eastAsia="zh-CN"/>
              </w:rPr>
              <w:t>投标人公章</w:t>
            </w:r>
            <w:r>
              <w:rPr>
                <w:rFonts w:hint="eastAsia" w:ascii="宋体" w:hAnsi="宋体" w:eastAsia="宋体" w:cs="宋体"/>
                <w:color w:val="000000"/>
                <w:sz w:val="21"/>
                <w:szCs w:val="21"/>
                <w:highlight w:val="none"/>
              </w:rPr>
              <w:t>），每有一项得0.5分，最多得1分。</w:t>
            </w:r>
          </w:p>
        </w:tc>
      </w:tr>
      <w:tr w14:paraId="42A1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4" w:type="dxa"/>
            <w:gridSpan w:val="4"/>
            <w:tcBorders>
              <w:top w:val="single" w:color="auto" w:sz="4" w:space="0"/>
              <w:left w:val="single" w:color="auto" w:sz="4" w:space="0"/>
              <w:bottom w:val="single" w:color="auto" w:sz="4" w:space="0"/>
              <w:right w:val="single" w:color="auto" w:sz="4" w:space="0"/>
            </w:tcBorders>
            <w:vAlign w:val="center"/>
          </w:tcPr>
          <w:p w14:paraId="3EF86B02">
            <w:pPr>
              <w:keepNext w:val="0"/>
              <w:keepLines w:val="0"/>
              <w:pageBreakBefore w:val="0"/>
              <w:kinsoku/>
              <w:wordWrap/>
              <w:overflowPunct/>
              <w:topLinePunct w:val="0"/>
              <w:autoSpaceDE/>
              <w:autoSpaceDN/>
              <w:bidi w:val="0"/>
              <w:spacing w:line="400" w:lineRule="exact"/>
              <w:ind w:firstLine="420"/>
              <w:rPr>
                <w:rFonts w:hint="eastAsia" w:ascii="宋体" w:hAnsi="宋体" w:eastAsia="宋体" w:cs="宋体"/>
                <w:bCs/>
                <w:color w:val="000000"/>
                <w:sz w:val="21"/>
                <w:szCs w:val="21"/>
                <w:highlight w:val="none"/>
              </w:rPr>
            </w:pPr>
            <w:r>
              <w:rPr>
                <w:rFonts w:hint="eastAsia" w:ascii="宋体" w:hAnsi="宋体" w:eastAsia="宋体" w:cs="宋体"/>
                <w:b/>
                <w:bCs/>
                <w:color w:val="000000"/>
                <w:sz w:val="21"/>
                <w:szCs w:val="21"/>
                <w:highlight w:val="none"/>
              </w:rPr>
              <w:t>总得分=1+2+3+4。</w:t>
            </w:r>
          </w:p>
        </w:tc>
      </w:tr>
    </w:tbl>
    <w:p w14:paraId="4CE00B36">
      <w:pPr>
        <w:pStyle w:val="25"/>
        <w:spacing w:line="360" w:lineRule="auto"/>
        <w:rPr>
          <w:rFonts w:hint="eastAsia" w:hAnsi="宋体"/>
          <w:bCs/>
          <w:color w:val="000000"/>
          <w:sz w:val="21"/>
          <w:highlight w:val="none"/>
        </w:rPr>
      </w:pPr>
    </w:p>
    <w:p w14:paraId="49E8286C">
      <w:pPr>
        <w:pStyle w:val="25"/>
        <w:spacing w:line="360" w:lineRule="auto"/>
        <w:rPr>
          <w:rFonts w:hint="eastAsia" w:hAnsi="宋体"/>
          <w:bCs/>
          <w:color w:val="000000"/>
          <w:sz w:val="21"/>
          <w:highlight w:val="none"/>
        </w:rPr>
      </w:pPr>
      <w:r>
        <w:rPr>
          <w:rFonts w:hint="eastAsia" w:hAnsi="宋体"/>
          <w:bCs/>
          <w:color w:val="000000"/>
          <w:sz w:val="21"/>
          <w:highlight w:val="none"/>
        </w:rPr>
        <w:t>注：计分方法按四舍五入取至百分位</w:t>
      </w:r>
    </w:p>
    <w:p w14:paraId="00CD766B">
      <w:pPr>
        <w:rPr>
          <w:highlight w:val="none"/>
        </w:rPr>
      </w:pPr>
      <w:r>
        <w:rPr>
          <w:highlight w:val="none"/>
        </w:rPr>
        <w:br w:type="page"/>
      </w:r>
    </w:p>
    <w:tbl>
      <w:tblPr>
        <w:tblStyle w:val="48"/>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851"/>
        <w:gridCol w:w="1105"/>
        <w:gridCol w:w="6523"/>
      </w:tblGrid>
      <w:tr w14:paraId="1400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9094" w:type="dxa"/>
            <w:gridSpan w:val="4"/>
            <w:tcBorders>
              <w:top w:val="single" w:color="auto" w:sz="4" w:space="0"/>
              <w:left w:val="single" w:color="auto" w:sz="4" w:space="0"/>
              <w:bottom w:val="single" w:color="auto" w:sz="4" w:space="0"/>
              <w:right w:val="single" w:color="auto" w:sz="4" w:space="0"/>
            </w:tcBorders>
            <w:vAlign w:val="center"/>
          </w:tcPr>
          <w:p w14:paraId="1851C50A">
            <w:pPr>
              <w:adjustRightInd w:val="0"/>
              <w:spacing w:line="360" w:lineRule="auto"/>
              <w:jc w:val="center"/>
              <w:textAlignment w:val="baseline"/>
              <w:rPr>
                <w:rFonts w:hint="eastAsia" w:ascii="宋体" w:hAnsi="宋体" w:cs="宋体"/>
                <w:color w:val="000000"/>
                <w:szCs w:val="21"/>
                <w:highlight w:val="none"/>
              </w:rPr>
            </w:pPr>
            <w:r>
              <w:rPr>
                <w:rFonts w:hint="eastAsia" w:ascii="宋体" w:hAnsi="宋体" w:cs="宋体"/>
                <w:b/>
                <w:bCs/>
                <w:color w:val="000000"/>
                <w:kern w:val="0"/>
                <w:szCs w:val="21"/>
                <w:highlight w:val="none"/>
              </w:rPr>
              <w:t>适用于分标3</w:t>
            </w:r>
          </w:p>
        </w:tc>
      </w:tr>
      <w:tr w14:paraId="16A6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466" w:type="dxa"/>
            <w:gridSpan w:val="2"/>
            <w:tcBorders>
              <w:top w:val="single" w:color="auto" w:sz="4" w:space="0"/>
              <w:left w:val="single" w:color="auto" w:sz="4" w:space="0"/>
              <w:bottom w:val="single" w:color="auto" w:sz="4" w:space="0"/>
              <w:right w:val="single" w:color="auto" w:sz="4" w:space="0"/>
            </w:tcBorders>
            <w:vAlign w:val="center"/>
          </w:tcPr>
          <w:p w14:paraId="7FF6CF3B">
            <w:pPr>
              <w:adjustRightInd w:val="0"/>
              <w:spacing w:line="360" w:lineRule="auto"/>
              <w:jc w:val="center"/>
              <w:textAlignment w:val="baseline"/>
              <w:rPr>
                <w:rFonts w:hint="eastAsia" w:ascii="宋体" w:hAnsi="宋体" w:cs="宋体"/>
                <w:b/>
                <w:color w:val="000000"/>
                <w:szCs w:val="21"/>
                <w:highlight w:val="none"/>
              </w:rPr>
            </w:pPr>
            <w:r>
              <w:rPr>
                <w:rFonts w:hint="eastAsia" w:ascii="宋体" w:hAnsi="宋体" w:cs="宋体"/>
                <w:b/>
                <w:color w:val="000000"/>
                <w:szCs w:val="21"/>
                <w:highlight w:val="none"/>
              </w:rPr>
              <w:t>序号</w:t>
            </w:r>
          </w:p>
        </w:tc>
        <w:tc>
          <w:tcPr>
            <w:tcW w:w="1105" w:type="dxa"/>
            <w:tcBorders>
              <w:top w:val="single" w:color="auto" w:sz="4" w:space="0"/>
              <w:left w:val="single" w:color="auto" w:sz="4" w:space="0"/>
              <w:bottom w:val="single" w:color="auto" w:sz="4" w:space="0"/>
              <w:right w:val="single" w:color="auto" w:sz="4" w:space="0"/>
            </w:tcBorders>
            <w:vAlign w:val="center"/>
          </w:tcPr>
          <w:p w14:paraId="3A791487">
            <w:pPr>
              <w:adjustRightInd w:val="0"/>
              <w:spacing w:line="360" w:lineRule="auto"/>
              <w:jc w:val="center"/>
              <w:textAlignment w:val="baseline"/>
              <w:rPr>
                <w:rFonts w:hint="eastAsia" w:ascii="宋体" w:hAnsi="宋体" w:cs="宋体"/>
                <w:b/>
                <w:color w:val="000000"/>
                <w:szCs w:val="21"/>
                <w:highlight w:val="none"/>
              </w:rPr>
            </w:pPr>
            <w:r>
              <w:rPr>
                <w:rFonts w:hint="eastAsia" w:ascii="宋体" w:hAnsi="宋体" w:cs="宋体"/>
                <w:b/>
                <w:color w:val="000000"/>
                <w:szCs w:val="21"/>
                <w:highlight w:val="none"/>
              </w:rPr>
              <w:t>评分因素</w:t>
            </w:r>
          </w:p>
        </w:tc>
        <w:tc>
          <w:tcPr>
            <w:tcW w:w="6523" w:type="dxa"/>
            <w:tcBorders>
              <w:top w:val="single" w:color="auto" w:sz="4" w:space="0"/>
              <w:left w:val="single" w:color="auto" w:sz="4" w:space="0"/>
              <w:bottom w:val="single" w:color="auto" w:sz="4" w:space="0"/>
              <w:right w:val="single" w:color="auto" w:sz="4" w:space="0"/>
            </w:tcBorders>
            <w:vAlign w:val="center"/>
          </w:tcPr>
          <w:p w14:paraId="52154FE4">
            <w:pPr>
              <w:adjustRightInd w:val="0"/>
              <w:spacing w:line="360" w:lineRule="auto"/>
              <w:jc w:val="center"/>
              <w:textAlignment w:val="baseline"/>
              <w:rPr>
                <w:rFonts w:hint="eastAsia" w:ascii="宋体" w:hAnsi="宋体" w:cs="宋体"/>
                <w:b/>
                <w:color w:val="000000"/>
                <w:szCs w:val="21"/>
                <w:highlight w:val="none"/>
              </w:rPr>
            </w:pPr>
            <w:r>
              <w:rPr>
                <w:rFonts w:hint="eastAsia" w:ascii="宋体" w:hAnsi="宋体" w:cs="宋体"/>
                <w:b/>
                <w:color w:val="000000"/>
                <w:szCs w:val="21"/>
                <w:highlight w:val="none"/>
              </w:rPr>
              <w:t>评分标准</w:t>
            </w:r>
          </w:p>
        </w:tc>
      </w:tr>
      <w:tr w14:paraId="7A4D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Borders>
              <w:top w:val="single" w:color="auto" w:sz="4" w:space="0"/>
              <w:left w:val="single" w:color="auto" w:sz="4" w:space="0"/>
              <w:bottom w:val="single" w:color="auto" w:sz="4" w:space="0"/>
              <w:right w:val="single" w:color="auto" w:sz="4" w:space="0"/>
            </w:tcBorders>
            <w:vAlign w:val="center"/>
          </w:tcPr>
          <w:p w14:paraId="14D28D71">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851" w:type="dxa"/>
            <w:tcBorders>
              <w:top w:val="single" w:color="auto" w:sz="4" w:space="0"/>
              <w:left w:val="single" w:color="auto" w:sz="4" w:space="0"/>
              <w:bottom w:val="single" w:color="auto" w:sz="4" w:space="0"/>
              <w:right w:val="single" w:color="auto" w:sz="4" w:space="0"/>
            </w:tcBorders>
            <w:vAlign w:val="center"/>
          </w:tcPr>
          <w:p w14:paraId="6C88EFAE">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价格分</w:t>
            </w:r>
          </w:p>
          <w:p w14:paraId="5C5FD8ED">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b/>
                <w:color w:val="auto"/>
                <w:szCs w:val="21"/>
                <w:highlight w:val="none"/>
              </w:rPr>
              <w:t>（满分</w:t>
            </w:r>
            <w:r>
              <w:rPr>
                <w:rFonts w:hint="eastAsia" w:ascii="宋体" w:hAnsi="宋体" w:cs="宋体"/>
                <w:color w:val="auto"/>
                <w:szCs w:val="21"/>
                <w:highlight w:val="none"/>
              </w:rPr>
              <w:t>15分</w:t>
            </w:r>
            <w:r>
              <w:rPr>
                <w:rFonts w:hint="eastAsia" w:ascii="宋体" w:hAnsi="宋体" w:cs="宋体"/>
                <w:b/>
                <w:color w:val="auto"/>
                <w:szCs w:val="21"/>
                <w:highlight w:val="none"/>
              </w:rPr>
              <w:t>）</w:t>
            </w:r>
          </w:p>
        </w:tc>
        <w:tc>
          <w:tcPr>
            <w:tcW w:w="1105" w:type="dxa"/>
            <w:tcBorders>
              <w:top w:val="single" w:color="auto" w:sz="4" w:space="0"/>
              <w:left w:val="single" w:color="auto" w:sz="4" w:space="0"/>
              <w:bottom w:val="single" w:color="auto" w:sz="4" w:space="0"/>
              <w:right w:val="single" w:color="auto" w:sz="4" w:space="0"/>
            </w:tcBorders>
            <w:vAlign w:val="center"/>
          </w:tcPr>
          <w:p w14:paraId="6411D988">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投标报价（满分15分）</w:t>
            </w:r>
          </w:p>
        </w:tc>
        <w:tc>
          <w:tcPr>
            <w:tcW w:w="6523" w:type="dxa"/>
            <w:tcBorders>
              <w:top w:val="single" w:color="auto" w:sz="4" w:space="0"/>
              <w:left w:val="single" w:color="auto" w:sz="4" w:space="0"/>
              <w:bottom w:val="single" w:color="auto" w:sz="4" w:space="0"/>
              <w:right w:val="single" w:color="auto" w:sz="4" w:space="0"/>
            </w:tcBorders>
            <w:vAlign w:val="center"/>
          </w:tcPr>
          <w:p w14:paraId="1BD323A7">
            <w:pPr>
              <w:snapToGrid w:val="0"/>
              <w:spacing w:line="400" w:lineRule="exact"/>
              <w:rPr>
                <w:rFonts w:hint="eastAsia" w:ascii="宋体" w:hAnsi="宋体"/>
                <w:bCs/>
                <w:color w:val="auto"/>
                <w:szCs w:val="21"/>
                <w:highlight w:val="none"/>
              </w:rPr>
            </w:pPr>
            <w:r>
              <w:rPr>
                <w:rFonts w:hint="eastAsia" w:ascii="宋体" w:hAnsi="宋体"/>
                <w:bCs/>
                <w:color w:val="auto"/>
                <w:szCs w:val="21"/>
                <w:highlight w:val="none"/>
              </w:rPr>
              <w:t>（1）评标报价为投标人的投标报价进行政策性扣除后的价格，评标报价只是作为评标时使用。最终中标人的中标金额等于投标报价。</w:t>
            </w:r>
          </w:p>
          <w:p w14:paraId="0E0B9111">
            <w:pPr>
              <w:snapToGrid w:val="0"/>
              <w:spacing w:line="400" w:lineRule="exact"/>
              <w:rPr>
                <w:rFonts w:hint="eastAsia" w:ascii="宋体" w:hAnsi="宋体"/>
                <w:bCs/>
                <w:color w:val="auto"/>
                <w:szCs w:val="21"/>
                <w:highlight w:val="none"/>
              </w:rPr>
            </w:pPr>
            <w:r>
              <w:rPr>
                <w:rFonts w:hint="eastAsia" w:ascii="宋体" w:hAnsi="宋体"/>
                <w:bCs/>
                <w:color w:val="auto"/>
                <w:szCs w:val="21"/>
                <w:highlight w:val="none"/>
              </w:rPr>
              <w:t>（2）中小企业政策性扣除计算方法</w:t>
            </w:r>
          </w:p>
          <w:p w14:paraId="6CC8F305">
            <w:pPr>
              <w:snapToGrid w:val="0"/>
              <w:spacing w:line="400" w:lineRule="exact"/>
              <w:ind w:firstLine="443" w:firstLineChars="211"/>
              <w:rPr>
                <w:rFonts w:hint="eastAsia" w:ascii="宋体" w:hAnsi="宋体"/>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服务全部由小微企业承接的，对其投标报价给予10%的扣除，扣除后的价格为评标报价，</w:t>
            </w:r>
            <w:r>
              <w:rPr>
                <w:rFonts w:hint="eastAsia" w:ascii="宋体" w:hAnsi="宋体" w:cs="Courier New"/>
                <w:bCs/>
                <w:color w:val="auto"/>
                <w:szCs w:val="21"/>
                <w:highlight w:val="none"/>
              </w:rPr>
              <w:t>即中小企业折扣=投标报价×10%</w:t>
            </w:r>
            <w:r>
              <w:rPr>
                <w:rFonts w:hint="eastAsia" w:ascii="宋体" w:hAnsi="宋体"/>
                <w:bCs/>
                <w:color w:val="auto"/>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4%的扣除，用扣除后的价格参加评审，扣除后的价格为评标报价，</w:t>
            </w:r>
            <w:r>
              <w:rPr>
                <w:rFonts w:hint="eastAsia" w:ascii="宋体" w:hAnsi="宋体" w:cs="Courier New"/>
                <w:bCs/>
                <w:color w:val="auto"/>
                <w:szCs w:val="21"/>
                <w:highlight w:val="none"/>
              </w:rPr>
              <w:t>即中小企业折扣=投标报价×4%。</w:t>
            </w:r>
          </w:p>
          <w:p w14:paraId="741FE958">
            <w:pPr>
              <w:snapToGrid w:val="0"/>
              <w:spacing w:line="400" w:lineRule="exact"/>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0747CFC8">
            <w:pPr>
              <w:snapToGrid w:val="0"/>
              <w:spacing w:line="400" w:lineRule="exact"/>
              <w:rPr>
                <w:rFonts w:hint="eastAsia" w:ascii="宋体" w:hAnsi="宋体"/>
                <w:bCs/>
                <w:color w:val="auto"/>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68FAD40A">
            <w:pPr>
              <w:snapToGrid w:val="0"/>
              <w:spacing w:line="360" w:lineRule="auto"/>
              <w:rPr>
                <w:rFonts w:hint="eastAsia" w:ascii="宋体" w:hAnsi="宋体"/>
                <w:bCs/>
                <w:color w:val="auto"/>
                <w:szCs w:val="21"/>
                <w:highlight w:val="none"/>
              </w:rPr>
            </w:pPr>
            <w:r>
              <w:rPr>
                <w:rFonts w:hint="eastAsia" w:ascii="宋体" w:hAnsi="宋体"/>
                <w:bCs/>
                <w:color w:val="auto"/>
                <w:szCs w:val="21"/>
                <w:highlight w:val="none"/>
              </w:rPr>
              <w:t>（5）满足招标文件要求且评标报价最低的评标报价为评标基准价，其价格分为满分。</w:t>
            </w:r>
          </w:p>
          <w:p w14:paraId="79A58029">
            <w:pPr>
              <w:spacing w:line="400" w:lineRule="exact"/>
              <w:rPr>
                <w:rFonts w:hint="eastAsia" w:ascii="宋体" w:hAnsi="宋体"/>
                <w:bCs/>
                <w:color w:val="auto"/>
                <w:szCs w:val="21"/>
                <w:highlight w:val="none"/>
              </w:rPr>
            </w:pPr>
            <w:r>
              <w:rPr>
                <w:rFonts w:hint="eastAsia" w:ascii="宋体" w:hAnsi="宋体"/>
                <w:bCs/>
                <w:color w:val="auto"/>
                <w:szCs w:val="21"/>
                <w:highlight w:val="none"/>
              </w:rPr>
              <w:t xml:space="preserve">（6）价格分计算公式：        </w:t>
            </w:r>
          </w:p>
          <w:p w14:paraId="5D32A0C0">
            <w:pPr>
              <w:spacing w:line="400" w:lineRule="exact"/>
              <w:rPr>
                <w:rFonts w:hint="eastAsia" w:ascii="宋体" w:hAnsi="宋体" w:cs="宋体"/>
                <w:bCs/>
                <w:color w:val="auto"/>
                <w:szCs w:val="21"/>
                <w:highlight w:val="none"/>
              </w:rPr>
            </w:pPr>
            <w:r>
              <w:rPr>
                <w:rFonts w:hint="eastAsia" w:ascii="宋体" w:hAnsi="宋体"/>
                <w:bCs/>
                <w:color w:val="auto"/>
                <w:kern w:val="0"/>
                <w:szCs w:val="21"/>
                <w:highlight w:val="none"/>
              </w:rPr>
              <w:t>价格分</w:t>
            </w:r>
            <w:r>
              <w:rPr>
                <w:rFonts w:hint="eastAsia" w:ascii="宋体" w:hAnsi="宋体" w:cs="Courier New"/>
                <w:bCs/>
                <w:color w:val="auto"/>
                <w:szCs w:val="21"/>
                <w:highlight w:val="none"/>
              </w:rPr>
              <w:t>=（评标基准价／评标报价）×</w:t>
            </w:r>
            <w:r>
              <w:rPr>
                <w:rFonts w:hint="eastAsia" w:ascii="宋体" w:hAnsi="宋体"/>
                <w:bCs/>
                <w:color w:val="auto"/>
                <w:kern w:val="0"/>
                <w:szCs w:val="21"/>
                <w:highlight w:val="none"/>
              </w:rPr>
              <w:t>15</w:t>
            </w:r>
            <w:r>
              <w:rPr>
                <w:rFonts w:hint="eastAsia" w:ascii="宋体" w:hAnsi="宋体" w:cs="Courier New"/>
                <w:bCs/>
                <w:color w:val="auto"/>
                <w:szCs w:val="21"/>
                <w:highlight w:val="none"/>
              </w:rPr>
              <w:t>分</w:t>
            </w:r>
          </w:p>
        </w:tc>
      </w:tr>
      <w:tr w14:paraId="0399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vMerge w:val="restart"/>
            <w:tcBorders>
              <w:top w:val="single" w:color="auto" w:sz="4" w:space="0"/>
              <w:left w:val="single" w:color="auto" w:sz="4" w:space="0"/>
              <w:right w:val="single" w:color="auto" w:sz="4" w:space="0"/>
            </w:tcBorders>
            <w:vAlign w:val="center"/>
          </w:tcPr>
          <w:p w14:paraId="153184B8">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851" w:type="dxa"/>
            <w:vMerge w:val="restart"/>
            <w:tcBorders>
              <w:top w:val="single" w:color="auto" w:sz="4" w:space="0"/>
              <w:left w:val="single" w:color="auto" w:sz="4" w:space="0"/>
              <w:right w:val="single" w:color="auto" w:sz="4" w:space="0"/>
            </w:tcBorders>
            <w:vAlign w:val="center"/>
          </w:tcPr>
          <w:p w14:paraId="27BD3B38">
            <w:pPr>
              <w:adjustRightInd w:val="0"/>
              <w:spacing w:line="360" w:lineRule="auto"/>
              <w:jc w:val="center"/>
              <w:textAlignment w:val="baseline"/>
              <w:rPr>
                <w:rFonts w:hint="eastAsia" w:ascii="宋体" w:hAnsi="宋体" w:cs="宋体"/>
                <w:color w:val="auto"/>
                <w:spacing w:val="-18"/>
                <w:szCs w:val="21"/>
                <w:highlight w:val="none"/>
              </w:rPr>
            </w:pPr>
            <w:r>
              <w:rPr>
                <w:rFonts w:hint="eastAsia" w:ascii="宋体" w:hAnsi="宋体" w:cs="宋体"/>
                <w:b/>
                <w:bCs/>
                <w:color w:val="auto"/>
                <w:szCs w:val="21"/>
                <w:highlight w:val="none"/>
              </w:rPr>
              <w:t>技术分（满分60分）</w:t>
            </w:r>
          </w:p>
        </w:tc>
        <w:tc>
          <w:tcPr>
            <w:tcW w:w="1105" w:type="dxa"/>
            <w:tcBorders>
              <w:top w:val="single" w:color="auto" w:sz="4" w:space="0"/>
              <w:left w:val="single" w:color="auto" w:sz="4" w:space="0"/>
              <w:bottom w:val="single" w:color="auto" w:sz="4" w:space="0"/>
              <w:right w:val="single" w:color="auto" w:sz="4" w:space="0"/>
            </w:tcBorders>
            <w:vAlign w:val="center"/>
          </w:tcPr>
          <w:p w14:paraId="2195ABE9">
            <w:pPr>
              <w:adjustRightInd w:val="0"/>
              <w:spacing w:line="360" w:lineRule="auto"/>
              <w:jc w:val="center"/>
              <w:textAlignment w:val="baseline"/>
              <w:rPr>
                <w:rFonts w:hint="eastAsia" w:ascii="宋体" w:hAnsi="宋体" w:cs="宋体"/>
                <w:strike/>
                <w:color w:val="auto"/>
                <w:szCs w:val="21"/>
                <w:highlight w:val="none"/>
              </w:rPr>
            </w:pPr>
            <w:r>
              <w:rPr>
                <w:rFonts w:hint="eastAsia" w:ascii="宋体" w:hAnsi="宋体" w:cs="宋体"/>
                <w:color w:val="auto"/>
                <w:szCs w:val="21"/>
                <w:highlight w:val="none"/>
              </w:rPr>
              <w:t>演示分（满分13分）</w:t>
            </w:r>
          </w:p>
        </w:tc>
        <w:tc>
          <w:tcPr>
            <w:tcW w:w="6523" w:type="dxa"/>
            <w:tcBorders>
              <w:top w:val="single" w:color="auto" w:sz="4" w:space="0"/>
              <w:left w:val="single" w:color="auto" w:sz="4" w:space="0"/>
              <w:bottom w:val="single" w:color="auto" w:sz="4" w:space="0"/>
              <w:right w:val="single" w:color="auto" w:sz="4" w:space="0"/>
            </w:tcBorders>
            <w:vAlign w:val="center"/>
          </w:tcPr>
          <w:p w14:paraId="7D1E566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投标人按本标项需求一览表标</w:t>
            </w:r>
            <w:r>
              <w:rPr>
                <w:rFonts w:hint="eastAsia" w:ascii="宋体" w:hAnsi="宋体" w:cs="宋体"/>
                <w:b/>
                <w:bCs/>
                <w:color w:val="auto"/>
                <w:szCs w:val="21"/>
                <w:highlight w:val="none"/>
              </w:rPr>
              <w:t>◆</w:t>
            </w:r>
            <w:r>
              <w:rPr>
                <w:rFonts w:hint="eastAsia" w:ascii="宋体" w:hAnsi="宋体" w:cs="宋体"/>
                <w:color w:val="auto"/>
                <w:szCs w:val="21"/>
                <w:highlight w:val="none"/>
              </w:rPr>
              <w:t>的条款要求进行线上演示;评标委员会将根据演示内容及效果进行评分，标</w:t>
            </w:r>
            <w:r>
              <w:rPr>
                <w:rFonts w:hint="eastAsia" w:ascii="宋体" w:hAnsi="宋体" w:cs="宋体"/>
                <w:b/>
                <w:bCs/>
                <w:color w:val="auto"/>
                <w:szCs w:val="21"/>
                <w:highlight w:val="none"/>
              </w:rPr>
              <w:t>◆</w:t>
            </w:r>
            <w:r>
              <w:rPr>
                <w:rFonts w:hint="eastAsia" w:ascii="宋体" w:hAnsi="宋体" w:cs="宋体"/>
                <w:color w:val="auto"/>
                <w:szCs w:val="21"/>
                <w:highlight w:val="none"/>
              </w:rPr>
              <w:t>条款共</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项，且经评标委员会认可的，每项得分</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分。投标人提供演示须遵循以下要求:</w:t>
            </w:r>
          </w:p>
          <w:p w14:paraId="5287390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1.演示方式为线上演示，</w:t>
            </w:r>
          </w:p>
          <w:p w14:paraId="70BEB6D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2.演示时间:本项目开标后，具体时间以评标委员会或代理机构线上通知为准。</w:t>
            </w:r>
          </w:p>
          <w:p w14:paraId="7B4C842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3.投标人应提前准备好演示所需设备(如电脑等)、界面、排插、网络热点等，并做好线上演示的调试准备。</w:t>
            </w:r>
          </w:p>
          <w:p w14:paraId="0871F53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4.演示开始后每个供应商的演示时间不超过25分钟，超时的须立即停止。</w:t>
            </w:r>
          </w:p>
          <w:p w14:paraId="4BD51EA8">
            <w:pPr>
              <w:spacing w:line="400" w:lineRule="exact"/>
              <w:ind w:firstLine="420" w:firstLineChars="200"/>
              <w:rPr>
                <w:rFonts w:hint="eastAsia" w:ascii="宋体" w:hAnsi="宋体"/>
                <w:bCs/>
                <w:strike/>
                <w:color w:val="auto"/>
                <w:kern w:val="0"/>
                <w:szCs w:val="21"/>
                <w:highlight w:val="none"/>
              </w:rPr>
            </w:pPr>
            <w:r>
              <w:rPr>
                <w:rFonts w:hint="eastAsia" w:ascii="宋体" w:hAnsi="宋体" w:cs="宋体"/>
                <w:color w:val="auto"/>
                <w:szCs w:val="21"/>
                <w:highlight w:val="none"/>
              </w:rPr>
              <w:t>5.投标人演示可根据自身情况选择采用视频或PPT或图像或图片或真实软件等进行演示。</w:t>
            </w:r>
          </w:p>
        </w:tc>
      </w:tr>
      <w:tr w14:paraId="4BC8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615" w:type="dxa"/>
            <w:vMerge w:val="continue"/>
            <w:tcBorders>
              <w:left w:val="single" w:color="auto" w:sz="4" w:space="0"/>
              <w:right w:val="single" w:color="auto" w:sz="4" w:space="0"/>
            </w:tcBorders>
            <w:vAlign w:val="center"/>
          </w:tcPr>
          <w:p w14:paraId="27120213">
            <w:pPr>
              <w:adjustRightInd w:val="0"/>
              <w:spacing w:line="360" w:lineRule="auto"/>
              <w:jc w:val="center"/>
              <w:textAlignment w:val="baseline"/>
              <w:rPr>
                <w:rFonts w:hint="eastAsia" w:ascii="宋体" w:hAnsi="宋体" w:cs="宋体"/>
                <w:b/>
                <w:color w:val="auto"/>
                <w:szCs w:val="21"/>
                <w:highlight w:val="none"/>
              </w:rPr>
            </w:pPr>
          </w:p>
        </w:tc>
        <w:tc>
          <w:tcPr>
            <w:tcW w:w="851" w:type="dxa"/>
            <w:vMerge w:val="continue"/>
            <w:tcBorders>
              <w:left w:val="single" w:color="auto" w:sz="4" w:space="0"/>
              <w:right w:val="single" w:color="auto" w:sz="4" w:space="0"/>
            </w:tcBorders>
            <w:vAlign w:val="center"/>
          </w:tcPr>
          <w:p w14:paraId="78E64DCB">
            <w:pPr>
              <w:adjustRightInd w:val="0"/>
              <w:spacing w:line="360" w:lineRule="auto"/>
              <w:jc w:val="center"/>
              <w:textAlignment w:val="baseline"/>
              <w:rPr>
                <w:rFonts w:hint="eastAsia" w:ascii="宋体" w:hAnsi="宋体" w:cs="宋体"/>
                <w:color w:val="auto"/>
                <w:spacing w:val="-18"/>
                <w:szCs w:val="21"/>
                <w:highlight w:val="none"/>
              </w:rPr>
            </w:pPr>
          </w:p>
        </w:tc>
        <w:tc>
          <w:tcPr>
            <w:tcW w:w="1105" w:type="dxa"/>
            <w:tcBorders>
              <w:top w:val="single" w:color="auto" w:sz="4" w:space="0"/>
              <w:left w:val="single" w:color="auto" w:sz="4" w:space="0"/>
              <w:right w:val="single" w:color="auto" w:sz="4" w:space="0"/>
            </w:tcBorders>
            <w:vAlign w:val="center"/>
          </w:tcPr>
          <w:p w14:paraId="36435C1C">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课程建设服务方案</w:t>
            </w:r>
            <w:r>
              <w:rPr>
                <w:rFonts w:hint="eastAsia" w:ascii="宋体" w:hAnsi="宋体" w:cs="宋体"/>
                <w:color w:val="auto"/>
                <w:szCs w:val="21"/>
                <w:highlight w:val="none"/>
                <w:lang w:eastAsia="zh-CN"/>
              </w:rPr>
              <w:t>分</w:t>
            </w:r>
            <w:r>
              <w:rPr>
                <w:rFonts w:hint="eastAsia" w:ascii="宋体" w:hAnsi="宋体" w:cs="宋体"/>
                <w:color w:val="auto"/>
                <w:szCs w:val="21"/>
                <w:highlight w:val="none"/>
              </w:rPr>
              <w:t>（满分16分）</w:t>
            </w:r>
          </w:p>
        </w:tc>
        <w:tc>
          <w:tcPr>
            <w:tcW w:w="6523" w:type="dxa"/>
            <w:tcBorders>
              <w:top w:val="single" w:color="auto" w:sz="4" w:space="0"/>
              <w:left w:val="single" w:color="auto" w:sz="4" w:space="0"/>
              <w:bottom w:val="single" w:color="auto" w:sz="4" w:space="0"/>
              <w:right w:val="single" w:color="auto" w:sz="4" w:space="0"/>
            </w:tcBorders>
            <w:vAlign w:val="center"/>
          </w:tcPr>
          <w:p w14:paraId="51315F49">
            <w:pPr>
              <w:pStyle w:val="2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一档（4分）：对项目认识不足，方案笼统、不详细，措施不具体，缺乏针对性和可操作性。技术方案中提出的方案基本不合理，条理不清晰，难以落地实施。（如：未针对课程导学、微课制作、动画制作、题库建设等核心工作分别提出方案；或未对课程资源质量保障措施提出具体措施；或未说明课程脚本设计、视频拍摄、后期制作、资源上传等关键环节的组织安排。）</w:t>
            </w:r>
          </w:p>
          <w:p w14:paraId="6E214770">
            <w:pPr>
              <w:pStyle w:val="2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二档（8分）：在满足一档要求的基础上，对项目有基本认识，思路部分清晰，措施基本满足采购需求，具有一定的可行性。技术方案中提出的实施方案基本合理，条理基本清晰，基本具备落地条件。但对项目整体需求理解较浅，项目分析不全面；工作内容和实施办法能满足采购文件要求。（方案包含课程资源开发流程、视频制作技术标准，承诺课程资源质量保障，承诺按照采购需求开展课程建设各项工作。）。</w:t>
            </w:r>
          </w:p>
          <w:p w14:paraId="0DBE7E50">
            <w:pPr>
              <w:pStyle w:val="2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三档（12分）：在满足二档要求的基础上，对项目认识充分，方案表达清晰、完整，措施具体且依据项目具体情况采取有效的措施，具有较强的针对性和可行性，符合课程建设规范要求。技术方案中提出的实施方案合理，条理较清晰，可行，能够有效落地。工作目标较明确，工作方法较为合理；技术方案对项目整体需求理解较深入，项目分析较全面；总体思路、理念和方案表述清晰，工作内容和实施办法可较好满足采购文件要求，方案总体评述较完整。（对课程导学制作、微课制作、动画制作、题库建设等核心工作有清晰描述，对课程资源质量保障有详细安排，对视频分辨率、编码格式、字幕规范等技术指标有保障措施。）</w:t>
            </w:r>
          </w:p>
          <w:p w14:paraId="600088D2">
            <w:pPr>
              <w:pStyle w:val="2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四档（16分）：在满足三档要求的基础上，对项目的特点、关键技术问题的认识准确透彻，总体思路、理念和方案表述清晰、严谨、完整，措施先进、有效、成熟且依据项目具体情况采取有针对性的措施，科学合理、可操作性强、能够全面落实落地，符合课程建设规范要求。工作目标明确，工作方法合理；技术方案中提出的实施方案完整科学、可行性强，计划条理清晰；技术方案对项目整体需求理解深入，项目分析全面、细致；工作内容和实施办法完全满足采购文件要求，方案总体评述全面、完整，具有高度的合理性和可行性。（对视频脚本设计、实景拍摄、抠像处理、后期剪辑、特效包装等技术难点有深入分析和针对性措施，对课程资源质量保障有系统性方案，有完善的审核检查体系，有设备故障及进度延误等应急处置预案。）</w:t>
            </w:r>
          </w:p>
          <w:p w14:paraId="0F8DBE41">
            <w:pPr>
              <w:pStyle w:val="2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注：未提供或提供的课程建设服务方案达不到一档要求的不得分。</w:t>
            </w:r>
          </w:p>
        </w:tc>
      </w:tr>
      <w:tr w14:paraId="4C12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615" w:type="dxa"/>
            <w:vMerge w:val="continue"/>
            <w:tcBorders>
              <w:left w:val="single" w:color="auto" w:sz="4" w:space="0"/>
              <w:right w:val="single" w:color="auto" w:sz="4" w:space="0"/>
            </w:tcBorders>
            <w:vAlign w:val="center"/>
          </w:tcPr>
          <w:p w14:paraId="6345CDC5">
            <w:pPr>
              <w:adjustRightInd w:val="0"/>
              <w:spacing w:line="360" w:lineRule="auto"/>
              <w:jc w:val="center"/>
              <w:textAlignment w:val="baseline"/>
              <w:rPr>
                <w:rFonts w:hint="eastAsia" w:ascii="宋体" w:hAnsi="宋体" w:cs="宋体"/>
                <w:b/>
                <w:color w:val="auto"/>
                <w:szCs w:val="21"/>
                <w:highlight w:val="none"/>
              </w:rPr>
            </w:pPr>
          </w:p>
        </w:tc>
        <w:tc>
          <w:tcPr>
            <w:tcW w:w="851" w:type="dxa"/>
            <w:vMerge w:val="continue"/>
            <w:tcBorders>
              <w:left w:val="single" w:color="auto" w:sz="4" w:space="0"/>
              <w:right w:val="single" w:color="auto" w:sz="4" w:space="0"/>
            </w:tcBorders>
            <w:vAlign w:val="center"/>
          </w:tcPr>
          <w:p w14:paraId="07F3E167">
            <w:pPr>
              <w:adjustRightInd w:val="0"/>
              <w:spacing w:line="360" w:lineRule="auto"/>
              <w:jc w:val="center"/>
              <w:textAlignment w:val="baseline"/>
              <w:rPr>
                <w:rFonts w:hint="eastAsia" w:ascii="宋体" w:hAnsi="宋体" w:cs="宋体"/>
                <w:color w:val="auto"/>
                <w:spacing w:val="-18"/>
                <w:szCs w:val="21"/>
                <w:highlight w:val="none"/>
              </w:rPr>
            </w:pPr>
          </w:p>
        </w:tc>
        <w:tc>
          <w:tcPr>
            <w:tcW w:w="1105" w:type="dxa"/>
            <w:tcBorders>
              <w:top w:val="single" w:color="auto" w:sz="4" w:space="0"/>
              <w:left w:val="single" w:color="auto" w:sz="4" w:space="0"/>
              <w:right w:val="single" w:color="auto" w:sz="4" w:space="0"/>
            </w:tcBorders>
            <w:vAlign w:val="center"/>
          </w:tcPr>
          <w:p w14:paraId="321ACFEF">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教材建设服务方案</w:t>
            </w:r>
            <w:r>
              <w:rPr>
                <w:rFonts w:hint="eastAsia" w:ascii="宋体" w:hAnsi="宋体" w:cs="宋体"/>
                <w:color w:val="auto"/>
                <w:szCs w:val="21"/>
                <w:highlight w:val="none"/>
                <w:lang w:eastAsia="zh-CN"/>
              </w:rPr>
              <w:t>分</w:t>
            </w:r>
            <w:r>
              <w:rPr>
                <w:rFonts w:hint="eastAsia" w:ascii="宋体" w:hAnsi="宋体" w:cs="宋体"/>
                <w:color w:val="auto"/>
                <w:szCs w:val="21"/>
                <w:highlight w:val="none"/>
              </w:rPr>
              <w:t>（满分1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c>
          <w:tcPr>
            <w:tcW w:w="6523" w:type="dxa"/>
            <w:tcBorders>
              <w:top w:val="single" w:color="auto" w:sz="4" w:space="0"/>
              <w:left w:val="single" w:color="auto" w:sz="4" w:space="0"/>
              <w:bottom w:val="single" w:color="auto" w:sz="4" w:space="0"/>
              <w:right w:val="single" w:color="auto" w:sz="4" w:space="0"/>
            </w:tcBorders>
            <w:vAlign w:val="center"/>
          </w:tcPr>
          <w:p w14:paraId="49A7E169">
            <w:pPr>
              <w:pStyle w:val="2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一档（4分）：对教材出版流程认识不足，方案笼统、不详细，措施不具体，缺乏针对性和可操作性。技术方案中提出的方案基本不合理，条理不清晰，难以落地实施。（如：未针对数字教材审校出版、教材平台搭建、规划教材申报等核心工作分别提出方案；或未对教材内容意识形态审核、编校质量管控提出具体措施；或未说明教材大纲设计、样章编写、三审三校、书号申领等关键环节的组织安排。）</w:t>
            </w:r>
          </w:p>
          <w:p w14:paraId="487F4DF7">
            <w:pPr>
              <w:pStyle w:val="2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二档（8分）：在满足一档要求的基础上，对教材出版有基本认识，思路部分清晰，措施基本满足采购需求，具有一定的可行性。技术方案中提出的实施方案基本合理，条理基本清晰，基本具备落地条件。但对教材出版全流程理解较浅，项目分析不全面。（方案包含数字教材出版流程、教材平台运行方案，承诺教材内容符合出版规范要求。）</w:t>
            </w:r>
          </w:p>
          <w:p w14:paraId="56DEC7E2">
            <w:pPr>
              <w:pStyle w:val="2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三档（12分）：在满足二档要求的基础上，对教材出版认识充分，方案表达清晰、完整，措施具体且针对性强，符合教材出版规范要求。技术方案中提出的实施方案合理，条理清晰，可行且能够有效落地。工作目标明确，方法合理；对教材出版全流程理解较深入，项目分析较全面；总体思路、理念和方案表述清晰，工作内容和实施办法较好满足采购文件要求。（对数字教材审校出版流程、教材平台功能实现、规划教材申报策略有清晰描述，对意识形态及编校质量管控有详细安排，对三审三校、书号申领、平台部署等有保障措施。）</w:t>
            </w:r>
          </w:p>
          <w:p w14:paraId="3BA70A0F">
            <w:pPr>
              <w:pStyle w:val="2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四档（</w:t>
            </w:r>
            <w:r>
              <w:rPr>
                <w:rFonts w:hint="eastAsia" w:hAnsi="宋体" w:cs="宋体"/>
                <w:color w:val="auto"/>
                <w:sz w:val="21"/>
                <w:highlight w:val="none"/>
                <w:lang w:val="en-US" w:eastAsia="zh-CN"/>
              </w:rPr>
              <w:t>16</w:t>
            </w:r>
            <w:r>
              <w:rPr>
                <w:rFonts w:hint="eastAsia" w:hAnsi="宋体" w:cs="宋体"/>
                <w:color w:val="auto"/>
                <w:sz w:val="21"/>
                <w:highlight w:val="none"/>
              </w:rPr>
              <w:t>分）：在满足三档要求的基础上，对教材出版的特点、关键技术问题的认识准确透彻，总体思路、理念及方案表述清晰、严谨、完整，措施先进、有效且针对性强，科学合理、可操作、可落地，符合教材出版规范要求。技术方案完整科学、可行性强，计划条理清晰；对教材出版全流程需求理解深入，项目分析全面、细致；工作内容和实施办法完全满足采购文件要求，方案总体评述全面、完整、有针对性。（对教材大纲设计、样章打磨、内容排版、封面创意、三审三校把控、书号申领等关键节点有深入分析和针对性措施，对意识形态安全及编校质量保障有系统性方案，有完善的审读检查体系，有出版周期延误及平台故障等应急处置预案，对规划教材申报有明确的策略规划和材料准备方案。）</w:t>
            </w:r>
          </w:p>
          <w:p w14:paraId="1239BCF1">
            <w:pPr>
              <w:pStyle w:val="2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注：未提供或提供的教材建设服务方案达不到一档要求的不得分。</w:t>
            </w:r>
          </w:p>
        </w:tc>
      </w:tr>
      <w:tr w14:paraId="6261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615" w:type="dxa"/>
            <w:vMerge w:val="continue"/>
            <w:tcBorders>
              <w:left w:val="single" w:color="auto" w:sz="4" w:space="0"/>
              <w:right w:val="single" w:color="auto" w:sz="4" w:space="0"/>
            </w:tcBorders>
            <w:vAlign w:val="center"/>
          </w:tcPr>
          <w:p w14:paraId="6CB15591">
            <w:pPr>
              <w:adjustRightInd w:val="0"/>
              <w:spacing w:line="360" w:lineRule="auto"/>
              <w:jc w:val="center"/>
              <w:textAlignment w:val="baseline"/>
              <w:rPr>
                <w:rFonts w:hint="eastAsia" w:ascii="宋体" w:hAnsi="宋体" w:cs="宋体"/>
                <w:b/>
                <w:color w:val="auto"/>
                <w:szCs w:val="21"/>
                <w:highlight w:val="none"/>
              </w:rPr>
            </w:pPr>
          </w:p>
        </w:tc>
        <w:tc>
          <w:tcPr>
            <w:tcW w:w="851" w:type="dxa"/>
            <w:vMerge w:val="continue"/>
            <w:tcBorders>
              <w:left w:val="single" w:color="auto" w:sz="4" w:space="0"/>
              <w:right w:val="single" w:color="auto" w:sz="4" w:space="0"/>
            </w:tcBorders>
            <w:vAlign w:val="center"/>
          </w:tcPr>
          <w:p w14:paraId="6A2C9881">
            <w:pPr>
              <w:widowControl/>
              <w:spacing w:line="360" w:lineRule="auto"/>
              <w:jc w:val="left"/>
              <w:rPr>
                <w:rFonts w:hint="eastAsia" w:ascii="宋体" w:hAnsi="宋体" w:cs="宋体"/>
                <w:b/>
                <w:bCs/>
                <w:color w:val="auto"/>
                <w:szCs w:val="21"/>
                <w:highlight w:val="none"/>
              </w:rPr>
            </w:pPr>
          </w:p>
        </w:tc>
        <w:tc>
          <w:tcPr>
            <w:tcW w:w="110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BE37E6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项目拟投入人员分（满分15分）</w:t>
            </w:r>
          </w:p>
        </w:tc>
        <w:tc>
          <w:tcPr>
            <w:tcW w:w="6523" w:type="dxa"/>
            <w:tcBorders>
              <w:top w:val="single" w:color="auto" w:sz="4" w:space="0"/>
              <w:left w:val="single" w:color="auto" w:sz="4" w:space="0"/>
              <w:bottom w:val="single" w:color="auto" w:sz="4" w:space="0"/>
              <w:right w:val="single" w:color="auto" w:sz="4" w:space="0"/>
            </w:tcBorders>
          </w:tcPr>
          <w:p w14:paraId="71743031">
            <w:pPr>
              <w:spacing w:line="400" w:lineRule="exact"/>
              <w:ind w:firstLine="525" w:firstLineChars="2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1.拟投入的项目负责人主持过双语课程/课程资源库建设项目3个及以上的，得2分。（满分2分）（须提供对应项目合同关键页及含本人名字的合同签章页作为证明材料，未按要求提供佐证的不予计分）。</w:t>
            </w:r>
          </w:p>
          <w:p w14:paraId="1169C9A8">
            <w:pPr>
              <w:spacing w:line="400" w:lineRule="exact"/>
              <w:ind w:firstLine="525" w:firstLineChars="2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2.拟投入的资源审读人员具有中华人民共和国人力资源和社会保障部、国家新闻出版署批准颁发的《出版专业技术人员职业资格》证书的，每人得1分。（满分3分）</w:t>
            </w:r>
          </w:p>
          <w:p w14:paraId="2DC07401">
            <w:pPr>
              <w:spacing w:line="400" w:lineRule="exact"/>
              <w:ind w:firstLine="525" w:firstLineChars="250"/>
              <w:jc w:val="left"/>
              <w:rPr>
                <w:rFonts w:ascii="宋体" w:hAnsi="宋体" w:cs="宋体"/>
                <w:color w:val="auto"/>
                <w:kern w:val="0"/>
                <w:szCs w:val="21"/>
                <w:highlight w:val="none"/>
              </w:rPr>
            </w:pPr>
            <w:r>
              <w:rPr>
                <w:rFonts w:hint="eastAsia" w:ascii="宋体" w:hAnsi="宋体" w:cs="宋体"/>
                <w:color w:val="auto"/>
                <w:kern w:val="0"/>
                <w:szCs w:val="21"/>
                <w:highlight w:val="none"/>
              </w:rPr>
              <w:t>3.拟投入的人员，具有</w:t>
            </w:r>
            <w:r>
              <w:rPr>
                <w:rFonts w:ascii="宋体" w:hAnsi="宋体" w:cs="宋体"/>
                <w:color w:val="auto"/>
                <w:kern w:val="0"/>
                <w:szCs w:val="21"/>
                <w:highlight w:val="none"/>
              </w:rPr>
              <w:t>四级编导的，每人得1分；三级及以上编导的，每人得2分。（满分2分）</w:t>
            </w:r>
          </w:p>
          <w:p w14:paraId="2269DD44">
            <w:pPr>
              <w:spacing w:line="400" w:lineRule="exact"/>
              <w:ind w:firstLine="525" w:firstLineChars="2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4.拟投入的技术人员具备广播电视编导/教育技术学/数字媒体艺术/动画/动漫制作技术/计算机多媒体技术/美术学等与本项目相关专业背景，须提供毕业证书复印件佐证；每提供 1 名符合专业要求人员得 0.5 分，本项最高得 4 分。</w:t>
            </w:r>
          </w:p>
          <w:p w14:paraId="525A4C20">
            <w:pPr>
              <w:spacing w:line="400" w:lineRule="exact"/>
              <w:ind w:firstLine="525" w:firstLineChars="2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5.拟投入的翻译人员具有二级CATTI英语笔译证书</w:t>
            </w:r>
            <w:r>
              <w:rPr>
                <w:rFonts w:hint="eastAsia" w:ascii="宋体" w:hAnsi="宋体" w:cs="宋体"/>
                <w:color w:val="auto"/>
                <w:kern w:val="0"/>
                <w:szCs w:val="21"/>
                <w:highlight w:val="none"/>
                <w:lang w:val="en-US" w:eastAsia="zh-CN"/>
              </w:rPr>
              <w:t>或B级CATTI越语笔译证书</w:t>
            </w:r>
            <w:r>
              <w:rPr>
                <w:rFonts w:hint="eastAsia" w:ascii="宋体" w:hAnsi="宋体" w:cs="宋体"/>
                <w:color w:val="auto"/>
                <w:kern w:val="0"/>
                <w:szCs w:val="21"/>
                <w:highlight w:val="none"/>
              </w:rPr>
              <w:t>的每人得1分，具有一级CATTI英语笔译证书</w:t>
            </w:r>
            <w:r>
              <w:rPr>
                <w:rFonts w:hint="eastAsia" w:ascii="宋体" w:hAnsi="宋体" w:cs="宋体"/>
                <w:color w:val="auto"/>
                <w:kern w:val="0"/>
                <w:szCs w:val="21"/>
                <w:highlight w:val="none"/>
                <w:lang w:val="en-US" w:eastAsia="zh-CN"/>
              </w:rPr>
              <w:t>的</w:t>
            </w:r>
            <w:r>
              <w:rPr>
                <w:rFonts w:hint="eastAsia" w:ascii="宋体" w:hAnsi="宋体" w:cs="宋体"/>
                <w:color w:val="auto"/>
                <w:kern w:val="0"/>
                <w:szCs w:val="21"/>
                <w:highlight w:val="none"/>
              </w:rPr>
              <w:t>得2分。（满分4分）</w:t>
            </w:r>
          </w:p>
          <w:p w14:paraId="0D5D12D9">
            <w:pPr>
              <w:spacing w:line="400" w:lineRule="exact"/>
              <w:ind w:firstLine="525" w:firstLineChars="25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注：1.</w:t>
            </w:r>
            <w:r>
              <w:rPr>
                <w:rFonts w:hint="eastAsia" w:ascii="宋体" w:hAnsi="宋体" w:cs="宋体"/>
                <w:color w:val="auto"/>
                <w:kern w:val="0"/>
                <w:szCs w:val="21"/>
                <w:highlight w:val="none"/>
                <w:lang w:val="en-US" w:eastAsia="zh-CN"/>
              </w:rPr>
              <w:t>项目负责人需</w:t>
            </w:r>
            <w:r>
              <w:rPr>
                <w:rFonts w:hint="eastAsia" w:ascii="宋体" w:hAnsi="宋体" w:cs="宋体"/>
                <w:color w:val="auto"/>
                <w:kern w:val="0"/>
                <w:szCs w:val="21"/>
                <w:highlight w:val="none"/>
              </w:rPr>
              <w:t>提供同类项目合同或验收证明（合同中或验收证明明确体现项目负责人姓名）</w:t>
            </w:r>
            <w:r>
              <w:rPr>
                <w:rFonts w:hint="eastAsia" w:ascii="宋体" w:hAnsi="宋体" w:cs="宋体"/>
                <w:color w:val="auto"/>
                <w:kern w:val="0"/>
                <w:szCs w:val="21"/>
                <w:highlight w:val="none"/>
                <w:lang w:eastAsia="zh-CN"/>
              </w:rPr>
              <w:t>。</w:t>
            </w:r>
          </w:p>
          <w:p w14:paraId="14E7D0D6">
            <w:pPr>
              <w:spacing w:line="400" w:lineRule="exact"/>
              <w:ind w:firstLine="525" w:firstLineChars="25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2.投标文件提供上述拟投入项目的人员对应的有效证书复印件并加盖投标人公章，相同证书不重复计分，未按要求提供的不予计分。</w:t>
            </w:r>
          </w:p>
          <w:p w14:paraId="1C437165">
            <w:pPr>
              <w:spacing w:line="400" w:lineRule="exact"/>
              <w:ind w:firstLine="527" w:firstLineChars="25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lang w:val="en-US" w:eastAsia="zh-CN"/>
              </w:rPr>
              <w:t>3</w:t>
            </w:r>
            <w:r>
              <w:rPr>
                <w:rFonts w:hint="eastAsia" w:ascii="宋体" w:hAnsi="宋体" w:cs="宋体"/>
                <w:b/>
                <w:bCs/>
                <w:color w:val="auto"/>
                <w:kern w:val="0"/>
                <w:szCs w:val="21"/>
                <w:highlight w:val="none"/>
              </w:rPr>
              <w:t>.以上项目拟投入人员中，中标人</w:t>
            </w:r>
            <w:r>
              <w:rPr>
                <w:rFonts w:ascii="宋体" w:hAnsi="宋体" w:cs="宋体"/>
                <w:b/>
                <w:bCs/>
                <w:color w:val="auto"/>
                <w:kern w:val="0"/>
                <w:szCs w:val="21"/>
                <w:highlight w:val="none"/>
              </w:rPr>
              <w:t>必须如实投入到项目实施中，未经采购人同意不允许自行更换</w:t>
            </w: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val="en-US" w:eastAsia="zh-CN"/>
              </w:rPr>
              <w:t>否则，视为违约并承担相关的一切责任</w:t>
            </w:r>
            <w:r>
              <w:rPr>
                <w:rFonts w:ascii="宋体" w:hAnsi="宋体" w:cs="宋体"/>
                <w:b/>
                <w:bCs/>
                <w:color w:val="auto"/>
                <w:kern w:val="0"/>
                <w:szCs w:val="21"/>
                <w:highlight w:val="none"/>
              </w:rPr>
              <w:t>。</w:t>
            </w:r>
          </w:p>
        </w:tc>
      </w:tr>
      <w:tr w14:paraId="45C8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5" w:type="dxa"/>
            <w:vMerge w:val="restart"/>
            <w:tcBorders>
              <w:left w:val="single" w:color="auto" w:sz="4" w:space="0"/>
              <w:right w:val="single" w:color="auto" w:sz="4" w:space="0"/>
            </w:tcBorders>
            <w:vAlign w:val="center"/>
          </w:tcPr>
          <w:p w14:paraId="60D054BB">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851" w:type="dxa"/>
            <w:vMerge w:val="restart"/>
            <w:tcBorders>
              <w:left w:val="single" w:color="auto" w:sz="4" w:space="0"/>
              <w:right w:val="single" w:color="auto" w:sz="4" w:space="0"/>
            </w:tcBorders>
            <w:vAlign w:val="center"/>
          </w:tcPr>
          <w:p w14:paraId="334F71EF">
            <w:pPr>
              <w:adjustRightInd w:val="0"/>
              <w:spacing w:line="360" w:lineRule="auto"/>
              <w:jc w:val="center"/>
              <w:textAlignment w:val="baseline"/>
              <w:rPr>
                <w:rFonts w:hint="eastAsia" w:ascii="宋体" w:hAnsi="宋体" w:cs="宋体"/>
                <w:b/>
                <w:bCs/>
                <w:color w:val="auto"/>
                <w:szCs w:val="21"/>
                <w:highlight w:val="none"/>
              </w:rPr>
            </w:pPr>
            <w:r>
              <w:rPr>
                <w:rFonts w:hint="eastAsia" w:ascii="宋体" w:hAnsi="宋体" w:cs="宋体"/>
                <w:b/>
                <w:bCs/>
                <w:color w:val="auto"/>
                <w:szCs w:val="21"/>
                <w:highlight w:val="none"/>
              </w:rPr>
              <w:t>商务分（满分2</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p>
        </w:tc>
        <w:tc>
          <w:tcPr>
            <w:tcW w:w="1105"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09D2BC2A">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企业综合实力分（满分20分）</w:t>
            </w:r>
          </w:p>
        </w:tc>
        <w:tc>
          <w:tcPr>
            <w:tcW w:w="6523" w:type="dxa"/>
            <w:tcBorders>
              <w:top w:val="single" w:color="auto" w:sz="4" w:space="0"/>
              <w:left w:val="single" w:color="auto" w:sz="4" w:space="0"/>
              <w:bottom w:val="single" w:color="auto" w:sz="4" w:space="0"/>
              <w:right w:val="single" w:color="auto" w:sz="4" w:space="0"/>
            </w:tcBorders>
          </w:tcPr>
          <w:p w14:paraId="74893EAB">
            <w:pPr>
              <w:numPr>
                <w:ilvl w:val="0"/>
                <w:numId w:val="0"/>
              </w:numPr>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szCs w:val="21"/>
                <w:highlight w:val="none"/>
              </w:rPr>
              <w:t>投标人自202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年以来协助高校开展在线精品课程建设，获得省级或国家级在线精品课程相关荣誉的</w:t>
            </w:r>
            <w:r>
              <w:rPr>
                <w:rFonts w:hint="eastAsia" w:ascii="宋体" w:hAnsi="宋体" w:cs="宋体"/>
                <w:color w:val="auto"/>
                <w:szCs w:val="21"/>
                <w:highlight w:val="none"/>
                <w:lang w:eastAsia="zh-CN"/>
              </w:rPr>
              <w:t>（</w:t>
            </w:r>
            <w:r>
              <w:rPr>
                <w:rFonts w:hint="eastAsia" w:ascii="宋体" w:hAnsi="宋体" w:cs="宋体"/>
                <w:color w:val="auto"/>
                <w:szCs w:val="21"/>
                <w:highlight w:val="none"/>
              </w:rPr>
              <w:t>每提供一项</w:t>
            </w:r>
            <w:r>
              <w:rPr>
                <w:rFonts w:hint="eastAsia" w:ascii="宋体" w:hAnsi="宋体" w:cs="宋体"/>
                <w:color w:val="auto"/>
                <w:szCs w:val="21"/>
                <w:highlight w:val="none"/>
                <w:lang w:val="en-US" w:eastAsia="zh-CN"/>
              </w:rPr>
              <w:t>省级荣誉的，得0.5分；</w:t>
            </w:r>
            <w:r>
              <w:rPr>
                <w:rFonts w:hint="eastAsia" w:ascii="宋体" w:hAnsi="宋体" w:cs="宋体"/>
                <w:color w:val="auto"/>
                <w:szCs w:val="21"/>
                <w:highlight w:val="none"/>
              </w:rPr>
              <w:t>每提供一项</w:t>
            </w:r>
            <w:r>
              <w:rPr>
                <w:rFonts w:hint="eastAsia" w:ascii="宋体" w:hAnsi="宋体" w:cs="宋体"/>
                <w:color w:val="auto"/>
                <w:szCs w:val="21"/>
                <w:highlight w:val="none"/>
                <w:lang w:val="en-US" w:eastAsia="zh-CN"/>
              </w:rPr>
              <w:t>国家级荣誉的，得1分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满分10分。（</w:t>
            </w:r>
            <w:r>
              <w:rPr>
                <w:rFonts w:hint="eastAsia" w:ascii="宋体" w:hAnsi="宋体" w:cs="宋体"/>
                <w:color w:val="auto"/>
                <w:szCs w:val="21"/>
                <w:highlight w:val="none"/>
                <w:lang w:val="en-US" w:eastAsia="zh-CN"/>
              </w:rPr>
              <w:t>投标文件</w:t>
            </w:r>
            <w:r>
              <w:rPr>
                <w:rFonts w:hint="eastAsia" w:ascii="宋体" w:hAnsi="宋体" w:cs="宋体"/>
                <w:color w:val="auto"/>
                <w:szCs w:val="21"/>
                <w:highlight w:val="none"/>
              </w:rPr>
              <w:t>需提供</w:t>
            </w:r>
            <w:r>
              <w:rPr>
                <w:rFonts w:hint="eastAsia" w:ascii="宋体" w:hAnsi="宋体" w:cs="宋体"/>
                <w:color w:val="auto"/>
                <w:szCs w:val="21"/>
                <w:highlight w:val="none"/>
                <w:lang w:eastAsia="zh-CN"/>
              </w:rPr>
              <w:t>：</w:t>
            </w:r>
            <w:r>
              <w:rPr>
                <w:rFonts w:hint="eastAsia" w:ascii="仿宋_GB2312" w:hAnsi="仿宋_GB2312" w:eastAsia="仿宋_GB2312" w:cs="仿宋_GB2312"/>
                <w:color w:val="auto"/>
                <w:szCs w:val="21"/>
                <w:highlight w:val="none"/>
                <w:lang w:eastAsia="zh-CN"/>
              </w:rPr>
              <w:t>①</w:t>
            </w:r>
            <w:r>
              <w:rPr>
                <w:rFonts w:hint="eastAsia" w:ascii="宋体" w:hAnsi="宋体" w:cs="宋体"/>
                <w:color w:val="auto"/>
                <w:szCs w:val="21"/>
                <w:highlight w:val="none"/>
                <w:lang w:val="en-US" w:eastAsia="zh-CN"/>
              </w:rPr>
              <w:t>投标人与</w:t>
            </w:r>
            <w:r>
              <w:rPr>
                <w:rFonts w:hint="eastAsia" w:ascii="宋体" w:hAnsi="宋体" w:cs="宋体"/>
                <w:color w:val="auto"/>
                <w:szCs w:val="21"/>
                <w:highlight w:val="none"/>
              </w:rPr>
              <w:t>高校</w:t>
            </w:r>
            <w:r>
              <w:rPr>
                <w:rFonts w:hint="eastAsia" w:ascii="宋体" w:hAnsi="宋体" w:cs="宋体"/>
                <w:color w:val="auto"/>
                <w:szCs w:val="21"/>
                <w:highlight w:val="none"/>
                <w:lang w:val="en-US" w:eastAsia="zh-CN"/>
              </w:rPr>
              <w:t>签订的合同及验收证明；</w:t>
            </w:r>
            <w:r>
              <w:rPr>
                <w:rFonts w:hint="eastAsia" w:ascii="仿宋_GB2312" w:hAnsi="仿宋_GB2312" w:eastAsia="仿宋_GB2312" w:cs="仿宋_GB2312"/>
                <w:color w:val="auto"/>
                <w:szCs w:val="21"/>
                <w:highlight w:val="none"/>
                <w:lang w:val="en-US" w:eastAsia="zh-CN"/>
              </w:rPr>
              <w:t>②</w:t>
            </w:r>
            <w:r>
              <w:rPr>
                <w:rFonts w:hint="eastAsia" w:ascii="宋体" w:hAnsi="宋体" w:cs="宋体"/>
                <w:color w:val="auto"/>
                <w:szCs w:val="21"/>
                <w:highlight w:val="none"/>
              </w:rPr>
              <w:t>教育部</w:t>
            </w:r>
            <w:r>
              <w:rPr>
                <w:rFonts w:hint="eastAsia" w:ascii="宋体" w:hAnsi="宋体" w:cs="宋体"/>
                <w:strike w:val="0"/>
                <w:dstrike w:val="0"/>
                <w:color w:val="auto"/>
                <w:szCs w:val="21"/>
                <w:highlight w:val="none"/>
              </w:rPr>
              <w:t>或教育厅</w:t>
            </w:r>
            <w:r>
              <w:rPr>
                <w:rFonts w:hint="eastAsia" w:ascii="宋体" w:hAnsi="宋体" w:cs="宋体"/>
                <w:strike w:val="0"/>
                <w:color w:val="auto"/>
                <w:szCs w:val="21"/>
                <w:highlight w:val="none"/>
              </w:rPr>
              <w:t>官</w:t>
            </w:r>
            <w:r>
              <w:rPr>
                <w:rFonts w:hint="eastAsia" w:ascii="宋体" w:hAnsi="宋体" w:cs="宋体"/>
                <w:color w:val="auto"/>
                <w:szCs w:val="21"/>
                <w:highlight w:val="none"/>
              </w:rPr>
              <w:t>网公示与奖项证明相一致的获奖课程名称截图，二项证明缺一不可，否则不得分，原件备查）。</w:t>
            </w:r>
          </w:p>
          <w:p w14:paraId="503614CA">
            <w:pPr>
              <w:numPr>
                <w:ilvl w:val="0"/>
                <w:numId w:val="0"/>
              </w:numPr>
              <w:spacing w:line="360" w:lineRule="auto"/>
              <w:ind w:left="0" w:leftChars="0" w:firstLine="420" w:firstLineChars="200"/>
              <w:rPr>
                <w:rFonts w:hint="eastAsia" w:ascii="宋体" w:hAnsi="宋体" w:cs="宋体"/>
                <w:color w:val="auto"/>
                <w:szCs w:val="21"/>
                <w:highlight w:val="none"/>
                <w:lang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szCs w:val="21"/>
                <w:highlight w:val="none"/>
              </w:rPr>
              <w:t>投标人自202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年以来协助高校申报规划教材的，获评“十四五”职业教育国家规划教材</w:t>
            </w:r>
            <w:r>
              <w:rPr>
                <w:rFonts w:hint="eastAsia" w:ascii="宋体" w:hAnsi="宋体" w:cs="宋体"/>
                <w:strike w:val="0"/>
                <w:dstrike w:val="0"/>
                <w:color w:val="auto"/>
                <w:szCs w:val="21"/>
                <w:highlight w:val="none"/>
              </w:rPr>
              <w:t>或</w:t>
            </w:r>
            <w:r>
              <w:rPr>
                <w:rFonts w:hint="eastAsia" w:ascii="宋体" w:hAnsi="宋体" w:cs="宋体"/>
                <w:strike w:val="0"/>
                <w:dstrike w:val="0"/>
                <w:color w:val="auto"/>
                <w:szCs w:val="21"/>
                <w:highlight w:val="none"/>
                <w:lang w:val="en-US" w:eastAsia="zh-CN"/>
              </w:rPr>
              <w:t>省级</w:t>
            </w:r>
            <w:r>
              <w:rPr>
                <w:rFonts w:hint="eastAsia" w:ascii="宋体" w:hAnsi="宋体" w:cs="宋体"/>
                <w:strike w:val="0"/>
                <w:dstrike w:val="0"/>
                <w:color w:val="auto"/>
                <w:szCs w:val="21"/>
                <w:highlight w:val="none"/>
              </w:rPr>
              <w:t>规划教材</w:t>
            </w:r>
            <w:r>
              <w:rPr>
                <w:rFonts w:hint="eastAsia" w:ascii="宋体" w:hAnsi="宋体" w:cs="宋体"/>
                <w:color w:val="auto"/>
                <w:szCs w:val="21"/>
                <w:highlight w:val="none"/>
              </w:rPr>
              <w:t>的，</w:t>
            </w:r>
            <w:r>
              <w:rPr>
                <w:rFonts w:hint="eastAsia" w:ascii="宋体" w:hAnsi="宋体" w:cs="宋体"/>
                <w:color w:val="auto"/>
                <w:szCs w:val="21"/>
                <w:highlight w:val="none"/>
                <w:lang w:eastAsia="zh-CN"/>
              </w:rPr>
              <w:t>（</w:t>
            </w:r>
            <w:r>
              <w:rPr>
                <w:rFonts w:hint="eastAsia" w:ascii="宋体" w:hAnsi="宋体" w:cs="宋体"/>
                <w:color w:val="auto"/>
                <w:szCs w:val="21"/>
                <w:highlight w:val="none"/>
              </w:rPr>
              <w:t>每</w:t>
            </w:r>
            <w:r>
              <w:rPr>
                <w:rFonts w:hint="eastAsia" w:ascii="宋体" w:hAnsi="宋体" w:cs="宋体"/>
                <w:color w:val="auto"/>
                <w:szCs w:val="21"/>
                <w:highlight w:val="none"/>
                <w:lang w:val="en-US" w:eastAsia="zh-CN"/>
              </w:rPr>
              <w:t>成功协助申报一本省级规划教材的，得0.5分；</w:t>
            </w:r>
            <w:r>
              <w:rPr>
                <w:rFonts w:hint="eastAsia" w:ascii="宋体" w:hAnsi="宋体" w:cs="宋体"/>
                <w:color w:val="auto"/>
                <w:szCs w:val="21"/>
                <w:highlight w:val="none"/>
              </w:rPr>
              <w:t>每</w:t>
            </w:r>
            <w:r>
              <w:rPr>
                <w:rFonts w:hint="eastAsia" w:ascii="宋体" w:hAnsi="宋体" w:cs="宋体"/>
                <w:color w:val="auto"/>
                <w:szCs w:val="21"/>
                <w:highlight w:val="none"/>
                <w:lang w:val="en-US" w:eastAsia="zh-CN"/>
              </w:rPr>
              <w:t>成功协助申报一本</w:t>
            </w:r>
            <w:r>
              <w:rPr>
                <w:rFonts w:hint="eastAsia" w:ascii="宋体" w:hAnsi="宋体" w:cs="宋体"/>
                <w:color w:val="auto"/>
                <w:szCs w:val="21"/>
                <w:highlight w:val="none"/>
              </w:rPr>
              <w:t>国家规划教材</w:t>
            </w:r>
            <w:r>
              <w:rPr>
                <w:rFonts w:hint="eastAsia" w:ascii="宋体" w:hAnsi="宋体" w:cs="宋体"/>
                <w:color w:val="auto"/>
                <w:szCs w:val="21"/>
                <w:highlight w:val="none"/>
                <w:lang w:val="en-US" w:eastAsia="zh-CN"/>
              </w:rPr>
              <w:t>的，得2分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分。（投标文件中提供①投标人与高校签订的合同及验收证明</w:t>
            </w:r>
            <w:r>
              <w:rPr>
                <w:rFonts w:hint="eastAsia" w:ascii="宋体" w:hAnsi="宋体" w:cs="宋体"/>
                <w:color w:val="auto"/>
                <w:szCs w:val="21"/>
                <w:highlight w:val="none"/>
                <w:lang w:val="en-US" w:eastAsia="zh-CN"/>
              </w:rPr>
              <w:t>；</w:t>
            </w:r>
            <w:r>
              <w:rPr>
                <w:rFonts w:hint="eastAsia" w:ascii="仿宋_GB2312" w:hAnsi="仿宋_GB2312" w:eastAsia="仿宋_GB2312" w:cs="仿宋_GB2312"/>
                <w:color w:val="auto"/>
                <w:szCs w:val="21"/>
                <w:highlight w:val="none"/>
                <w:lang w:val="en-US" w:eastAsia="zh-CN"/>
              </w:rPr>
              <w:t>②</w:t>
            </w:r>
            <w:r>
              <w:rPr>
                <w:rFonts w:hint="eastAsia" w:ascii="宋体" w:hAnsi="宋体" w:cs="宋体"/>
                <w:color w:val="auto"/>
                <w:szCs w:val="21"/>
                <w:highlight w:val="none"/>
              </w:rPr>
              <w:t>出版社出具的协助申报规划教材的证明及教材封面、扉页复印件，缺一不可</w:t>
            </w:r>
            <w:r>
              <w:rPr>
                <w:rFonts w:hint="eastAsia" w:ascii="宋体" w:hAnsi="宋体" w:cs="宋体"/>
                <w:color w:val="auto"/>
                <w:szCs w:val="21"/>
                <w:highlight w:val="none"/>
                <w:lang w:eastAsia="zh-CN"/>
              </w:rPr>
              <w:t>，</w:t>
            </w:r>
            <w:r>
              <w:rPr>
                <w:rFonts w:hint="eastAsia" w:ascii="宋体" w:hAnsi="宋体" w:cs="宋体"/>
                <w:color w:val="auto"/>
                <w:szCs w:val="21"/>
                <w:highlight w:val="none"/>
              </w:rPr>
              <w:t>否则不得分）</w:t>
            </w:r>
            <w:r>
              <w:rPr>
                <w:rFonts w:hint="eastAsia" w:ascii="宋体" w:hAnsi="宋体" w:cs="宋体"/>
                <w:color w:val="auto"/>
                <w:szCs w:val="21"/>
                <w:highlight w:val="none"/>
                <w:lang w:eastAsia="zh-CN"/>
              </w:rPr>
              <w:t>。</w:t>
            </w:r>
          </w:p>
          <w:p w14:paraId="45575744">
            <w:pPr>
              <w:spacing w:line="360" w:lineRule="auto"/>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3）投标人具有ISO 17100：2015翻译管理体系认证证书、GB/T 19001-2016/ISO 9001质量管理体系认证证书，提供有效上述证书复印件的，1个得1分，满分2分（</w:t>
            </w:r>
            <w:r>
              <w:rPr>
                <w:rFonts w:hint="eastAsia" w:ascii="宋体" w:cs="宋体"/>
                <w:color w:val="auto"/>
                <w:kern w:val="0"/>
                <w:szCs w:val="21"/>
                <w:highlight w:val="none"/>
              </w:rPr>
              <w:t>（</w:t>
            </w:r>
            <w:r>
              <w:rPr>
                <w:rFonts w:hint="eastAsia" w:ascii="宋体" w:cs="宋体"/>
                <w:color w:val="auto"/>
                <w:kern w:val="0"/>
                <w:szCs w:val="21"/>
                <w:highlight w:val="none"/>
                <w:lang w:eastAsia="zh-CN"/>
              </w:rPr>
              <w:t>投标文件</w:t>
            </w:r>
            <w:r>
              <w:rPr>
                <w:rFonts w:hint="eastAsia" w:ascii="宋体" w:cs="宋体"/>
                <w:color w:val="auto"/>
                <w:kern w:val="0"/>
                <w:szCs w:val="21"/>
                <w:highlight w:val="none"/>
              </w:rPr>
              <w:t>中提供有效期内的证书复印件</w:t>
            </w:r>
            <w:r>
              <w:rPr>
                <w:rFonts w:hint="eastAsia" w:ascii="宋体" w:cs="宋体"/>
                <w:color w:val="auto"/>
                <w:kern w:val="0"/>
                <w:szCs w:val="21"/>
                <w:highlight w:val="none"/>
                <w:lang w:val="en-US" w:eastAsia="zh-CN"/>
              </w:rPr>
              <w:t>及官方网站查询截图复印件（全国认证认可信息公共服务平台http://cx.cnca.cn/CertECloud/index/index/page）</w:t>
            </w:r>
            <w:r>
              <w:rPr>
                <w:rFonts w:hint="eastAsia" w:ascii="宋体" w:cs="宋体"/>
                <w:color w:val="auto"/>
                <w:kern w:val="0"/>
                <w:szCs w:val="21"/>
                <w:highlight w:val="none"/>
              </w:rPr>
              <w:t>，并加盖供应商公章，否则不计分。）</w:t>
            </w:r>
          </w:p>
        </w:tc>
      </w:tr>
      <w:tr w14:paraId="1A9C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5" w:type="dxa"/>
            <w:vMerge w:val="continue"/>
            <w:tcBorders>
              <w:left w:val="single" w:color="auto" w:sz="4" w:space="0"/>
              <w:right w:val="single" w:color="auto" w:sz="4" w:space="0"/>
            </w:tcBorders>
            <w:vAlign w:val="center"/>
          </w:tcPr>
          <w:p w14:paraId="3783149A">
            <w:pPr>
              <w:adjustRightInd w:val="0"/>
              <w:spacing w:line="360" w:lineRule="auto"/>
              <w:jc w:val="center"/>
              <w:textAlignment w:val="baseline"/>
              <w:rPr>
                <w:rFonts w:hint="eastAsia" w:ascii="宋体" w:hAnsi="宋体" w:cs="宋体"/>
                <w:b/>
                <w:color w:val="auto"/>
                <w:szCs w:val="21"/>
                <w:highlight w:val="none"/>
              </w:rPr>
            </w:pPr>
          </w:p>
        </w:tc>
        <w:tc>
          <w:tcPr>
            <w:tcW w:w="851" w:type="dxa"/>
            <w:vMerge w:val="continue"/>
            <w:tcBorders>
              <w:left w:val="single" w:color="auto" w:sz="4" w:space="0"/>
              <w:right w:val="single" w:color="auto" w:sz="4" w:space="0"/>
            </w:tcBorders>
            <w:vAlign w:val="center"/>
          </w:tcPr>
          <w:p w14:paraId="238907A0">
            <w:pPr>
              <w:adjustRightInd w:val="0"/>
              <w:spacing w:line="360" w:lineRule="auto"/>
              <w:jc w:val="center"/>
              <w:textAlignment w:val="baseline"/>
              <w:rPr>
                <w:rFonts w:hint="eastAsia" w:ascii="宋体" w:hAnsi="宋体" w:cs="宋体"/>
                <w:b/>
                <w:bCs/>
                <w:color w:val="auto"/>
                <w:szCs w:val="21"/>
                <w:highlight w:val="none"/>
              </w:rPr>
            </w:pPr>
          </w:p>
        </w:tc>
        <w:tc>
          <w:tcPr>
            <w:tcW w:w="1105"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56E10B4F">
            <w:pPr>
              <w:spacing w:line="360" w:lineRule="auto"/>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业绩分（满分5分）</w:t>
            </w:r>
          </w:p>
        </w:tc>
        <w:tc>
          <w:tcPr>
            <w:tcW w:w="6523" w:type="dxa"/>
            <w:tcBorders>
              <w:top w:val="single" w:color="auto" w:sz="4" w:space="0"/>
              <w:left w:val="single" w:color="auto" w:sz="4" w:space="0"/>
              <w:bottom w:val="single" w:color="auto" w:sz="4" w:space="0"/>
              <w:right w:val="single" w:color="auto" w:sz="4" w:space="0"/>
            </w:tcBorders>
          </w:tcPr>
          <w:p w14:paraId="66979F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2023年1月1日至提交投标文件截止时间止，投标人具有与本次采购内容有关的类似项目业绩的，每项得 1 分，满分 </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 分。</w:t>
            </w:r>
          </w:p>
          <w:p w14:paraId="765186CB">
            <w:pPr>
              <w:spacing w:line="360" w:lineRule="auto"/>
              <w:rPr>
                <w:rFonts w:hint="eastAsia" w:ascii="宋体" w:hAnsi="宋体" w:cs="宋体"/>
                <w:color w:val="auto"/>
                <w:szCs w:val="21"/>
                <w:highlight w:val="none"/>
              </w:rPr>
            </w:pPr>
            <w:r>
              <w:rPr>
                <w:rFonts w:hint="eastAsia" w:ascii="宋体" w:hAnsi="宋体" w:cs="宋体"/>
                <w:b/>
                <w:bCs/>
                <w:color w:val="auto"/>
                <w:szCs w:val="21"/>
                <w:highlight w:val="none"/>
              </w:rPr>
              <w:t>【注：需在投标文件中提供前述类似项目业绩的合同或者中标（成交）通知书复印件并加盖投标人公章，未按要求提供的不予计分。】</w:t>
            </w:r>
          </w:p>
        </w:tc>
      </w:tr>
      <w:tr w14:paraId="1A1A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4" w:type="dxa"/>
            <w:gridSpan w:val="4"/>
            <w:tcBorders>
              <w:top w:val="single" w:color="auto" w:sz="4" w:space="0"/>
              <w:left w:val="single" w:color="auto" w:sz="4" w:space="0"/>
              <w:bottom w:val="single" w:color="auto" w:sz="4" w:space="0"/>
              <w:right w:val="single" w:color="auto" w:sz="4" w:space="0"/>
            </w:tcBorders>
            <w:vAlign w:val="center"/>
          </w:tcPr>
          <w:p w14:paraId="35370080">
            <w:pPr>
              <w:spacing w:line="360" w:lineRule="auto"/>
              <w:ind w:firstLine="420"/>
              <w:rPr>
                <w:rFonts w:hint="eastAsia" w:ascii="宋体" w:hAnsi="宋体" w:cs="宋体"/>
                <w:bCs/>
                <w:color w:val="000000"/>
                <w:szCs w:val="21"/>
                <w:highlight w:val="none"/>
              </w:rPr>
            </w:pPr>
            <w:r>
              <w:rPr>
                <w:rFonts w:hint="eastAsia" w:ascii="宋体" w:hAnsi="宋体" w:cs="宋体"/>
                <w:b/>
                <w:bCs/>
                <w:color w:val="000000"/>
                <w:szCs w:val="21"/>
                <w:highlight w:val="none"/>
              </w:rPr>
              <w:t>总得分=1+2+3。</w:t>
            </w:r>
          </w:p>
        </w:tc>
      </w:tr>
    </w:tbl>
    <w:p w14:paraId="57573388">
      <w:pPr>
        <w:pStyle w:val="25"/>
        <w:spacing w:line="360" w:lineRule="auto"/>
        <w:ind w:firstLine="420"/>
        <w:rPr>
          <w:rFonts w:hint="eastAsia" w:hAnsi="宋体"/>
          <w:bCs/>
          <w:color w:val="000000"/>
          <w:sz w:val="21"/>
          <w:highlight w:val="none"/>
        </w:rPr>
      </w:pPr>
      <w:r>
        <w:rPr>
          <w:rFonts w:hint="eastAsia" w:hAnsi="宋体"/>
          <w:bCs/>
          <w:color w:val="000000"/>
          <w:sz w:val="21"/>
          <w:highlight w:val="none"/>
        </w:rPr>
        <w:t>注：计分方法按四舍五入取至百分位</w:t>
      </w:r>
    </w:p>
    <w:p w14:paraId="551B6FC9">
      <w:pPr>
        <w:rPr>
          <w:rFonts w:hint="eastAsia" w:hAnsi="宋体"/>
          <w:bCs/>
          <w:color w:val="000000"/>
          <w:sz w:val="21"/>
          <w:highlight w:val="none"/>
        </w:rPr>
      </w:pPr>
      <w:r>
        <w:rPr>
          <w:rFonts w:hint="eastAsia" w:hAnsi="宋体"/>
          <w:bCs/>
          <w:color w:val="000000"/>
          <w:sz w:val="21"/>
          <w:highlight w:val="none"/>
        </w:rPr>
        <w:br w:type="page"/>
      </w:r>
    </w:p>
    <w:tbl>
      <w:tblPr>
        <w:tblStyle w:val="48"/>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851"/>
        <w:gridCol w:w="1105"/>
        <w:gridCol w:w="6523"/>
      </w:tblGrid>
      <w:tr w14:paraId="48D4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9094" w:type="dxa"/>
            <w:gridSpan w:val="4"/>
            <w:tcBorders>
              <w:top w:val="single" w:color="auto" w:sz="4" w:space="0"/>
              <w:left w:val="single" w:color="auto" w:sz="4" w:space="0"/>
              <w:bottom w:val="single" w:color="auto" w:sz="4" w:space="0"/>
              <w:right w:val="single" w:color="auto" w:sz="4" w:space="0"/>
            </w:tcBorders>
            <w:vAlign w:val="center"/>
          </w:tcPr>
          <w:p w14:paraId="11B78774">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t>适用于分标4</w:t>
            </w:r>
          </w:p>
        </w:tc>
      </w:tr>
      <w:tr w14:paraId="3735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466" w:type="dxa"/>
            <w:gridSpan w:val="2"/>
            <w:tcBorders>
              <w:top w:val="single" w:color="auto" w:sz="4" w:space="0"/>
              <w:left w:val="single" w:color="auto" w:sz="4" w:space="0"/>
              <w:bottom w:val="single" w:color="auto" w:sz="4" w:space="0"/>
              <w:right w:val="single" w:color="auto" w:sz="4" w:space="0"/>
            </w:tcBorders>
            <w:vAlign w:val="center"/>
          </w:tcPr>
          <w:p w14:paraId="0E80D8BA">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105" w:type="dxa"/>
            <w:tcBorders>
              <w:top w:val="single" w:color="auto" w:sz="4" w:space="0"/>
              <w:left w:val="single" w:color="auto" w:sz="4" w:space="0"/>
              <w:bottom w:val="single" w:color="auto" w:sz="4" w:space="0"/>
              <w:right w:val="single" w:color="auto" w:sz="4" w:space="0"/>
            </w:tcBorders>
            <w:vAlign w:val="center"/>
          </w:tcPr>
          <w:p w14:paraId="00071FF5">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w:t>
            </w:r>
          </w:p>
        </w:tc>
        <w:tc>
          <w:tcPr>
            <w:tcW w:w="6523" w:type="dxa"/>
            <w:tcBorders>
              <w:top w:val="single" w:color="auto" w:sz="4" w:space="0"/>
              <w:left w:val="single" w:color="auto" w:sz="4" w:space="0"/>
              <w:bottom w:val="single" w:color="auto" w:sz="4" w:space="0"/>
              <w:right w:val="single" w:color="auto" w:sz="4" w:space="0"/>
            </w:tcBorders>
            <w:vAlign w:val="center"/>
          </w:tcPr>
          <w:p w14:paraId="2C6198F3">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14:paraId="3E01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Borders>
              <w:top w:val="single" w:color="auto" w:sz="4" w:space="0"/>
              <w:left w:val="single" w:color="auto" w:sz="4" w:space="0"/>
              <w:bottom w:val="single" w:color="auto" w:sz="4" w:space="0"/>
              <w:right w:val="single" w:color="auto" w:sz="4" w:space="0"/>
            </w:tcBorders>
            <w:vAlign w:val="center"/>
          </w:tcPr>
          <w:p w14:paraId="1A01490C">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851" w:type="dxa"/>
            <w:tcBorders>
              <w:top w:val="single" w:color="auto" w:sz="4" w:space="0"/>
              <w:left w:val="single" w:color="auto" w:sz="4" w:space="0"/>
              <w:bottom w:val="single" w:color="auto" w:sz="4" w:space="0"/>
              <w:right w:val="single" w:color="auto" w:sz="4" w:space="0"/>
            </w:tcBorders>
            <w:vAlign w:val="center"/>
          </w:tcPr>
          <w:p w14:paraId="3E5C07E8">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价格分</w:t>
            </w:r>
          </w:p>
          <w:p w14:paraId="6BA8321C">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（满分15分）</w:t>
            </w:r>
          </w:p>
        </w:tc>
        <w:tc>
          <w:tcPr>
            <w:tcW w:w="1105" w:type="dxa"/>
            <w:tcBorders>
              <w:top w:val="single" w:color="auto" w:sz="4" w:space="0"/>
              <w:left w:val="single" w:color="auto" w:sz="4" w:space="0"/>
              <w:bottom w:val="single" w:color="auto" w:sz="4" w:space="0"/>
              <w:right w:val="single" w:color="auto" w:sz="4" w:space="0"/>
            </w:tcBorders>
            <w:vAlign w:val="center"/>
          </w:tcPr>
          <w:p w14:paraId="2E974C6A">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投标报价（满分15分）</w:t>
            </w:r>
          </w:p>
        </w:tc>
        <w:tc>
          <w:tcPr>
            <w:tcW w:w="6523" w:type="dxa"/>
            <w:tcBorders>
              <w:top w:val="single" w:color="auto" w:sz="4" w:space="0"/>
              <w:left w:val="single" w:color="auto" w:sz="4" w:space="0"/>
              <w:bottom w:val="single" w:color="auto" w:sz="4" w:space="0"/>
              <w:right w:val="single" w:color="auto" w:sz="4" w:space="0"/>
            </w:tcBorders>
            <w:vAlign w:val="center"/>
          </w:tcPr>
          <w:p w14:paraId="7D5B5C3D">
            <w:pPr>
              <w:keepNext w:val="0"/>
              <w:keepLines w:val="0"/>
              <w:pageBreakBefore w:val="0"/>
              <w:kinsoku/>
              <w:wordWrap/>
              <w:overflowPunct/>
              <w:topLinePunct w:val="0"/>
              <w:autoSpaceDE/>
              <w:autoSpaceDN/>
              <w:bidi w:val="0"/>
              <w:snapToGrid w:val="0"/>
              <w:spacing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（1）评标报价为投标人的投标报价进行政策性扣除后的价格，评标报价只是作为评标时使用。最终中标人的中标金额等于投标报价。</w:t>
            </w:r>
          </w:p>
          <w:p w14:paraId="34EE9948">
            <w:pPr>
              <w:keepNext w:val="0"/>
              <w:keepLines w:val="0"/>
              <w:pageBreakBefore w:val="0"/>
              <w:kinsoku/>
              <w:wordWrap/>
              <w:overflowPunct/>
              <w:topLinePunct w:val="0"/>
              <w:autoSpaceDE/>
              <w:autoSpaceDN/>
              <w:bidi w:val="0"/>
              <w:snapToGrid w:val="0"/>
              <w:spacing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（2）中小企业政策性扣除计算方法</w:t>
            </w:r>
          </w:p>
          <w:p w14:paraId="407B2238">
            <w:pPr>
              <w:keepNext w:val="0"/>
              <w:keepLines w:val="0"/>
              <w:pageBreakBefore w:val="0"/>
              <w:kinsoku/>
              <w:wordWrap/>
              <w:overflowPunct/>
              <w:topLinePunct w:val="0"/>
              <w:autoSpaceDE/>
              <w:autoSpaceDN/>
              <w:bidi w:val="0"/>
              <w:snapToGrid w:val="0"/>
              <w:spacing w:line="400" w:lineRule="exact"/>
              <w:ind w:firstLine="443" w:firstLineChars="211"/>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服务全部由小微企业承接的，对其投标报价给予10%的扣除，扣除后的价格为评标报价，即中小企业折扣=投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4%的扣除，用扣除后的价格参加评审，扣除后的价格为评标报价，即中小企业折扣=投标报价×4%。</w:t>
            </w:r>
          </w:p>
          <w:p w14:paraId="4EDC879F">
            <w:pPr>
              <w:keepNext w:val="0"/>
              <w:keepLines w:val="0"/>
              <w:pageBreakBefore w:val="0"/>
              <w:kinsoku/>
              <w:wordWrap/>
              <w:overflowPunct/>
              <w:topLinePunct w:val="0"/>
              <w:autoSpaceDE/>
              <w:autoSpaceDN/>
              <w:bidi w:val="0"/>
              <w:snapToGrid w:val="0"/>
              <w:spacing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 w:val="21"/>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 w:val="21"/>
                <w:szCs w:val="21"/>
                <w:highlight w:val="none"/>
              </w:rPr>
              <w:t>监狱企业属于小型、微型企业的，不重复享受政策。</w:t>
            </w:r>
          </w:p>
          <w:p w14:paraId="7D4BD153">
            <w:pPr>
              <w:keepNext w:val="0"/>
              <w:keepLines w:val="0"/>
              <w:pageBreakBefore w:val="0"/>
              <w:kinsoku/>
              <w:wordWrap/>
              <w:overflowPunct/>
              <w:topLinePunct w:val="0"/>
              <w:autoSpaceDE/>
              <w:autoSpaceDN/>
              <w:bidi w:val="0"/>
              <w:snapToGrid w:val="0"/>
              <w:spacing w:line="400" w:lineRule="exac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（4）按照</w:t>
            </w:r>
            <w:r>
              <w:rPr>
                <w:rFonts w:hint="eastAsia" w:ascii="宋体" w:hAnsi="宋体" w:eastAsia="宋体" w:cs="宋体"/>
                <w:bCs/>
                <w:color w:val="auto"/>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 w:val="21"/>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 w:val="21"/>
                <w:szCs w:val="21"/>
                <w:highlight w:val="none"/>
              </w:rPr>
              <w:t>残疾人福利性单位属于小型、微型企业的，不重复享受政策。</w:t>
            </w:r>
          </w:p>
          <w:p w14:paraId="60AA52F0">
            <w:pPr>
              <w:keepNext w:val="0"/>
              <w:keepLines w:val="0"/>
              <w:pageBreakBefore w:val="0"/>
              <w:kinsoku/>
              <w:wordWrap/>
              <w:overflowPunct/>
              <w:topLinePunct w:val="0"/>
              <w:autoSpaceDE/>
              <w:autoSpaceDN/>
              <w:bidi w:val="0"/>
              <w:snapToGrid w:val="0"/>
              <w:spacing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（5）满足招标文件要求且评标报价最低的评标报价为评标基准价，其价格分为满分。</w:t>
            </w:r>
          </w:p>
          <w:p w14:paraId="013CAFB6">
            <w:pPr>
              <w:keepNext w:val="0"/>
              <w:keepLines w:val="0"/>
              <w:pageBreakBefore w:val="0"/>
              <w:kinsoku/>
              <w:wordWrap/>
              <w:overflowPunct/>
              <w:topLinePunct w:val="0"/>
              <w:autoSpaceDE/>
              <w:autoSpaceDN/>
              <w:bidi w:val="0"/>
              <w:spacing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（6）价格分计算公式：        </w:t>
            </w:r>
          </w:p>
          <w:p w14:paraId="102D8986">
            <w:pPr>
              <w:keepNext w:val="0"/>
              <w:keepLines w:val="0"/>
              <w:pageBreakBefore w:val="0"/>
              <w:kinsoku/>
              <w:wordWrap/>
              <w:overflowPunct/>
              <w:topLinePunct w:val="0"/>
              <w:autoSpaceDE/>
              <w:autoSpaceDN/>
              <w:bidi w:val="0"/>
              <w:spacing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价格分</w:t>
            </w:r>
            <w:r>
              <w:rPr>
                <w:rFonts w:hint="eastAsia" w:ascii="宋体" w:hAnsi="宋体" w:eastAsia="宋体" w:cs="宋体"/>
                <w:bCs/>
                <w:color w:val="auto"/>
                <w:sz w:val="21"/>
                <w:szCs w:val="21"/>
                <w:highlight w:val="none"/>
              </w:rPr>
              <w:t>=（评标基准价／评标报价）×</w:t>
            </w:r>
            <w:r>
              <w:rPr>
                <w:rFonts w:hint="eastAsia" w:ascii="宋体" w:hAnsi="宋体" w:eastAsia="宋体" w:cs="宋体"/>
                <w:bCs/>
                <w:color w:val="auto"/>
                <w:kern w:val="0"/>
                <w:sz w:val="21"/>
                <w:szCs w:val="21"/>
                <w:highlight w:val="none"/>
              </w:rPr>
              <w:t>15</w:t>
            </w:r>
            <w:r>
              <w:rPr>
                <w:rFonts w:hint="eastAsia" w:ascii="宋体" w:hAnsi="宋体" w:eastAsia="宋体" w:cs="宋体"/>
                <w:bCs/>
                <w:color w:val="auto"/>
                <w:sz w:val="21"/>
                <w:szCs w:val="21"/>
                <w:highlight w:val="none"/>
              </w:rPr>
              <w:t>分</w:t>
            </w:r>
          </w:p>
        </w:tc>
      </w:tr>
      <w:tr w14:paraId="6EF1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vMerge w:val="restart"/>
            <w:tcBorders>
              <w:top w:val="single" w:color="auto" w:sz="4" w:space="0"/>
              <w:left w:val="single" w:color="auto" w:sz="4" w:space="0"/>
              <w:right w:val="single" w:color="auto" w:sz="4" w:space="0"/>
            </w:tcBorders>
            <w:vAlign w:val="center"/>
          </w:tcPr>
          <w:p w14:paraId="5E853E33">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p>
        </w:tc>
        <w:tc>
          <w:tcPr>
            <w:tcW w:w="851" w:type="dxa"/>
            <w:vMerge w:val="restart"/>
            <w:tcBorders>
              <w:top w:val="single" w:color="auto" w:sz="4" w:space="0"/>
              <w:left w:val="single" w:color="auto" w:sz="4" w:space="0"/>
              <w:right w:val="single" w:color="auto" w:sz="4" w:space="0"/>
            </w:tcBorders>
            <w:vAlign w:val="center"/>
          </w:tcPr>
          <w:p w14:paraId="38B01E5E">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auto"/>
                <w:spacing w:val="-18"/>
                <w:sz w:val="21"/>
                <w:szCs w:val="21"/>
                <w:highlight w:val="none"/>
              </w:rPr>
            </w:pPr>
            <w:r>
              <w:rPr>
                <w:rFonts w:hint="eastAsia" w:ascii="宋体" w:hAnsi="宋体" w:eastAsia="宋体" w:cs="宋体"/>
                <w:b/>
                <w:bCs/>
                <w:color w:val="auto"/>
                <w:sz w:val="21"/>
                <w:szCs w:val="21"/>
                <w:highlight w:val="none"/>
              </w:rPr>
              <w:t>技术分（满分60分）</w:t>
            </w:r>
          </w:p>
        </w:tc>
        <w:tc>
          <w:tcPr>
            <w:tcW w:w="1105" w:type="dxa"/>
            <w:tcBorders>
              <w:top w:val="single" w:color="auto" w:sz="4" w:space="0"/>
              <w:left w:val="single" w:color="auto" w:sz="4" w:space="0"/>
              <w:bottom w:val="single" w:color="auto" w:sz="4" w:space="0"/>
              <w:right w:val="single" w:color="auto" w:sz="4" w:space="0"/>
            </w:tcBorders>
            <w:vAlign w:val="center"/>
          </w:tcPr>
          <w:p w14:paraId="5789CEF1">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strike/>
                <w:color w:val="auto"/>
                <w:sz w:val="21"/>
                <w:szCs w:val="21"/>
                <w:highlight w:val="none"/>
              </w:rPr>
            </w:pPr>
            <w:r>
              <w:rPr>
                <w:rFonts w:hint="eastAsia" w:ascii="宋体" w:hAnsi="宋体" w:eastAsia="宋体" w:cs="宋体"/>
                <w:color w:val="auto"/>
                <w:sz w:val="21"/>
                <w:szCs w:val="21"/>
                <w:highlight w:val="none"/>
              </w:rPr>
              <w:t>演示分（满分13分）</w:t>
            </w:r>
          </w:p>
        </w:tc>
        <w:tc>
          <w:tcPr>
            <w:tcW w:w="6523" w:type="dxa"/>
            <w:tcBorders>
              <w:top w:val="single" w:color="auto" w:sz="4" w:space="0"/>
              <w:left w:val="single" w:color="auto" w:sz="4" w:space="0"/>
              <w:bottom w:val="single" w:color="auto" w:sz="4" w:space="0"/>
              <w:right w:val="single" w:color="auto" w:sz="4" w:space="0"/>
            </w:tcBorders>
            <w:vAlign w:val="center"/>
          </w:tcPr>
          <w:p w14:paraId="1A73DBE4">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投标人按本标项需求一览表标</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的条款要求进行线上演示;评标委员会将根据演示内容及效果进行评分，标</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条款共</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项，且经评标委员会认可的，每项得分</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分。投标人提供演示须遵循以下要求:</w:t>
            </w:r>
          </w:p>
          <w:p w14:paraId="00BFC4BA">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1.演示方式为线上演示，</w:t>
            </w:r>
          </w:p>
          <w:p w14:paraId="04AC92F6">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2.演示时间:本项目开标后，具体时间以评标委员会或代理机构线上通知为准。</w:t>
            </w:r>
          </w:p>
          <w:p w14:paraId="0A1F600D">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3.投标人应提前准备好演示所需设备(如电脑等)、界面、排插、网络热点等，并做好线上演示的调试准备。</w:t>
            </w:r>
          </w:p>
          <w:p w14:paraId="1DCF54FC">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4.演示开始后每个供应商的演示时间不超过25分钟，超时的须立即停止。</w:t>
            </w:r>
          </w:p>
          <w:p w14:paraId="7EBAB8F2">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bCs/>
                <w:strike/>
                <w:color w:val="auto"/>
                <w:kern w:val="0"/>
                <w:sz w:val="21"/>
                <w:szCs w:val="21"/>
                <w:highlight w:val="none"/>
              </w:rPr>
            </w:pPr>
            <w:r>
              <w:rPr>
                <w:rFonts w:hint="eastAsia" w:ascii="宋体" w:hAnsi="宋体" w:eastAsia="宋体" w:cs="宋体"/>
                <w:color w:val="auto"/>
                <w:sz w:val="21"/>
                <w:szCs w:val="21"/>
                <w:highlight w:val="none"/>
              </w:rPr>
              <w:t>5.投标人演示可根据自身情况选择采用视频或PPT或图像或图片或真实软件等进行演示。</w:t>
            </w:r>
          </w:p>
        </w:tc>
      </w:tr>
      <w:tr w14:paraId="055B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615" w:type="dxa"/>
            <w:vMerge w:val="continue"/>
            <w:tcBorders>
              <w:left w:val="single" w:color="auto" w:sz="4" w:space="0"/>
              <w:right w:val="single" w:color="auto" w:sz="4" w:space="0"/>
            </w:tcBorders>
            <w:vAlign w:val="center"/>
          </w:tcPr>
          <w:p w14:paraId="408D9E7B">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p>
        </w:tc>
        <w:tc>
          <w:tcPr>
            <w:tcW w:w="851" w:type="dxa"/>
            <w:vMerge w:val="continue"/>
            <w:tcBorders>
              <w:left w:val="single" w:color="auto" w:sz="4" w:space="0"/>
              <w:right w:val="single" w:color="auto" w:sz="4" w:space="0"/>
            </w:tcBorders>
            <w:vAlign w:val="center"/>
          </w:tcPr>
          <w:p w14:paraId="1405B8B7">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auto"/>
                <w:spacing w:val="-18"/>
                <w:sz w:val="21"/>
                <w:szCs w:val="21"/>
                <w:highlight w:val="none"/>
              </w:rPr>
            </w:pPr>
          </w:p>
        </w:tc>
        <w:tc>
          <w:tcPr>
            <w:tcW w:w="1105" w:type="dxa"/>
            <w:tcBorders>
              <w:top w:val="single" w:color="auto" w:sz="4" w:space="0"/>
              <w:left w:val="single" w:color="auto" w:sz="4" w:space="0"/>
              <w:right w:val="single" w:color="auto" w:sz="4" w:space="0"/>
            </w:tcBorders>
            <w:vAlign w:val="center"/>
          </w:tcPr>
          <w:p w14:paraId="3A8C0AC4">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课程建设服务方案</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rPr>
              <w:t>（满分20分）</w:t>
            </w:r>
          </w:p>
          <w:p w14:paraId="2985C337">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color w:val="auto"/>
                <w:sz w:val="21"/>
                <w:szCs w:val="21"/>
                <w:highlight w:val="none"/>
              </w:rPr>
            </w:pPr>
          </w:p>
        </w:tc>
        <w:tc>
          <w:tcPr>
            <w:tcW w:w="6523" w:type="dxa"/>
            <w:tcBorders>
              <w:top w:val="single" w:color="auto" w:sz="4" w:space="0"/>
              <w:left w:val="single" w:color="auto" w:sz="4" w:space="0"/>
              <w:bottom w:val="single" w:color="auto" w:sz="4" w:space="0"/>
              <w:right w:val="single" w:color="auto" w:sz="4" w:space="0"/>
            </w:tcBorders>
            <w:vAlign w:val="center"/>
          </w:tcPr>
          <w:p w14:paraId="0B9EEFCC">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5分）：对项目认识不足，方案笼统、不详细，措施不具体，缺乏针对性和可操作性。技术方案中提出的方案基本不合理，条理不清晰，难以落地实施。（如：未针对课程导学、微课制作、动画制作、AI智慧课程建设等核心工作分别提出方案；或未对课程资源质量保障措施提出具体措施；或未说明微课脚本设计、视频拍摄、后期制作、资源上传等关键环节的组织安排。）。</w:t>
            </w:r>
          </w:p>
          <w:p w14:paraId="6B621E47">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10分）：在满足一档要求的基础上，对项目有基本认识，思路部分清晰，措施基本满足采购需求，具有一定的可行性。技术方案中提出的实施方案基本合理，条理基本清晰，基本具备落地条件。但对项目整体需求理解较浅，项目分析不全面；工作内容和实施办法能满足采购文件要求。（方案包含课程资源开发流程、视频制作技术标准，承诺课程资源质量保障，承诺按照采购需求开展课程建设各项工作。）。</w:t>
            </w:r>
          </w:p>
          <w:p w14:paraId="2E307A56">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三档（15分）：</w:t>
            </w:r>
            <w:r>
              <w:rPr>
                <w:rFonts w:hint="eastAsia" w:ascii="宋体" w:hAnsi="宋体" w:eastAsia="宋体" w:cs="宋体"/>
                <w:color w:val="auto"/>
                <w:sz w:val="21"/>
                <w:szCs w:val="21"/>
                <w:highlight w:val="none"/>
                <w:shd w:val="clear" w:color="auto" w:fill="FFFFFF"/>
              </w:rPr>
              <w:t>在满足二档要求的基础上，对项目认识充分，方案表达清晰、完整，措施具体且依据项目具体情况采取有效的措施，具有较强的针对性和可行性，符合课程建设规范要求。技术方案中提出的实施方案合理，条理较清晰，可行，能够有效落地。工作目标较明确，工作方法较为合理；技术方案对项目整体需求理解较深入，项目分析较全面；总体思路、理念和方案表述清晰，工作内容和实施办法可较好满足采购文件要求，方案总体评述较完整。（对课程导学制作、微课制作、动画制作等核心工作有清晰描述，对课程资源质量保障有详细安排，对视频分辨率、编码格式、字幕规范等技术指标有保障措施。）</w:t>
            </w:r>
          </w:p>
          <w:p w14:paraId="14D2087E">
            <w:pPr>
              <w:pStyle w:val="25"/>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档（20分）：在满足三档要求的基础上，对项目的特点、关键技术问题的认识准确透彻，总体思路、理念和方案表述清晰、严谨、完整，措施先进、有效、成熟且依据项目具体情况采取有针对性的措施，科学合理、可操作性强、能够全面落实落地，符合课程建设规范要求。工作目标明确，工作方法合理；技术方案中提出的实施方案完整科学、可行性强，计划条理清晰；技术方案对项目整体需求理解深入，项目分析全面、细致；工作内容和实施办法完全满足采购文件要求，方案总体评述全面、完整，具有高度的合理性和可行性。（对视频脚本设计、实景拍摄、抠像处理、后期剪辑、特效包装等技术难点有深入分析和针对性措施，对课程资源质量保障有系统性方案，有完善的审核检查体系，有设备故障及进度延误等应急处置预案。）</w:t>
            </w:r>
          </w:p>
          <w:p w14:paraId="589C75AE">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注：未提供或提供的课程建设服务方案达不到一档要求的不得分。</w:t>
            </w:r>
          </w:p>
        </w:tc>
      </w:tr>
      <w:tr w14:paraId="54BA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615" w:type="dxa"/>
            <w:vMerge w:val="continue"/>
            <w:tcBorders>
              <w:left w:val="single" w:color="auto" w:sz="4" w:space="0"/>
              <w:right w:val="single" w:color="auto" w:sz="4" w:space="0"/>
            </w:tcBorders>
            <w:vAlign w:val="center"/>
          </w:tcPr>
          <w:p w14:paraId="22235D2B">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p>
        </w:tc>
        <w:tc>
          <w:tcPr>
            <w:tcW w:w="851" w:type="dxa"/>
            <w:vMerge w:val="continue"/>
            <w:tcBorders>
              <w:left w:val="single" w:color="auto" w:sz="4" w:space="0"/>
              <w:right w:val="single" w:color="auto" w:sz="4" w:space="0"/>
            </w:tcBorders>
            <w:vAlign w:val="center"/>
          </w:tcPr>
          <w:p w14:paraId="41BA095F">
            <w:pPr>
              <w:keepNext w:val="0"/>
              <w:keepLines w:val="0"/>
              <w:pageBreakBefore w:val="0"/>
              <w:widowControl/>
              <w:kinsoku/>
              <w:wordWrap/>
              <w:overflowPunct/>
              <w:topLinePunct w:val="0"/>
              <w:autoSpaceDE/>
              <w:autoSpaceDN/>
              <w:bidi w:val="0"/>
              <w:spacing w:line="400" w:lineRule="exact"/>
              <w:jc w:val="left"/>
              <w:rPr>
                <w:rFonts w:hint="eastAsia" w:ascii="宋体" w:hAnsi="宋体" w:eastAsia="宋体" w:cs="宋体"/>
                <w:b/>
                <w:bCs/>
                <w:color w:val="auto"/>
                <w:sz w:val="21"/>
                <w:szCs w:val="21"/>
                <w:highlight w:val="none"/>
              </w:rPr>
            </w:pPr>
          </w:p>
        </w:tc>
        <w:tc>
          <w:tcPr>
            <w:tcW w:w="110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90657AF">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教材建设服务方案</w:t>
            </w:r>
            <w:r>
              <w:rPr>
                <w:rFonts w:hint="eastAsia" w:ascii="宋体" w:hAnsi="宋体" w:eastAsia="宋体" w:cs="宋体"/>
                <w:bCs/>
                <w:color w:val="auto"/>
                <w:sz w:val="21"/>
                <w:szCs w:val="21"/>
                <w:highlight w:val="none"/>
                <w:lang w:eastAsia="zh-CN"/>
              </w:rPr>
              <w:t>分</w:t>
            </w:r>
            <w:r>
              <w:rPr>
                <w:rFonts w:hint="eastAsia" w:ascii="宋体" w:hAnsi="宋体" w:eastAsia="宋体" w:cs="宋体"/>
                <w:bCs/>
                <w:color w:val="auto"/>
                <w:sz w:val="21"/>
                <w:szCs w:val="21"/>
                <w:highlight w:val="none"/>
              </w:rPr>
              <w:t>（满分15分）</w:t>
            </w:r>
          </w:p>
        </w:tc>
        <w:tc>
          <w:tcPr>
            <w:tcW w:w="6523" w:type="dxa"/>
            <w:tcBorders>
              <w:top w:val="single" w:color="auto" w:sz="4" w:space="0"/>
              <w:left w:val="single" w:color="auto" w:sz="4" w:space="0"/>
              <w:bottom w:val="single" w:color="auto" w:sz="4" w:space="0"/>
              <w:right w:val="single" w:color="auto" w:sz="4" w:space="0"/>
            </w:tcBorders>
          </w:tcPr>
          <w:p w14:paraId="235E83B5">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对教材出版认识不足，方案笼统、不详细，措施不具体，缺乏针对性和可操作性。技术方案中提出的方案基本不合理，条理不清晰，难以落地实施。（如：未针对纸质教材的编写指导、内容编排、公开出版等核心工作分别提出方案；或未对教材意识形态审核、编校质量管控提出具体措施；或未说明教材大纲设计、样章打磨、三审三校、书号申领等关键环节的组织安排。）</w:t>
            </w:r>
          </w:p>
          <w:p w14:paraId="7BEF73E4">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分）：在满足一档要求的基础上，对教材出版有基本认识，思路部分清晰，措施基本满足采购需求，具有一定的可行性。技术方案中提出的实施方案基本合理，条理基本清晰，基本具备落地条件。但对教材出版全流程需求理解较浅，项目分析不全面。（方案包含教材出版整体流程、编写进度安排，承诺教材内容符合公开出版规范要求，承诺按照采购需求开展教材出版各项工作。）</w:t>
            </w:r>
          </w:p>
          <w:p w14:paraId="2C3DFA6D">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分）：在满足二档要求的基础上，对教材出版认识充分，方案表达清晰、完整，措施具体且针对性强，符合教材公开出版规范要求。技术方案中提出的实施方案合理，条理清晰，可行且能够有效落地。工作目标明确，方法合理；对教材出版全流程理解较深入，项目分析较全面；总体思路、理念和方案表述清晰，工作内容和实施办法较好满足采购文件要求。（对教材编写指导、内容编排设计、“四新”内容融入、出版流程推进等核心工作有清晰描述，对意识形态及编校质量管控有详细安排，对著作权归属、出版进度管控等有保障措施。）</w:t>
            </w:r>
          </w:p>
          <w:p w14:paraId="60BCE02B">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档（15分）：在满足三档要求的基础上，对教材出版的特点、关键技术问题的认识准确透彻，总体思路、理念及方案表述清晰、严谨、完整，措施先进、有效且针对性强，科学合理、可操作、可落地，符合教材公开出版规范要求。技术方案完整科学、可行性强，计划条理清晰；对教材出版全流程需求理解深入，项目分析全面、细致；工作内容和实施办法完全满足采购文件要求，方案总体评述全面、完整、有针对性。（对教材大纲设计、样章打磨、内容排版、封面创意、三审三校把控、书号申领等关键节点有深入分析和针对性措施，对意识形态安全及编校质量保障有系统性方案，有完善的审读检查体系，有出版周期延误等应急处置预案，对规划教材申报有明确的策略规划和材料准备方案。）</w:t>
            </w:r>
          </w:p>
          <w:p w14:paraId="48F0B0C8">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注：未提供或提供的</w:t>
            </w:r>
            <w:r>
              <w:rPr>
                <w:rFonts w:hint="eastAsia" w:ascii="宋体" w:hAnsi="宋体" w:eastAsia="宋体" w:cs="宋体"/>
                <w:bCs/>
                <w:color w:val="auto"/>
                <w:sz w:val="21"/>
                <w:szCs w:val="21"/>
                <w:highlight w:val="none"/>
              </w:rPr>
              <w:t>教材建设服务方案</w:t>
            </w:r>
            <w:r>
              <w:rPr>
                <w:rFonts w:hint="eastAsia" w:ascii="宋体" w:hAnsi="宋体" w:eastAsia="宋体" w:cs="宋体"/>
                <w:color w:val="auto"/>
                <w:sz w:val="21"/>
                <w:szCs w:val="21"/>
                <w:highlight w:val="none"/>
              </w:rPr>
              <w:t>达不到一档要求的不得分。</w:t>
            </w:r>
          </w:p>
        </w:tc>
      </w:tr>
      <w:tr w14:paraId="59C5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615" w:type="dxa"/>
            <w:vMerge w:val="continue"/>
            <w:tcBorders>
              <w:left w:val="single" w:color="auto" w:sz="4" w:space="0"/>
              <w:right w:val="single" w:color="auto" w:sz="4" w:space="0"/>
            </w:tcBorders>
            <w:vAlign w:val="center"/>
          </w:tcPr>
          <w:p w14:paraId="19F2A8C3">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p>
        </w:tc>
        <w:tc>
          <w:tcPr>
            <w:tcW w:w="851" w:type="dxa"/>
            <w:vMerge w:val="continue"/>
            <w:tcBorders>
              <w:left w:val="single" w:color="auto" w:sz="4" w:space="0"/>
              <w:right w:val="single" w:color="auto" w:sz="4" w:space="0"/>
            </w:tcBorders>
            <w:vAlign w:val="center"/>
          </w:tcPr>
          <w:p w14:paraId="0D41034E">
            <w:pPr>
              <w:keepNext w:val="0"/>
              <w:keepLines w:val="0"/>
              <w:pageBreakBefore w:val="0"/>
              <w:widowControl/>
              <w:kinsoku/>
              <w:wordWrap/>
              <w:overflowPunct/>
              <w:topLinePunct w:val="0"/>
              <w:autoSpaceDE/>
              <w:autoSpaceDN/>
              <w:bidi w:val="0"/>
              <w:spacing w:line="400" w:lineRule="exact"/>
              <w:jc w:val="left"/>
              <w:rPr>
                <w:rFonts w:hint="eastAsia" w:ascii="宋体" w:hAnsi="宋体" w:eastAsia="宋体" w:cs="宋体"/>
                <w:b/>
                <w:bCs/>
                <w:color w:val="auto"/>
                <w:sz w:val="21"/>
                <w:szCs w:val="21"/>
                <w:highlight w:val="none"/>
              </w:rPr>
            </w:pPr>
          </w:p>
        </w:tc>
        <w:tc>
          <w:tcPr>
            <w:tcW w:w="110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2287F3C">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项目拟投入人员分（满分12分）</w:t>
            </w:r>
          </w:p>
        </w:tc>
        <w:tc>
          <w:tcPr>
            <w:tcW w:w="6523" w:type="dxa"/>
            <w:tcBorders>
              <w:top w:val="single" w:color="auto" w:sz="4" w:space="0"/>
              <w:left w:val="single" w:color="auto" w:sz="4" w:space="0"/>
              <w:bottom w:val="single" w:color="auto" w:sz="4" w:space="0"/>
              <w:right w:val="single" w:color="auto" w:sz="4" w:space="0"/>
            </w:tcBorders>
          </w:tcPr>
          <w:p w14:paraId="36A5E79B">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1.拟投入的项目负责人主持过双语课程/课程资源库建设项目3个及以上的，得2分。</w:t>
            </w:r>
            <w:r>
              <w:rPr>
                <w:rFonts w:hint="eastAsia" w:ascii="宋体" w:hAnsi="宋体" w:eastAsia="宋体" w:cs="宋体"/>
                <w:color w:val="auto"/>
                <w:kern w:val="0"/>
                <w:sz w:val="21"/>
                <w:szCs w:val="21"/>
                <w:highlight w:val="none"/>
              </w:rPr>
              <w:t>（满分2分）</w:t>
            </w:r>
            <w:r>
              <w:rPr>
                <w:rFonts w:hint="eastAsia" w:ascii="宋体" w:hAnsi="宋体" w:eastAsia="宋体" w:cs="宋体"/>
                <w:color w:val="auto"/>
                <w:sz w:val="21"/>
                <w:szCs w:val="21"/>
                <w:highlight w:val="none"/>
              </w:rPr>
              <w:t>须提供对应项目合同关键页及含本人名字的合同签章页作为证明材料，未按要求提供佐证的不予计分。</w:t>
            </w:r>
          </w:p>
          <w:p w14:paraId="15B2F1BD">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2.拟投入的资源审读人员具有中华人民共和国人力资源和社会保障部、国家新闻出版署批准颁发的《出版专业技术人员职业资格》证书的，每人得2分，满分</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7BA1C74C">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3.拟投入的人员，具有四级编导的，每人得1分；三级及以上编导的，每人得2分。（满分2分）</w:t>
            </w:r>
          </w:p>
          <w:p w14:paraId="0CF09DA1">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4.拟投入的技术人员具备广播电视编导/教育技术学/数字媒体艺术/动画/动漫制作技术/计算机多媒体技术/美术学等</w:t>
            </w:r>
            <w:r>
              <w:rPr>
                <w:rFonts w:hint="eastAsia" w:ascii="宋体" w:hAnsi="宋体" w:eastAsia="宋体" w:cs="宋体"/>
                <w:color w:val="auto"/>
                <w:kern w:val="0"/>
                <w:sz w:val="21"/>
                <w:szCs w:val="21"/>
                <w:highlight w:val="none"/>
              </w:rPr>
              <w:t>与本项目</w:t>
            </w:r>
            <w:r>
              <w:rPr>
                <w:rFonts w:hint="eastAsia" w:ascii="宋体" w:hAnsi="宋体" w:eastAsia="宋体" w:cs="宋体"/>
                <w:color w:val="auto"/>
                <w:sz w:val="21"/>
                <w:szCs w:val="21"/>
                <w:highlight w:val="none"/>
              </w:rPr>
              <w:t>相关专业背景，须提供毕业证书复印件佐证；每提供 1 名符合专业要求人员得 0.5 分，本项最高得4分。</w:t>
            </w:r>
          </w:p>
          <w:p w14:paraId="05DBE549">
            <w:pPr>
              <w:keepNext w:val="0"/>
              <w:keepLines w:val="0"/>
              <w:pageBreakBefore w:val="0"/>
              <w:kinsoku/>
              <w:wordWrap/>
              <w:overflowPunct/>
              <w:topLinePunct w:val="0"/>
              <w:autoSpaceDE/>
              <w:autoSpaceDN/>
              <w:bidi w:val="0"/>
              <w:snapToGrid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23235B73">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1.项目负责人需提供同类项目合同或验收证明（合同中或验收证明明确体现项目负责人姓名）。</w:t>
            </w:r>
          </w:p>
          <w:p w14:paraId="1E7814A9">
            <w:pPr>
              <w:keepNext w:val="0"/>
              <w:keepLines w:val="0"/>
              <w:pageBreakBefore w:val="0"/>
              <w:kinsoku/>
              <w:wordWrap/>
              <w:overflowPunct/>
              <w:topLinePunct w:val="0"/>
              <w:autoSpaceDE/>
              <w:autoSpaceDN/>
              <w:bidi w:val="0"/>
              <w:spacing w:line="400" w:lineRule="exact"/>
              <w:ind w:firstLine="525" w:firstLineChars="2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2.投标文件提供上述拟投入项目的人员对应的有效证书复印件并加盖投标人公章，相同证书不重复计分，未按要求提供的不予计分。</w:t>
            </w:r>
          </w:p>
          <w:p w14:paraId="41684FAC">
            <w:pPr>
              <w:pStyle w:val="19"/>
              <w:keepNext w:val="0"/>
              <w:keepLines w:val="0"/>
              <w:pageBreakBefore w:val="0"/>
              <w:kinsoku/>
              <w:wordWrap/>
              <w:overflowPunct/>
              <w:topLinePunct w:val="0"/>
              <w:autoSpaceDE/>
              <w:autoSpaceDN/>
              <w:bidi w:val="0"/>
              <w:spacing w:line="40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t>3.以上项目拟投入人员中，中标人必须如实投入到项目实施中，未经采购人同意不允许自行更换，否则，视为违约并承担相关的一切责任。</w:t>
            </w:r>
          </w:p>
        </w:tc>
      </w:tr>
      <w:tr w14:paraId="0496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5" w:type="dxa"/>
            <w:vMerge w:val="restart"/>
            <w:tcBorders>
              <w:left w:val="single" w:color="auto" w:sz="4" w:space="0"/>
              <w:right w:val="single" w:color="auto" w:sz="4" w:space="0"/>
            </w:tcBorders>
            <w:vAlign w:val="center"/>
          </w:tcPr>
          <w:p w14:paraId="6A2FE3A9">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bookmarkStart w:id="155" w:name="_Hlk230256304"/>
            <w:r>
              <w:rPr>
                <w:rFonts w:hint="eastAsia" w:ascii="宋体" w:hAnsi="宋体" w:eastAsia="宋体" w:cs="宋体"/>
                <w:b/>
                <w:color w:val="auto"/>
                <w:sz w:val="21"/>
                <w:szCs w:val="21"/>
                <w:highlight w:val="none"/>
              </w:rPr>
              <w:t>3</w:t>
            </w:r>
          </w:p>
        </w:tc>
        <w:tc>
          <w:tcPr>
            <w:tcW w:w="851" w:type="dxa"/>
            <w:vMerge w:val="restart"/>
            <w:tcBorders>
              <w:left w:val="single" w:color="auto" w:sz="4" w:space="0"/>
              <w:right w:val="single" w:color="auto" w:sz="4" w:space="0"/>
            </w:tcBorders>
            <w:vAlign w:val="center"/>
          </w:tcPr>
          <w:p w14:paraId="4A3DB22B">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商务分（满分25分）</w:t>
            </w:r>
          </w:p>
        </w:tc>
        <w:tc>
          <w:tcPr>
            <w:tcW w:w="1105" w:type="dxa"/>
            <w:tcBorders>
              <w:top w:val="single" w:color="auto" w:sz="4" w:space="0"/>
              <w:left w:val="single" w:color="auto" w:sz="4" w:space="0"/>
              <w:right w:val="single" w:color="auto" w:sz="4" w:space="0"/>
            </w:tcBorders>
            <w:tcMar>
              <w:top w:w="0" w:type="dxa"/>
              <w:left w:w="57" w:type="dxa"/>
              <w:bottom w:w="0" w:type="dxa"/>
              <w:right w:w="57" w:type="dxa"/>
            </w:tcMar>
          </w:tcPr>
          <w:p w14:paraId="3BE90B6A">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管理体系认证分（满分</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 xml:space="preserve"> 分</w:t>
            </w:r>
            <w:r>
              <w:rPr>
                <w:rFonts w:hint="eastAsia" w:ascii="宋体" w:hAnsi="宋体" w:cs="宋体"/>
                <w:bCs/>
                <w:color w:val="auto"/>
                <w:sz w:val="21"/>
                <w:szCs w:val="21"/>
                <w:highlight w:val="none"/>
                <w:lang w:eastAsia="zh-CN"/>
              </w:rPr>
              <w:t>）</w:t>
            </w:r>
          </w:p>
        </w:tc>
        <w:tc>
          <w:tcPr>
            <w:tcW w:w="6523" w:type="dxa"/>
            <w:tcBorders>
              <w:top w:val="single" w:color="auto" w:sz="4" w:space="0"/>
              <w:left w:val="single" w:color="auto" w:sz="4" w:space="0"/>
              <w:bottom w:val="single" w:color="auto" w:sz="4" w:space="0"/>
              <w:right w:val="single" w:color="auto" w:sz="4" w:space="0"/>
            </w:tcBorders>
          </w:tcPr>
          <w:p w14:paraId="7667BBA5">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投标人具有ISO9001质量管理体系认证证书，且在有效期内的，每提供一份证书得1分，满分1分</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eastAsia="zh-CN"/>
              </w:rPr>
              <w:t>投标文件</w:t>
            </w:r>
            <w:r>
              <w:rPr>
                <w:rFonts w:hint="eastAsia" w:ascii="宋体" w:hAnsi="宋体" w:eastAsia="宋体" w:cs="宋体"/>
                <w:color w:val="auto"/>
                <w:kern w:val="0"/>
                <w:sz w:val="21"/>
                <w:szCs w:val="21"/>
                <w:highlight w:val="none"/>
              </w:rPr>
              <w:t>中提供有效期内的证书复印件</w:t>
            </w:r>
            <w:r>
              <w:rPr>
                <w:rFonts w:hint="eastAsia" w:ascii="宋体" w:hAnsi="宋体" w:eastAsia="宋体" w:cs="宋体"/>
                <w:color w:val="auto"/>
                <w:kern w:val="0"/>
                <w:sz w:val="21"/>
                <w:szCs w:val="21"/>
                <w:highlight w:val="none"/>
                <w:lang w:val="en-US" w:eastAsia="zh-CN"/>
              </w:rPr>
              <w:t>及官方网站查询截图复印件（全国认证认可信息公共服务平台http://cx.cnca.cn/CertECloud/index/index/page）</w:t>
            </w:r>
            <w:r>
              <w:rPr>
                <w:rFonts w:hint="eastAsia" w:ascii="宋体" w:hAnsi="宋体" w:eastAsia="宋体" w:cs="宋体"/>
                <w:color w:val="auto"/>
                <w:kern w:val="0"/>
                <w:sz w:val="21"/>
                <w:szCs w:val="21"/>
                <w:highlight w:val="none"/>
              </w:rPr>
              <w:t>，并加盖供应商公章，否则不计分。</w:t>
            </w:r>
            <w:r>
              <w:rPr>
                <w:rFonts w:hint="eastAsia" w:ascii="宋体" w:hAnsi="宋体" w:eastAsia="宋体" w:cs="宋体"/>
                <w:color w:val="auto"/>
                <w:sz w:val="21"/>
                <w:szCs w:val="21"/>
                <w:highlight w:val="none"/>
              </w:rPr>
              <w:t>）</w:t>
            </w:r>
          </w:p>
        </w:tc>
      </w:tr>
      <w:bookmarkEnd w:id="155"/>
      <w:tr w14:paraId="7810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5" w:type="dxa"/>
            <w:vMerge w:val="continue"/>
            <w:tcBorders>
              <w:left w:val="single" w:color="auto" w:sz="4" w:space="0"/>
              <w:right w:val="single" w:color="auto" w:sz="4" w:space="0"/>
            </w:tcBorders>
            <w:vAlign w:val="center"/>
          </w:tcPr>
          <w:p w14:paraId="00D87750">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p>
        </w:tc>
        <w:tc>
          <w:tcPr>
            <w:tcW w:w="851" w:type="dxa"/>
            <w:vMerge w:val="continue"/>
            <w:tcBorders>
              <w:left w:val="single" w:color="auto" w:sz="4" w:space="0"/>
              <w:right w:val="single" w:color="auto" w:sz="4" w:space="0"/>
            </w:tcBorders>
            <w:vAlign w:val="center"/>
          </w:tcPr>
          <w:p w14:paraId="0B65EC4B">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bCs/>
                <w:color w:val="auto"/>
                <w:sz w:val="21"/>
                <w:szCs w:val="21"/>
                <w:highlight w:val="none"/>
              </w:rPr>
            </w:pPr>
          </w:p>
        </w:tc>
        <w:tc>
          <w:tcPr>
            <w:tcW w:w="1105"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60269D83">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企业综合实力分（满分1</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分）</w:t>
            </w:r>
          </w:p>
        </w:tc>
        <w:tc>
          <w:tcPr>
            <w:tcW w:w="6523" w:type="dxa"/>
            <w:tcBorders>
              <w:top w:val="single" w:color="auto" w:sz="4" w:space="0"/>
              <w:left w:val="single" w:color="auto" w:sz="4" w:space="0"/>
              <w:bottom w:val="single" w:color="auto" w:sz="4" w:space="0"/>
              <w:right w:val="single" w:color="auto" w:sz="4" w:space="0"/>
            </w:tcBorders>
          </w:tcPr>
          <w:p w14:paraId="1A45D873">
            <w:pPr>
              <w:keepNext w:val="0"/>
              <w:keepLines w:val="0"/>
              <w:pageBreakBefore w:val="0"/>
              <w:numPr>
                <w:ilvl w:val="0"/>
                <w:numId w:val="0"/>
              </w:numPr>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投标人自202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年以来协助高校开展在线精品课程建设，获得省级或国家级在线精品课程相关荣誉的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每提供一项</w:t>
            </w:r>
            <w:r>
              <w:rPr>
                <w:rFonts w:hint="eastAsia" w:ascii="宋体" w:hAnsi="宋体" w:eastAsia="宋体" w:cs="宋体"/>
                <w:color w:val="auto"/>
                <w:sz w:val="21"/>
                <w:szCs w:val="21"/>
                <w:highlight w:val="none"/>
                <w:lang w:val="en-US" w:eastAsia="zh-CN"/>
              </w:rPr>
              <w:t>省级荣誉的，得0.5分；</w:t>
            </w:r>
            <w:r>
              <w:rPr>
                <w:rFonts w:hint="eastAsia" w:ascii="宋体" w:hAnsi="宋体" w:eastAsia="宋体" w:cs="宋体"/>
                <w:color w:val="auto"/>
                <w:sz w:val="21"/>
                <w:szCs w:val="21"/>
                <w:highlight w:val="none"/>
              </w:rPr>
              <w:t>每提供一项</w:t>
            </w:r>
            <w:r>
              <w:rPr>
                <w:rFonts w:hint="eastAsia" w:ascii="宋体" w:hAnsi="宋体" w:eastAsia="宋体" w:cs="宋体"/>
                <w:color w:val="auto"/>
                <w:sz w:val="21"/>
                <w:szCs w:val="21"/>
                <w:highlight w:val="none"/>
                <w:lang w:val="en-US" w:eastAsia="zh-CN"/>
              </w:rPr>
              <w:t>国家级荣誉的，得1分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满分</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投标文件</w:t>
            </w:r>
            <w:r>
              <w:rPr>
                <w:rFonts w:hint="eastAsia" w:ascii="宋体" w:hAnsi="宋体" w:eastAsia="宋体" w:cs="宋体"/>
                <w:color w:val="auto"/>
                <w:sz w:val="21"/>
                <w:szCs w:val="21"/>
                <w:highlight w:val="none"/>
              </w:rPr>
              <w:t>需提供</w:t>
            </w:r>
            <w:r>
              <w:rPr>
                <w:rFonts w:hint="eastAsia" w:ascii="宋体" w:hAnsi="宋体" w:eastAsia="宋体" w:cs="宋体"/>
                <w:color w:val="auto"/>
                <w:sz w:val="21"/>
                <w:szCs w:val="21"/>
                <w:highlight w:val="none"/>
                <w:lang w:eastAsia="zh-CN"/>
              </w:rPr>
              <w:t>：①</w:t>
            </w:r>
            <w:r>
              <w:rPr>
                <w:rFonts w:hint="eastAsia" w:ascii="宋体" w:hAnsi="宋体" w:eastAsia="宋体" w:cs="宋体"/>
                <w:color w:val="auto"/>
                <w:sz w:val="21"/>
                <w:szCs w:val="21"/>
                <w:highlight w:val="none"/>
                <w:lang w:val="en-US" w:eastAsia="zh-CN"/>
              </w:rPr>
              <w:t>投标人与</w:t>
            </w:r>
            <w:r>
              <w:rPr>
                <w:rFonts w:hint="eastAsia" w:ascii="宋体" w:hAnsi="宋体" w:eastAsia="宋体" w:cs="宋体"/>
                <w:color w:val="auto"/>
                <w:sz w:val="21"/>
                <w:szCs w:val="21"/>
                <w:highlight w:val="none"/>
              </w:rPr>
              <w:t>高校</w:t>
            </w:r>
            <w:r>
              <w:rPr>
                <w:rFonts w:hint="eastAsia" w:ascii="宋体" w:hAnsi="宋体" w:eastAsia="宋体" w:cs="宋体"/>
                <w:color w:val="auto"/>
                <w:sz w:val="21"/>
                <w:szCs w:val="21"/>
                <w:highlight w:val="none"/>
                <w:lang w:val="en-US" w:eastAsia="zh-CN"/>
              </w:rPr>
              <w:t>签订的合同及验收证明；②</w:t>
            </w:r>
            <w:r>
              <w:rPr>
                <w:rFonts w:hint="eastAsia" w:ascii="宋体" w:hAnsi="宋体" w:eastAsia="宋体" w:cs="宋体"/>
                <w:color w:val="auto"/>
                <w:sz w:val="21"/>
                <w:szCs w:val="21"/>
                <w:highlight w:val="none"/>
              </w:rPr>
              <w:t>教育部</w:t>
            </w:r>
            <w:r>
              <w:rPr>
                <w:rFonts w:hint="eastAsia" w:ascii="宋体" w:hAnsi="宋体" w:eastAsia="宋体" w:cs="宋体"/>
                <w:strike w:val="0"/>
                <w:dstrike w:val="0"/>
                <w:color w:val="auto"/>
                <w:sz w:val="21"/>
                <w:szCs w:val="21"/>
                <w:highlight w:val="none"/>
              </w:rPr>
              <w:t>或教育厅</w:t>
            </w:r>
            <w:r>
              <w:rPr>
                <w:rFonts w:hint="eastAsia" w:ascii="宋体" w:hAnsi="宋体" w:eastAsia="宋体" w:cs="宋体"/>
                <w:color w:val="auto"/>
                <w:sz w:val="21"/>
                <w:szCs w:val="21"/>
                <w:highlight w:val="none"/>
              </w:rPr>
              <w:t>官网公示与奖项证明相一致的获奖课程名称截图，二项证明缺一不可，否则不得分，原件备查）。</w:t>
            </w:r>
          </w:p>
          <w:p w14:paraId="71A74516">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投标人具有国家新闻出版署备案的出版物号（ISBN）申领能力，或与国家级/省级出版社有长期战略合作协议（投标文件需提供有效期内的协议复印件并加盖投标人公章），每提供1个得1分，满 分</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分，不提供不得分。</w:t>
            </w:r>
          </w:p>
          <w:p w14:paraId="13FF7806">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投标人自2023年以来协助高校申报规划教材的，获评“十四五”职业教育国家规划教材或省级规划教材的，（每成功协助申报一本省级规划教材的，得0.5分；每成功协助申报一本国家规划教材的，得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分。（投标文件中提供①投标人与高校签订的合同及验收证明；②出版社出具的协助申报规划教材的证明及教材封面、扉页复印件，缺一不可，否则不得分）。</w:t>
            </w:r>
          </w:p>
        </w:tc>
      </w:tr>
      <w:tr w14:paraId="36FE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5" w:type="dxa"/>
            <w:vMerge w:val="continue"/>
            <w:tcBorders>
              <w:left w:val="single" w:color="auto" w:sz="4" w:space="0"/>
              <w:right w:val="single" w:color="auto" w:sz="4" w:space="0"/>
            </w:tcBorders>
            <w:vAlign w:val="center"/>
          </w:tcPr>
          <w:p w14:paraId="489ED7C2">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color w:val="auto"/>
                <w:sz w:val="21"/>
                <w:szCs w:val="21"/>
                <w:highlight w:val="none"/>
              </w:rPr>
            </w:pPr>
          </w:p>
        </w:tc>
        <w:tc>
          <w:tcPr>
            <w:tcW w:w="851" w:type="dxa"/>
            <w:vMerge w:val="continue"/>
            <w:tcBorders>
              <w:left w:val="single" w:color="auto" w:sz="4" w:space="0"/>
              <w:right w:val="single" w:color="auto" w:sz="4" w:space="0"/>
            </w:tcBorders>
            <w:vAlign w:val="center"/>
          </w:tcPr>
          <w:p w14:paraId="10C809F1">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宋体" w:hAnsi="宋体" w:eastAsia="宋体" w:cs="宋体"/>
                <w:b/>
                <w:bCs/>
                <w:color w:val="auto"/>
                <w:sz w:val="21"/>
                <w:szCs w:val="21"/>
                <w:highlight w:val="none"/>
              </w:rPr>
            </w:pPr>
          </w:p>
        </w:tc>
        <w:tc>
          <w:tcPr>
            <w:tcW w:w="1105"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65321B92">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业绩分（满分</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分）</w:t>
            </w:r>
          </w:p>
        </w:tc>
        <w:tc>
          <w:tcPr>
            <w:tcW w:w="6523" w:type="dxa"/>
            <w:tcBorders>
              <w:top w:val="single" w:color="auto" w:sz="4" w:space="0"/>
              <w:left w:val="single" w:color="auto" w:sz="4" w:space="0"/>
              <w:bottom w:val="single" w:color="auto" w:sz="4" w:space="0"/>
              <w:right w:val="single" w:color="auto" w:sz="4" w:space="0"/>
            </w:tcBorders>
          </w:tcPr>
          <w:p w14:paraId="5D518A25">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2023年1月1日至提交投标文件截止时间止，投标人具有与本次采购内容有关的类似项目业绩的，每项得 1 分，满分</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 分。</w:t>
            </w:r>
          </w:p>
          <w:p w14:paraId="4E5892A5">
            <w:pPr>
              <w:keepNext w:val="0"/>
              <w:keepLines w:val="0"/>
              <w:pageBreakBefore w:val="0"/>
              <w:kinsoku/>
              <w:wordWrap/>
              <w:overflowPunct/>
              <w:topLinePunct w:val="0"/>
              <w:autoSpaceDE/>
              <w:autoSpaceDN/>
              <w:bidi w:val="0"/>
              <w:spacing w:line="40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【注：需在投标文件中提供前述类似项目业绩的合同或者中标（成交）通知书复印件并加盖投标人公章，未按要求提供的不予计分。】</w:t>
            </w:r>
          </w:p>
        </w:tc>
      </w:tr>
      <w:tr w14:paraId="78C2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9094" w:type="dxa"/>
            <w:gridSpan w:val="4"/>
            <w:tcBorders>
              <w:top w:val="single" w:color="auto" w:sz="4" w:space="0"/>
              <w:left w:val="single" w:color="auto" w:sz="4" w:space="0"/>
              <w:bottom w:val="single" w:color="auto" w:sz="4" w:space="0"/>
              <w:right w:val="single" w:color="auto" w:sz="4" w:space="0"/>
            </w:tcBorders>
            <w:vAlign w:val="center"/>
          </w:tcPr>
          <w:p w14:paraId="2AE044F9">
            <w:pPr>
              <w:keepNext w:val="0"/>
              <w:keepLines w:val="0"/>
              <w:pageBreakBefore w:val="0"/>
              <w:kinsoku/>
              <w:wordWrap/>
              <w:overflowPunct/>
              <w:topLinePunct w:val="0"/>
              <w:autoSpaceDE/>
              <w:autoSpaceDN/>
              <w:bidi w:val="0"/>
              <w:spacing w:line="400" w:lineRule="exact"/>
              <w:ind w:firstLine="420"/>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总得分=1+2+3。</w:t>
            </w:r>
          </w:p>
        </w:tc>
      </w:tr>
    </w:tbl>
    <w:p w14:paraId="1C9451ED">
      <w:pPr>
        <w:pStyle w:val="25"/>
        <w:spacing w:line="360" w:lineRule="auto"/>
        <w:rPr>
          <w:rFonts w:hint="eastAsia" w:hAnsi="宋体"/>
          <w:bCs/>
          <w:color w:val="000000"/>
          <w:sz w:val="21"/>
          <w:highlight w:val="none"/>
        </w:rPr>
      </w:pPr>
      <w:r>
        <w:rPr>
          <w:rFonts w:hint="eastAsia" w:hAnsi="宋体"/>
          <w:bCs/>
          <w:color w:val="000000"/>
          <w:sz w:val="21"/>
          <w:highlight w:val="none"/>
        </w:rPr>
        <w:t>注：计分方法按四舍五入取至百分位</w:t>
      </w:r>
    </w:p>
    <w:p w14:paraId="5895A082">
      <w:pPr>
        <w:rPr>
          <w:highlight w:val="none"/>
        </w:rPr>
      </w:pPr>
    </w:p>
    <w:p w14:paraId="7DB2B496">
      <w:pPr>
        <w:rPr>
          <w:highlight w:val="none"/>
        </w:rPr>
      </w:pPr>
    </w:p>
    <w:p w14:paraId="5F7011BD">
      <w:pPr>
        <w:keepNext w:val="0"/>
        <w:keepLines w:val="0"/>
        <w:jc w:val="center"/>
        <w:rPr>
          <w:rFonts w:hint="eastAsia"/>
          <w:color w:val="000000"/>
          <w:sz w:val="30"/>
          <w:szCs w:val="30"/>
          <w:highlight w:val="none"/>
        </w:rPr>
      </w:pPr>
      <w:r>
        <w:rPr>
          <w:rFonts w:hint="eastAsia"/>
          <w:color w:val="000000"/>
          <w:sz w:val="30"/>
          <w:szCs w:val="30"/>
          <w:highlight w:val="none"/>
        </w:rPr>
        <w:br w:type="page"/>
      </w:r>
    </w:p>
    <w:p w14:paraId="68CB6E58">
      <w:pPr>
        <w:pStyle w:val="4"/>
        <w:keepNext w:val="0"/>
        <w:keepLines w:val="0"/>
        <w:jc w:val="center"/>
        <w:rPr>
          <w:color w:val="000000"/>
          <w:sz w:val="30"/>
          <w:szCs w:val="30"/>
          <w:highlight w:val="none"/>
        </w:rPr>
      </w:pPr>
      <w:r>
        <w:rPr>
          <w:rFonts w:hint="eastAsia"/>
          <w:color w:val="000000"/>
          <w:sz w:val="30"/>
          <w:szCs w:val="30"/>
          <w:highlight w:val="none"/>
        </w:rPr>
        <w:t>四、中标候选人推荐</w:t>
      </w:r>
    </w:p>
    <w:p w14:paraId="3BDDAFFA">
      <w:pPr>
        <w:pStyle w:val="25"/>
        <w:spacing w:line="360" w:lineRule="auto"/>
        <w:contextualSpacing/>
        <w:rPr>
          <w:rFonts w:hAnsi="宋体"/>
          <w:b/>
          <w:bCs/>
          <w:color w:val="000000"/>
          <w:sz w:val="24"/>
          <w:szCs w:val="24"/>
          <w:highlight w:val="none"/>
        </w:rPr>
      </w:pPr>
      <w:r>
        <w:rPr>
          <w:rFonts w:hint="eastAsia" w:hAnsi="宋体"/>
          <w:b/>
          <w:bCs/>
          <w:color w:val="000000"/>
          <w:sz w:val="24"/>
          <w:szCs w:val="24"/>
          <w:highlight w:val="none"/>
        </w:rPr>
        <w:t>综合评分法</w:t>
      </w:r>
    </w:p>
    <w:p w14:paraId="3B3A4E76">
      <w:pPr>
        <w:pStyle w:val="25"/>
        <w:spacing w:line="360" w:lineRule="auto"/>
        <w:ind w:firstLine="420" w:firstLineChars="200"/>
        <w:contextualSpacing/>
        <w:rPr>
          <w:rFonts w:hAnsi="宋体"/>
          <w:color w:val="000000"/>
          <w:sz w:val="21"/>
          <w:highlight w:val="none"/>
        </w:rPr>
      </w:pPr>
      <w:r>
        <w:rPr>
          <w:rFonts w:hint="eastAsia" w:hAnsi="宋体"/>
          <w:color w:val="000000"/>
          <w:sz w:val="21"/>
          <w:highlight w:val="none"/>
        </w:rPr>
        <w:t>1</w:t>
      </w:r>
      <w:r>
        <w:rPr>
          <w:rFonts w:hAnsi="宋体"/>
          <w:color w:val="000000"/>
          <w:sz w:val="21"/>
          <w:highlight w:val="none"/>
        </w:rPr>
        <w:t>.</w:t>
      </w:r>
      <w:r>
        <w:rPr>
          <w:rFonts w:hint="eastAsia" w:hAnsi="宋体"/>
          <w:color w:val="000000"/>
          <w:sz w:val="21"/>
          <w:highlight w:val="none"/>
        </w:rPr>
        <w:t>评标委员会根据原始评标记录和评标结果编写评标报告，并通过电子交易平台向采购人、采购代理机构提交。</w:t>
      </w:r>
    </w:p>
    <w:p w14:paraId="3E640E4E">
      <w:pPr>
        <w:spacing w:line="360" w:lineRule="auto"/>
        <w:ind w:firstLine="422" w:firstLineChars="200"/>
        <w:rPr>
          <w:rFonts w:hint="eastAsia" w:ascii="宋体" w:hAnsi="宋体" w:cs="宋体"/>
          <w:b/>
          <w:bCs/>
          <w:highlight w:val="none"/>
          <w:lang w:val="en-US" w:eastAsia="zh-CN"/>
        </w:rPr>
      </w:pPr>
      <w:r>
        <w:rPr>
          <w:rFonts w:hint="eastAsia" w:ascii="宋体" w:hAnsi="宋体" w:cs="宋体"/>
          <w:b/>
          <w:bCs/>
          <w:highlight w:val="none"/>
        </w:rPr>
        <w:t>2.</w:t>
      </w:r>
      <w:r>
        <w:rPr>
          <w:rFonts w:hint="eastAsia" w:ascii="宋体" w:hAnsi="宋体" w:cs="宋体"/>
          <w:b/>
          <w:bCs/>
          <w:highlight w:val="none"/>
          <w:lang w:val="en-US" w:eastAsia="zh-CN"/>
        </w:rPr>
        <w:t>投标人可对本项目一个或多个分标进行投标，但最多只能被推荐为一个分标的第一成交候选人（即：同一供应商最多只能中一个分标）。评标委员会按照分标1→分标2的顺序进行评审，并依次推荐各分标的中标候选人。具体推荐规则如下：</w:t>
      </w:r>
    </w:p>
    <w:p w14:paraId="2B9F4D15">
      <w:pPr>
        <w:spacing w:line="360" w:lineRule="auto"/>
        <w:ind w:firstLine="422" w:firstLineChars="200"/>
        <w:rPr>
          <w:rFonts w:hint="eastAsia" w:ascii="宋体" w:hAnsi="宋体" w:cs="宋体"/>
          <w:b/>
          <w:bCs/>
          <w:highlight w:val="none"/>
          <w:lang w:val="en-US" w:eastAsia="zh-CN"/>
        </w:rPr>
      </w:pPr>
      <w:r>
        <w:rPr>
          <w:rFonts w:hint="eastAsia" w:ascii="宋体" w:hAnsi="宋体" w:cs="宋体"/>
          <w:b/>
          <w:bCs/>
          <w:highlight w:val="none"/>
          <w:lang w:val="en-US" w:eastAsia="zh-CN"/>
        </w:rPr>
        <w:t>某投标人若在分标1中被推荐为第一中标候选人，则该投标人仍可进入分标2的评审。</w:t>
      </w:r>
    </w:p>
    <w:p w14:paraId="4BD539E9">
      <w:pPr>
        <w:spacing w:line="360" w:lineRule="auto"/>
        <w:ind w:firstLine="422" w:firstLineChars="200"/>
        <w:rPr>
          <w:rFonts w:hint="eastAsia" w:ascii="宋体" w:hAnsi="宋体" w:cs="宋体"/>
          <w:b/>
          <w:bCs/>
          <w:highlight w:val="none"/>
          <w:lang w:val="en-US" w:eastAsia="zh-CN"/>
        </w:rPr>
      </w:pPr>
      <w:r>
        <w:rPr>
          <w:rFonts w:hint="eastAsia" w:ascii="宋体" w:hAnsi="宋体" w:cs="宋体"/>
          <w:b/>
          <w:bCs/>
          <w:highlight w:val="none"/>
          <w:lang w:val="en-US" w:eastAsia="zh-CN"/>
        </w:rPr>
        <w:t>在分标2评审中，若该投标人的综合得分排名第一，则不再将其推荐为分标2的第一中标候选人，由分标2中综合得分排名次高的投标人递补作为第一中标候选人。</w:t>
      </w:r>
    </w:p>
    <w:p w14:paraId="70656FB4">
      <w:pPr>
        <w:spacing w:line="360" w:lineRule="auto"/>
        <w:ind w:firstLine="422" w:firstLineChars="200"/>
        <w:rPr>
          <w:rFonts w:hint="eastAsia" w:ascii="宋体" w:hAnsi="宋体" w:cs="宋体"/>
          <w:b/>
          <w:bCs/>
          <w:highlight w:val="none"/>
          <w:lang w:val="en-US" w:eastAsia="zh-CN"/>
        </w:rPr>
      </w:pPr>
      <w:r>
        <w:rPr>
          <w:rFonts w:hint="eastAsia" w:ascii="宋体" w:hAnsi="宋体" w:cs="宋体"/>
          <w:b/>
          <w:bCs/>
          <w:highlight w:val="none"/>
          <w:lang w:val="en-US" w:eastAsia="zh-CN"/>
        </w:rPr>
        <w:t>以此类推，后续分标依此规则执行。</w:t>
      </w:r>
    </w:p>
    <w:p w14:paraId="58BC8BF0">
      <w:pPr>
        <w:spacing w:line="360" w:lineRule="auto"/>
        <w:ind w:firstLine="422" w:firstLineChars="200"/>
        <w:rPr>
          <w:rFonts w:ascii="宋体" w:hAnsi="宋体" w:cs="宋体"/>
          <w:b/>
          <w:bCs/>
          <w:highlight w:val="none"/>
        </w:rPr>
      </w:pPr>
      <w:r>
        <w:rPr>
          <w:rFonts w:hint="eastAsia" w:ascii="宋体" w:hAnsi="宋体" w:cs="宋体"/>
          <w:b/>
          <w:bCs/>
          <w:highlight w:val="none"/>
          <w:lang w:val="en-US" w:eastAsia="zh-CN"/>
        </w:rPr>
        <w:t>特别说明：若某一分标中，所有参与投标的投标人均为其他分标的第一中标候选人，则本款规定不适用，可按综合得分排名正常推荐中标候选人（即允许同一投标人累计中标多个分标）。</w:t>
      </w:r>
    </w:p>
    <w:p w14:paraId="38F00885">
      <w:pPr>
        <w:pStyle w:val="25"/>
        <w:spacing w:line="360" w:lineRule="auto"/>
        <w:ind w:firstLine="420" w:firstLineChars="200"/>
        <w:contextualSpacing/>
        <w:rPr>
          <w:rFonts w:hAnsi="宋体"/>
          <w:color w:val="000000"/>
          <w:sz w:val="21"/>
          <w:highlight w:val="none"/>
        </w:rPr>
      </w:pPr>
      <w:r>
        <w:rPr>
          <w:rFonts w:hint="eastAsia" w:hAnsi="宋体"/>
          <w:color w:val="000000"/>
          <w:sz w:val="21"/>
          <w:highlight w:val="none"/>
        </w:rPr>
        <w:t>3</w:t>
      </w:r>
      <w:r>
        <w:rPr>
          <w:rFonts w:hAnsi="宋体"/>
          <w:color w:val="000000"/>
          <w:sz w:val="21"/>
          <w:highlight w:val="none"/>
        </w:rPr>
        <w:t>.</w:t>
      </w:r>
      <w:r>
        <w:rPr>
          <w:rFonts w:hint="eastAsia" w:hAnsi="宋体"/>
          <w:color w:val="000000"/>
          <w:sz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若评审因素量化指标评审得分相同，则由评标委员会投票表决，少数服从多数。</w:t>
      </w:r>
    </w:p>
    <w:p w14:paraId="46A59AB4">
      <w:pPr>
        <w:pStyle w:val="25"/>
        <w:spacing w:line="360" w:lineRule="auto"/>
        <w:ind w:firstLine="420" w:firstLineChars="200"/>
        <w:contextualSpacing/>
        <w:rPr>
          <w:rFonts w:hAnsi="宋体"/>
          <w:color w:val="000000"/>
          <w:sz w:val="21"/>
          <w:highlight w:val="none"/>
        </w:rPr>
      </w:pPr>
    </w:p>
    <w:p w14:paraId="2BC2D8F2">
      <w:pPr>
        <w:spacing w:before="120" w:beforeLines="50" w:after="120" w:afterLines="50" w:line="400" w:lineRule="exact"/>
        <w:rPr>
          <w:rFonts w:ascii="宋体" w:hAnsi="宋体"/>
          <w:b/>
          <w:color w:val="000000"/>
          <w:sz w:val="24"/>
          <w:highlight w:val="none"/>
        </w:rPr>
      </w:pPr>
    </w:p>
    <w:p w14:paraId="6C556ABC">
      <w:pPr>
        <w:spacing w:before="120" w:beforeLines="50" w:after="120" w:afterLines="50" w:line="400" w:lineRule="exact"/>
        <w:rPr>
          <w:rFonts w:ascii="宋体" w:hAnsi="宋体"/>
          <w:b/>
          <w:color w:val="000000"/>
          <w:sz w:val="24"/>
          <w:highlight w:val="none"/>
        </w:rPr>
      </w:pPr>
    </w:p>
    <w:p w14:paraId="2F1C3A10">
      <w:pPr>
        <w:spacing w:before="120" w:beforeLines="50" w:after="120" w:afterLines="50" w:line="400" w:lineRule="exact"/>
        <w:rPr>
          <w:rFonts w:ascii="宋体" w:hAnsi="宋体"/>
          <w:b/>
          <w:color w:val="000000"/>
          <w:sz w:val="24"/>
          <w:highlight w:val="none"/>
        </w:rPr>
      </w:pPr>
    </w:p>
    <w:p w14:paraId="2500B8B9">
      <w:pPr>
        <w:spacing w:before="120" w:beforeLines="50" w:after="120" w:afterLines="50" w:line="400" w:lineRule="exact"/>
        <w:rPr>
          <w:rFonts w:ascii="宋体" w:hAnsi="宋体"/>
          <w:b/>
          <w:color w:val="000000"/>
          <w:sz w:val="24"/>
          <w:highlight w:val="none"/>
        </w:rPr>
      </w:pPr>
    </w:p>
    <w:p w14:paraId="20991585">
      <w:pPr>
        <w:spacing w:before="120" w:beforeLines="50" w:after="120" w:afterLines="50" w:line="400" w:lineRule="exact"/>
        <w:rPr>
          <w:rFonts w:ascii="宋体" w:hAnsi="宋体"/>
          <w:b/>
          <w:color w:val="000000"/>
          <w:sz w:val="24"/>
          <w:highlight w:val="none"/>
        </w:rPr>
      </w:pPr>
    </w:p>
    <w:p w14:paraId="22939515">
      <w:pPr>
        <w:spacing w:before="120" w:beforeLines="50" w:after="120" w:afterLines="50" w:line="400" w:lineRule="exact"/>
        <w:rPr>
          <w:rFonts w:ascii="宋体" w:hAnsi="宋体"/>
          <w:b/>
          <w:color w:val="000000"/>
          <w:sz w:val="24"/>
          <w:highlight w:val="none"/>
        </w:rPr>
      </w:pPr>
    </w:p>
    <w:p w14:paraId="2FAF9BF0">
      <w:pPr>
        <w:spacing w:before="120" w:beforeLines="50" w:after="120" w:afterLines="50" w:line="400" w:lineRule="exact"/>
        <w:rPr>
          <w:rFonts w:ascii="宋体" w:hAnsi="宋体"/>
          <w:b/>
          <w:color w:val="000000"/>
          <w:sz w:val="24"/>
          <w:highlight w:val="none"/>
        </w:rPr>
      </w:pPr>
    </w:p>
    <w:p w14:paraId="523EBC79">
      <w:pPr>
        <w:pStyle w:val="3"/>
        <w:keepNext w:val="0"/>
        <w:keepLines w:val="0"/>
        <w:jc w:val="center"/>
        <w:rPr>
          <w:color w:val="000000"/>
          <w:highlight w:val="none"/>
        </w:rPr>
      </w:pPr>
      <w:r>
        <w:rPr>
          <w:color w:val="000000"/>
          <w:highlight w:val="none"/>
        </w:rPr>
        <w:br w:type="page"/>
      </w:r>
    </w:p>
    <w:p w14:paraId="640D5A2B">
      <w:pPr>
        <w:rPr>
          <w:color w:val="000000"/>
          <w:highlight w:val="none"/>
        </w:rPr>
      </w:pPr>
    </w:p>
    <w:p w14:paraId="7FD1423D">
      <w:pPr>
        <w:rPr>
          <w:color w:val="000000"/>
          <w:highlight w:val="none"/>
        </w:rPr>
      </w:pPr>
    </w:p>
    <w:p w14:paraId="474A4CFE">
      <w:pPr>
        <w:rPr>
          <w:color w:val="000000"/>
          <w:highlight w:val="none"/>
        </w:rPr>
      </w:pPr>
    </w:p>
    <w:p w14:paraId="56C0483D">
      <w:pPr>
        <w:rPr>
          <w:color w:val="000000"/>
          <w:highlight w:val="none"/>
        </w:rPr>
      </w:pPr>
    </w:p>
    <w:p w14:paraId="610D6A2E">
      <w:pPr>
        <w:rPr>
          <w:color w:val="000000"/>
          <w:highlight w:val="none"/>
        </w:rPr>
      </w:pPr>
    </w:p>
    <w:p w14:paraId="14C07923">
      <w:pPr>
        <w:pStyle w:val="3"/>
        <w:keepNext w:val="0"/>
        <w:keepLines w:val="0"/>
        <w:jc w:val="center"/>
        <w:rPr>
          <w:color w:val="000000"/>
          <w:highlight w:val="none"/>
        </w:rPr>
      </w:pPr>
    </w:p>
    <w:p w14:paraId="43C80FB2">
      <w:pPr>
        <w:pStyle w:val="3"/>
        <w:keepNext w:val="0"/>
        <w:keepLines w:val="0"/>
        <w:jc w:val="center"/>
        <w:rPr>
          <w:color w:val="000000"/>
          <w:highlight w:val="none"/>
        </w:rPr>
      </w:pPr>
    </w:p>
    <w:p w14:paraId="53755F66">
      <w:pPr>
        <w:pStyle w:val="3"/>
        <w:keepNext w:val="0"/>
        <w:keepLines w:val="0"/>
        <w:jc w:val="center"/>
        <w:rPr>
          <w:color w:val="000000"/>
          <w:highlight w:val="none"/>
        </w:rPr>
      </w:pPr>
    </w:p>
    <w:p w14:paraId="56AB1A29">
      <w:pPr>
        <w:pStyle w:val="3"/>
        <w:keepNext w:val="0"/>
        <w:keepLines w:val="0"/>
        <w:jc w:val="center"/>
        <w:rPr>
          <w:color w:val="000000"/>
          <w:highlight w:val="none"/>
        </w:rPr>
      </w:pPr>
    </w:p>
    <w:p w14:paraId="610F6AC9">
      <w:pPr>
        <w:pStyle w:val="2"/>
        <w:jc w:val="center"/>
        <w:rPr>
          <w:color w:val="000000"/>
          <w:highlight w:val="none"/>
        </w:rPr>
      </w:pPr>
      <w:bookmarkStart w:id="156" w:name="_Toc24399"/>
      <w:r>
        <w:rPr>
          <w:rFonts w:hint="eastAsia"/>
          <w:color w:val="000000"/>
          <w:highlight w:val="none"/>
        </w:rPr>
        <w:t>第五章  拟签订的合同文本</w:t>
      </w:r>
      <w:bookmarkEnd w:id="156"/>
    </w:p>
    <w:p w14:paraId="0859CDCD">
      <w:pPr>
        <w:snapToGrid w:val="0"/>
        <w:jc w:val="center"/>
        <w:rPr>
          <w:rFonts w:ascii="宋体" w:hAnsi="宋体"/>
          <w:bCs/>
          <w:color w:val="000000"/>
          <w:sz w:val="32"/>
          <w:szCs w:val="32"/>
          <w:highlight w:val="none"/>
        </w:rPr>
      </w:pPr>
    </w:p>
    <w:p w14:paraId="49097129">
      <w:pPr>
        <w:snapToGrid w:val="0"/>
        <w:jc w:val="center"/>
        <w:rPr>
          <w:rFonts w:ascii="宋体" w:hAnsi="宋体"/>
          <w:bCs/>
          <w:color w:val="000000"/>
          <w:sz w:val="32"/>
          <w:szCs w:val="32"/>
          <w:highlight w:val="none"/>
        </w:rPr>
      </w:pPr>
    </w:p>
    <w:p w14:paraId="52158A1C">
      <w:pPr>
        <w:snapToGrid w:val="0"/>
        <w:jc w:val="center"/>
        <w:rPr>
          <w:rFonts w:ascii="宋体" w:hAnsi="宋体"/>
          <w:bCs/>
          <w:color w:val="000000"/>
          <w:sz w:val="32"/>
          <w:szCs w:val="32"/>
          <w:highlight w:val="none"/>
        </w:rPr>
      </w:pPr>
    </w:p>
    <w:p w14:paraId="233C539D">
      <w:pPr>
        <w:snapToGrid w:val="0"/>
        <w:jc w:val="center"/>
        <w:rPr>
          <w:rFonts w:ascii="宋体" w:hAnsi="宋体"/>
          <w:bCs/>
          <w:color w:val="000000"/>
          <w:sz w:val="32"/>
          <w:szCs w:val="32"/>
          <w:highlight w:val="none"/>
        </w:rPr>
      </w:pPr>
    </w:p>
    <w:p w14:paraId="00CB7875">
      <w:pPr>
        <w:snapToGrid w:val="0"/>
        <w:jc w:val="center"/>
        <w:rPr>
          <w:rFonts w:ascii="宋体" w:hAnsi="宋体"/>
          <w:bCs/>
          <w:color w:val="000000"/>
          <w:sz w:val="32"/>
          <w:szCs w:val="32"/>
          <w:highlight w:val="none"/>
        </w:rPr>
      </w:pPr>
    </w:p>
    <w:p w14:paraId="587AC546">
      <w:pPr>
        <w:snapToGrid w:val="0"/>
        <w:jc w:val="center"/>
        <w:rPr>
          <w:rFonts w:ascii="宋体" w:hAnsi="宋体"/>
          <w:bCs/>
          <w:color w:val="000000"/>
          <w:sz w:val="32"/>
          <w:szCs w:val="32"/>
          <w:highlight w:val="none"/>
        </w:rPr>
      </w:pPr>
    </w:p>
    <w:p w14:paraId="3E785E26">
      <w:pPr>
        <w:snapToGrid w:val="0"/>
        <w:jc w:val="center"/>
        <w:rPr>
          <w:rFonts w:ascii="宋体" w:hAnsi="宋体"/>
          <w:bCs/>
          <w:color w:val="000000"/>
          <w:sz w:val="32"/>
          <w:szCs w:val="32"/>
          <w:highlight w:val="none"/>
        </w:rPr>
      </w:pPr>
    </w:p>
    <w:p w14:paraId="41D31BE0">
      <w:pPr>
        <w:snapToGrid w:val="0"/>
        <w:jc w:val="center"/>
        <w:rPr>
          <w:rFonts w:ascii="宋体" w:hAnsi="宋体"/>
          <w:bCs/>
          <w:color w:val="000000"/>
          <w:sz w:val="32"/>
          <w:szCs w:val="32"/>
          <w:highlight w:val="none"/>
        </w:rPr>
      </w:pPr>
    </w:p>
    <w:p w14:paraId="23594AB5">
      <w:pPr>
        <w:snapToGrid w:val="0"/>
        <w:jc w:val="center"/>
        <w:rPr>
          <w:rFonts w:ascii="宋体" w:hAnsi="宋体"/>
          <w:bCs/>
          <w:color w:val="000000"/>
          <w:sz w:val="32"/>
          <w:szCs w:val="32"/>
          <w:highlight w:val="none"/>
        </w:rPr>
      </w:pPr>
    </w:p>
    <w:p w14:paraId="78A903BD">
      <w:pPr>
        <w:snapToGrid w:val="0"/>
        <w:jc w:val="center"/>
        <w:rPr>
          <w:rFonts w:ascii="宋体" w:hAnsi="宋体"/>
          <w:bCs/>
          <w:color w:val="000000"/>
          <w:sz w:val="32"/>
          <w:szCs w:val="32"/>
          <w:highlight w:val="none"/>
        </w:rPr>
      </w:pPr>
    </w:p>
    <w:p w14:paraId="0AEDAD65">
      <w:pPr>
        <w:snapToGrid w:val="0"/>
        <w:jc w:val="center"/>
        <w:rPr>
          <w:rFonts w:ascii="宋体" w:hAnsi="宋体"/>
          <w:bCs/>
          <w:color w:val="000000"/>
          <w:sz w:val="32"/>
          <w:szCs w:val="32"/>
          <w:highlight w:val="none"/>
        </w:rPr>
      </w:pPr>
    </w:p>
    <w:p w14:paraId="2705C983">
      <w:pPr>
        <w:snapToGrid w:val="0"/>
        <w:jc w:val="center"/>
        <w:rPr>
          <w:rFonts w:ascii="宋体" w:hAnsi="宋体"/>
          <w:bCs/>
          <w:color w:val="000000"/>
          <w:sz w:val="32"/>
          <w:szCs w:val="32"/>
          <w:highlight w:val="none"/>
        </w:rPr>
      </w:pPr>
    </w:p>
    <w:p w14:paraId="74B84F45">
      <w:pPr>
        <w:snapToGrid w:val="0"/>
        <w:jc w:val="center"/>
        <w:rPr>
          <w:rFonts w:ascii="宋体" w:hAnsi="宋体"/>
          <w:b/>
          <w:bCs/>
          <w:color w:val="000000"/>
          <w:sz w:val="32"/>
          <w:szCs w:val="32"/>
          <w:highlight w:val="none"/>
        </w:rPr>
      </w:pPr>
      <w:r>
        <w:rPr>
          <w:rFonts w:ascii="宋体" w:hAnsi="宋体"/>
          <w:bCs/>
          <w:color w:val="000000"/>
          <w:sz w:val="32"/>
          <w:szCs w:val="32"/>
          <w:highlight w:val="none"/>
        </w:rPr>
        <w:br w:type="page"/>
      </w:r>
      <w:bookmarkStart w:id="157" w:name="_Hlk55381736"/>
      <w:r>
        <w:rPr>
          <w:rFonts w:hint="eastAsia" w:ascii="宋体" w:hAnsi="宋体"/>
          <w:b/>
          <w:color w:val="000000"/>
          <w:sz w:val="32"/>
          <w:szCs w:val="32"/>
          <w:highlight w:val="none"/>
        </w:rPr>
        <w:t xml:space="preserve"> </w:t>
      </w:r>
      <w:r>
        <w:rPr>
          <w:rFonts w:hint="eastAsia" w:ascii="宋体" w:hAnsi="宋体"/>
          <w:b/>
          <w:bCs/>
          <w:color w:val="000000"/>
          <w:sz w:val="32"/>
          <w:szCs w:val="32"/>
          <w:highlight w:val="none"/>
        </w:rPr>
        <w:t>《广西壮族自治区政府采购合同》</w:t>
      </w:r>
    </w:p>
    <w:p w14:paraId="6BE02758">
      <w:pPr>
        <w:snapToGrid w:val="0"/>
        <w:spacing w:line="400" w:lineRule="exact"/>
        <w:jc w:val="center"/>
        <w:rPr>
          <w:rFonts w:ascii="宋体" w:hAnsi="宋体"/>
          <w:b/>
          <w:color w:val="000000"/>
          <w:sz w:val="32"/>
          <w:szCs w:val="32"/>
          <w:highlight w:val="none"/>
        </w:rPr>
      </w:pPr>
      <w:r>
        <w:rPr>
          <w:rFonts w:hint="eastAsia" w:ascii="宋体" w:hAnsi="宋体"/>
          <w:b/>
          <w:color w:val="000000"/>
          <w:sz w:val="32"/>
          <w:szCs w:val="32"/>
          <w:highlight w:val="none"/>
        </w:rPr>
        <w:t>文本</w:t>
      </w:r>
    </w:p>
    <w:p w14:paraId="1B04C4FB">
      <w:pPr>
        <w:pStyle w:val="19"/>
        <w:jc w:val="center"/>
        <w:rPr>
          <w:rFonts w:hint="eastAsia" w:ascii="宋体" w:hAnsi="宋体" w:eastAsia="宋体" w:cs="Times New Roman"/>
          <w:b/>
          <w:bCs w:val="0"/>
          <w:color w:val="000000"/>
          <w:kern w:val="2"/>
          <w:sz w:val="21"/>
          <w:szCs w:val="21"/>
          <w:highlight w:val="none"/>
          <w:lang w:val="en-US" w:eastAsia="zh-CN" w:bidi="ar-SA"/>
        </w:rPr>
      </w:pPr>
      <w:r>
        <w:rPr>
          <w:rFonts w:hint="eastAsia" w:ascii="宋体" w:hAnsi="宋体" w:eastAsia="宋体" w:cs="Times New Roman"/>
          <w:b/>
          <w:bCs w:val="0"/>
          <w:color w:val="000000"/>
          <w:kern w:val="2"/>
          <w:sz w:val="21"/>
          <w:szCs w:val="21"/>
          <w:highlight w:val="none"/>
          <w:lang w:val="en-US" w:eastAsia="zh-CN" w:bidi="ar-SA"/>
        </w:rPr>
        <w:t>（适用于分标</w:t>
      </w:r>
      <w:r>
        <w:rPr>
          <w:rFonts w:hint="eastAsia" w:ascii="宋体" w:hAnsi="宋体" w:cs="Times New Roman"/>
          <w:b/>
          <w:bCs w:val="0"/>
          <w:color w:val="000000"/>
          <w:kern w:val="2"/>
          <w:sz w:val="21"/>
          <w:szCs w:val="21"/>
          <w:highlight w:val="none"/>
          <w:lang w:val="en-US" w:eastAsia="zh-CN" w:bidi="ar-SA"/>
        </w:rPr>
        <w:t>1/分标2</w:t>
      </w:r>
      <w:r>
        <w:rPr>
          <w:rFonts w:hint="eastAsia" w:ascii="宋体" w:hAnsi="宋体" w:eastAsia="宋体" w:cs="Times New Roman"/>
          <w:b/>
          <w:bCs w:val="0"/>
          <w:color w:val="000000"/>
          <w:kern w:val="2"/>
          <w:sz w:val="21"/>
          <w:szCs w:val="21"/>
          <w:highlight w:val="none"/>
          <w:lang w:val="en-US" w:eastAsia="zh-CN" w:bidi="ar-SA"/>
        </w:rPr>
        <w:t>）</w:t>
      </w:r>
    </w:p>
    <w:p w14:paraId="711EAB64">
      <w:pPr>
        <w:snapToGrid w:val="0"/>
        <w:spacing w:line="400" w:lineRule="exact"/>
        <w:ind w:right="480" w:firstLine="5250" w:firstLineChars="2500"/>
        <w:rPr>
          <w:rFonts w:ascii="宋体" w:hAnsi="宋体"/>
          <w:bCs/>
          <w:color w:val="000000"/>
          <w:szCs w:val="21"/>
          <w:highlight w:val="none"/>
        </w:rPr>
      </w:pPr>
    </w:p>
    <w:p w14:paraId="56163859">
      <w:pPr>
        <w:snapToGrid w:val="0"/>
        <w:spacing w:line="400" w:lineRule="exact"/>
        <w:ind w:right="480" w:firstLine="5250" w:firstLineChars="2500"/>
        <w:rPr>
          <w:rFonts w:ascii="宋体" w:hAnsi="宋体"/>
          <w:bCs/>
          <w:color w:val="000000"/>
          <w:szCs w:val="21"/>
          <w:highlight w:val="none"/>
          <w:u w:val="single"/>
        </w:rPr>
      </w:pPr>
      <w:r>
        <w:rPr>
          <w:rFonts w:hint="eastAsia" w:ascii="宋体" w:hAnsi="宋体"/>
          <w:bCs/>
          <w:color w:val="000000"/>
          <w:szCs w:val="21"/>
          <w:highlight w:val="none"/>
        </w:rPr>
        <w:t>合同编号：</w:t>
      </w:r>
    </w:p>
    <w:p w14:paraId="1F5EB8C5">
      <w:pPr>
        <w:snapToGrid w:val="0"/>
        <w:spacing w:line="360" w:lineRule="exact"/>
        <w:rPr>
          <w:rFonts w:ascii="宋体" w:hAnsi="宋体"/>
          <w:color w:val="000000"/>
          <w:szCs w:val="21"/>
          <w:highlight w:val="none"/>
        </w:rPr>
      </w:pPr>
    </w:p>
    <w:p w14:paraId="64BDC249">
      <w:pPr>
        <w:snapToGrid w:val="0"/>
        <w:spacing w:line="480" w:lineRule="exact"/>
        <w:rPr>
          <w:rFonts w:hint="default" w:ascii="宋体" w:hAnsi="宋体" w:eastAsia="宋体" w:cs="宋体"/>
          <w:color w:val="000000"/>
          <w:szCs w:val="21"/>
          <w:highlight w:val="none"/>
          <w:u w:val="single"/>
          <w:lang w:val="en-US" w:eastAsia="zh-CN"/>
        </w:rPr>
      </w:pPr>
      <w:r>
        <w:rPr>
          <w:rFonts w:hint="eastAsia" w:ascii="宋体" w:hAnsi="宋体" w:cs="宋体"/>
          <w:color w:val="000000"/>
          <w:szCs w:val="21"/>
          <w:highlight w:val="none"/>
          <w:lang w:eastAsia="zh-CN"/>
        </w:rPr>
        <w:t>采购计划编号：</w:t>
      </w:r>
      <w:r>
        <w:rPr>
          <w:rFonts w:hint="eastAsia" w:ascii="宋体" w:hAnsi="宋体" w:cs="宋体"/>
          <w:color w:val="000000"/>
          <w:szCs w:val="21"/>
          <w:highlight w:val="none"/>
          <w:u w:val="single"/>
          <w:lang w:val="en-US" w:eastAsia="zh-CN"/>
        </w:rPr>
        <w:t xml:space="preserve">                                 </w:t>
      </w:r>
    </w:p>
    <w:p w14:paraId="6928E256">
      <w:pPr>
        <w:snapToGrid w:val="0"/>
        <w:spacing w:line="480" w:lineRule="exact"/>
        <w:rPr>
          <w:rFonts w:ascii="宋体" w:hAnsi="宋体" w:cs="宋体"/>
          <w:color w:val="000000"/>
          <w:szCs w:val="21"/>
          <w:highlight w:val="none"/>
          <w:u w:val="single"/>
        </w:rPr>
      </w:pPr>
      <w:r>
        <w:rPr>
          <w:rFonts w:hint="eastAsia" w:ascii="宋体" w:hAnsi="宋体" w:cs="宋体"/>
          <w:color w:val="000000"/>
          <w:szCs w:val="21"/>
          <w:highlight w:val="none"/>
        </w:rPr>
        <w:t>采购单位（甲方）</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35E678CF">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供 应 商（乙方）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4E2721A3">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项  目  名 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single"/>
        </w:rPr>
        <w:t xml:space="preserve">   </w:t>
      </w:r>
    </w:p>
    <w:p w14:paraId="30EE9A4F">
      <w:pPr>
        <w:snapToGrid w:val="0"/>
        <w:spacing w:line="480" w:lineRule="exact"/>
        <w:rPr>
          <w:rFonts w:ascii="宋体" w:hAnsi="宋体" w:cs="宋体"/>
          <w:color w:val="000000"/>
          <w:szCs w:val="21"/>
          <w:highlight w:val="none"/>
          <w:u w:val="single"/>
        </w:rPr>
      </w:pPr>
      <w:r>
        <w:rPr>
          <w:rFonts w:hint="eastAsia" w:ascii="宋体" w:hAnsi="宋体" w:cs="宋体"/>
          <w:color w:val="000000"/>
          <w:spacing w:val="-20"/>
          <w:szCs w:val="21"/>
          <w:highlight w:val="none"/>
        </w:rPr>
        <w:t xml:space="preserve">项    </w:t>
      </w:r>
      <w:r>
        <w:rPr>
          <w:rFonts w:hint="eastAsia" w:ascii="宋体" w:hAnsi="宋体" w:cs="宋体"/>
          <w:color w:val="000000"/>
          <w:szCs w:val="21"/>
          <w:highlight w:val="none"/>
        </w:rPr>
        <w:t>目</w:t>
      </w:r>
      <w:r>
        <w:rPr>
          <w:rFonts w:hint="eastAsia" w:ascii="宋体" w:hAnsi="宋体" w:cs="宋体"/>
          <w:color w:val="000000"/>
          <w:spacing w:val="-20"/>
          <w:szCs w:val="21"/>
          <w:highlight w:val="none"/>
        </w:rPr>
        <w:t xml:space="preserve">   编  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single"/>
        </w:rPr>
        <w:t xml:space="preserve">   </w:t>
      </w:r>
    </w:p>
    <w:p w14:paraId="14B4E252">
      <w:pPr>
        <w:snapToGrid w:val="0"/>
        <w:spacing w:line="480" w:lineRule="exact"/>
        <w:rPr>
          <w:rFonts w:ascii="宋体" w:hAnsi="宋体" w:cs="宋体"/>
          <w:color w:val="000000"/>
          <w:szCs w:val="21"/>
          <w:highlight w:val="none"/>
          <w:u w:val="single"/>
        </w:rPr>
      </w:pPr>
      <w:r>
        <w:rPr>
          <w:rFonts w:hint="eastAsia" w:ascii="宋体" w:hAnsi="宋体" w:cs="宋体"/>
          <w:color w:val="000000"/>
          <w:szCs w:val="21"/>
          <w:highlight w:val="none"/>
        </w:rPr>
        <w:t>签  订  地 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签 订 时 间</w:t>
      </w:r>
      <w:r>
        <w:rPr>
          <w:rFonts w:hint="eastAsia" w:ascii="宋体" w:hAnsi="宋体" w:cs="宋体"/>
          <w:color w:val="000000"/>
          <w:szCs w:val="21"/>
          <w:highlight w:val="none"/>
          <w:u w:val="single"/>
        </w:rPr>
        <w:t xml:space="preserve">                    </w:t>
      </w:r>
    </w:p>
    <w:p w14:paraId="6F8D6A04">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合同类型：</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合同</w:t>
      </w:r>
    </w:p>
    <w:p w14:paraId="2FE3D840">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本合同为中小企业预留合同：</w:t>
      </w:r>
      <w:r>
        <w:rPr>
          <w:rFonts w:hint="eastAsia" w:ascii="宋体" w:hAnsi="宋体" w:cs="宋体"/>
          <w:color w:val="000000"/>
          <w:szCs w:val="21"/>
          <w:highlight w:val="none"/>
          <w:u w:val="single"/>
        </w:rPr>
        <w:t>（是/否）</w:t>
      </w:r>
      <w:r>
        <w:rPr>
          <w:rFonts w:hint="eastAsia" w:ascii="宋体" w:hAnsi="宋体" w:cs="宋体"/>
          <w:color w:val="000000"/>
          <w:szCs w:val="21"/>
          <w:highlight w:val="none"/>
        </w:rPr>
        <w:t>。</w:t>
      </w:r>
    </w:p>
    <w:p w14:paraId="72B197E0">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根据《中华人民共和国政府采购法》《中华人民共和国民法典》等法律、法规规定，按照</w:t>
      </w:r>
      <w:r>
        <w:rPr>
          <w:rFonts w:hint="eastAsia" w:ascii="宋体" w:hAnsi="宋体" w:cs="宋体"/>
          <w:color w:val="000000"/>
          <w:szCs w:val="21"/>
          <w:highlight w:val="none"/>
          <w:lang w:eastAsia="zh-CN"/>
        </w:rPr>
        <w:t>招标</w:t>
      </w:r>
      <w:r>
        <w:rPr>
          <w:rFonts w:hint="eastAsia" w:ascii="宋体" w:hAnsi="宋体" w:cs="宋体"/>
          <w:color w:val="000000"/>
          <w:szCs w:val="21"/>
          <w:highlight w:val="none"/>
        </w:rPr>
        <w:t>文件规定条款和中标人承诺，甲乙双方签订本合同。</w:t>
      </w:r>
    </w:p>
    <w:p w14:paraId="598F3146">
      <w:pPr>
        <w:spacing w:line="480" w:lineRule="exact"/>
        <w:ind w:firstLine="422" w:firstLineChars="200"/>
        <w:rPr>
          <w:rFonts w:ascii="宋体" w:hAnsi="宋体" w:cs="宋体"/>
          <w:b/>
          <w:bCs/>
          <w:color w:val="000000"/>
          <w:szCs w:val="21"/>
          <w:highlight w:val="none"/>
        </w:rPr>
      </w:pPr>
      <w:r>
        <w:rPr>
          <w:rFonts w:hint="eastAsia" w:ascii="宋体" w:hAnsi="宋体" w:cs="宋体"/>
          <w:b/>
          <w:bCs/>
          <w:color w:val="000000"/>
          <w:szCs w:val="21"/>
          <w:highlight w:val="none"/>
        </w:rPr>
        <w:t>第一条 合同标的</w:t>
      </w:r>
    </w:p>
    <w:p w14:paraId="31FCAFCE">
      <w:pPr>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供货一览表</w:t>
      </w:r>
    </w:p>
    <w:tbl>
      <w:tblPr>
        <w:tblStyle w:val="4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04"/>
        <w:gridCol w:w="1104"/>
        <w:gridCol w:w="1390"/>
        <w:gridCol w:w="1088"/>
        <w:gridCol w:w="1069"/>
        <w:gridCol w:w="1087"/>
        <w:gridCol w:w="1203"/>
      </w:tblGrid>
      <w:tr w14:paraId="550A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75" w:type="dxa"/>
            <w:vAlign w:val="center"/>
          </w:tcPr>
          <w:p w14:paraId="6CBF97A8">
            <w:pPr>
              <w:spacing w:line="480" w:lineRule="exact"/>
              <w:jc w:val="center"/>
              <w:rPr>
                <w:rFonts w:ascii="宋体" w:hAnsi="宋体" w:cs="宋体"/>
                <w:color w:val="000000"/>
                <w:szCs w:val="21"/>
                <w:highlight w:val="none"/>
              </w:rPr>
            </w:pPr>
            <w:r>
              <w:rPr>
                <w:rFonts w:hint="eastAsia" w:ascii="宋体" w:hAnsi="宋体" w:cs="宋体"/>
                <w:color w:val="000000"/>
                <w:szCs w:val="21"/>
                <w:highlight w:val="none"/>
              </w:rPr>
              <w:t>序号</w:t>
            </w:r>
          </w:p>
        </w:tc>
        <w:tc>
          <w:tcPr>
            <w:tcW w:w="1104" w:type="dxa"/>
            <w:vAlign w:val="center"/>
          </w:tcPr>
          <w:p w14:paraId="20CEB50E">
            <w:pPr>
              <w:spacing w:line="480" w:lineRule="exact"/>
              <w:jc w:val="center"/>
              <w:rPr>
                <w:rFonts w:ascii="宋体" w:hAnsi="宋体" w:cs="宋体"/>
                <w:color w:val="000000"/>
                <w:szCs w:val="21"/>
                <w:highlight w:val="none"/>
              </w:rPr>
            </w:pPr>
            <w:r>
              <w:rPr>
                <w:rFonts w:hint="eastAsia" w:ascii="宋体" w:hAnsi="宋体" w:cs="宋体"/>
                <w:color w:val="000000"/>
                <w:szCs w:val="21"/>
                <w:highlight w:val="none"/>
              </w:rPr>
              <w:t>标的名称</w:t>
            </w:r>
          </w:p>
        </w:tc>
        <w:tc>
          <w:tcPr>
            <w:tcW w:w="1104" w:type="dxa"/>
            <w:vAlign w:val="center"/>
          </w:tcPr>
          <w:p w14:paraId="0F3CAC14">
            <w:pPr>
              <w:spacing w:line="480" w:lineRule="exact"/>
              <w:jc w:val="center"/>
              <w:rPr>
                <w:rFonts w:ascii="宋体" w:hAnsi="宋体" w:cs="宋体"/>
                <w:color w:val="000000"/>
                <w:szCs w:val="21"/>
                <w:highlight w:val="none"/>
              </w:rPr>
            </w:pPr>
            <w:r>
              <w:rPr>
                <w:rFonts w:hint="eastAsia" w:ascii="宋体" w:hAnsi="宋体" w:cs="宋体"/>
                <w:color w:val="000000"/>
                <w:szCs w:val="21"/>
                <w:highlight w:val="none"/>
              </w:rPr>
              <w:t>商标品牌</w:t>
            </w:r>
          </w:p>
        </w:tc>
        <w:tc>
          <w:tcPr>
            <w:tcW w:w="1390" w:type="dxa"/>
            <w:vAlign w:val="center"/>
          </w:tcPr>
          <w:p w14:paraId="2907EA66">
            <w:pPr>
              <w:spacing w:line="480" w:lineRule="exact"/>
              <w:jc w:val="center"/>
              <w:rPr>
                <w:rFonts w:ascii="宋体" w:hAnsi="宋体" w:cs="宋体"/>
                <w:color w:val="000000"/>
                <w:szCs w:val="21"/>
                <w:highlight w:val="none"/>
              </w:rPr>
            </w:pPr>
            <w:r>
              <w:rPr>
                <w:rFonts w:hint="eastAsia" w:ascii="宋体" w:hAnsi="宋体" w:cs="宋体"/>
                <w:color w:val="000000"/>
                <w:szCs w:val="21"/>
                <w:highlight w:val="none"/>
              </w:rPr>
              <w:t>规格型号</w:t>
            </w:r>
          </w:p>
        </w:tc>
        <w:tc>
          <w:tcPr>
            <w:tcW w:w="1088" w:type="dxa"/>
            <w:vAlign w:val="center"/>
          </w:tcPr>
          <w:p w14:paraId="6DDE6E32">
            <w:pPr>
              <w:spacing w:line="480" w:lineRule="exact"/>
              <w:jc w:val="center"/>
              <w:rPr>
                <w:rFonts w:ascii="宋体" w:hAnsi="宋体" w:cs="宋体"/>
                <w:color w:val="000000"/>
                <w:szCs w:val="21"/>
                <w:highlight w:val="none"/>
              </w:rPr>
            </w:pPr>
            <w:r>
              <w:rPr>
                <w:rFonts w:hint="eastAsia" w:ascii="宋体" w:hAnsi="宋体" w:cs="宋体"/>
                <w:color w:val="000000"/>
                <w:szCs w:val="21"/>
                <w:highlight w:val="none"/>
              </w:rPr>
              <w:t>生产厂家</w:t>
            </w:r>
          </w:p>
        </w:tc>
        <w:tc>
          <w:tcPr>
            <w:tcW w:w="1069" w:type="dxa"/>
            <w:vAlign w:val="center"/>
          </w:tcPr>
          <w:p w14:paraId="0CF6C55A">
            <w:pPr>
              <w:spacing w:line="480" w:lineRule="exact"/>
              <w:jc w:val="center"/>
              <w:rPr>
                <w:rFonts w:ascii="宋体" w:hAnsi="宋体" w:cs="宋体"/>
                <w:color w:val="000000"/>
                <w:szCs w:val="21"/>
                <w:highlight w:val="none"/>
              </w:rPr>
            </w:pPr>
            <w:r>
              <w:rPr>
                <w:rFonts w:hint="eastAsia" w:ascii="宋体" w:hAnsi="宋体" w:cs="宋体"/>
                <w:color w:val="000000"/>
                <w:szCs w:val="21"/>
                <w:highlight w:val="none"/>
              </w:rPr>
              <w:t>数量</w:t>
            </w:r>
          </w:p>
          <w:p w14:paraId="578D6613">
            <w:pPr>
              <w:spacing w:line="480" w:lineRule="exact"/>
              <w:jc w:val="center"/>
              <w:rPr>
                <w:rFonts w:ascii="宋体" w:hAnsi="宋体" w:cs="宋体"/>
                <w:color w:val="000000"/>
                <w:szCs w:val="21"/>
                <w:highlight w:val="none"/>
              </w:rPr>
            </w:pPr>
            <w:r>
              <w:rPr>
                <w:rFonts w:hint="eastAsia" w:ascii="宋体" w:hAnsi="宋体" w:cs="宋体"/>
                <w:color w:val="000000"/>
                <w:szCs w:val="21"/>
                <w:highlight w:val="none"/>
              </w:rPr>
              <w:t>单位</w:t>
            </w:r>
          </w:p>
        </w:tc>
        <w:tc>
          <w:tcPr>
            <w:tcW w:w="1087" w:type="dxa"/>
            <w:vAlign w:val="center"/>
          </w:tcPr>
          <w:p w14:paraId="71E4B7CE">
            <w:pPr>
              <w:spacing w:line="480" w:lineRule="exact"/>
              <w:jc w:val="center"/>
              <w:rPr>
                <w:rFonts w:ascii="宋体" w:hAnsi="宋体" w:cs="宋体"/>
                <w:color w:val="000000"/>
                <w:szCs w:val="21"/>
                <w:highlight w:val="none"/>
              </w:rPr>
            </w:pPr>
            <w:r>
              <w:rPr>
                <w:rFonts w:hint="eastAsia" w:ascii="宋体" w:hAnsi="宋体" w:cs="宋体"/>
                <w:color w:val="000000"/>
                <w:szCs w:val="21"/>
                <w:highlight w:val="none"/>
              </w:rPr>
              <w:t>单价(元)</w:t>
            </w:r>
          </w:p>
        </w:tc>
        <w:tc>
          <w:tcPr>
            <w:tcW w:w="1203" w:type="dxa"/>
            <w:vAlign w:val="center"/>
          </w:tcPr>
          <w:p w14:paraId="547049C8">
            <w:pPr>
              <w:spacing w:line="480" w:lineRule="exact"/>
              <w:jc w:val="center"/>
              <w:rPr>
                <w:rFonts w:ascii="宋体" w:hAnsi="宋体" w:cs="宋体"/>
                <w:color w:val="000000"/>
                <w:szCs w:val="21"/>
                <w:highlight w:val="none"/>
              </w:rPr>
            </w:pPr>
            <w:r>
              <w:rPr>
                <w:rFonts w:hint="eastAsia" w:ascii="宋体" w:hAnsi="宋体" w:cs="宋体"/>
                <w:color w:val="000000"/>
                <w:szCs w:val="21"/>
                <w:highlight w:val="none"/>
              </w:rPr>
              <w:t>金额(元)</w:t>
            </w:r>
          </w:p>
        </w:tc>
      </w:tr>
      <w:tr w14:paraId="7383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75" w:type="dxa"/>
            <w:vAlign w:val="center"/>
          </w:tcPr>
          <w:p w14:paraId="35DEE3FB">
            <w:pPr>
              <w:spacing w:line="48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1104" w:type="dxa"/>
            <w:vAlign w:val="center"/>
          </w:tcPr>
          <w:p w14:paraId="1C2FBA6D">
            <w:pPr>
              <w:spacing w:line="480" w:lineRule="exact"/>
              <w:jc w:val="center"/>
              <w:rPr>
                <w:rFonts w:ascii="宋体" w:hAnsi="宋体" w:cs="宋体"/>
                <w:color w:val="000000"/>
                <w:szCs w:val="21"/>
                <w:highlight w:val="none"/>
              </w:rPr>
            </w:pPr>
          </w:p>
        </w:tc>
        <w:tc>
          <w:tcPr>
            <w:tcW w:w="1104" w:type="dxa"/>
            <w:vAlign w:val="center"/>
          </w:tcPr>
          <w:p w14:paraId="4EBDEF7C">
            <w:pPr>
              <w:spacing w:line="480" w:lineRule="exact"/>
              <w:rPr>
                <w:rFonts w:ascii="宋体" w:hAnsi="宋体" w:cs="宋体"/>
                <w:color w:val="000000"/>
                <w:szCs w:val="21"/>
                <w:highlight w:val="none"/>
              </w:rPr>
            </w:pPr>
          </w:p>
        </w:tc>
        <w:tc>
          <w:tcPr>
            <w:tcW w:w="1390" w:type="dxa"/>
            <w:vAlign w:val="center"/>
          </w:tcPr>
          <w:p w14:paraId="2B6C5952">
            <w:pPr>
              <w:spacing w:line="480" w:lineRule="exact"/>
              <w:jc w:val="center"/>
              <w:rPr>
                <w:rFonts w:ascii="宋体" w:hAnsi="宋体" w:cs="宋体"/>
                <w:color w:val="000000"/>
                <w:szCs w:val="21"/>
                <w:highlight w:val="none"/>
              </w:rPr>
            </w:pPr>
          </w:p>
        </w:tc>
        <w:tc>
          <w:tcPr>
            <w:tcW w:w="1088" w:type="dxa"/>
            <w:vAlign w:val="center"/>
          </w:tcPr>
          <w:p w14:paraId="24F06396">
            <w:pPr>
              <w:spacing w:line="480" w:lineRule="exact"/>
              <w:jc w:val="center"/>
              <w:rPr>
                <w:rFonts w:ascii="宋体" w:hAnsi="宋体" w:cs="宋体"/>
                <w:color w:val="000000"/>
                <w:szCs w:val="21"/>
                <w:highlight w:val="none"/>
              </w:rPr>
            </w:pPr>
          </w:p>
        </w:tc>
        <w:tc>
          <w:tcPr>
            <w:tcW w:w="1069" w:type="dxa"/>
            <w:vAlign w:val="center"/>
          </w:tcPr>
          <w:p w14:paraId="088C4E43">
            <w:pPr>
              <w:spacing w:line="480" w:lineRule="exact"/>
              <w:jc w:val="center"/>
              <w:rPr>
                <w:rFonts w:ascii="宋体" w:hAnsi="宋体" w:cs="宋体"/>
                <w:color w:val="000000"/>
                <w:szCs w:val="21"/>
                <w:highlight w:val="none"/>
              </w:rPr>
            </w:pPr>
          </w:p>
        </w:tc>
        <w:tc>
          <w:tcPr>
            <w:tcW w:w="1087" w:type="dxa"/>
            <w:vAlign w:val="center"/>
          </w:tcPr>
          <w:p w14:paraId="0E7DA6B7">
            <w:pPr>
              <w:spacing w:line="480" w:lineRule="exact"/>
              <w:jc w:val="center"/>
              <w:rPr>
                <w:rFonts w:ascii="宋体" w:hAnsi="宋体" w:cs="宋体"/>
                <w:color w:val="000000"/>
                <w:szCs w:val="21"/>
                <w:highlight w:val="none"/>
              </w:rPr>
            </w:pPr>
          </w:p>
        </w:tc>
        <w:tc>
          <w:tcPr>
            <w:tcW w:w="1203" w:type="dxa"/>
            <w:vAlign w:val="center"/>
          </w:tcPr>
          <w:p w14:paraId="0C05FE89">
            <w:pPr>
              <w:spacing w:line="480" w:lineRule="exact"/>
              <w:jc w:val="center"/>
              <w:rPr>
                <w:rFonts w:ascii="宋体" w:hAnsi="宋体" w:cs="宋体"/>
                <w:color w:val="000000"/>
                <w:szCs w:val="21"/>
                <w:highlight w:val="none"/>
              </w:rPr>
            </w:pPr>
          </w:p>
        </w:tc>
      </w:tr>
      <w:tr w14:paraId="6284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75" w:type="dxa"/>
            <w:vAlign w:val="center"/>
          </w:tcPr>
          <w:p w14:paraId="1E24553D">
            <w:pPr>
              <w:spacing w:line="480" w:lineRule="exact"/>
              <w:jc w:val="center"/>
              <w:rPr>
                <w:rFonts w:ascii="宋体" w:hAnsi="宋体" w:cs="宋体"/>
                <w:color w:val="000000"/>
                <w:szCs w:val="21"/>
                <w:highlight w:val="none"/>
              </w:rPr>
            </w:pPr>
            <w:r>
              <w:rPr>
                <w:rFonts w:hint="eastAsia" w:ascii="宋体" w:hAnsi="宋体" w:cs="宋体"/>
                <w:color w:val="000000"/>
                <w:szCs w:val="21"/>
                <w:highlight w:val="none"/>
              </w:rPr>
              <w:t>2</w:t>
            </w:r>
          </w:p>
        </w:tc>
        <w:tc>
          <w:tcPr>
            <w:tcW w:w="1104" w:type="dxa"/>
            <w:vAlign w:val="center"/>
          </w:tcPr>
          <w:p w14:paraId="2335E3F9">
            <w:pPr>
              <w:spacing w:line="480" w:lineRule="exact"/>
              <w:jc w:val="center"/>
              <w:rPr>
                <w:rFonts w:ascii="宋体" w:hAnsi="宋体" w:cs="宋体"/>
                <w:color w:val="000000"/>
                <w:szCs w:val="21"/>
                <w:highlight w:val="none"/>
              </w:rPr>
            </w:pPr>
          </w:p>
        </w:tc>
        <w:tc>
          <w:tcPr>
            <w:tcW w:w="1104" w:type="dxa"/>
            <w:vAlign w:val="center"/>
          </w:tcPr>
          <w:p w14:paraId="09F9BBD0">
            <w:pPr>
              <w:spacing w:line="480" w:lineRule="exact"/>
              <w:rPr>
                <w:rFonts w:ascii="宋体" w:hAnsi="宋体" w:cs="宋体"/>
                <w:color w:val="000000"/>
                <w:szCs w:val="21"/>
                <w:highlight w:val="none"/>
              </w:rPr>
            </w:pPr>
          </w:p>
        </w:tc>
        <w:tc>
          <w:tcPr>
            <w:tcW w:w="1390" w:type="dxa"/>
            <w:vAlign w:val="center"/>
          </w:tcPr>
          <w:p w14:paraId="64092718">
            <w:pPr>
              <w:spacing w:line="480" w:lineRule="exact"/>
              <w:jc w:val="center"/>
              <w:rPr>
                <w:rFonts w:ascii="宋体" w:hAnsi="宋体" w:cs="宋体"/>
                <w:color w:val="000000"/>
                <w:szCs w:val="21"/>
                <w:highlight w:val="none"/>
              </w:rPr>
            </w:pPr>
          </w:p>
        </w:tc>
        <w:tc>
          <w:tcPr>
            <w:tcW w:w="1088" w:type="dxa"/>
            <w:vAlign w:val="center"/>
          </w:tcPr>
          <w:p w14:paraId="32D65AA9">
            <w:pPr>
              <w:spacing w:line="480" w:lineRule="exact"/>
              <w:jc w:val="center"/>
              <w:rPr>
                <w:rFonts w:ascii="宋体" w:hAnsi="宋体" w:cs="宋体"/>
                <w:color w:val="000000"/>
                <w:szCs w:val="21"/>
                <w:highlight w:val="none"/>
              </w:rPr>
            </w:pPr>
          </w:p>
        </w:tc>
        <w:tc>
          <w:tcPr>
            <w:tcW w:w="1069" w:type="dxa"/>
            <w:vAlign w:val="center"/>
          </w:tcPr>
          <w:p w14:paraId="3FA6E93C">
            <w:pPr>
              <w:spacing w:line="480" w:lineRule="exact"/>
              <w:jc w:val="center"/>
              <w:rPr>
                <w:rFonts w:ascii="宋体" w:hAnsi="宋体" w:cs="宋体"/>
                <w:color w:val="000000"/>
                <w:szCs w:val="21"/>
                <w:highlight w:val="none"/>
              </w:rPr>
            </w:pPr>
          </w:p>
        </w:tc>
        <w:tc>
          <w:tcPr>
            <w:tcW w:w="1087" w:type="dxa"/>
            <w:vAlign w:val="center"/>
          </w:tcPr>
          <w:p w14:paraId="4A6C46C9">
            <w:pPr>
              <w:spacing w:line="480" w:lineRule="exact"/>
              <w:jc w:val="center"/>
              <w:rPr>
                <w:rFonts w:ascii="宋体" w:hAnsi="宋体" w:cs="宋体"/>
                <w:color w:val="000000"/>
                <w:szCs w:val="21"/>
                <w:highlight w:val="none"/>
              </w:rPr>
            </w:pPr>
          </w:p>
        </w:tc>
        <w:tc>
          <w:tcPr>
            <w:tcW w:w="1203" w:type="dxa"/>
            <w:vAlign w:val="center"/>
          </w:tcPr>
          <w:p w14:paraId="7736C587">
            <w:pPr>
              <w:spacing w:line="480" w:lineRule="exact"/>
              <w:jc w:val="center"/>
              <w:rPr>
                <w:rFonts w:ascii="宋体" w:hAnsi="宋体" w:cs="宋体"/>
                <w:color w:val="000000"/>
                <w:szCs w:val="21"/>
                <w:highlight w:val="none"/>
              </w:rPr>
            </w:pPr>
          </w:p>
        </w:tc>
      </w:tr>
      <w:tr w14:paraId="0FB4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720" w:type="dxa"/>
            <w:gridSpan w:val="8"/>
            <w:vAlign w:val="center"/>
          </w:tcPr>
          <w:p w14:paraId="22E3FC7D">
            <w:pPr>
              <w:spacing w:line="480" w:lineRule="exact"/>
              <w:rPr>
                <w:rFonts w:ascii="宋体" w:hAnsi="宋体" w:cs="宋体"/>
                <w:color w:val="000000"/>
                <w:szCs w:val="21"/>
                <w:highlight w:val="none"/>
              </w:rPr>
            </w:pPr>
            <w:r>
              <w:rPr>
                <w:rFonts w:hint="eastAsia" w:ascii="宋体" w:hAnsi="宋体" w:cs="宋体"/>
                <w:color w:val="000000"/>
                <w:szCs w:val="21"/>
                <w:highlight w:val="none"/>
              </w:rPr>
              <w:t xml:space="preserve">人民币合计金额(大写)                    (小写)               </w:t>
            </w:r>
          </w:p>
        </w:tc>
      </w:tr>
    </w:tbl>
    <w:p w14:paraId="585ED863">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合同合计金额包括投标报价</w:t>
      </w:r>
      <w:r>
        <w:rPr>
          <w:rFonts w:hint="eastAsia" w:ascii="宋体" w:hAnsi="宋体" w:eastAsia="宋体" w:cs="宋体"/>
          <w:szCs w:val="21"/>
          <w:highlight w:val="none"/>
        </w:rPr>
        <w:t>包括投标货物（包括备品备件、专用工具等）的价格，投标货物运输（含保险）、安装（如有）、调试、检验、技术服务、培训和</w:t>
      </w:r>
      <w:r>
        <w:rPr>
          <w:rFonts w:hint="eastAsia" w:ascii="宋体" w:hAnsi="宋体" w:cs="宋体"/>
          <w:bCs/>
          <w:color w:val="000000"/>
          <w:szCs w:val="21"/>
          <w:highlight w:val="none"/>
          <w:lang w:eastAsia="zh-CN"/>
        </w:rPr>
        <w:t>招标</w:t>
      </w:r>
      <w:r>
        <w:rPr>
          <w:rFonts w:hint="eastAsia" w:ascii="宋体" w:hAnsi="宋体" w:eastAsia="宋体" w:cs="宋体"/>
          <w:szCs w:val="21"/>
          <w:highlight w:val="none"/>
        </w:rPr>
        <w:t>文件要求提供的所有伴随服务、工程等费用和税费</w:t>
      </w:r>
      <w:r>
        <w:rPr>
          <w:rFonts w:hint="eastAsia" w:ascii="宋体" w:hAnsi="宋体" w:cs="宋体"/>
          <w:color w:val="000000"/>
          <w:szCs w:val="21"/>
          <w:highlight w:val="none"/>
        </w:rPr>
        <w:t>，以及合同明示或暗示的所有责任、义务和一般风险等一切费用。</w:t>
      </w:r>
    </w:p>
    <w:p w14:paraId="0C0F8A37">
      <w:pPr>
        <w:spacing w:line="480" w:lineRule="exact"/>
        <w:ind w:firstLine="422" w:firstLineChars="200"/>
        <w:rPr>
          <w:rFonts w:ascii="宋体" w:hAnsi="宋体" w:cs="宋体"/>
          <w:b/>
          <w:bCs/>
          <w:color w:val="000000"/>
          <w:szCs w:val="21"/>
          <w:highlight w:val="none"/>
        </w:rPr>
      </w:pPr>
      <w:r>
        <w:rPr>
          <w:rFonts w:hint="eastAsia" w:ascii="宋体" w:hAnsi="宋体" w:cs="宋体"/>
          <w:b/>
          <w:bCs/>
          <w:color w:val="000000"/>
          <w:szCs w:val="21"/>
          <w:highlight w:val="none"/>
        </w:rPr>
        <w:t>第二条 质量保证</w:t>
      </w:r>
    </w:p>
    <w:p w14:paraId="4465FFDB">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乙方所提供的货物型号、技术规格、技术参数等应符合</w:t>
      </w:r>
      <w:r>
        <w:rPr>
          <w:rFonts w:hint="eastAsia" w:ascii="宋体" w:hAnsi="宋体" w:cs="宋体"/>
          <w:color w:val="000000"/>
          <w:szCs w:val="21"/>
          <w:highlight w:val="none"/>
          <w:lang w:eastAsia="zh-Hans"/>
        </w:rPr>
        <w:t>国家标准、行业标准、地方标准等标准、规范（上述标准、规范有出入的，以较严格为准）</w:t>
      </w:r>
      <w:r>
        <w:rPr>
          <w:rFonts w:hint="eastAsia" w:ascii="宋体" w:hAnsi="宋体" w:cs="宋体"/>
          <w:color w:val="000000"/>
          <w:szCs w:val="21"/>
          <w:highlight w:val="none"/>
        </w:rPr>
        <w:t>，并与公告规定、</w:t>
      </w:r>
      <w:r>
        <w:rPr>
          <w:rFonts w:hint="eastAsia" w:ascii="宋体" w:hAnsi="宋体" w:cs="宋体"/>
          <w:bCs/>
          <w:color w:val="000000"/>
          <w:szCs w:val="21"/>
          <w:highlight w:val="none"/>
          <w:lang w:eastAsia="zh-CN"/>
        </w:rPr>
        <w:t>招标</w:t>
      </w:r>
      <w:r>
        <w:rPr>
          <w:rFonts w:hint="eastAsia" w:ascii="宋体" w:hAnsi="宋体" w:cs="宋体"/>
          <w:color w:val="000000"/>
          <w:szCs w:val="21"/>
          <w:highlight w:val="none"/>
        </w:rPr>
        <w:t>文件及投标文件承诺的质量相一致，以确保使用过程的安全有效</w:t>
      </w:r>
      <w:r>
        <w:rPr>
          <w:rFonts w:hint="eastAsia" w:ascii="宋体" w:hAnsi="宋体" w:cs="宋体"/>
          <w:color w:val="000000"/>
          <w:szCs w:val="21"/>
          <w:highlight w:val="none"/>
          <w:lang w:eastAsia="zh-Hans"/>
        </w:rPr>
        <w:t>，如</w:t>
      </w:r>
      <w:r>
        <w:rPr>
          <w:rFonts w:hint="eastAsia" w:ascii="宋体" w:hAnsi="宋体" w:cs="宋体"/>
          <w:bCs/>
          <w:color w:val="000000"/>
          <w:szCs w:val="21"/>
          <w:highlight w:val="none"/>
          <w:lang w:eastAsia="zh-CN"/>
        </w:rPr>
        <w:t>招标</w:t>
      </w:r>
      <w:r>
        <w:rPr>
          <w:rFonts w:hint="eastAsia" w:ascii="宋体" w:hAnsi="宋体" w:cs="宋体"/>
          <w:color w:val="000000"/>
          <w:szCs w:val="21"/>
          <w:highlight w:val="none"/>
          <w:lang w:eastAsia="zh-Hans"/>
        </w:rPr>
        <w:t>文件中明确对货物提出更高的技术要求的，乙方还应当确保符合</w:t>
      </w:r>
      <w:r>
        <w:rPr>
          <w:rFonts w:hint="eastAsia" w:ascii="宋体" w:hAnsi="宋体" w:cs="宋体"/>
          <w:bCs/>
          <w:color w:val="000000"/>
          <w:szCs w:val="21"/>
          <w:highlight w:val="none"/>
          <w:lang w:eastAsia="zh-CN"/>
        </w:rPr>
        <w:t>招标</w:t>
      </w:r>
      <w:r>
        <w:rPr>
          <w:rFonts w:hint="eastAsia" w:ascii="宋体" w:hAnsi="宋体" w:cs="宋体"/>
          <w:color w:val="000000"/>
          <w:szCs w:val="21"/>
          <w:highlight w:val="none"/>
          <w:lang w:eastAsia="zh-Hans"/>
        </w:rPr>
        <w:t>文件提出的技术要求</w:t>
      </w:r>
      <w:r>
        <w:rPr>
          <w:rFonts w:hint="eastAsia" w:ascii="宋体" w:hAnsi="宋体" w:cs="宋体"/>
          <w:color w:val="000000"/>
          <w:szCs w:val="21"/>
          <w:highlight w:val="none"/>
        </w:rPr>
        <w:t>。</w:t>
      </w:r>
    </w:p>
    <w:p w14:paraId="194C7B09">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乙方所提供的货物必须是全新、未使用的原装产品，且在正常安装、使用和保养条件下，其使用寿命期内各项指标均达到公告规定、</w:t>
      </w:r>
      <w:r>
        <w:rPr>
          <w:rFonts w:hint="eastAsia" w:ascii="宋体" w:hAnsi="宋体" w:cs="宋体"/>
          <w:bCs/>
          <w:color w:val="000000"/>
          <w:szCs w:val="21"/>
          <w:highlight w:val="none"/>
          <w:lang w:eastAsia="zh-CN"/>
        </w:rPr>
        <w:t>招标</w:t>
      </w:r>
      <w:r>
        <w:rPr>
          <w:rFonts w:hint="eastAsia" w:ascii="宋体" w:hAnsi="宋体" w:cs="宋体"/>
          <w:color w:val="000000"/>
          <w:szCs w:val="21"/>
          <w:highlight w:val="none"/>
        </w:rPr>
        <w:t>文件或投标文件承诺的质量要求。</w:t>
      </w:r>
    </w:p>
    <w:p w14:paraId="1E79E7B1">
      <w:pPr>
        <w:spacing w:line="480" w:lineRule="exact"/>
        <w:ind w:firstLine="422" w:firstLineChars="200"/>
        <w:rPr>
          <w:rFonts w:ascii="宋体" w:hAnsi="宋体" w:cs="宋体"/>
          <w:b/>
          <w:bCs/>
          <w:color w:val="000000"/>
          <w:szCs w:val="21"/>
          <w:highlight w:val="none"/>
        </w:rPr>
      </w:pPr>
      <w:r>
        <w:rPr>
          <w:rFonts w:hint="eastAsia" w:ascii="宋体" w:hAnsi="宋体" w:cs="宋体"/>
          <w:b/>
          <w:bCs/>
          <w:color w:val="000000"/>
          <w:szCs w:val="21"/>
          <w:highlight w:val="none"/>
        </w:rPr>
        <w:t>第三条 权利保证</w:t>
      </w:r>
    </w:p>
    <w:p w14:paraId="1D59B5CB">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乙方应保证所提供货物在使用时不会侵犯任何第三方的专利权、商标权、工业设计权或其他权利。</w:t>
      </w:r>
    </w:p>
    <w:p w14:paraId="23A03C1A">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乙方应按公告规定、</w:t>
      </w:r>
      <w:r>
        <w:rPr>
          <w:rFonts w:hint="eastAsia" w:ascii="宋体" w:hAnsi="宋体" w:cs="宋体"/>
          <w:bCs/>
          <w:color w:val="000000"/>
          <w:szCs w:val="21"/>
          <w:highlight w:val="none"/>
          <w:lang w:eastAsia="zh-CN"/>
        </w:rPr>
        <w:t>招标</w:t>
      </w:r>
      <w:r>
        <w:rPr>
          <w:rFonts w:hint="eastAsia" w:ascii="宋体" w:hAnsi="宋体" w:cs="宋体"/>
          <w:color w:val="000000"/>
          <w:szCs w:val="21"/>
          <w:highlight w:val="none"/>
        </w:rPr>
        <w:t>文件或投标文件承诺的时间向甲方提供使用货物的有关技术资料。</w:t>
      </w:r>
    </w:p>
    <w:p w14:paraId="75E81452">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73045518">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乙方保证将要交付的货物的所有权完全属于乙方，且无任何抵押、质押、查封等产权瑕疵。</w:t>
      </w:r>
    </w:p>
    <w:p w14:paraId="55773565">
      <w:pPr>
        <w:spacing w:line="480" w:lineRule="exact"/>
        <w:ind w:firstLine="422" w:firstLineChars="200"/>
        <w:rPr>
          <w:rFonts w:ascii="宋体" w:hAnsi="宋体" w:cs="宋体"/>
          <w:b/>
          <w:bCs/>
          <w:color w:val="000000"/>
          <w:szCs w:val="21"/>
          <w:highlight w:val="none"/>
        </w:rPr>
      </w:pPr>
      <w:r>
        <w:rPr>
          <w:rFonts w:hint="eastAsia" w:ascii="宋体" w:hAnsi="宋体" w:cs="宋体"/>
          <w:b/>
          <w:bCs/>
          <w:color w:val="000000"/>
          <w:szCs w:val="21"/>
          <w:highlight w:val="none"/>
        </w:rPr>
        <w:t>第四条 包装和运输</w:t>
      </w:r>
    </w:p>
    <w:p w14:paraId="015B1333">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乙方提供的货物均应按照公告规定、</w:t>
      </w:r>
      <w:r>
        <w:rPr>
          <w:rFonts w:hint="eastAsia" w:ascii="宋体" w:hAnsi="宋体" w:cs="宋体"/>
          <w:bCs/>
          <w:color w:val="000000"/>
          <w:szCs w:val="21"/>
          <w:highlight w:val="none"/>
          <w:lang w:eastAsia="zh-CN"/>
        </w:rPr>
        <w:t>招标</w:t>
      </w:r>
      <w:r>
        <w:rPr>
          <w:rFonts w:hint="eastAsia" w:ascii="宋体" w:hAnsi="宋体" w:cs="宋体"/>
          <w:color w:val="000000"/>
          <w:szCs w:val="21"/>
          <w:highlight w:val="none"/>
        </w:rPr>
        <w:t>文件或投标文件承诺的包装材料、包装标准、包装方式进行包装，每一包装单元内应附详细的装箱单和质量合格证。</w:t>
      </w:r>
    </w:p>
    <w:p w14:paraId="745F7618">
      <w:pPr>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货物的运输方式：</w:t>
      </w:r>
      <w:r>
        <w:rPr>
          <w:rFonts w:hint="eastAsia" w:ascii="宋体" w:hAnsi="宋体" w:cs="宋体"/>
          <w:color w:val="000000"/>
          <w:szCs w:val="21"/>
          <w:highlight w:val="none"/>
          <w:u w:val="single"/>
        </w:rPr>
        <w:t xml:space="preserve">  </w:t>
      </w:r>
      <w:r>
        <w:rPr>
          <w:rFonts w:hint="eastAsia" w:ascii="宋体" w:hAnsi="宋体" w:cs="宋体"/>
          <w:color w:val="000000"/>
          <w:kern w:val="1"/>
          <w:szCs w:val="21"/>
          <w:highlight w:val="none"/>
          <w:u w:val="single"/>
          <w:lang w:eastAsia="ar-SA"/>
        </w:rPr>
        <w:t>不限</w:t>
      </w:r>
      <w:r>
        <w:rPr>
          <w:rFonts w:hint="eastAsia" w:ascii="宋体" w:hAnsi="宋体" w:cs="宋体"/>
          <w:color w:val="000000"/>
          <w:szCs w:val="21"/>
          <w:highlight w:val="none"/>
          <w:u w:val="single"/>
        </w:rPr>
        <w:t xml:space="preserve">            </w:t>
      </w:r>
    </w:p>
    <w:p w14:paraId="080EB8B4">
      <w:pPr>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乙方负责货物运输及相关费用，货物运输合理损耗及计算方法：</w:t>
      </w:r>
      <w:r>
        <w:rPr>
          <w:rFonts w:hint="eastAsia" w:ascii="宋体" w:hAnsi="宋体" w:cs="宋体"/>
          <w:color w:val="000000"/>
          <w:szCs w:val="21"/>
          <w:highlight w:val="none"/>
          <w:u w:val="single"/>
        </w:rPr>
        <w:t>货物运输保险费已包含在合同总价中，乙方须确保货物安全无损地运抵安装地点</w:t>
      </w:r>
      <w:r>
        <w:rPr>
          <w:rFonts w:hint="eastAsia" w:ascii="宋体" w:hAnsi="宋体" w:cs="宋体"/>
          <w:color w:val="000000"/>
          <w:szCs w:val="21"/>
          <w:highlight w:val="none"/>
        </w:rPr>
        <w:t>。</w:t>
      </w:r>
    </w:p>
    <w:p w14:paraId="099EBF12">
      <w:pPr>
        <w:spacing w:line="480" w:lineRule="exact"/>
        <w:ind w:firstLine="422" w:firstLineChars="200"/>
        <w:rPr>
          <w:rFonts w:ascii="宋体" w:hAnsi="宋体" w:cs="宋体"/>
          <w:b/>
          <w:color w:val="000000"/>
          <w:szCs w:val="21"/>
          <w:highlight w:val="none"/>
        </w:rPr>
      </w:pPr>
      <w:r>
        <w:rPr>
          <w:rFonts w:hint="eastAsia" w:ascii="宋体" w:hAnsi="宋体" w:cs="宋体"/>
          <w:b/>
          <w:color w:val="000000"/>
          <w:szCs w:val="21"/>
          <w:highlight w:val="none"/>
        </w:rPr>
        <w:t>第五条 交付和验收</w:t>
      </w:r>
    </w:p>
    <w:p w14:paraId="13177EDA">
      <w:pPr>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交货时间：</w:t>
      </w:r>
      <w:r>
        <w:rPr>
          <w:rFonts w:hint="eastAsia" w:ascii="宋体" w:hAnsi="宋体" w:cs="宋体"/>
          <w:color w:val="000000"/>
          <w:szCs w:val="21"/>
          <w:highlight w:val="none"/>
          <w:u w:val="single"/>
        </w:rPr>
        <w:t xml:space="preserve"> 按乙方投标文件中所承诺的时间 </w:t>
      </w:r>
      <w:r>
        <w:rPr>
          <w:rFonts w:hint="eastAsia" w:ascii="宋体" w:hAnsi="宋体" w:cs="宋体"/>
          <w:color w:val="000000"/>
          <w:szCs w:val="21"/>
          <w:highlight w:val="none"/>
        </w:rPr>
        <w:t>；交货地点：</w:t>
      </w:r>
      <w:r>
        <w:rPr>
          <w:rFonts w:hint="eastAsia" w:ascii="宋体" w:hAnsi="宋体" w:cs="宋体"/>
          <w:color w:val="000000"/>
          <w:szCs w:val="21"/>
          <w:highlight w:val="none"/>
          <w:u w:val="single"/>
        </w:rPr>
        <w:t>广西南宁市（甲方指定地点）</w:t>
      </w:r>
      <w:r>
        <w:rPr>
          <w:rFonts w:hint="eastAsia" w:ascii="宋体" w:hAnsi="宋体" w:cs="宋体"/>
          <w:color w:val="000000"/>
          <w:szCs w:val="21"/>
          <w:highlight w:val="none"/>
        </w:rPr>
        <w:t>。</w:t>
      </w:r>
    </w:p>
    <w:p w14:paraId="16D2B194">
      <w:pPr>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乙方提供不符合公告规定的、</w:t>
      </w:r>
      <w:r>
        <w:rPr>
          <w:rFonts w:hint="eastAsia" w:ascii="宋体" w:hAnsi="宋体" w:cs="宋体"/>
          <w:color w:val="000000"/>
          <w:szCs w:val="21"/>
          <w:highlight w:val="none"/>
          <w:lang w:eastAsia="zh-CN"/>
        </w:rPr>
        <w:t>招标</w:t>
      </w:r>
      <w:r>
        <w:rPr>
          <w:rFonts w:hint="eastAsia" w:ascii="宋体" w:hAnsi="宋体" w:cs="宋体"/>
          <w:color w:val="000000"/>
          <w:szCs w:val="21"/>
          <w:highlight w:val="none"/>
        </w:rPr>
        <w:t>文件、投标文件承诺的或本合同规定的货物，甲方有权拒绝接受。</w:t>
      </w:r>
    </w:p>
    <w:p w14:paraId="02C766B4">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3.乙方应将所提供货物的装箱清单、用户手册、原厂保修卡、随机资料、工具和备品、备件等交付给甲方，如有缺失应在甲方要求的合理时间内及时补齐，否则视为逾期交货。</w:t>
      </w:r>
    </w:p>
    <w:p w14:paraId="0D38A900">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4.甲方应当在到货并安装、调试完后</w:t>
      </w:r>
      <w:bookmarkStart w:id="158" w:name="OLE_LINK11"/>
      <w:bookmarkStart w:id="159" w:name="OLE_LINK12"/>
      <w:r>
        <w:rPr>
          <w:rFonts w:hint="eastAsia" w:ascii="宋体" w:hAnsi="宋体" w:cs="宋体"/>
          <w:color w:val="000000"/>
          <w:szCs w:val="21"/>
          <w:highlight w:val="none"/>
        </w:rPr>
        <w:t>一个月内进行验收</w:t>
      </w:r>
      <w:bookmarkEnd w:id="158"/>
      <w:bookmarkEnd w:id="159"/>
      <w:r>
        <w:rPr>
          <w:rFonts w:hint="eastAsia" w:ascii="宋体" w:hAnsi="宋体" w:cs="宋体"/>
          <w:color w:val="000000"/>
          <w:szCs w:val="21"/>
          <w:highlight w:val="none"/>
        </w:rPr>
        <w:t>。验收合格后由甲乙双方签署货物验收单并加盖采购单位公章，甲乙双方各执一份。</w:t>
      </w:r>
      <w:r>
        <w:rPr>
          <w:rFonts w:hint="eastAsia" w:ascii="宋体" w:hAnsi="宋体" w:cs="宋体"/>
          <w:color w:val="000000"/>
          <w:szCs w:val="21"/>
          <w:highlight w:val="none"/>
          <w:lang w:val="en-US" w:eastAsia="zh-CN"/>
        </w:rPr>
        <w:t>甲方签署货物验收单并不免除乙方对货物的质量保证责任，甲方在使用货物过程中，货物存在产品质量问题的，乙方承担因此产生的所有责任。</w:t>
      </w:r>
    </w:p>
    <w:p w14:paraId="04CA9419">
      <w:pPr>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5.若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2C19F41C">
      <w:pPr>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6.甲方对验收有异议的，在验收后五个工作日内以书面形式向乙方提出，乙方应自收到甲方书面异议后五日内及时予以解决。</w:t>
      </w:r>
    </w:p>
    <w:p w14:paraId="23E0A277">
      <w:pPr>
        <w:spacing w:line="480" w:lineRule="exact"/>
        <w:ind w:firstLine="422" w:firstLineChars="200"/>
        <w:rPr>
          <w:rFonts w:ascii="宋体" w:hAnsi="宋体" w:cs="宋体"/>
          <w:b/>
          <w:bCs/>
          <w:color w:val="000000"/>
          <w:szCs w:val="21"/>
          <w:highlight w:val="none"/>
        </w:rPr>
      </w:pPr>
      <w:r>
        <w:rPr>
          <w:rFonts w:hint="eastAsia" w:ascii="宋体" w:hAnsi="宋体" w:cs="宋体"/>
          <w:b/>
          <w:bCs/>
          <w:color w:val="000000"/>
          <w:szCs w:val="21"/>
          <w:highlight w:val="none"/>
        </w:rPr>
        <w:t>第六条 安装和培训</w:t>
      </w:r>
    </w:p>
    <w:p w14:paraId="52D3C94F">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甲方应提供必要安装条件（如场地、电源、水源等）。乙方应在到货之日起</w:t>
      </w:r>
      <w:r>
        <w:rPr>
          <w:rFonts w:hint="eastAsia" w:ascii="宋体" w:hAnsi="宋体" w:cs="宋体"/>
          <w:color w:val="000000"/>
          <w:szCs w:val="21"/>
          <w:highlight w:val="none"/>
          <w:u w:val="single"/>
        </w:rPr>
        <w:t xml:space="preserve"> 3 </w:t>
      </w:r>
      <w:r>
        <w:rPr>
          <w:rFonts w:hint="eastAsia" w:ascii="宋体" w:hAnsi="宋体" w:cs="宋体"/>
          <w:color w:val="000000"/>
          <w:szCs w:val="21"/>
          <w:highlight w:val="none"/>
        </w:rPr>
        <w:t>个工作日内对货物进行安装、调试。</w:t>
      </w:r>
    </w:p>
    <w:p w14:paraId="51385D36">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乙方负责甲方有关人员的培训</w:t>
      </w:r>
      <w:r>
        <w:rPr>
          <w:rFonts w:hint="eastAsia" w:ascii="宋体" w:hAnsi="宋体" w:cs="宋体"/>
          <w:color w:val="000000"/>
          <w:szCs w:val="21"/>
          <w:highlight w:val="none"/>
          <w:lang w:eastAsia="zh-Hans"/>
        </w:rPr>
        <w:t>，具体培训时间、地点由甲方予以确定</w:t>
      </w:r>
      <w:r>
        <w:rPr>
          <w:rFonts w:hint="eastAsia" w:ascii="宋体" w:hAnsi="宋体" w:cs="宋体"/>
          <w:color w:val="000000"/>
          <w:szCs w:val="21"/>
          <w:highlight w:val="none"/>
        </w:rPr>
        <w:t>。</w:t>
      </w:r>
    </w:p>
    <w:p w14:paraId="786F30CA">
      <w:pPr>
        <w:spacing w:line="480" w:lineRule="exact"/>
        <w:ind w:firstLine="422" w:firstLineChars="200"/>
        <w:rPr>
          <w:rFonts w:ascii="宋体" w:hAnsi="宋体" w:cs="宋体"/>
          <w:b/>
          <w:color w:val="000000"/>
          <w:szCs w:val="21"/>
          <w:highlight w:val="none"/>
        </w:rPr>
      </w:pPr>
      <w:r>
        <w:rPr>
          <w:rFonts w:hint="eastAsia" w:ascii="宋体" w:hAnsi="宋体" w:cs="宋体"/>
          <w:b/>
          <w:color w:val="000000"/>
          <w:szCs w:val="21"/>
          <w:highlight w:val="none"/>
        </w:rPr>
        <w:t>第七条 售后服务、质保期</w:t>
      </w:r>
    </w:p>
    <w:p w14:paraId="6455281C">
      <w:pPr>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kern w:val="1"/>
          <w:szCs w:val="21"/>
          <w:highlight w:val="none"/>
        </w:rPr>
        <w:t xml:space="preserve"> </w:t>
      </w:r>
      <w:r>
        <w:rPr>
          <w:rFonts w:hint="eastAsia" w:ascii="宋体" w:hAnsi="宋体" w:cs="宋体"/>
          <w:color w:val="000000"/>
          <w:szCs w:val="21"/>
          <w:highlight w:val="none"/>
        </w:rPr>
        <w:t>乙方应按照国家有关法律法规和“三包”规定以及公告、</w:t>
      </w:r>
      <w:r>
        <w:rPr>
          <w:rFonts w:hint="eastAsia" w:ascii="宋体" w:hAnsi="宋体" w:cs="宋体"/>
          <w:bCs/>
          <w:color w:val="000000"/>
          <w:szCs w:val="21"/>
          <w:highlight w:val="none"/>
          <w:lang w:eastAsia="zh-CN"/>
        </w:rPr>
        <w:t>招标</w:t>
      </w:r>
      <w:r>
        <w:rPr>
          <w:rFonts w:hint="eastAsia" w:ascii="宋体" w:hAnsi="宋体" w:cs="宋体"/>
          <w:color w:val="000000"/>
          <w:szCs w:val="21"/>
          <w:highlight w:val="none"/>
        </w:rPr>
        <w:t>文件投标文件和本合同所附的《服务承诺》，为甲方提供售后服务。</w:t>
      </w:r>
    </w:p>
    <w:p w14:paraId="3D67808A">
      <w:pPr>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货物保修期：</w:t>
      </w:r>
      <w:r>
        <w:rPr>
          <w:rFonts w:hint="eastAsia" w:ascii="宋体" w:hAnsi="宋体" w:cs="宋体"/>
          <w:color w:val="000000"/>
          <w:szCs w:val="21"/>
          <w:highlight w:val="none"/>
          <w:u w:val="single"/>
        </w:rPr>
        <w:t xml:space="preserve"> 按乙方承诺，但是不得低于国家相关标准</w:t>
      </w:r>
      <w:r>
        <w:rPr>
          <w:rFonts w:hint="eastAsia" w:ascii="宋体" w:hAnsi="宋体" w:cs="宋体"/>
          <w:color w:val="000000"/>
          <w:szCs w:val="21"/>
          <w:highlight w:val="none"/>
          <w:u w:val="single"/>
          <w:lang w:eastAsia="zh-CN"/>
        </w:rPr>
        <w:t>，</w:t>
      </w:r>
      <w:r>
        <w:rPr>
          <w:rFonts w:hint="eastAsia"/>
          <w:highlight w:val="none"/>
          <w:u w:val="single"/>
          <w:lang w:val="en-US" w:eastAsia="zh-CN"/>
        </w:rPr>
        <w:t>以及采购文件规定的标准</w:t>
      </w:r>
      <w:r>
        <w:rPr>
          <w:rFonts w:hint="eastAsia"/>
          <w:highlight w:val="none"/>
          <w:lang w:val="en-US" w:eastAsia="zh-CN"/>
        </w:rPr>
        <w:t>。</w:t>
      </w:r>
    </w:p>
    <w:p w14:paraId="1BF18116">
      <w:pPr>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kern w:val="1"/>
          <w:szCs w:val="21"/>
          <w:highlight w:val="none"/>
          <w:lang w:eastAsia="ar-SA"/>
        </w:rPr>
        <w:t>.</w:t>
      </w:r>
      <w:r>
        <w:rPr>
          <w:rFonts w:hint="eastAsia" w:ascii="宋体" w:hAnsi="宋体" w:cs="宋体"/>
          <w:color w:val="000000"/>
          <w:szCs w:val="21"/>
          <w:highlight w:val="none"/>
        </w:rPr>
        <w:t>乙方提供的服务承诺和售后服务及质保期责任等其它具体约定事项（见合同附件)。</w:t>
      </w:r>
    </w:p>
    <w:p w14:paraId="6E756D32">
      <w:pPr>
        <w:spacing w:line="480" w:lineRule="exact"/>
        <w:ind w:firstLine="422" w:firstLineChars="200"/>
        <w:rPr>
          <w:rFonts w:ascii="宋体" w:hAnsi="宋体" w:cs="宋体"/>
          <w:b/>
          <w:bCs/>
          <w:color w:val="000000"/>
          <w:szCs w:val="21"/>
          <w:highlight w:val="none"/>
        </w:rPr>
      </w:pPr>
      <w:r>
        <w:rPr>
          <w:rFonts w:hint="eastAsia" w:ascii="宋体" w:hAnsi="宋体" w:cs="宋体"/>
          <w:b/>
          <w:bCs/>
          <w:color w:val="000000"/>
          <w:szCs w:val="21"/>
          <w:highlight w:val="none"/>
        </w:rPr>
        <w:t>第八条 付款方式</w:t>
      </w:r>
    </w:p>
    <w:p w14:paraId="1B0A5802">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1.当采购数量与实际使用数量不一致时，乙方应根据实际使用量供货，合同的最终结算金额按实际使用量乘以中标单价进行计算，但不得超出合同价的10%。</w:t>
      </w:r>
    </w:p>
    <w:p w14:paraId="53F82399">
      <w:pPr>
        <w:snapToGrid w:val="0"/>
        <w:spacing w:line="480" w:lineRule="exact"/>
        <w:ind w:firstLine="420" w:firstLineChars="200"/>
        <w:rPr>
          <w:rFonts w:hint="eastAsia" w:ascii="宋体" w:hAnsi="宋体" w:eastAsia="宋体" w:cs="宋体"/>
          <w:color w:val="000000"/>
          <w:szCs w:val="21"/>
          <w:highlight w:val="none"/>
          <w:u w:val="single"/>
          <w:lang w:val="en-US" w:eastAsia="zh-CN"/>
        </w:rPr>
      </w:pPr>
      <w:r>
        <w:rPr>
          <w:rFonts w:hint="eastAsia" w:ascii="宋体" w:hAnsi="宋体" w:cs="宋体"/>
          <w:color w:val="000000"/>
          <w:szCs w:val="21"/>
          <w:highlight w:val="none"/>
        </w:rPr>
        <w:t>2.付款方式：</w:t>
      </w:r>
      <w:r>
        <w:rPr>
          <w:rFonts w:hint="eastAsia" w:ascii="宋体" w:hAnsi="宋体" w:cs="宋体"/>
          <w:color w:val="000000"/>
          <w:szCs w:val="21"/>
          <w:highlight w:val="none"/>
          <w:u w:val="single"/>
          <w:lang w:val="en-US" w:eastAsia="zh-CN"/>
        </w:rPr>
        <w:t xml:space="preserve">                   </w:t>
      </w:r>
    </w:p>
    <w:p w14:paraId="363E610C">
      <w:pPr>
        <w:spacing w:line="480" w:lineRule="exact"/>
        <w:ind w:firstLine="422" w:firstLineChars="200"/>
        <w:rPr>
          <w:rFonts w:hint="eastAsia" w:ascii="宋体" w:hAnsi="宋体" w:eastAsia="宋体" w:cs="宋体"/>
          <w:b/>
          <w:bCs/>
          <w:color w:val="000000"/>
          <w:sz w:val="21"/>
          <w:szCs w:val="21"/>
          <w:highlight w:val="none"/>
          <w:u w:val="single"/>
        </w:rPr>
      </w:pPr>
      <w:r>
        <w:rPr>
          <w:rFonts w:hint="eastAsia" w:ascii="宋体" w:hAnsi="宋体" w:eastAsia="宋体" w:cs="宋体"/>
          <w:b/>
          <w:bCs/>
          <w:color w:val="000000"/>
          <w:sz w:val="21"/>
          <w:szCs w:val="21"/>
          <w:highlight w:val="none"/>
        </w:rPr>
        <w:t>第九条 履约保证金</w:t>
      </w:r>
      <w:r>
        <w:rPr>
          <w:rFonts w:hint="eastAsia" w:ascii="宋体" w:hAnsi="宋体" w:eastAsia="宋体" w:cs="宋体"/>
          <w:b/>
          <w:bCs/>
          <w:color w:val="000000"/>
          <w:sz w:val="21"/>
          <w:szCs w:val="21"/>
          <w:highlight w:val="none"/>
          <w:u w:val="single"/>
        </w:rPr>
        <w:t xml:space="preserve"> </w:t>
      </w:r>
    </w:p>
    <w:p w14:paraId="208DE262">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1.履约保证金金额：中标金额的</w:t>
      </w:r>
      <w:r>
        <w:rPr>
          <w:rFonts w:hint="eastAsia" w:ascii="宋体" w:hAnsi="宋体" w:eastAsia="宋体" w:cs="宋体"/>
          <w:color w:val="000000"/>
          <w:szCs w:val="21"/>
          <w:highlight w:val="none"/>
          <w:u w:val="single"/>
          <w:lang w:val="en-US" w:eastAsia="zh-CN"/>
        </w:rPr>
        <w:t>_5_</w:t>
      </w:r>
      <w:r>
        <w:rPr>
          <w:rFonts w:hint="eastAsia" w:ascii="宋体" w:hAnsi="宋体" w:eastAsia="宋体" w:cs="宋体"/>
          <w:color w:val="000000"/>
          <w:szCs w:val="21"/>
          <w:highlight w:val="none"/>
          <w:lang w:val="en-US" w:eastAsia="zh-CN"/>
        </w:rPr>
        <w:t>%。（若乙方被评标委员会认定为中小企业的，履约保证金数额将按中标金额的2%收取）</w:t>
      </w:r>
    </w:p>
    <w:p w14:paraId="39A1380C">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2.履约保证金递交方式：转账或电汇等形式（支持支票、汇票、本票、保函等形式）</w:t>
      </w:r>
    </w:p>
    <w:p w14:paraId="0D95D9AB">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3.履约保证金递交时间：签订合同后</w:t>
      </w:r>
      <w:r>
        <w:rPr>
          <w:rFonts w:hint="eastAsia" w:ascii="宋体" w:hAnsi="宋体" w:cs="宋体"/>
          <w:color w:val="000000"/>
          <w:szCs w:val="21"/>
          <w:highlight w:val="none"/>
          <w:lang w:val="en-US" w:eastAsia="zh-CN"/>
        </w:rPr>
        <w:t>3</w:t>
      </w:r>
      <w:r>
        <w:rPr>
          <w:rFonts w:hint="eastAsia" w:ascii="宋体" w:hAnsi="宋体" w:eastAsia="宋体" w:cs="宋体"/>
          <w:color w:val="000000"/>
          <w:szCs w:val="21"/>
          <w:highlight w:val="none"/>
          <w:lang w:val="en-US" w:eastAsia="zh-CN"/>
        </w:rPr>
        <w:t>个工作日内由乙方转入甲方指定保证金账户。</w:t>
      </w:r>
    </w:p>
    <w:p w14:paraId="4A8C3321">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4.履约保证金期限：验收合格之日起一年</w:t>
      </w:r>
    </w:p>
    <w:p w14:paraId="4E3D695F">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履约保证金退还：履约保证期满后乙方无违约行为，甲方提供《政府采购项目履约保证金退付意见书》及《政府采购项目合同验收报告》，向甲方提出书面申请退还，甲方在收到申请后5个工作日内按照履约保证金缴纳的具体方式，配合乙方办理无息退还事宜。</w:t>
      </w:r>
    </w:p>
    <w:p w14:paraId="5728A991">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保证金指定账户：</w:t>
      </w:r>
    </w:p>
    <w:p w14:paraId="471A5740">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开户名：广西制造工程职业技术学院</w:t>
      </w:r>
    </w:p>
    <w:p w14:paraId="487A1971">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开户行：农行南宁东盟经济园区支行</w:t>
      </w:r>
    </w:p>
    <w:p w14:paraId="5F387D83">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账  号：20036501040014065</w:t>
      </w:r>
    </w:p>
    <w:p w14:paraId="7C3CCD97">
      <w:pPr>
        <w:spacing w:line="480" w:lineRule="exact"/>
        <w:ind w:firstLine="422" w:firstLineChars="200"/>
        <w:rPr>
          <w:rFonts w:ascii="宋体" w:hAnsi="宋体" w:cs="宋体"/>
          <w:b/>
          <w:bCs/>
          <w:color w:val="000000"/>
          <w:szCs w:val="21"/>
          <w:highlight w:val="none"/>
        </w:rPr>
      </w:pPr>
      <w:r>
        <w:rPr>
          <w:rFonts w:hint="eastAsia" w:ascii="宋体" w:hAnsi="宋体" w:cs="宋体"/>
          <w:b/>
          <w:bCs/>
          <w:color w:val="000000"/>
          <w:szCs w:val="21"/>
          <w:highlight w:val="none"/>
        </w:rPr>
        <w:t>第十条 税费</w:t>
      </w:r>
    </w:p>
    <w:p w14:paraId="3CFA1FB3">
      <w:pPr>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本合同执行中相关的一切税费均由乙方负担。</w:t>
      </w:r>
    </w:p>
    <w:p w14:paraId="12B21C8B">
      <w:pPr>
        <w:spacing w:line="480" w:lineRule="exact"/>
        <w:ind w:firstLine="422" w:firstLineChars="200"/>
        <w:rPr>
          <w:rFonts w:ascii="宋体" w:hAnsi="宋体" w:cs="宋体"/>
          <w:b/>
          <w:bCs/>
          <w:color w:val="000000"/>
          <w:szCs w:val="21"/>
          <w:highlight w:val="none"/>
        </w:rPr>
      </w:pPr>
      <w:r>
        <w:rPr>
          <w:rFonts w:hint="eastAsia" w:ascii="宋体" w:hAnsi="宋体" w:cs="宋体"/>
          <w:b/>
          <w:bCs/>
          <w:color w:val="000000"/>
          <w:szCs w:val="21"/>
          <w:highlight w:val="none"/>
        </w:rPr>
        <w:t>第十一条 质量保证及售后服务</w:t>
      </w:r>
    </w:p>
    <w:p w14:paraId="0CDD4C5B">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1. 乙方应按</w:t>
      </w:r>
      <w:r>
        <w:rPr>
          <w:rFonts w:hint="eastAsia" w:ascii="宋体" w:hAnsi="宋体" w:cs="宋体"/>
          <w:bCs/>
          <w:color w:val="000000"/>
          <w:szCs w:val="21"/>
          <w:highlight w:val="none"/>
          <w:lang w:eastAsia="zh-CN"/>
        </w:rPr>
        <w:t>招标</w:t>
      </w:r>
      <w:r>
        <w:rPr>
          <w:rFonts w:hint="eastAsia" w:ascii="宋体" w:hAnsi="宋体" w:cs="宋体"/>
          <w:color w:val="000000"/>
          <w:kern w:val="1"/>
          <w:szCs w:val="21"/>
          <w:highlight w:val="none"/>
          <w:lang w:eastAsia="ar-SA"/>
        </w:rPr>
        <w:t>文件规定的货物性能、技术要求、质量标准向甲方提供未经使用的全新产品。乙方提供货物的质量保证期按交货验收合格之日起计</w:t>
      </w:r>
      <w:r>
        <w:rPr>
          <w:rFonts w:hint="eastAsia" w:ascii="宋体" w:hAnsi="宋体" w:cs="宋体"/>
          <w:color w:val="000000"/>
          <w:kern w:val="1"/>
          <w:szCs w:val="21"/>
          <w:highlight w:val="none"/>
          <w:lang w:val="en-US" w:eastAsia="zh-CN"/>
        </w:rPr>
        <w:t>,货物保修期为</w:t>
      </w:r>
      <w:r>
        <w:rPr>
          <w:rFonts w:hint="eastAsia" w:ascii="宋体" w:hAnsi="宋体" w:cs="宋体"/>
          <w:color w:val="000000"/>
          <w:kern w:val="1"/>
          <w:szCs w:val="21"/>
          <w:highlight w:val="none"/>
          <w:u w:val="single"/>
          <w:lang w:val="en-US" w:eastAsia="zh-CN"/>
        </w:rPr>
        <w:t xml:space="preserve">     </w:t>
      </w:r>
      <w:r>
        <w:rPr>
          <w:rFonts w:hint="eastAsia" w:ascii="宋体" w:hAnsi="宋体" w:cs="宋体"/>
          <w:color w:val="000000"/>
          <w:kern w:val="1"/>
          <w:szCs w:val="21"/>
          <w:highlight w:val="none"/>
          <w:lang w:val="en-US" w:eastAsia="zh-CN"/>
        </w:rPr>
        <w:t>年</w:t>
      </w:r>
      <w:r>
        <w:rPr>
          <w:rFonts w:hint="eastAsia" w:ascii="宋体" w:hAnsi="宋体" w:cs="宋体"/>
          <w:color w:val="000000"/>
          <w:kern w:val="1"/>
          <w:szCs w:val="21"/>
          <w:highlight w:val="none"/>
          <w:lang w:eastAsia="ar-SA"/>
        </w:rPr>
        <w:t>。在保证期内因货物本身的质量问题发生故障，乙方应负责</w:t>
      </w:r>
      <w:r>
        <w:rPr>
          <w:rFonts w:hint="eastAsia" w:ascii="宋体" w:hAnsi="宋体" w:cs="宋体"/>
          <w:color w:val="000000"/>
          <w:kern w:val="1"/>
          <w:szCs w:val="21"/>
          <w:highlight w:val="none"/>
          <w:lang w:eastAsia="zh-CN"/>
        </w:rPr>
        <w:t>无条件</w:t>
      </w:r>
      <w:r>
        <w:rPr>
          <w:rFonts w:hint="eastAsia" w:ascii="宋体" w:hAnsi="宋体" w:cs="宋体"/>
          <w:color w:val="000000"/>
          <w:kern w:val="1"/>
          <w:szCs w:val="21"/>
          <w:highlight w:val="none"/>
          <w:lang w:eastAsia="ar-SA"/>
        </w:rPr>
        <w:t>修理和更换零部件。对达不到技术要求者，根据实际情况，经双方协商，可按以下办法处理：</w:t>
      </w:r>
    </w:p>
    <w:p w14:paraId="4662848A">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（1）更换：产品出现质量问题、经乙方</w:t>
      </w:r>
      <w:r>
        <w:rPr>
          <w:rFonts w:hint="eastAsia" w:ascii="宋体" w:hAnsi="宋体" w:cs="宋体"/>
          <w:color w:val="000000"/>
          <w:kern w:val="1"/>
          <w:szCs w:val="21"/>
          <w:highlight w:val="none"/>
          <w:u w:val="single"/>
          <w:lang w:eastAsia="ar-SA"/>
        </w:rPr>
        <w:t>1</w:t>
      </w:r>
      <w:r>
        <w:rPr>
          <w:rFonts w:hint="eastAsia" w:ascii="宋体" w:hAnsi="宋体" w:cs="宋体"/>
          <w:color w:val="000000"/>
          <w:kern w:val="1"/>
          <w:szCs w:val="21"/>
          <w:highlight w:val="none"/>
          <w:lang w:eastAsia="ar-SA"/>
        </w:rPr>
        <w:t>次维修仍不能达到合同约定的质量标准的，甲方有权更换，并由乙方承担所发生的全部费用。</w:t>
      </w:r>
    </w:p>
    <w:p w14:paraId="0380B1B0">
      <w:pPr>
        <w:suppressAutoHyphens/>
        <w:snapToGrid w:val="0"/>
        <w:spacing w:line="480" w:lineRule="exact"/>
        <w:ind w:firstLine="420" w:firstLineChars="200"/>
        <w:rPr>
          <w:rFonts w:hint="eastAsia" w:ascii="宋体" w:hAnsi="宋体" w:cs="宋体"/>
          <w:color w:val="000000"/>
          <w:kern w:val="1"/>
          <w:szCs w:val="21"/>
          <w:highlight w:val="none"/>
          <w:lang w:val="en-US" w:eastAsia="ar-SA"/>
        </w:rPr>
      </w:pPr>
      <w:r>
        <w:rPr>
          <w:rFonts w:hint="eastAsia" w:ascii="宋体" w:hAnsi="宋体" w:cs="宋体"/>
          <w:color w:val="000000"/>
          <w:kern w:val="1"/>
          <w:szCs w:val="21"/>
          <w:highlight w:val="none"/>
          <w:lang w:val="en-US" w:eastAsia="ar-SA"/>
        </w:rPr>
        <w:t>（2）贬值处理：</w:t>
      </w:r>
      <w:r>
        <w:rPr>
          <w:rFonts w:hint="eastAsia" w:ascii="宋体" w:hAnsi="宋体" w:cs="宋体"/>
          <w:color w:val="000000"/>
          <w:kern w:val="1"/>
          <w:szCs w:val="21"/>
          <w:highlight w:val="none"/>
          <w:lang w:val="en-US" w:eastAsia="zh-Hans"/>
        </w:rPr>
        <w:t>因乙方</w:t>
      </w:r>
      <w:r>
        <w:rPr>
          <w:rFonts w:hint="eastAsia" w:ascii="宋体" w:hAnsi="宋体" w:cs="宋体"/>
          <w:color w:val="000000"/>
          <w:kern w:val="1"/>
          <w:szCs w:val="21"/>
          <w:highlight w:val="none"/>
          <w:lang w:val="en-US" w:eastAsia="ar-SA"/>
        </w:rPr>
        <w:t>产品出现质量问题</w:t>
      </w:r>
      <w:r>
        <w:rPr>
          <w:rFonts w:hint="eastAsia" w:ascii="宋体" w:hAnsi="宋体" w:cs="宋体"/>
          <w:color w:val="000000"/>
          <w:kern w:val="1"/>
          <w:szCs w:val="21"/>
          <w:highlight w:val="none"/>
          <w:lang w:val="en-US" w:eastAsia="zh-Hans"/>
        </w:rPr>
        <w:t>造成退换货产生的贬值由乙方自行承担</w:t>
      </w:r>
      <w:r>
        <w:rPr>
          <w:rFonts w:hint="eastAsia" w:ascii="宋体" w:hAnsi="宋体" w:cs="宋体"/>
          <w:color w:val="000000"/>
          <w:kern w:val="1"/>
          <w:szCs w:val="21"/>
          <w:highlight w:val="none"/>
          <w:lang w:val="en-US" w:eastAsia="ar-SA"/>
        </w:rPr>
        <w:t>。</w:t>
      </w:r>
    </w:p>
    <w:p w14:paraId="797FDF4A">
      <w:pPr>
        <w:suppressAutoHyphens/>
        <w:snapToGrid w:val="0"/>
        <w:spacing w:line="480" w:lineRule="exact"/>
        <w:ind w:firstLine="420" w:firstLineChars="200"/>
        <w:rPr>
          <w:rFonts w:hint="eastAsia" w:ascii="宋体" w:hAnsi="宋体" w:cs="宋体"/>
          <w:color w:val="000000"/>
          <w:kern w:val="1"/>
          <w:szCs w:val="21"/>
          <w:highlight w:val="none"/>
          <w:lang w:val="en-US" w:eastAsia="ar-SA"/>
        </w:rPr>
      </w:pPr>
      <w:r>
        <w:rPr>
          <w:rFonts w:hint="eastAsia" w:ascii="宋体" w:hAnsi="宋体" w:cs="宋体"/>
          <w:color w:val="000000"/>
          <w:kern w:val="1"/>
          <w:szCs w:val="21"/>
          <w:highlight w:val="none"/>
          <w:lang w:val="en-US" w:eastAsia="ar-SA"/>
        </w:rPr>
        <w:t>（3）退货处理：产品出现严重质量问题的，甲方有权退货，乙方应退还甲方支付的合同款，同时承担退货所发生的所有费用（运输、保险、检验、货款利息及银行手续费等），并视作乙方不能交付货物而须支付违约赔偿金给甲方，</w:t>
      </w:r>
      <w:r>
        <w:rPr>
          <w:rFonts w:hint="eastAsia" w:ascii="宋体" w:hAnsi="宋体" w:cs="宋体"/>
          <w:color w:val="000000"/>
          <w:kern w:val="1"/>
          <w:szCs w:val="21"/>
          <w:highlight w:val="none"/>
          <w:lang w:val="en-US" w:eastAsia="zh-CN"/>
        </w:rPr>
        <w:t>甲方将上报政府采购监督管理部门，同时追究乙方的违约责任。如乙方的违约行为符合《政府采购法》第五十条第2款约定的情形，</w:t>
      </w:r>
      <w:r>
        <w:rPr>
          <w:rFonts w:hint="eastAsia" w:ascii="宋体" w:hAnsi="宋体" w:cs="宋体"/>
          <w:color w:val="000000"/>
          <w:kern w:val="1"/>
          <w:szCs w:val="21"/>
          <w:highlight w:val="none"/>
          <w:lang w:val="en-US" w:eastAsia="ar-SA"/>
        </w:rPr>
        <w:t>甲方有权终止合同，由此造成的损失由乙方负责。</w:t>
      </w:r>
    </w:p>
    <w:p w14:paraId="677A8715">
      <w:pPr>
        <w:snapToGrid w:val="0"/>
        <w:spacing w:line="480" w:lineRule="exact"/>
        <w:ind w:firstLine="420" w:firstLineChars="200"/>
        <w:rPr>
          <w:rFonts w:ascii="宋体" w:hAnsi="宋体" w:cs="宋体"/>
          <w:color w:val="000000"/>
          <w:szCs w:val="21"/>
          <w:highlight w:val="none"/>
          <w:u w:val="single"/>
        </w:rPr>
      </w:pPr>
      <w:r>
        <w:rPr>
          <w:rFonts w:hint="eastAsia" w:ascii="宋体" w:hAnsi="宋体" w:cs="宋体"/>
          <w:color w:val="000000"/>
          <w:szCs w:val="21"/>
          <w:highlight w:val="none"/>
        </w:rPr>
        <w:t>2. 如在使用过程中出现故障，乙方应在接到甲方通知后</w:t>
      </w:r>
      <w:r>
        <w:rPr>
          <w:rFonts w:hint="eastAsia" w:ascii="宋体" w:hAnsi="宋体" w:cs="宋体"/>
          <w:color w:val="000000"/>
          <w:szCs w:val="21"/>
          <w:highlight w:val="none"/>
          <w:u w:val="single"/>
        </w:rPr>
        <w:t xml:space="preserve">    小时内响应，   小时内解决故障，否则须在           内提供与原设备技术参数要求相同或高于原设备技术参数要求的备用产品，以保证甲方的正常工作。</w:t>
      </w:r>
    </w:p>
    <w:p w14:paraId="005D0D15">
      <w:pPr>
        <w:suppressAutoHyphens/>
        <w:snapToGrid w:val="0"/>
        <w:spacing w:line="480" w:lineRule="exact"/>
        <w:ind w:firstLine="420" w:firstLineChars="200"/>
        <w:rPr>
          <w:rFonts w:hint="eastAsia" w:ascii="宋体" w:hAnsi="宋体" w:cs="宋体"/>
          <w:color w:val="000000"/>
          <w:kern w:val="1"/>
          <w:szCs w:val="21"/>
          <w:highlight w:val="none"/>
          <w:lang w:val="en-US" w:eastAsia="ar-SA"/>
        </w:rPr>
      </w:pPr>
      <w:r>
        <w:rPr>
          <w:rFonts w:hint="eastAsia" w:ascii="宋体" w:hAnsi="宋体" w:cs="宋体"/>
          <w:color w:val="000000"/>
          <w:szCs w:val="21"/>
          <w:highlight w:val="none"/>
        </w:rPr>
        <w:t>3. 在质</w:t>
      </w:r>
      <w:r>
        <w:rPr>
          <w:rFonts w:hint="eastAsia" w:ascii="宋体" w:hAnsi="宋体" w:cs="宋体"/>
          <w:color w:val="000000"/>
          <w:kern w:val="1"/>
          <w:szCs w:val="21"/>
          <w:highlight w:val="none"/>
          <w:lang w:val="en-US" w:eastAsia="ar-SA"/>
        </w:rPr>
        <w:t>保期内，乙方应对货物出现的质量及安全问题负责处理解决并承担一切费用。如有产品质量争议，则按照国家相关法律法规及行业标准</w:t>
      </w:r>
      <w:r>
        <w:rPr>
          <w:rFonts w:hint="eastAsia" w:ascii="宋体" w:hAnsi="宋体" w:cs="宋体"/>
          <w:color w:val="000000"/>
          <w:kern w:val="1"/>
          <w:szCs w:val="21"/>
          <w:highlight w:val="none"/>
          <w:lang w:val="en-US" w:eastAsia="zh-Hans"/>
        </w:rPr>
        <w:t>、地方标准等标准、规范解决（上述标准、规范有出入的，以较严格为准）</w:t>
      </w:r>
      <w:r>
        <w:rPr>
          <w:rFonts w:hint="eastAsia" w:ascii="宋体" w:hAnsi="宋体" w:cs="宋体"/>
          <w:color w:val="000000"/>
          <w:kern w:val="1"/>
          <w:szCs w:val="21"/>
          <w:highlight w:val="none"/>
          <w:lang w:val="en-US" w:eastAsia="ar-SA"/>
        </w:rPr>
        <w:t>，</w:t>
      </w:r>
      <w:r>
        <w:rPr>
          <w:rFonts w:hint="eastAsia" w:ascii="宋体" w:hAnsi="宋体" w:cs="宋体"/>
          <w:color w:val="000000"/>
          <w:kern w:val="1"/>
          <w:szCs w:val="21"/>
          <w:highlight w:val="none"/>
          <w:lang w:val="en-US" w:eastAsia="zh-Hans"/>
        </w:rPr>
        <w:t>如</w:t>
      </w:r>
      <w:r>
        <w:rPr>
          <w:rFonts w:hint="eastAsia" w:ascii="宋体" w:hAnsi="宋体" w:cs="宋体"/>
          <w:bCs/>
          <w:color w:val="000000"/>
          <w:szCs w:val="21"/>
          <w:highlight w:val="none"/>
          <w:lang w:eastAsia="zh-CN"/>
        </w:rPr>
        <w:t>招标</w:t>
      </w:r>
      <w:r>
        <w:rPr>
          <w:rFonts w:hint="eastAsia" w:ascii="宋体" w:hAnsi="宋体" w:cs="宋体"/>
          <w:color w:val="000000"/>
          <w:kern w:val="1"/>
          <w:szCs w:val="21"/>
          <w:highlight w:val="none"/>
          <w:lang w:val="en-US" w:eastAsia="zh-Hans"/>
        </w:rPr>
        <w:t>文件中明确对货物提出更高的技术要求的，乙方还应当确保符合</w:t>
      </w:r>
      <w:r>
        <w:rPr>
          <w:rFonts w:hint="eastAsia" w:ascii="宋体" w:hAnsi="宋体" w:cs="宋体"/>
          <w:bCs/>
          <w:color w:val="000000"/>
          <w:szCs w:val="21"/>
          <w:highlight w:val="none"/>
          <w:lang w:eastAsia="zh-CN"/>
        </w:rPr>
        <w:t>招标</w:t>
      </w:r>
      <w:r>
        <w:rPr>
          <w:rFonts w:hint="eastAsia" w:ascii="宋体" w:hAnsi="宋体" w:cs="宋体"/>
          <w:color w:val="000000"/>
          <w:kern w:val="1"/>
          <w:szCs w:val="21"/>
          <w:highlight w:val="none"/>
          <w:lang w:val="en-US" w:eastAsia="zh-Hans"/>
        </w:rPr>
        <w:t>文件提出的技术要求</w:t>
      </w:r>
      <w:r>
        <w:rPr>
          <w:rFonts w:hint="eastAsia" w:ascii="宋体" w:hAnsi="宋体" w:cs="宋体"/>
          <w:color w:val="000000"/>
          <w:kern w:val="1"/>
          <w:szCs w:val="21"/>
          <w:highlight w:val="none"/>
          <w:lang w:val="en-US" w:eastAsia="ar-SA"/>
        </w:rPr>
        <w:t>。</w:t>
      </w:r>
    </w:p>
    <w:p w14:paraId="7432845A">
      <w:pPr>
        <w:suppressAutoHyphens/>
        <w:snapToGrid w:val="0"/>
        <w:spacing w:line="480" w:lineRule="exact"/>
        <w:ind w:firstLine="420" w:firstLineChars="200"/>
        <w:rPr>
          <w:rFonts w:hint="eastAsia" w:ascii="宋体" w:hAnsi="宋体" w:cs="宋体"/>
          <w:color w:val="000000"/>
          <w:kern w:val="1"/>
          <w:szCs w:val="21"/>
          <w:highlight w:val="none"/>
          <w:lang w:val="en-US" w:eastAsia="ar-SA"/>
        </w:rPr>
      </w:pPr>
      <w:r>
        <w:rPr>
          <w:rFonts w:hint="eastAsia" w:ascii="宋体" w:hAnsi="宋体" w:cs="宋体"/>
          <w:color w:val="000000"/>
          <w:kern w:val="1"/>
          <w:szCs w:val="21"/>
          <w:highlight w:val="none"/>
          <w:lang w:val="en-US" w:eastAsia="ar-SA"/>
        </w:rPr>
        <w:t>4.质保期内货物如因人为使用不当导致损坏的，乙方也应当积极进行维修服务，但相应维修费用由甲方承担。超过质保期的机器设备，终生维修，维修时只收取部件成本费。</w:t>
      </w:r>
    </w:p>
    <w:p w14:paraId="789EB4C8">
      <w:pPr>
        <w:snapToGrid w:val="0"/>
        <w:spacing w:line="480" w:lineRule="exact"/>
        <w:ind w:firstLine="422" w:firstLineChars="200"/>
        <w:rPr>
          <w:rFonts w:ascii="宋体" w:hAnsi="宋体" w:cs="宋体"/>
          <w:color w:val="000000"/>
          <w:szCs w:val="21"/>
          <w:highlight w:val="none"/>
        </w:rPr>
      </w:pPr>
      <w:r>
        <w:rPr>
          <w:rFonts w:hint="eastAsia" w:ascii="宋体" w:hAnsi="宋体" w:cs="宋体"/>
          <w:b/>
          <w:color w:val="000000"/>
          <w:szCs w:val="21"/>
          <w:highlight w:val="none"/>
        </w:rPr>
        <w:t>第十二条 货物包装、发运及运输</w:t>
      </w:r>
    </w:p>
    <w:p w14:paraId="79EB3D92">
      <w:pPr>
        <w:snapToGrid w:val="0"/>
        <w:spacing w:line="4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 乙方应在货物发运前对其进行满足运输距离、防潮、防震、防锈和防破损装卸等要求包装，以保证货物安全运达甲方指定地点。</w:t>
      </w:r>
    </w:p>
    <w:p w14:paraId="0B0EB521">
      <w:pPr>
        <w:snapToGrid w:val="0"/>
        <w:spacing w:line="4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 使用说明书、质量检验证明书、随配附件和工具以及清单一并附于货物内。</w:t>
      </w:r>
    </w:p>
    <w:p w14:paraId="6780111B">
      <w:pPr>
        <w:snapToGrid w:val="0"/>
        <w:spacing w:line="4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 乙方在货物发运手续办理完毕后二十四小时内或货到甲方四十八小时前通知甲方，以准备接货。</w:t>
      </w:r>
    </w:p>
    <w:p w14:paraId="5B89ED95">
      <w:pPr>
        <w:snapToGrid w:val="0"/>
        <w:spacing w:line="4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4. 货物在交付甲方前发生的风险均由乙方负责。</w:t>
      </w:r>
    </w:p>
    <w:p w14:paraId="21851CFA">
      <w:pPr>
        <w:snapToGrid w:val="0"/>
        <w:spacing w:line="4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5. 货物在规定的交付期限内由乙方送达甲方指定的地点。</w:t>
      </w:r>
    </w:p>
    <w:p w14:paraId="1B22CDCD">
      <w:pPr>
        <w:snapToGrid w:val="0"/>
        <w:spacing w:line="480" w:lineRule="exact"/>
        <w:ind w:firstLine="422" w:firstLineChars="200"/>
        <w:rPr>
          <w:rFonts w:ascii="宋体" w:hAnsi="宋体" w:cs="宋体"/>
          <w:b/>
          <w:color w:val="000000"/>
          <w:szCs w:val="21"/>
          <w:highlight w:val="none"/>
        </w:rPr>
      </w:pPr>
      <w:r>
        <w:rPr>
          <w:rFonts w:hint="eastAsia" w:ascii="宋体" w:hAnsi="宋体" w:cs="宋体"/>
          <w:b/>
          <w:color w:val="000000"/>
          <w:szCs w:val="21"/>
          <w:highlight w:val="none"/>
        </w:rPr>
        <w:t>第十三条 交货及验收要求</w:t>
      </w:r>
    </w:p>
    <w:p w14:paraId="1D14E6B2">
      <w:pPr>
        <w:snapToGrid w:val="0"/>
        <w:spacing w:line="480" w:lineRule="exact"/>
        <w:ind w:firstLine="420" w:firstLineChars="200"/>
        <w:jc w:val="left"/>
        <w:rPr>
          <w:rFonts w:ascii="宋体" w:hAnsi="宋体" w:cs="宋体"/>
          <w:bCs/>
          <w:color w:val="000000"/>
          <w:szCs w:val="21"/>
          <w:highlight w:val="none"/>
        </w:rPr>
      </w:pPr>
      <w:r>
        <w:rPr>
          <w:rFonts w:hint="eastAsia" w:ascii="宋体" w:hAnsi="宋体" w:cs="宋体"/>
          <w:color w:val="000000"/>
          <w:szCs w:val="21"/>
          <w:highlight w:val="none"/>
        </w:rPr>
        <w:t>1. 甲方对乙方提交的货物依据</w:t>
      </w:r>
      <w:r>
        <w:rPr>
          <w:rFonts w:hint="eastAsia" w:ascii="宋体" w:hAnsi="宋体" w:cs="宋体"/>
          <w:bCs/>
          <w:color w:val="000000"/>
          <w:szCs w:val="21"/>
          <w:highlight w:val="none"/>
          <w:lang w:eastAsia="zh-CN"/>
        </w:rPr>
        <w:t>招标</w:t>
      </w:r>
      <w:r>
        <w:rPr>
          <w:rFonts w:hint="eastAsia" w:ascii="宋体" w:hAnsi="宋体" w:cs="宋体"/>
          <w:color w:val="000000"/>
          <w:szCs w:val="21"/>
          <w:highlight w:val="none"/>
        </w:rPr>
        <w:t>文件上的技术规格要求和国家有关质量标准进行现</w:t>
      </w:r>
      <w:r>
        <w:rPr>
          <w:rFonts w:hint="eastAsia" w:ascii="宋体" w:hAnsi="宋体" w:cs="宋体"/>
          <w:bCs/>
          <w:color w:val="000000"/>
          <w:szCs w:val="21"/>
          <w:highlight w:val="none"/>
        </w:rPr>
        <w:t>场签收，外观、说明书符合</w:t>
      </w:r>
      <w:r>
        <w:rPr>
          <w:rFonts w:hint="eastAsia" w:ascii="宋体" w:hAnsi="宋体" w:cs="宋体"/>
          <w:bCs/>
          <w:color w:val="000000"/>
          <w:szCs w:val="21"/>
          <w:highlight w:val="none"/>
          <w:lang w:eastAsia="zh-CN"/>
        </w:rPr>
        <w:t>招标</w:t>
      </w:r>
      <w:r>
        <w:rPr>
          <w:rFonts w:hint="eastAsia" w:ascii="宋体" w:hAnsi="宋体" w:cs="宋体"/>
          <w:bCs/>
          <w:color w:val="000000"/>
          <w:szCs w:val="21"/>
          <w:highlight w:val="none"/>
        </w:rPr>
        <w:t>文件技术要求的，给予签收，不合格的不予签收。</w:t>
      </w:r>
    </w:p>
    <w:p w14:paraId="0767704B">
      <w:pPr>
        <w:snapToGrid w:val="0"/>
        <w:spacing w:line="480" w:lineRule="exact"/>
        <w:ind w:firstLine="420" w:firstLineChars="200"/>
        <w:jc w:val="left"/>
        <w:rPr>
          <w:rFonts w:ascii="宋体" w:hAnsi="宋体" w:cs="宋体"/>
          <w:bCs/>
          <w:color w:val="000000"/>
          <w:szCs w:val="21"/>
          <w:highlight w:val="none"/>
        </w:rPr>
      </w:pPr>
      <w:r>
        <w:rPr>
          <w:rFonts w:hint="eastAsia" w:ascii="宋体" w:hAnsi="宋体" w:cs="宋体"/>
          <w:bCs/>
          <w:color w:val="000000"/>
          <w:szCs w:val="21"/>
          <w:highlight w:val="none"/>
        </w:rPr>
        <w:t>2.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w:t>
      </w:r>
    </w:p>
    <w:p w14:paraId="54B9AFB8">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3. 乙方需负责安装、调试，并培训甲方的使用操作人员，直到设备运行符合技术要求，甲方方可验收。</w:t>
      </w:r>
    </w:p>
    <w:p w14:paraId="6DC24C23">
      <w:pPr>
        <w:snapToGrid w:val="0"/>
        <w:spacing w:line="48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4. 甲方组织验收，</w:t>
      </w:r>
      <w:r>
        <w:rPr>
          <w:rFonts w:hint="eastAsia" w:ascii="宋体" w:hAnsi="宋体" w:cs="宋体"/>
          <w:bCs/>
          <w:color w:val="000000"/>
          <w:szCs w:val="21"/>
          <w:highlight w:val="none"/>
        </w:rPr>
        <w:t>乙方必须到场</w:t>
      </w:r>
      <w:r>
        <w:rPr>
          <w:rFonts w:hint="eastAsia" w:ascii="宋体" w:hAnsi="宋体" w:cs="宋体"/>
          <w:color w:val="000000"/>
          <w:szCs w:val="21"/>
          <w:highlight w:val="none"/>
        </w:rPr>
        <w:t>配合，</w:t>
      </w:r>
      <w:r>
        <w:rPr>
          <w:rFonts w:hint="eastAsia" w:ascii="宋体" w:hAnsi="宋体" w:cs="宋体"/>
          <w:bCs/>
          <w:color w:val="000000"/>
          <w:szCs w:val="21"/>
          <w:highlight w:val="none"/>
        </w:rPr>
        <w:t>验收合格后双方签署验收合格凭证。</w:t>
      </w:r>
      <w:r>
        <w:rPr>
          <w:rFonts w:hint="eastAsia" w:ascii="宋体" w:hAnsi="宋体" w:cs="宋体"/>
          <w:color w:val="000000"/>
          <w:szCs w:val="21"/>
          <w:highlight w:val="none"/>
        </w:rPr>
        <w:t>对技术复杂的货物，甲方可请国家认可的专业检测机构参与验收，费用由乙方承担。</w:t>
      </w:r>
    </w:p>
    <w:p w14:paraId="1522D99B">
      <w:pPr>
        <w:snapToGrid w:val="0"/>
        <w:spacing w:line="48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5.其他未尽事宜应严格参照《关于印发广西壮族自治区政府采购项目履约验收管理办法的通知》[桂财采〔2015〕22号]以及《财政部关于进一步加强政府采购需求和履约验收管理的指导意见》[财库〔2016〕205号]规定执行。</w:t>
      </w:r>
    </w:p>
    <w:p w14:paraId="4FD0FD38">
      <w:pPr>
        <w:snapToGrid w:val="0"/>
        <w:spacing w:line="480" w:lineRule="exact"/>
        <w:ind w:firstLine="422" w:firstLineChars="200"/>
        <w:rPr>
          <w:rFonts w:ascii="宋体" w:hAnsi="宋体" w:cs="宋体"/>
          <w:b/>
          <w:color w:val="000000"/>
          <w:szCs w:val="21"/>
          <w:highlight w:val="none"/>
        </w:rPr>
      </w:pPr>
      <w:r>
        <w:rPr>
          <w:rFonts w:hint="eastAsia" w:ascii="宋体" w:hAnsi="宋体" w:cs="宋体"/>
          <w:b/>
          <w:color w:val="000000"/>
          <w:szCs w:val="21"/>
          <w:highlight w:val="none"/>
        </w:rPr>
        <w:t>第十四条 违约责任</w:t>
      </w:r>
    </w:p>
    <w:p w14:paraId="121E2038">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1.乙方所提供的货物规格、技术标准、材料等质量不合格的，应在甲方要求的合理时间内及时更换，更换不及时的按逾期交货处罚；因质量问题甲方不同意接收的或</w:t>
      </w:r>
      <w:r>
        <w:rPr>
          <w:rFonts w:hint="eastAsia" w:ascii="宋体" w:hAnsi="宋体" w:cs="宋体"/>
          <w:color w:val="000000"/>
          <w:kern w:val="1"/>
          <w:szCs w:val="21"/>
          <w:highlight w:val="none"/>
          <w:lang w:eastAsia="zh-Hans"/>
        </w:rPr>
        <w:t>即便存在质量问题但</w:t>
      </w:r>
      <w:r>
        <w:rPr>
          <w:rFonts w:hint="eastAsia" w:ascii="宋体" w:hAnsi="宋体" w:cs="宋体"/>
          <w:color w:val="000000"/>
          <w:kern w:val="1"/>
          <w:szCs w:val="21"/>
          <w:highlight w:val="none"/>
          <w:lang w:eastAsia="ar-SA"/>
        </w:rPr>
        <w:t>特殊情况甲方同意接收的，乙方应向甲方支付</w:t>
      </w:r>
      <w:r>
        <w:rPr>
          <w:rFonts w:hint="eastAsia"/>
          <w:highlight w:val="none"/>
          <w:lang w:val="en-US" w:eastAsia="zh-CN"/>
        </w:rPr>
        <w:t>本合同金额</w:t>
      </w:r>
      <w:r>
        <w:rPr>
          <w:rFonts w:hint="eastAsia" w:ascii="宋体" w:hAnsi="宋体" w:cs="宋体"/>
          <w:color w:val="000000"/>
          <w:kern w:val="1"/>
          <w:szCs w:val="21"/>
          <w:highlight w:val="none"/>
          <w:u w:val="single"/>
          <w:lang w:eastAsia="ar-SA"/>
        </w:rPr>
        <w:t>5%</w:t>
      </w:r>
      <w:r>
        <w:rPr>
          <w:rFonts w:hint="eastAsia" w:ascii="宋体" w:hAnsi="宋体" w:cs="宋体"/>
          <w:color w:val="000000"/>
          <w:kern w:val="1"/>
          <w:szCs w:val="21"/>
          <w:highlight w:val="none"/>
        </w:rPr>
        <w:t>的</w:t>
      </w:r>
      <w:r>
        <w:rPr>
          <w:rFonts w:hint="eastAsia" w:ascii="宋体" w:hAnsi="宋体" w:cs="宋体"/>
          <w:color w:val="000000"/>
          <w:kern w:val="1"/>
          <w:szCs w:val="21"/>
          <w:highlight w:val="none"/>
          <w:lang w:eastAsia="ar-SA"/>
        </w:rPr>
        <w:t>违约金并赔偿甲方经济损失。</w:t>
      </w:r>
    </w:p>
    <w:p w14:paraId="7B38AEFB">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2.乙方提供的货物如侵犯了第三方合法权益而引发的任何纠纷或诉讼，均由乙方负责交涉并承担全部责任。</w:t>
      </w:r>
    </w:p>
    <w:p w14:paraId="3A6DAEBE">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3.因包装、运输引起的货物损坏，</w:t>
      </w:r>
      <w:r>
        <w:rPr>
          <w:rFonts w:hint="eastAsia" w:ascii="宋体" w:hAnsi="宋体" w:cs="宋体"/>
          <w:color w:val="000000"/>
          <w:kern w:val="1"/>
          <w:szCs w:val="21"/>
          <w:highlight w:val="none"/>
          <w:lang w:eastAsia="zh-Hans"/>
        </w:rPr>
        <w:t>甲方有权选择不予接收或</w:t>
      </w:r>
      <w:r>
        <w:rPr>
          <w:rFonts w:hint="eastAsia" w:ascii="宋体" w:hAnsi="宋体" w:cs="宋体"/>
          <w:color w:val="000000"/>
          <w:kern w:val="1"/>
          <w:szCs w:val="21"/>
          <w:highlight w:val="none"/>
          <w:lang w:eastAsia="ar-SA"/>
        </w:rPr>
        <w:t>按质量不合格处罚。</w:t>
      </w:r>
    </w:p>
    <w:p w14:paraId="755D7751">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4.</w:t>
      </w:r>
      <w:r>
        <w:rPr>
          <w:rFonts w:hint="eastAsia" w:ascii="宋体" w:hAnsi="宋体" w:cs="宋体"/>
          <w:color w:val="000000"/>
          <w:szCs w:val="21"/>
          <w:highlight w:val="none"/>
        </w:rPr>
        <w:t>甲方无故延期接收货物、乙方逾期交货的，每天向对方偿付违约货款额</w:t>
      </w:r>
      <w:bookmarkStart w:id="160" w:name="_Hlk166775994"/>
      <w:r>
        <w:rPr>
          <w:rFonts w:hint="eastAsia" w:ascii="宋体" w:hAnsi="宋体" w:cs="宋体"/>
          <w:color w:val="000000"/>
          <w:szCs w:val="21"/>
          <w:highlight w:val="none"/>
          <w:u w:val="single"/>
        </w:rPr>
        <w:t>万分之四</w:t>
      </w:r>
      <w:bookmarkEnd w:id="160"/>
      <w:r>
        <w:rPr>
          <w:rFonts w:hint="eastAsia" w:ascii="宋体" w:hAnsi="宋体" w:cs="宋体"/>
          <w:color w:val="000000"/>
          <w:szCs w:val="21"/>
          <w:highlight w:val="none"/>
        </w:rPr>
        <w:t>违约金，但违约金累计不得超过违约货款额</w:t>
      </w:r>
      <w:bookmarkStart w:id="161" w:name="_Hlk117262039"/>
      <w:r>
        <w:rPr>
          <w:rFonts w:ascii="宋体" w:hAnsi="宋体" w:cs="宋体"/>
          <w:color w:val="000000"/>
          <w:szCs w:val="21"/>
          <w:highlight w:val="none"/>
          <w:u w:val="single"/>
        </w:rPr>
        <w:t>10</w:t>
      </w:r>
      <w:r>
        <w:rPr>
          <w:rFonts w:hint="eastAsia" w:ascii="宋体" w:hAnsi="宋体" w:cs="宋体"/>
          <w:color w:val="000000"/>
          <w:szCs w:val="21"/>
          <w:highlight w:val="none"/>
          <w:u w:val="single"/>
        </w:rPr>
        <w:t>%</w:t>
      </w:r>
      <w:bookmarkEnd w:id="161"/>
      <w:r>
        <w:rPr>
          <w:rFonts w:hint="eastAsia" w:ascii="宋体" w:hAnsi="宋体" w:cs="宋体"/>
          <w:color w:val="000000"/>
          <w:szCs w:val="21"/>
          <w:highlight w:val="none"/>
        </w:rPr>
        <w:t>，超过</w:t>
      </w:r>
      <w:r>
        <w:rPr>
          <w:rFonts w:hint="eastAsia" w:ascii="宋体" w:hAnsi="宋体" w:cs="宋体"/>
          <w:color w:val="000000"/>
          <w:szCs w:val="21"/>
          <w:highlight w:val="none"/>
          <w:u w:val="single"/>
        </w:rPr>
        <w:t xml:space="preserve"> 20 </w:t>
      </w:r>
      <w:r>
        <w:rPr>
          <w:rFonts w:hint="eastAsia" w:ascii="宋体" w:hAnsi="宋体" w:cs="宋体"/>
          <w:color w:val="000000"/>
          <w:szCs w:val="21"/>
          <w:highlight w:val="none"/>
        </w:rPr>
        <w:t>天对方有权解除合同，违约方承担因此给对方造成经济损失；甲方延期付货款的，每天向乙方偿付延期货款额</w:t>
      </w:r>
      <w:r>
        <w:rPr>
          <w:rFonts w:hint="eastAsia" w:ascii="宋体" w:hAnsi="宋体" w:cs="宋体"/>
          <w:color w:val="000000"/>
          <w:szCs w:val="21"/>
          <w:highlight w:val="none"/>
          <w:u w:val="single"/>
        </w:rPr>
        <w:t>万分之四</w:t>
      </w:r>
      <w:r>
        <w:rPr>
          <w:rFonts w:hint="eastAsia" w:ascii="宋体" w:hAnsi="宋体" w:cs="宋体"/>
          <w:color w:val="000000"/>
          <w:szCs w:val="21"/>
          <w:highlight w:val="none"/>
        </w:rPr>
        <w:t>滞纳金，但滞纳金累计不得超过延期货款额</w:t>
      </w:r>
      <w:r>
        <w:rPr>
          <w:rFonts w:hint="eastAsia" w:ascii="宋体" w:hAnsi="宋体" w:cs="宋体"/>
          <w:color w:val="000000"/>
          <w:szCs w:val="21"/>
          <w:highlight w:val="none"/>
          <w:u w:val="single"/>
        </w:rPr>
        <w:t>10%</w:t>
      </w:r>
      <w:r>
        <w:rPr>
          <w:rFonts w:hint="eastAsia" w:ascii="宋体" w:hAnsi="宋体" w:cs="宋体"/>
          <w:color w:val="000000"/>
          <w:szCs w:val="21"/>
          <w:highlight w:val="none"/>
        </w:rPr>
        <w:t>。</w:t>
      </w:r>
    </w:p>
    <w:p w14:paraId="7450ADCE">
      <w:pPr>
        <w:suppressAutoHyphens/>
        <w:snapToGrid w:val="0"/>
        <w:spacing w:line="480" w:lineRule="exact"/>
        <w:ind w:firstLine="420" w:firstLineChars="200"/>
        <w:rPr>
          <w:rFonts w:hint="eastAsia" w:ascii="宋体" w:hAnsi="宋体" w:cs="宋体"/>
          <w:color w:val="000000"/>
          <w:kern w:val="1"/>
          <w:szCs w:val="21"/>
          <w:highlight w:val="none"/>
          <w:lang w:val="en-US" w:eastAsia="zh-CN"/>
        </w:rPr>
      </w:pPr>
      <w:r>
        <w:rPr>
          <w:rFonts w:hint="eastAsia" w:ascii="宋体" w:hAnsi="宋体" w:cs="宋体"/>
          <w:color w:val="000000"/>
          <w:kern w:val="1"/>
          <w:szCs w:val="21"/>
          <w:highlight w:val="none"/>
          <w:lang w:val="en-US" w:eastAsia="ar-SA"/>
        </w:rPr>
        <w:t>5.乙方未按本合同和投标文件中规定的服务承诺提供售后服务的，</w:t>
      </w:r>
      <w:r>
        <w:rPr>
          <w:rFonts w:hint="eastAsia" w:ascii="宋体" w:hAnsi="宋体" w:cs="宋体"/>
          <w:color w:val="000000"/>
          <w:kern w:val="1"/>
          <w:szCs w:val="21"/>
          <w:highlight w:val="none"/>
          <w:lang w:val="en-US" w:eastAsia="zh-CN"/>
        </w:rPr>
        <w:t>每发生一次</w:t>
      </w:r>
      <w:r>
        <w:rPr>
          <w:rFonts w:hint="eastAsia" w:ascii="宋体" w:hAnsi="宋体" w:cs="宋体"/>
          <w:color w:val="000000"/>
          <w:kern w:val="1"/>
          <w:szCs w:val="21"/>
          <w:highlight w:val="none"/>
          <w:lang w:val="en-US" w:eastAsia="ar-SA"/>
        </w:rPr>
        <w:t>乙方应按本合同合计金额</w:t>
      </w:r>
      <w:r>
        <w:rPr>
          <w:rFonts w:hint="eastAsia" w:ascii="宋体" w:hAnsi="宋体" w:cs="宋体"/>
          <w:color w:val="000000"/>
          <w:kern w:val="1"/>
          <w:szCs w:val="21"/>
          <w:highlight w:val="none"/>
          <w:lang w:val="en-US" w:eastAsia="zh-CN"/>
        </w:rPr>
        <w:t>的10</w:t>
      </w:r>
      <w:r>
        <w:rPr>
          <w:rFonts w:hint="eastAsia" w:ascii="宋体" w:hAnsi="宋体" w:cs="宋体"/>
          <w:color w:val="000000"/>
          <w:kern w:val="1"/>
          <w:szCs w:val="21"/>
          <w:highlight w:val="none"/>
          <w:lang w:val="en-US" w:eastAsia="ar-SA"/>
        </w:rPr>
        <w:t>%向甲方支付违约金。</w:t>
      </w:r>
      <w:r>
        <w:rPr>
          <w:rFonts w:hint="eastAsia" w:ascii="宋体" w:hAnsi="宋体" w:cs="宋体"/>
          <w:color w:val="000000"/>
          <w:kern w:val="1"/>
          <w:szCs w:val="21"/>
          <w:highlight w:val="none"/>
          <w:lang w:val="en-US" w:eastAsia="zh-CN"/>
        </w:rPr>
        <w:t>并且，甲方有权委托第三方提供相应的服务，由此产生的服务费用由乙方承担。</w:t>
      </w:r>
    </w:p>
    <w:p w14:paraId="0C75154D">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6.乙方提供的货物在质量保证期内，因设计、工艺或材料的缺陷和其它质量原因造成的问题，由乙方负责，费用从履约保证金中扣除，履约保证金不足以支付的，由乙方另行支付。</w:t>
      </w:r>
    </w:p>
    <w:p w14:paraId="422CEF95">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7.其它违约行为</w:t>
      </w:r>
      <w:r>
        <w:rPr>
          <w:rFonts w:hint="eastAsia" w:ascii="宋体" w:hAnsi="宋体" w:cs="宋体"/>
          <w:color w:val="000000"/>
          <w:kern w:val="1"/>
          <w:szCs w:val="21"/>
          <w:highlight w:val="none"/>
          <w:lang w:val="en-US" w:eastAsia="zh-CN"/>
        </w:rPr>
        <w:t>由违约方</w:t>
      </w:r>
      <w:r>
        <w:rPr>
          <w:rFonts w:hint="eastAsia" w:ascii="宋体" w:hAnsi="宋体" w:cs="宋体"/>
          <w:color w:val="000000"/>
          <w:kern w:val="1"/>
          <w:szCs w:val="21"/>
          <w:highlight w:val="none"/>
          <w:lang w:eastAsia="ar-SA"/>
        </w:rPr>
        <w:t>按</w:t>
      </w:r>
      <w:r>
        <w:rPr>
          <w:rFonts w:hint="eastAsia" w:ascii="宋体" w:hAnsi="宋体" w:cs="宋体"/>
          <w:color w:val="000000"/>
          <w:kern w:val="1"/>
          <w:szCs w:val="21"/>
          <w:highlight w:val="none"/>
          <w:lang w:val="en-US" w:eastAsia="zh-CN"/>
        </w:rPr>
        <w:t>本合同金额</w:t>
      </w:r>
      <w:r>
        <w:rPr>
          <w:rFonts w:hint="eastAsia" w:ascii="宋体" w:hAnsi="宋体" w:cs="宋体"/>
          <w:color w:val="000000"/>
          <w:kern w:val="1"/>
          <w:szCs w:val="21"/>
          <w:highlight w:val="none"/>
          <w:lang w:eastAsia="ar-SA"/>
        </w:rPr>
        <w:t>5%</w:t>
      </w:r>
      <w:r>
        <w:rPr>
          <w:rFonts w:hint="eastAsia" w:ascii="宋体" w:hAnsi="宋体" w:cs="宋体"/>
          <w:color w:val="000000"/>
          <w:kern w:val="1"/>
          <w:szCs w:val="21"/>
          <w:highlight w:val="none"/>
          <w:lang w:val="en-US" w:eastAsia="zh-CN"/>
        </w:rPr>
        <w:t>向守约方支付</w:t>
      </w:r>
      <w:r>
        <w:rPr>
          <w:rFonts w:hint="eastAsia" w:ascii="宋体" w:hAnsi="宋体" w:cs="宋体"/>
          <w:color w:val="000000"/>
          <w:kern w:val="1"/>
          <w:szCs w:val="21"/>
          <w:highlight w:val="none"/>
          <w:lang w:eastAsia="ar-SA"/>
        </w:rPr>
        <w:t>违约金并赔偿经济损失。</w:t>
      </w:r>
    </w:p>
    <w:p w14:paraId="41E4012C">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8.</w:t>
      </w:r>
      <w:r>
        <w:rPr>
          <w:rFonts w:hint="eastAsia" w:ascii="宋体" w:hAnsi="宋体" w:cs="宋体"/>
          <w:color w:val="000000"/>
          <w:kern w:val="1"/>
          <w:szCs w:val="21"/>
          <w:highlight w:val="none"/>
          <w:lang w:eastAsia="zh-Hans"/>
        </w:rPr>
        <w:t>任何一方违约，均应当赔偿由此给守约方造成的全部经济损失，包括但不限于案件受理费、律师费、</w:t>
      </w:r>
      <w:r>
        <w:rPr>
          <w:rFonts w:hint="eastAsia" w:ascii="宋体" w:hAnsi="宋体" w:cs="宋体"/>
          <w:color w:val="000000"/>
          <w:kern w:val="1"/>
          <w:szCs w:val="21"/>
          <w:highlight w:val="none"/>
          <w:lang w:val="en-US" w:eastAsia="zh-CN"/>
        </w:rPr>
        <w:t>保全保险</w:t>
      </w:r>
      <w:r>
        <w:rPr>
          <w:rFonts w:hint="eastAsia" w:ascii="宋体" w:hAnsi="宋体" w:cs="宋体"/>
          <w:color w:val="000000"/>
          <w:kern w:val="1"/>
          <w:szCs w:val="21"/>
          <w:highlight w:val="none"/>
          <w:lang w:eastAsia="zh-Hans"/>
        </w:rPr>
        <w:t>费</w:t>
      </w:r>
      <w:r>
        <w:rPr>
          <w:rFonts w:hint="eastAsia" w:ascii="宋体" w:hAnsi="宋体" w:cs="宋体"/>
          <w:color w:val="000000"/>
          <w:kern w:val="1"/>
          <w:szCs w:val="21"/>
          <w:highlight w:val="none"/>
          <w:lang w:val="en-US" w:eastAsia="zh-CN"/>
        </w:rPr>
        <w:t>、公告</w:t>
      </w:r>
      <w:r>
        <w:rPr>
          <w:rFonts w:hint="eastAsia" w:ascii="宋体" w:hAnsi="宋体" w:cs="宋体"/>
          <w:color w:val="000000"/>
          <w:kern w:val="1"/>
          <w:szCs w:val="21"/>
          <w:highlight w:val="none"/>
          <w:lang w:eastAsia="zh-Hans"/>
        </w:rPr>
        <w:t>费</w:t>
      </w:r>
      <w:r>
        <w:rPr>
          <w:rFonts w:hint="eastAsia" w:ascii="宋体" w:hAnsi="宋体" w:cs="宋体"/>
          <w:color w:val="000000"/>
          <w:kern w:val="1"/>
          <w:szCs w:val="21"/>
          <w:highlight w:val="none"/>
          <w:lang w:eastAsia="zh-CN"/>
        </w:rPr>
        <w:t>、</w:t>
      </w:r>
      <w:r>
        <w:rPr>
          <w:rFonts w:hint="eastAsia" w:ascii="宋体" w:hAnsi="宋体" w:cs="宋体"/>
          <w:color w:val="000000"/>
          <w:kern w:val="1"/>
          <w:szCs w:val="21"/>
          <w:highlight w:val="none"/>
          <w:lang w:eastAsia="zh-Hans"/>
        </w:rPr>
        <w:t>评估费、鉴定费、差旅费等。</w:t>
      </w:r>
    </w:p>
    <w:p w14:paraId="40C403F4">
      <w:pPr>
        <w:snapToGrid w:val="0"/>
        <w:spacing w:line="480" w:lineRule="exact"/>
        <w:ind w:firstLine="422" w:firstLineChars="200"/>
        <w:rPr>
          <w:rFonts w:ascii="宋体" w:hAnsi="宋体" w:cs="宋体"/>
          <w:b/>
          <w:color w:val="000000"/>
          <w:szCs w:val="21"/>
          <w:highlight w:val="none"/>
        </w:rPr>
      </w:pPr>
      <w:r>
        <w:rPr>
          <w:rFonts w:hint="eastAsia" w:ascii="宋体" w:hAnsi="宋体" w:cs="宋体"/>
          <w:b/>
          <w:color w:val="000000"/>
          <w:szCs w:val="21"/>
          <w:highlight w:val="none"/>
        </w:rPr>
        <w:t>第十五条 不可抗力事件处理</w:t>
      </w:r>
    </w:p>
    <w:p w14:paraId="3BF9731B">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1. 在合同有效期内，任何一方因不可抗力事件导致不能履行合同，则合同履行期可延长，其延长期与不可抗力影响期相同。</w:t>
      </w:r>
    </w:p>
    <w:p w14:paraId="7CFA3149">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2. 不可抗力事件发生后，应立即通知对方，并寄送有关权威机构出具的证明。</w:t>
      </w:r>
    </w:p>
    <w:p w14:paraId="04F4A215">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3. 不可抗力事件延续一百二十天以上，双方应通过友好协商，确定是否继续履行合同。</w:t>
      </w:r>
    </w:p>
    <w:p w14:paraId="0FCC062B">
      <w:pPr>
        <w:snapToGrid w:val="0"/>
        <w:spacing w:line="480" w:lineRule="exact"/>
        <w:ind w:firstLine="422" w:firstLineChars="200"/>
        <w:rPr>
          <w:rFonts w:ascii="宋体" w:hAnsi="宋体" w:cs="宋体"/>
          <w:b/>
          <w:color w:val="000000"/>
          <w:szCs w:val="21"/>
          <w:highlight w:val="none"/>
        </w:rPr>
      </w:pPr>
      <w:r>
        <w:rPr>
          <w:rFonts w:hint="eastAsia" w:ascii="宋体" w:hAnsi="宋体" w:cs="宋体"/>
          <w:b/>
          <w:color w:val="000000"/>
          <w:szCs w:val="21"/>
          <w:highlight w:val="none"/>
        </w:rPr>
        <w:t>第十六条 合同争议解决</w:t>
      </w:r>
    </w:p>
    <w:p w14:paraId="78FBE903">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1. 因货物质量问题发生争议的，应邀请国家认可的质量检测机构按照国家标准对货物质量进行</w:t>
      </w:r>
      <w:r>
        <w:rPr>
          <w:rFonts w:hint="eastAsia" w:ascii="宋体" w:hAnsi="宋体" w:cs="宋体"/>
          <w:color w:val="000000"/>
          <w:kern w:val="1"/>
          <w:szCs w:val="21"/>
          <w:highlight w:val="none"/>
          <w:lang w:eastAsia="zh-Hans"/>
        </w:rPr>
        <w:t>鉴定</w:t>
      </w:r>
      <w:r>
        <w:rPr>
          <w:rFonts w:hint="eastAsia" w:ascii="宋体" w:hAnsi="宋体" w:cs="宋体"/>
          <w:color w:val="000000"/>
          <w:kern w:val="1"/>
          <w:szCs w:val="21"/>
          <w:highlight w:val="none"/>
          <w:lang w:eastAsia="ar-SA"/>
        </w:rPr>
        <w:t>。货物符合国家标准的，鉴定费由甲方承担；货物不符合国家标准的，鉴定费由乙方承担。</w:t>
      </w:r>
    </w:p>
    <w:p w14:paraId="3CFA75AD">
      <w:pPr>
        <w:suppressAutoHyphens/>
        <w:snapToGrid w:val="0"/>
        <w:spacing w:line="480" w:lineRule="exact"/>
        <w:ind w:firstLine="420" w:firstLineChars="200"/>
        <w:rPr>
          <w:rFonts w:hint="eastAsia"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2. 因履行本合同引起的或与本合同有关的争议，甲乙双方应首先通过友好协商解决，如果协商不能解决，可向甲方所在地人民法院提起诉讼。守约方为主张权利而产生的律师费、保全费、保函费、鉴定费、公告费、公证费等由违约方承担。</w:t>
      </w:r>
    </w:p>
    <w:p w14:paraId="2B87312F">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3. 诉讼期间，本合同继续履行。</w:t>
      </w:r>
    </w:p>
    <w:p w14:paraId="77F87509">
      <w:pPr>
        <w:snapToGrid w:val="0"/>
        <w:spacing w:line="480" w:lineRule="exact"/>
        <w:ind w:firstLine="422" w:firstLineChars="200"/>
        <w:rPr>
          <w:rFonts w:ascii="宋体" w:hAnsi="宋体" w:cs="宋体"/>
          <w:b/>
          <w:color w:val="000000"/>
          <w:szCs w:val="21"/>
          <w:highlight w:val="none"/>
        </w:rPr>
      </w:pPr>
      <w:r>
        <w:rPr>
          <w:rFonts w:hint="eastAsia" w:ascii="宋体" w:hAnsi="宋体" w:cs="宋体"/>
          <w:b/>
          <w:color w:val="000000"/>
          <w:szCs w:val="21"/>
          <w:highlight w:val="none"/>
        </w:rPr>
        <w:t>第十七条 合同生效及其它</w:t>
      </w:r>
    </w:p>
    <w:p w14:paraId="5C81354D">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1.合同履行地点为：</w:t>
      </w:r>
      <w:r>
        <w:rPr>
          <w:rFonts w:hint="eastAsia" w:ascii="宋体" w:hAnsi="宋体" w:cs="宋体"/>
          <w:color w:val="000000"/>
          <w:kern w:val="1"/>
          <w:szCs w:val="21"/>
          <w:highlight w:val="none"/>
          <w:u w:val="single"/>
        </w:rPr>
        <w:t>广西制造工程职业技术学院</w:t>
      </w:r>
      <w:r>
        <w:rPr>
          <w:rFonts w:hint="eastAsia" w:ascii="宋体" w:hAnsi="宋体" w:cs="宋体"/>
          <w:color w:val="000000"/>
          <w:kern w:val="1"/>
          <w:szCs w:val="21"/>
          <w:highlight w:val="none"/>
          <w:lang w:eastAsia="ar-SA"/>
        </w:rPr>
        <w:t>；合同履行的方式：</w:t>
      </w:r>
      <w:r>
        <w:rPr>
          <w:rFonts w:hint="eastAsia" w:ascii="宋体" w:hAnsi="宋体" w:cs="宋体"/>
          <w:color w:val="000000"/>
          <w:kern w:val="1"/>
          <w:szCs w:val="21"/>
          <w:highlight w:val="none"/>
          <w:u w:val="single"/>
          <w:lang w:eastAsia="ar-SA"/>
        </w:rPr>
        <w:t>按照本合同约定</w:t>
      </w:r>
      <w:r>
        <w:rPr>
          <w:rFonts w:hint="eastAsia" w:ascii="宋体" w:hAnsi="宋体" w:cs="宋体"/>
          <w:color w:val="000000"/>
          <w:kern w:val="1"/>
          <w:szCs w:val="21"/>
          <w:highlight w:val="none"/>
          <w:lang w:eastAsia="ar-SA"/>
        </w:rPr>
        <w:t>。</w:t>
      </w:r>
    </w:p>
    <w:p w14:paraId="717EF408">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2.合同经双方</w:t>
      </w:r>
      <w:r>
        <w:rPr>
          <w:rFonts w:hint="eastAsia" w:ascii="宋体" w:hAnsi="宋体" w:cs="宋体"/>
          <w:color w:val="000000"/>
          <w:kern w:val="1"/>
          <w:szCs w:val="21"/>
          <w:highlight w:val="none"/>
        </w:rPr>
        <w:t>法定代表人（或负责人）</w:t>
      </w:r>
      <w:r>
        <w:rPr>
          <w:rFonts w:hint="eastAsia" w:ascii="宋体" w:hAnsi="宋体" w:cs="宋体"/>
          <w:color w:val="000000"/>
          <w:kern w:val="1"/>
          <w:szCs w:val="21"/>
          <w:highlight w:val="none"/>
          <w:lang w:eastAsia="ar-SA"/>
        </w:rPr>
        <w:t>或授权代表签字并加盖单位公章后生效。</w:t>
      </w:r>
    </w:p>
    <w:p w14:paraId="59257C13">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3.</w:t>
      </w:r>
      <w:r>
        <w:rPr>
          <w:rFonts w:hint="eastAsia" w:ascii="宋体" w:hAnsi="宋体" w:cs="宋体"/>
          <w:color w:val="000000"/>
          <w:szCs w:val="21"/>
          <w:highlight w:val="none"/>
        </w:rPr>
        <w:t>合同执行中涉及采购内容修改或补充的，按政府采购相关规定要求签订书面补充协议，并作为主合同不可分割的一部分</w:t>
      </w:r>
      <w:r>
        <w:rPr>
          <w:rFonts w:hint="eastAsia" w:ascii="宋体" w:hAnsi="宋体" w:cs="宋体"/>
          <w:color w:val="000000"/>
          <w:kern w:val="1"/>
          <w:szCs w:val="21"/>
          <w:highlight w:val="none"/>
          <w:lang w:eastAsia="ar-SA"/>
        </w:rPr>
        <w:t>。</w:t>
      </w:r>
    </w:p>
    <w:p w14:paraId="32D26915">
      <w:pPr>
        <w:suppressAutoHyphens/>
        <w:snapToGrid w:val="0"/>
        <w:spacing w:line="480" w:lineRule="exact"/>
        <w:ind w:firstLine="420" w:firstLineChars="200"/>
        <w:rPr>
          <w:rFonts w:hint="eastAsia"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4.本合同未尽事宜，遵照《</w:t>
      </w:r>
      <w:r>
        <w:rPr>
          <w:rFonts w:hint="eastAsia" w:ascii="宋体" w:hAnsi="宋体" w:cs="宋体"/>
          <w:color w:val="000000"/>
          <w:kern w:val="1"/>
          <w:szCs w:val="21"/>
          <w:highlight w:val="none"/>
        </w:rPr>
        <w:t>中华人民共和国民法典</w:t>
      </w:r>
      <w:r>
        <w:rPr>
          <w:rFonts w:hint="eastAsia" w:ascii="宋体" w:hAnsi="宋体" w:cs="宋体"/>
          <w:color w:val="000000"/>
          <w:kern w:val="1"/>
          <w:szCs w:val="21"/>
          <w:highlight w:val="none"/>
          <w:lang w:eastAsia="ar-SA"/>
        </w:rPr>
        <w:t>》有关条文执行。</w:t>
      </w:r>
    </w:p>
    <w:p w14:paraId="179ABC80">
      <w:pPr>
        <w:snapToGrid w:val="0"/>
        <w:spacing w:line="480" w:lineRule="exact"/>
        <w:ind w:firstLine="420" w:firstLineChars="200"/>
        <w:rPr>
          <w:rFonts w:hint="eastAsia" w:ascii="宋体" w:hAnsi="宋体" w:cs="宋体"/>
          <w:color w:val="000000"/>
          <w:kern w:val="1"/>
          <w:szCs w:val="21"/>
          <w:highlight w:val="none"/>
          <w:lang w:eastAsia="ar-SA"/>
        </w:rPr>
      </w:pPr>
      <w:r>
        <w:rPr>
          <w:rFonts w:hint="eastAsia" w:ascii="宋体" w:hAnsi="宋体" w:cs="宋体"/>
          <w:szCs w:val="21"/>
          <w:highlight w:val="none"/>
          <w:lang w:val="en-US" w:eastAsia="zh-CN"/>
        </w:rPr>
        <w:t>5.</w:t>
      </w:r>
      <w:r>
        <w:rPr>
          <w:rFonts w:hint="eastAsia" w:ascii="宋体" w:hAnsi="宋体" w:cs="宋体"/>
          <w:szCs w:val="21"/>
          <w:highlight w:val="none"/>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w:t>
      </w:r>
      <w:r>
        <w:rPr>
          <w:rFonts w:hint="eastAsia" w:ascii="宋体" w:hAnsi="宋体" w:cs="宋体"/>
          <w:szCs w:val="21"/>
          <w:highlight w:val="none"/>
          <w:u w:val="single"/>
          <w:lang w:val="en-US" w:eastAsia="zh-CN"/>
        </w:rPr>
        <w:t>7</w:t>
      </w:r>
      <w:r>
        <w:rPr>
          <w:rFonts w:hint="eastAsia" w:ascii="宋体" w:hAnsi="宋体" w:cs="宋体"/>
          <w:szCs w:val="21"/>
          <w:highlight w:val="none"/>
        </w:rPr>
        <w:t>个工作日书面通知对方。因提供或者确认的通讯地址不准确、通讯地址变更后未及时依程序告知对方或受送达方拒绝签收等原因，导致文书未能被实际接收的，邮寄送达的，以文书退回之日视为送达之日。</w:t>
      </w:r>
    </w:p>
    <w:p w14:paraId="7E128175">
      <w:pPr>
        <w:snapToGrid w:val="0"/>
        <w:spacing w:line="480" w:lineRule="exact"/>
        <w:ind w:firstLine="422" w:firstLineChars="200"/>
        <w:rPr>
          <w:rFonts w:ascii="宋体" w:hAnsi="宋体" w:cs="宋体"/>
          <w:b/>
          <w:color w:val="000000"/>
          <w:szCs w:val="21"/>
          <w:highlight w:val="none"/>
        </w:rPr>
      </w:pPr>
      <w:r>
        <w:rPr>
          <w:rFonts w:hint="eastAsia" w:ascii="宋体" w:hAnsi="宋体" w:cs="宋体"/>
          <w:b/>
          <w:color w:val="000000"/>
          <w:szCs w:val="21"/>
          <w:highlight w:val="none"/>
        </w:rPr>
        <w:t>第十八条 合同的变更、终止与转让</w:t>
      </w:r>
    </w:p>
    <w:p w14:paraId="7FD331F2">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1.本合同一经签订，甲乙双方不得擅自变更、中止或终止。</w:t>
      </w:r>
    </w:p>
    <w:p w14:paraId="472F1F69">
      <w:pPr>
        <w:suppressAutoHyphens/>
        <w:snapToGrid w:val="0"/>
        <w:spacing w:line="480" w:lineRule="exact"/>
        <w:ind w:firstLine="420" w:firstLineChars="200"/>
        <w:rPr>
          <w:rFonts w:ascii="宋体" w:hAnsi="宋体" w:cs="宋体"/>
          <w:color w:val="000000"/>
          <w:kern w:val="1"/>
          <w:szCs w:val="21"/>
          <w:highlight w:val="none"/>
          <w:lang w:eastAsia="ar-SA"/>
        </w:rPr>
      </w:pPr>
      <w:r>
        <w:rPr>
          <w:rFonts w:hint="eastAsia" w:ascii="宋体" w:hAnsi="宋体" w:cs="宋体"/>
          <w:color w:val="000000"/>
          <w:kern w:val="1"/>
          <w:szCs w:val="21"/>
          <w:highlight w:val="none"/>
          <w:lang w:eastAsia="ar-SA"/>
        </w:rPr>
        <w:t>2.未经甲方书面同意，乙方不得擅自转让</w:t>
      </w:r>
      <w:r>
        <w:rPr>
          <w:rFonts w:hint="eastAsia" w:ascii="宋体" w:hAnsi="宋体" w:cs="宋体"/>
          <w:color w:val="000000"/>
          <w:kern w:val="1"/>
          <w:szCs w:val="21"/>
          <w:highlight w:val="none"/>
          <w:lang w:eastAsia="zh-Hans"/>
        </w:rPr>
        <w:t>、分包</w:t>
      </w:r>
      <w:r>
        <w:rPr>
          <w:rFonts w:hint="eastAsia" w:ascii="宋体" w:hAnsi="宋体" w:cs="宋体"/>
          <w:color w:val="000000"/>
          <w:kern w:val="1"/>
          <w:szCs w:val="21"/>
          <w:highlight w:val="none"/>
          <w:lang w:eastAsia="ar-SA"/>
        </w:rPr>
        <w:t>（无进口资格的乙方委托进口货物除外）其应履行的合同义务。</w:t>
      </w:r>
    </w:p>
    <w:p w14:paraId="6E5A061B">
      <w:pPr>
        <w:spacing w:line="480" w:lineRule="exact"/>
        <w:ind w:firstLine="422" w:firstLineChars="200"/>
        <w:rPr>
          <w:rFonts w:ascii="宋体" w:hAnsi="宋体" w:cs="宋体"/>
          <w:b/>
          <w:color w:val="000000"/>
          <w:kern w:val="1"/>
          <w:szCs w:val="21"/>
          <w:highlight w:val="none"/>
        </w:rPr>
      </w:pPr>
      <w:r>
        <w:rPr>
          <w:rFonts w:hint="eastAsia" w:ascii="宋体" w:hAnsi="宋体" w:cs="宋体"/>
          <w:b/>
          <w:color w:val="000000"/>
          <w:kern w:val="1"/>
          <w:szCs w:val="21"/>
          <w:highlight w:val="none"/>
          <w:lang w:eastAsia="ar-SA"/>
        </w:rPr>
        <w:t>第十九条 签订本合同依据</w:t>
      </w:r>
    </w:p>
    <w:p w14:paraId="1A7843B1">
      <w:pPr>
        <w:spacing w:line="480" w:lineRule="exact"/>
        <w:ind w:firstLine="420" w:firstLineChars="200"/>
        <w:rPr>
          <w:rFonts w:ascii="宋体" w:hAnsi="宋体" w:cs="宋体"/>
          <w:color w:val="000000"/>
          <w:szCs w:val="21"/>
          <w:highlight w:val="none"/>
        </w:rPr>
      </w:pPr>
      <w:r>
        <w:rPr>
          <w:rFonts w:hint="eastAsia" w:ascii="宋体" w:hAnsi="宋体" w:cs="宋体"/>
          <w:color w:val="000000"/>
          <w:kern w:val="1"/>
          <w:szCs w:val="21"/>
          <w:highlight w:val="none"/>
        </w:rPr>
        <w:t>1</w:t>
      </w:r>
      <w:r>
        <w:rPr>
          <w:rFonts w:hint="eastAsia" w:ascii="宋体" w:hAnsi="宋体" w:cs="宋体"/>
          <w:color w:val="000000"/>
          <w:kern w:val="1"/>
          <w:szCs w:val="21"/>
          <w:highlight w:val="none"/>
          <w:lang w:eastAsia="ar-SA"/>
        </w:rPr>
        <w:t>.</w:t>
      </w:r>
      <w:r>
        <w:rPr>
          <w:rFonts w:hint="eastAsia" w:ascii="宋体" w:hAnsi="宋体" w:cs="宋体"/>
          <w:color w:val="000000"/>
          <w:kern w:val="1"/>
          <w:szCs w:val="21"/>
          <w:highlight w:val="none"/>
        </w:rPr>
        <w:t>招标</w:t>
      </w:r>
      <w:r>
        <w:rPr>
          <w:rFonts w:hint="eastAsia" w:ascii="宋体" w:hAnsi="宋体" w:cs="宋体"/>
          <w:color w:val="000000"/>
          <w:kern w:val="1"/>
          <w:szCs w:val="21"/>
          <w:highlight w:val="none"/>
          <w:lang w:eastAsia="ar-SA"/>
        </w:rPr>
        <w:t>文件；</w:t>
      </w:r>
    </w:p>
    <w:p w14:paraId="167D8AC5">
      <w:pPr>
        <w:suppressAutoHyphens/>
        <w:spacing w:line="480" w:lineRule="exact"/>
        <w:ind w:firstLine="420" w:firstLineChars="200"/>
        <w:rPr>
          <w:rFonts w:ascii="宋体" w:hAnsi="宋体" w:cs="宋体"/>
          <w:color w:val="000000"/>
          <w:kern w:val="1"/>
          <w:szCs w:val="21"/>
          <w:highlight w:val="none"/>
        </w:rPr>
      </w:pPr>
      <w:r>
        <w:rPr>
          <w:rFonts w:hint="eastAsia" w:ascii="宋体" w:hAnsi="宋体" w:cs="宋体"/>
          <w:color w:val="000000"/>
          <w:kern w:val="1"/>
          <w:szCs w:val="21"/>
          <w:highlight w:val="none"/>
        </w:rPr>
        <w:t>2</w:t>
      </w:r>
      <w:r>
        <w:rPr>
          <w:rFonts w:hint="eastAsia" w:ascii="宋体" w:hAnsi="宋体" w:cs="宋体"/>
          <w:color w:val="000000"/>
          <w:kern w:val="1"/>
          <w:szCs w:val="21"/>
          <w:highlight w:val="none"/>
          <w:lang w:eastAsia="ar-SA"/>
        </w:rPr>
        <w:t>.乙方提供的投标文件</w:t>
      </w:r>
      <w:r>
        <w:rPr>
          <w:rFonts w:hint="eastAsia" w:ascii="宋体" w:hAnsi="宋体" w:cs="宋体"/>
          <w:color w:val="000000"/>
          <w:kern w:val="1"/>
          <w:szCs w:val="21"/>
          <w:highlight w:val="none"/>
        </w:rPr>
        <w:t>；</w:t>
      </w:r>
    </w:p>
    <w:p w14:paraId="5967E264">
      <w:pPr>
        <w:suppressAutoHyphens/>
        <w:spacing w:line="480" w:lineRule="exact"/>
        <w:ind w:firstLine="420" w:firstLineChars="200"/>
        <w:rPr>
          <w:rFonts w:ascii="宋体" w:hAnsi="宋体" w:cs="宋体"/>
          <w:color w:val="000000"/>
          <w:kern w:val="1"/>
          <w:szCs w:val="21"/>
          <w:highlight w:val="none"/>
        </w:rPr>
      </w:pPr>
      <w:r>
        <w:rPr>
          <w:rFonts w:hint="eastAsia" w:ascii="宋体" w:hAnsi="宋体" w:cs="宋体"/>
          <w:color w:val="000000"/>
          <w:kern w:val="1"/>
          <w:szCs w:val="21"/>
          <w:highlight w:val="none"/>
        </w:rPr>
        <w:t>3</w:t>
      </w:r>
      <w:r>
        <w:rPr>
          <w:rFonts w:hint="eastAsia" w:ascii="宋体" w:hAnsi="宋体" w:cs="宋体"/>
          <w:color w:val="000000"/>
          <w:kern w:val="1"/>
          <w:szCs w:val="21"/>
          <w:highlight w:val="none"/>
          <w:lang w:eastAsia="ar-SA"/>
        </w:rPr>
        <w:t>.中标通知书</w:t>
      </w:r>
      <w:r>
        <w:rPr>
          <w:rFonts w:hint="eastAsia" w:ascii="宋体" w:hAnsi="宋体" w:cs="宋体"/>
          <w:color w:val="000000"/>
          <w:kern w:val="1"/>
          <w:szCs w:val="21"/>
          <w:highlight w:val="none"/>
        </w:rPr>
        <w:t>。</w:t>
      </w:r>
    </w:p>
    <w:p w14:paraId="62EDE72E">
      <w:pPr>
        <w:snapToGrid w:val="0"/>
        <w:spacing w:line="480" w:lineRule="exact"/>
        <w:ind w:firstLine="422" w:firstLineChars="200"/>
        <w:rPr>
          <w:rFonts w:hint="eastAsia" w:ascii="宋体" w:hAnsi="宋体" w:cs="宋体"/>
          <w:color w:val="000000"/>
          <w:kern w:val="1"/>
          <w:szCs w:val="21"/>
          <w:highlight w:val="none"/>
          <w:lang w:eastAsia="ar-SA"/>
        </w:rPr>
      </w:pPr>
      <w:r>
        <w:rPr>
          <w:rFonts w:hint="eastAsia" w:ascii="宋体" w:hAnsi="宋体" w:cs="宋体"/>
          <w:b/>
          <w:color w:val="000000"/>
          <w:szCs w:val="21"/>
          <w:highlight w:val="none"/>
        </w:rPr>
        <w:t xml:space="preserve">第二十条 </w:t>
      </w:r>
      <w:r>
        <w:rPr>
          <w:rFonts w:hint="eastAsia" w:ascii="宋体" w:hAnsi="宋体" w:cs="宋体"/>
          <w:color w:val="000000"/>
          <w:kern w:val="1"/>
          <w:szCs w:val="21"/>
          <w:highlight w:val="none"/>
          <w:lang w:eastAsia="ar-SA"/>
        </w:rPr>
        <w:t>本合同一式</w:t>
      </w:r>
      <w:r>
        <w:rPr>
          <w:rFonts w:hint="eastAsia" w:ascii="宋体" w:hAnsi="宋体" w:cs="宋体"/>
          <w:color w:val="000000"/>
          <w:kern w:val="1"/>
          <w:szCs w:val="21"/>
          <w:highlight w:val="none"/>
          <w:lang w:val="en-US" w:eastAsia="zh-CN"/>
        </w:rPr>
        <w:t>玖</w:t>
      </w:r>
      <w:r>
        <w:rPr>
          <w:rFonts w:hint="eastAsia" w:ascii="宋体" w:hAnsi="宋体" w:cs="宋体"/>
          <w:color w:val="000000"/>
          <w:kern w:val="1"/>
          <w:szCs w:val="21"/>
          <w:highlight w:val="none"/>
          <w:lang w:eastAsia="ar-SA"/>
        </w:rPr>
        <w:t>份，具有同等法律效力。甲方</w:t>
      </w:r>
      <w:r>
        <w:rPr>
          <w:rFonts w:hint="eastAsia" w:ascii="宋体" w:hAnsi="宋体" w:cs="宋体"/>
          <w:color w:val="000000"/>
          <w:kern w:val="1"/>
          <w:szCs w:val="21"/>
          <w:highlight w:val="none"/>
          <w:lang w:val="en-US" w:eastAsia="zh-CN"/>
        </w:rPr>
        <w:t>伍</w:t>
      </w:r>
      <w:r>
        <w:rPr>
          <w:rFonts w:hint="eastAsia" w:ascii="宋体" w:hAnsi="宋体" w:cs="宋体"/>
          <w:color w:val="000000"/>
          <w:kern w:val="1"/>
          <w:szCs w:val="21"/>
          <w:highlight w:val="none"/>
          <w:lang w:eastAsia="ar-SA"/>
        </w:rPr>
        <w:t>份，乙方</w:t>
      </w:r>
      <w:r>
        <w:rPr>
          <w:rFonts w:hint="eastAsia" w:ascii="宋体" w:hAnsi="宋体" w:cs="宋体"/>
          <w:color w:val="000000"/>
          <w:kern w:val="1"/>
          <w:szCs w:val="21"/>
          <w:highlight w:val="none"/>
        </w:rPr>
        <w:t>贰</w:t>
      </w:r>
      <w:r>
        <w:rPr>
          <w:rFonts w:hint="eastAsia" w:ascii="宋体" w:hAnsi="宋体" w:cs="宋体"/>
          <w:color w:val="000000"/>
          <w:kern w:val="1"/>
          <w:szCs w:val="21"/>
          <w:highlight w:val="none"/>
          <w:lang w:eastAsia="ar-SA"/>
        </w:rPr>
        <w:t>份，采购代理机构</w:t>
      </w:r>
      <w:r>
        <w:rPr>
          <w:rFonts w:hint="eastAsia" w:ascii="宋体" w:hAnsi="宋体" w:cs="宋体"/>
          <w:color w:val="000000"/>
          <w:kern w:val="1"/>
          <w:szCs w:val="21"/>
          <w:highlight w:val="none"/>
        </w:rPr>
        <w:t>贰</w:t>
      </w:r>
      <w:r>
        <w:rPr>
          <w:rFonts w:hint="eastAsia" w:ascii="宋体" w:hAnsi="宋体" w:cs="宋体"/>
          <w:color w:val="000000"/>
          <w:kern w:val="1"/>
          <w:szCs w:val="21"/>
          <w:highlight w:val="none"/>
          <w:lang w:eastAsia="ar-SA"/>
        </w:rPr>
        <w:t>份</w:t>
      </w:r>
      <w:r>
        <w:rPr>
          <w:rFonts w:hint="eastAsia" w:ascii="宋体" w:hAnsi="宋体" w:cs="宋体"/>
          <w:color w:val="000000"/>
          <w:kern w:val="1"/>
          <w:szCs w:val="21"/>
          <w:highlight w:val="none"/>
        </w:rPr>
        <w:t>，本合同经甲乙双方法定代表人（或负责人）或授权代表签字并加盖单位公章后生效</w:t>
      </w:r>
      <w:r>
        <w:rPr>
          <w:rFonts w:hint="eastAsia" w:ascii="宋体" w:hAnsi="宋体" w:cs="宋体"/>
          <w:color w:val="000000"/>
          <w:kern w:val="1"/>
          <w:szCs w:val="21"/>
          <w:highlight w:val="none"/>
          <w:lang w:eastAsia="ar-SA"/>
        </w:rPr>
        <w:t>。合同附件是合同的不可分割的组成部分，与合同具有同等法律效力。</w:t>
      </w:r>
    </w:p>
    <w:p w14:paraId="68B830FF">
      <w:pPr>
        <w:spacing w:line="4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本合同自签订之日起2个工作日内，甲方应当将采购合同在广西壮族自治区财政厅指定的媒体上公告。</w:t>
      </w:r>
    </w:p>
    <w:tbl>
      <w:tblPr>
        <w:tblStyle w:val="48"/>
        <w:tblW w:w="872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0"/>
        <w:gridCol w:w="4360"/>
      </w:tblGrid>
      <w:tr w14:paraId="7D9B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360" w:type="dxa"/>
            <w:vAlign w:val="center"/>
          </w:tcPr>
          <w:p w14:paraId="13BBA9B0">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 xml:space="preserve">甲方（章）广西制造工程职业技术学院 </w:t>
            </w:r>
          </w:p>
          <w:p w14:paraId="55FDD1C5">
            <w:pPr>
              <w:snapToGrid w:val="0"/>
              <w:spacing w:line="480" w:lineRule="exact"/>
              <w:rPr>
                <w:rFonts w:ascii="宋体" w:hAnsi="宋体" w:cs="宋体"/>
                <w:color w:val="000000"/>
                <w:szCs w:val="21"/>
                <w:highlight w:val="none"/>
              </w:rPr>
            </w:pPr>
          </w:p>
          <w:p w14:paraId="606A0CFB">
            <w:pPr>
              <w:snapToGrid w:val="0"/>
              <w:spacing w:line="480" w:lineRule="exact"/>
              <w:ind w:firstLine="945" w:firstLineChars="450"/>
              <w:jc w:val="right"/>
              <w:rPr>
                <w:rFonts w:ascii="宋体" w:hAnsi="宋体" w:cs="宋体"/>
                <w:color w:val="000000"/>
                <w:szCs w:val="21"/>
                <w:highlight w:val="none"/>
              </w:rPr>
            </w:pPr>
            <w:r>
              <w:rPr>
                <w:rFonts w:hint="eastAsia" w:ascii="宋体" w:hAnsi="宋体" w:cs="宋体"/>
                <w:color w:val="000000"/>
                <w:szCs w:val="21"/>
                <w:highlight w:val="none"/>
              </w:rPr>
              <w:t>20</w:t>
            </w:r>
            <w:r>
              <w:rPr>
                <w:rFonts w:hint="eastAsia" w:ascii="宋体" w:hAnsi="宋体" w:cs="宋体"/>
                <w:color w:val="000000"/>
                <w:szCs w:val="21"/>
                <w:highlight w:val="none"/>
                <w:lang w:val="en-US" w:eastAsia="zh-CN"/>
              </w:rPr>
              <w:t>26</w:t>
            </w:r>
            <w:r>
              <w:rPr>
                <w:rFonts w:hint="eastAsia" w:ascii="宋体" w:hAnsi="宋体" w:cs="宋体"/>
                <w:color w:val="000000"/>
                <w:szCs w:val="21"/>
                <w:highlight w:val="none"/>
              </w:rPr>
              <w:t>年   月   日</w:t>
            </w:r>
          </w:p>
        </w:tc>
        <w:tc>
          <w:tcPr>
            <w:tcW w:w="4360" w:type="dxa"/>
            <w:vAlign w:val="center"/>
          </w:tcPr>
          <w:p w14:paraId="5C0057BC">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 xml:space="preserve">乙方（章）               </w:t>
            </w:r>
          </w:p>
          <w:p w14:paraId="1FB1626C">
            <w:pPr>
              <w:snapToGrid w:val="0"/>
              <w:spacing w:line="480" w:lineRule="exact"/>
              <w:rPr>
                <w:rFonts w:ascii="宋体" w:hAnsi="宋体" w:cs="宋体"/>
                <w:color w:val="000000"/>
                <w:szCs w:val="21"/>
                <w:highlight w:val="none"/>
              </w:rPr>
            </w:pPr>
          </w:p>
          <w:p w14:paraId="19C21440">
            <w:pPr>
              <w:snapToGrid w:val="0"/>
              <w:spacing w:line="480" w:lineRule="exact"/>
              <w:jc w:val="right"/>
              <w:rPr>
                <w:rFonts w:ascii="宋体" w:hAnsi="宋体" w:cs="宋体"/>
                <w:color w:val="000000"/>
                <w:szCs w:val="21"/>
                <w:highlight w:val="none"/>
              </w:rPr>
            </w:pPr>
            <w:r>
              <w:rPr>
                <w:rFonts w:hint="eastAsia" w:ascii="宋体" w:hAnsi="宋体" w:cs="宋体"/>
                <w:color w:val="000000"/>
                <w:szCs w:val="21"/>
                <w:highlight w:val="none"/>
              </w:rPr>
              <w:t xml:space="preserve"> 20</w:t>
            </w:r>
            <w:r>
              <w:rPr>
                <w:rFonts w:hint="eastAsia" w:ascii="宋体" w:hAnsi="宋体" w:cs="宋体"/>
                <w:color w:val="000000"/>
                <w:szCs w:val="21"/>
                <w:highlight w:val="none"/>
                <w:lang w:val="en-US" w:eastAsia="zh-CN"/>
              </w:rPr>
              <w:t>26</w:t>
            </w:r>
            <w:r>
              <w:rPr>
                <w:rFonts w:hint="eastAsia" w:ascii="宋体" w:hAnsi="宋体" w:cs="宋体"/>
                <w:color w:val="000000"/>
                <w:szCs w:val="21"/>
                <w:highlight w:val="none"/>
              </w:rPr>
              <w:t>年   月   日</w:t>
            </w:r>
          </w:p>
        </w:tc>
      </w:tr>
      <w:tr w14:paraId="5080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360" w:type="dxa"/>
            <w:vAlign w:val="center"/>
          </w:tcPr>
          <w:p w14:paraId="4CD7B6A3">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单位地址：广西南宁市武鸣区（广西—东盟经济技术开发区）宝源南路29号</w:t>
            </w:r>
          </w:p>
        </w:tc>
        <w:tc>
          <w:tcPr>
            <w:tcW w:w="4360" w:type="dxa"/>
            <w:vAlign w:val="center"/>
          </w:tcPr>
          <w:p w14:paraId="39E6325A">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单位地址：</w:t>
            </w:r>
          </w:p>
        </w:tc>
      </w:tr>
      <w:tr w14:paraId="29AA0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4360" w:type="dxa"/>
            <w:vAlign w:val="center"/>
          </w:tcPr>
          <w:p w14:paraId="73B908B7">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法定代表人或委托代理人：</w:t>
            </w:r>
          </w:p>
        </w:tc>
        <w:tc>
          <w:tcPr>
            <w:tcW w:w="4360" w:type="dxa"/>
            <w:vAlign w:val="center"/>
          </w:tcPr>
          <w:p w14:paraId="64DBA4FB">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法定代表人或委托代理人：</w:t>
            </w:r>
          </w:p>
        </w:tc>
      </w:tr>
      <w:tr w14:paraId="4FFD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360" w:type="dxa"/>
            <w:vAlign w:val="center"/>
          </w:tcPr>
          <w:p w14:paraId="4268FA0C">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电话：</w:t>
            </w:r>
          </w:p>
        </w:tc>
        <w:tc>
          <w:tcPr>
            <w:tcW w:w="4360" w:type="dxa"/>
            <w:vAlign w:val="center"/>
          </w:tcPr>
          <w:p w14:paraId="53C39325">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电话：</w:t>
            </w:r>
          </w:p>
        </w:tc>
      </w:tr>
      <w:tr w14:paraId="3DA1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4360" w:type="dxa"/>
            <w:vAlign w:val="center"/>
          </w:tcPr>
          <w:p w14:paraId="55904A2F">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电子邮箱：</w:t>
            </w:r>
          </w:p>
        </w:tc>
        <w:tc>
          <w:tcPr>
            <w:tcW w:w="4360" w:type="dxa"/>
            <w:vAlign w:val="center"/>
          </w:tcPr>
          <w:p w14:paraId="5EB7CAAC">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电子邮箱：</w:t>
            </w:r>
          </w:p>
        </w:tc>
      </w:tr>
      <w:tr w14:paraId="5475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360" w:type="dxa"/>
            <w:vAlign w:val="center"/>
          </w:tcPr>
          <w:p w14:paraId="0C7B83E5">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开户银行：</w:t>
            </w:r>
          </w:p>
        </w:tc>
        <w:tc>
          <w:tcPr>
            <w:tcW w:w="4360" w:type="dxa"/>
            <w:vAlign w:val="center"/>
          </w:tcPr>
          <w:p w14:paraId="6276BDE0">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开户银行：</w:t>
            </w:r>
          </w:p>
        </w:tc>
      </w:tr>
      <w:tr w14:paraId="0E4A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4360" w:type="dxa"/>
            <w:vAlign w:val="center"/>
          </w:tcPr>
          <w:p w14:paraId="1B91B15A">
            <w:pPr>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账号：</w:t>
            </w:r>
          </w:p>
        </w:tc>
        <w:tc>
          <w:tcPr>
            <w:tcW w:w="4360" w:type="dxa"/>
            <w:vAlign w:val="center"/>
          </w:tcPr>
          <w:p w14:paraId="0DAC1D4C">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账号：</w:t>
            </w:r>
          </w:p>
        </w:tc>
      </w:tr>
      <w:tr w14:paraId="1766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trPr>
        <w:tc>
          <w:tcPr>
            <w:tcW w:w="4360" w:type="dxa"/>
            <w:vAlign w:val="center"/>
          </w:tcPr>
          <w:p w14:paraId="065B70A2">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纳税人识别号或统一社会信用代码：12450000MB1G8284XL</w:t>
            </w:r>
          </w:p>
        </w:tc>
        <w:tc>
          <w:tcPr>
            <w:tcW w:w="4360" w:type="dxa"/>
            <w:vAlign w:val="center"/>
          </w:tcPr>
          <w:p w14:paraId="64457C72">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纳税人识别号或统一社会信用代码：</w:t>
            </w:r>
          </w:p>
          <w:p w14:paraId="07A2E6D5">
            <w:pPr>
              <w:snapToGrid w:val="0"/>
              <w:spacing w:line="480" w:lineRule="exact"/>
              <w:jc w:val="left"/>
              <w:rPr>
                <w:rFonts w:ascii="宋体" w:hAnsi="宋体" w:cs="宋体"/>
                <w:color w:val="000000"/>
                <w:szCs w:val="21"/>
                <w:highlight w:val="none"/>
              </w:rPr>
            </w:pPr>
          </w:p>
        </w:tc>
      </w:tr>
      <w:tr w14:paraId="768B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4360" w:type="dxa"/>
            <w:vAlign w:val="center"/>
          </w:tcPr>
          <w:p w14:paraId="436DC985">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邮政编码：530105</w:t>
            </w:r>
          </w:p>
        </w:tc>
        <w:tc>
          <w:tcPr>
            <w:tcW w:w="4360" w:type="dxa"/>
            <w:vAlign w:val="center"/>
          </w:tcPr>
          <w:p w14:paraId="1CB82CC2">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邮政编码：</w:t>
            </w:r>
          </w:p>
        </w:tc>
      </w:tr>
    </w:tbl>
    <w:p w14:paraId="4CDA2A66">
      <w:pPr>
        <w:snapToGrid w:val="0"/>
        <w:spacing w:line="360" w:lineRule="auto"/>
        <w:ind w:left="420" w:hanging="420" w:hangingChars="200"/>
        <w:rPr>
          <w:rFonts w:ascii="宋体" w:hAnsi="宋体"/>
          <w:color w:val="000000"/>
          <w:szCs w:val="21"/>
          <w:highlight w:val="none"/>
        </w:rPr>
      </w:pPr>
    </w:p>
    <w:p w14:paraId="4678D42B">
      <w:pPr>
        <w:snapToGrid w:val="0"/>
        <w:spacing w:line="360" w:lineRule="auto"/>
        <w:jc w:val="center"/>
        <w:rPr>
          <w:rFonts w:ascii="宋体" w:hAnsi="宋体"/>
          <w:bCs/>
          <w:color w:val="000000"/>
          <w:sz w:val="32"/>
          <w:szCs w:val="32"/>
          <w:highlight w:val="none"/>
        </w:rPr>
      </w:pPr>
      <w:r>
        <w:rPr>
          <w:rFonts w:ascii="宋体" w:hAnsi="宋体"/>
          <w:b/>
          <w:color w:val="000000"/>
          <w:szCs w:val="21"/>
          <w:highlight w:val="none"/>
        </w:rPr>
        <w:br w:type="page"/>
      </w:r>
    </w:p>
    <w:bookmarkEnd w:id="157"/>
    <w:p w14:paraId="25CA1C5C">
      <w:pPr>
        <w:snapToGrid w:val="0"/>
        <w:jc w:val="center"/>
        <w:rPr>
          <w:rFonts w:ascii="宋体" w:hAnsi="宋体"/>
          <w:b/>
          <w:bCs/>
          <w:color w:val="000000"/>
          <w:sz w:val="32"/>
          <w:szCs w:val="32"/>
          <w:highlight w:val="none"/>
        </w:rPr>
      </w:pPr>
      <w:r>
        <w:rPr>
          <w:rFonts w:hint="eastAsia" w:ascii="宋体" w:hAnsi="宋体"/>
          <w:b/>
          <w:bCs/>
          <w:color w:val="000000"/>
          <w:sz w:val="32"/>
          <w:szCs w:val="32"/>
          <w:highlight w:val="none"/>
        </w:rPr>
        <w:t>《广西壮族自治区政府采购合同》</w:t>
      </w:r>
    </w:p>
    <w:p w14:paraId="559DEEF3">
      <w:pPr>
        <w:snapToGrid w:val="0"/>
        <w:spacing w:line="400" w:lineRule="exact"/>
        <w:jc w:val="center"/>
        <w:rPr>
          <w:rFonts w:ascii="宋体" w:hAnsi="宋体"/>
          <w:b/>
          <w:color w:val="000000"/>
          <w:sz w:val="32"/>
          <w:szCs w:val="32"/>
          <w:highlight w:val="none"/>
        </w:rPr>
      </w:pPr>
      <w:r>
        <w:rPr>
          <w:rFonts w:hint="eastAsia" w:ascii="宋体" w:hAnsi="宋体"/>
          <w:b/>
          <w:color w:val="000000"/>
          <w:sz w:val="32"/>
          <w:szCs w:val="32"/>
          <w:highlight w:val="none"/>
        </w:rPr>
        <w:t>文本</w:t>
      </w:r>
    </w:p>
    <w:p w14:paraId="5F024A71">
      <w:pPr>
        <w:pStyle w:val="19"/>
        <w:jc w:val="center"/>
        <w:rPr>
          <w:rFonts w:hint="eastAsia" w:ascii="宋体" w:hAnsi="宋体" w:eastAsia="宋体" w:cs="Times New Roman"/>
          <w:b/>
          <w:bCs w:val="0"/>
          <w:color w:val="000000"/>
          <w:kern w:val="2"/>
          <w:sz w:val="21"/>
          <w:szCs w:val="21"/>
          <w:highlight w:val="none"/>
          <w:lang w:val="en-US" w:eastAsia="zh-CN" w:bidi="ar-SA"/>
        </w:rPr>
      </w:pPr>
      <w:r>
        <w:rPr>
          <w:rFonts w:hint="eastAsia" w:ascii="宋体" w:hAnsi="宋体" w:eastAsia="宋体" w:cs="Times New Roman"/>
          <w:b/>
          <w:bCs w:val="0"/>
          <w:color w:val="000000"/>
          <w:kern w:val="2"/>
          <w:sz w:val="21"/>
          <w:szCs w:val="21"/>
          <w:highlight w:val="none"/>
          <w:lang w:val="en-US" w:eastAsia="zh-CN" w:bidi="ar-SA"/>
        </w:rPr>
        <w:t>（适用于分标</w:t>
      </w:r>
      <w:r>
        <w:rPr>
          <w:rFonts w:hint="eastAsia" w:ascii="宋体" w:hAnsi="宋体" w:cs="Times New Roman"/>
          <w:b/>
          <w:bCs w:val="0"/>
          <w:color w:val="000000"/>
          <w:kern w:val="2"/>
          <w:sz w:val="21"/>
          <w:szCs w:val="21"/>
          <w:highlight w:val="none"/>
          <w:lang w:val="en-US" w:eastAsia="zh-CN" w:bidi="ar-SA"/>
        </w:rPr>
        <w:t>3/分标4</w:t>
      </w:r>
      <w:r>
        <w:rPr>
          <w:rFonts w:hint="eastAsia" w:ascii="宋体" w:hAnsi="宋体" w:eastAsia="宋体" w:cs="Times New Roman"/>
          <w:b/>
          <w:bCs w:val="0"/>
          <w:color w:val="000000"/>
          <w:kern w:val="2"/>
          <w:sz w:val="21"/>
          <w:szCs w:val="21"/>
          <w:highlight w:val="none"/>
          <w:lang w:val="en-US" w:eastAsia="zh-CN" w:bidi="ar-SA"/>
        </w:rPr>
        <w:t>）</w:t>
      </w:r>
    </w:p>
    <w:p w14:paraId="691BC000">
      <w:pPr>
        <w:rPr>
          <w:rFonts w:ascii="宋体" w:hAnsi="宋体"/>
          <w:bCs/>
          <w:highlight w:val="none"/>
        </w:rPr>
      </w:pPr>
    </w:p>
    <w:p w14:paraId="4C287F19">
      <w:pPr>
        <w:snapToGrid w:val="0"/>
        <w:spacing w:line="400" w:lineRule="exact"/>
        <w:ind w:right="480" w:firstLine="5250" w:firstLineChars="2500"/>
        <w:rPr>
          <w:rFonts w:ascii="宋体" w:hAnsi="宋体"/>
          <w:bCs/>
          <w:color w:val="000000"/>
          <w:szCs w:val="21"/>
          <w:highlight w:val="none"/>
          <w:u w:val="single"/>
        </w:rPr>
      </w:pPr>
      <w:r>
        <w:rPr>
          <w:rFonts w:hint="eastAsia" w:ascii="宋体" w:hAnsi="宋体"/>
          <w:bCs/>
          <w:color w:val="000000"/>
          <w:szCs w:val="21"/>
          <w:highlight w:val="none"/>
        </w:rPr>
        <w:t>合同编号：</w:t>
      </w:r>
    </w:p>
    <w:p w14:paraId="7350E0EB">
      <w:pPr>
        <w:snapToGrid w:val="0"/>
        <w:spacing w:line="480" w:lineRule="exact"/>
        <w:rPr>
          <w:rFonts w:hint="default" w:ascii="宋体" w:hAnsi="宋体" w:eastAsia="宋体" w:cs="宋体"/>
          <w:color w:val="000000"/>
          <w:szCs w:val="21"/>
          <w:highlight w:val="none"/>
          <w:u w:val="single"/>
          <w:lang w:val="en-US" w:eastAsia="zh-CN"/>
        </w:rPr>
      </w:pPr>
      <w:r>
        <w:rPr>
          <w:rFonts w:hint="eastAsia" w:ascii="宋体" w:hAnsi="宋体" w:cs="宋体"/>
          <w:color w:val="000000"/>
          <w:szCs w:val="21"/>
          <w:highlight w:val="none"/>
          <w:lang w:eastAsia="zh-CN"/>
        </w:rPr>
        <w:t>采购计划编号：</w:t>
      </w:r>
      <w:r>
        <w:rPr>
          <w:rFonts w:hint="eastAsia" w:ascii="宋体" w:hAnsi="宋体" w:cs="宋体"/>
          <w:color w:val="000000"/>
          <w:szCs w:val="21"/>
          <w:highlight w:val="none"/>
          <w:u w:val="single"/>
          <w:lang w:val="en-US" w:eastAsia="zh-CN"/>
        </w:rPr>
        <w:t xml:space="preserve">                                 </w:t>
      </w:r>
    </w:p>
    <w:p w14:paraId="0BA97C11">
      <w:pPr>
        <w:snapToGrid w:val="0"/>
        <w:spacing w:line="480" w:lineRule="exact"/>
        <w:rPr>
          <w:rFonts w:ascii="宋体" w:hAnsi="宋体" w:cs="宋体"/>
          <w:color w:val="000000"/>
          <w:szCs w:val="21"/>
          <w:highlight w:val="none"/>
          <w:u w:val="single"/>
        </w:rPr>
      </w:pPr>
      <w:r>
        <w:rPr>
          <w:rFonts w:hint="eastAsia" w:ascii="宋体" w:hAnsi="宋体" w:cs="宋体"/>
          <w:color w:val="000000"/>
          <w:szCs w:val="21"/>
          <w:highlight w:val="none"/>
        </w:rPr>
        <w:t>采购单位（甲方）</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53500F33">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供 应 商（乙方）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219FCFF1">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项  目  名 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single"/>
        </w:rPr>
        <w:t xml:space="preserve">   </w:t>
      </w:r>
    </w:p>
    <w:p w14:paraId="1540B5F4">
      <w:pPr>
        <w:snapToGrid w:val="0"/>
        <w:spacing w:line="480" w:lineRule="exact"/>
        <w:rPr>
          <w:rFonts w:ascii="宋体" w:hAnsi="宋体" w:cs="宋体"/>
          <w:color w:val="000000"/>
          <w:szCs w:val="21"/>
          <w:highlight w:val="none"/>
          <w:u w:val="single"/>
        </w:rPr>
      </w:pPr>
      <w:r>
        <w:rPr>
          <w:rFonts w:hint="eastAsia" w:ascii="宋体" w:hAnsi="宋体" w:cs="宋体"/>
          <w:color w:val="000000"/>
          <w:spacing w:val="-20"/>
          <w:szCs w:val="21"/>
          <w:highlight w:val="none"/>
        </w:rPr>
        <w:t xml:space="preserve">项    </w:t>
      </w:r>
      <w:r>
        <w:rPr>
          <w:rFonts w:hint="eastAsia" w:ascii="宋体" w:hAnsi="宋体" w:cs="宋体"/>
          <w:color w:val="000000"/>
          <w:szCs w:val="21"/>
          <w:highlight w:val="none"/>
        </w:rPr>
        <w:t>目</w:t>
      </w:r>
      <w:r>
        <w:rPr>
          <w:rFonts w:hint="eastAsia" w:ascii="宋体" w:hAnsi="宋体" w:cs="宋体"/>
          <w:color w:val="000000"/>
          <w:spacing w:val="-20"/>
          <w:szCs w:val="21"/>
          <w:highlight w:val="none"/>
        </w:rPr>
        <w:t xml:space="preserve">   编  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single"/>
        </w:rPr>
        <w:t xml:space="preserve">   </w:t>
      </w:r>
    </w:p>
    <w:p w14:paraId="230F1E04">
      <w:pPr>
        <w:snapToGrid w:val="0"/>
        <w:spacing w:line="480" w:lineRule="exact"/>
        <w:rPr>
          <w:rFonts w:ascii="宋体" w:hAnsi="宋体" w:cs="宋体"/>
          <w:color w:val="000000"/>
          <w:szCs w:val="21"/>
          <w:highlight w:val="none"/>
          <w:u w:val="single"/>
        </w:rPr>
      </w:pPr>
      <w:r>
        <w:rPr>
          <w:rFonts w:hint="eastAsia" w:ascii="宋体" w:hAnsi="宋体" w:cs="宋体"/>
          <w:color w:val="000000"/>
          <w:szCs w:val="21"/>
          <w:highlight w:val="none"/>
        </w:rPr>
        <w:t>签  订  地 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签 订 时 间</w:t>
      </w:r>
      <w:r>
        <w:rPr>
          <w:rFonts w:hint="eastAsia" w:ascii="宋体" w:hAnsi="宋体" w:cs="宋体"/>
          <w:color w:val="000000"/>
          <w:szCs w:val="21"/>
          <w:highlight w:val="none"/>
          <w:u w:val="single"/>
        </w:rPr>
        <w:t xml:space="preserve">                    </w:t>
      </w:r>
    </w:p>
    <w:p w14:paraId="762CB0C1">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合同类型：</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合同</w:t>
      </w:r>
    </w:p>
    <w:p w14:paraId="1C82EB4B">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本合同为中小企业预留合同：</w:t>
      </w:r>
      <w:r>
        <w:rPr>
          <w:rFonts w:hint="eastAsia" w:ascii="宋体" w:hAnsi="宋体" w:cs="宋体"/>
          <w:color w:val="000000"/>
          <w:szCs w:val="21"/>
          <w:highlight w:val="none"/>
          <w:u w:val="single"/>
        </w:rPr>
        <w:t>（是/否）</w:t>
      </w:r>
      <w:r>
        <w:rPr>
          <w:rFonts w:hint="eastAsia" w:ascii="宋体" w:hAnsi="宋体" w:cs="宋体"/>
          <w:color w:val="000000"/>
          <w:szCs w:val="21"/>
          <w:highlight w:val="none"/>
        </w:rPr>
        <w:t>。</w:t>
      </w:r>
    </w:p>
    <w:p w14:paraId="529E34BC">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根据《中华人民共和国政府采购法》、《中华人民共和国民法典》等法律、法规规定，按照招标文件规定条款和乙方投标文件及其承诺，甲乙双方签订本合同。</w:t>
      </w:r>
    </w:p>
    <w:p w14:paraId="150F0B71">
      <w:pPr>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第一条　合同标的</w:t>
      </w:r>
    </w:p>
    <w:p w14:paraId="074A4067">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1.服务项目</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0"/>
        <w:gridCol w:w="1380"/>
        <w:gridCol w:w="1455"/>
        <w:gridCol w:w="1515"/>
        <w:gridCol w:w="1734"/>
      </w:tblGrid>
      <w:tr w14:paraId="3BBA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tcBorders>
              <w:top w:val="single" w:color="auto" w:sz="4" w:space="0"/>
              <w:left w:val="single" w:color="auto" w:sz="4" w:space="0"/>
              <w:bottom w:val="single" w:color="auto" w:sz="4" w:space="0"/>
              <w:right w:val="single" w:color="auto" w:sz="4" w:space="0"/>
            </w:tcBorders>
            <w:noWrap w:val="0"/>
            <w:vAlign w:val="bottom"/>
          </w:tcPr>
          <w:p w14:paraId="4E35DDC8">
            <w:pPr>
              <w:spacing w:line="48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项号</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5CA390EC">
            <w:pPr>
              <w:spacing w:line="48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标的名称</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17992CA7">
            <w:pPr>
              <w:spacing w:line="48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数量</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05B585E3">
            <w:pPr>
              <w:spacing w:line="48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CCBAD72">
            <w:pPr>
              <w:spacing w:line="48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单价（元）</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425F4441">
            <w:pPr>
              <w:spacing w:line="48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单项合计（元）</w:t>
            </w:r>
          </w:p>
        </w:tc>
      </w:tr>
      <w:tr w14:paraId="7D03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0DB9277E">
            <w:pPr>
              <w:spacing w:line="48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1</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7DA2CD0A">
            <w:pPr>
              <w:spacing w:line="480" w:lineRule="exact"/>
              <w:jc w:val="center"/>
              <w:rPr>
                <w:rFonts w:hint="eastAsia" w:ascii="宋体" w:hAnsi="宋体" w:cs="宋体"/>
                <w:color w:val="000000"/>
                <w:szCs w:val="21"/>
                <w:highlight w:val="none"/>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434DA61F">
            <w:pPr>
              <w:spacing w:line="480" w:lineRule="exact"/>
              <w:jc w:val="center"/>
              <w:rPr>
                <w:rFonts w:hint="eastAsia" w:ascii="宋体" w:hAnsi="宋体" w:cs="宋体"/>
                <w:color w:val="000000"/>
                <w:szCs w:val="21"/>
                <w:highlight w:val="none"/>
              </w:rPr>
            </w:pPr>
          </w:p>
        </w:tc>
        <w:tc>
          <w:tcPr>
            <w:tcW w:w="1455" w:type="dxa"/>
            <w:tcBorders>
              <w:top w:val="single" w:color="auto" w:sz="4" w:space="0"/>
              <w:left w:val="single" w:color="auto" w:sz="4" w:space="0"/>
              <w:bottom w:val="single" w:color="auto" w:sz="4" w:space="0"/>
              <w:right w:val="single" w:color="auto" w:sz="4" w:space="0"/>
            </w:tcBorders>
            <w:noWrap w:val="0"/>
            <w:vAlign w:val="center"/>
          </w:tcPr>
          <w:p w14:paraId="298D52B0">
            <w:pPr>
              <w:spacing w:line="480" w:lineRule="exact"/>
              <w:jc w:val="center"/>
              <w:rPr>
                <w:rFonts w:hint="eastAsia" w:ascii="宋体" w:hAnsi="宋体" w:cs="宋体"/>
                <w:color w:val="000000"/>
                <w:szCs w:val="21"/>
                <w:highlight w:val="none"/>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44EE8D40">
            <w:pPr>
              <w:spacing w:line="480" w:lineRule="exact"/>
              <w:jc w:val="center"/>
              <w:rPr>
                <w:rFonts w:hint="eastAsia" w:ascii="宋体" w:hAnsi="宋体" w:cs="宋体"/>
                <w:dstrike/>
                <w:color w:val="000000"/>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639FAC7D">
            <w:pPr>
              <w:spacing w:line="480" w:lineRule="exact"/>
              <w:jc w:val="center"/>
              <w:rPr>
                <w:rFonts w:hint="eastAsia" w:ascii="宋体" w:hAnsi="宋体" w:cs="宋体"/>
                <w:dstrike/>
                <w:color w:val="000000"/>
                <w:szCs w:val="21"/>
                <w:highlight w:val="none"/>
              </w:rPr>
            </w:pPr>
          </w:p>
        </w:tc>
      </w:tr>
      <w:tr w14:paraId="3310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40" w:type="dxa"/>
            <w:gridSpan w:val="6"/>
            <w:tcBorders>
              <w:top w:val="single" w:color="auto" w:sz="4" w:space="0"/>
              <w:left w:val="single" w:color="auto" w:sz="4" w:space="0"/>
              <w:bottom w:val="single" w:color="auto" w:sz="4" w:space="0"/>
              <w:right w:val="single" w:color="auto" w:sz="4" w:space="0"/>
            </w:tcBorders>
            <w:noWrap w:val="0"/>
            <w:vAlign w:val="center"/>
          </w:tcPr>
          <w:p w14:paraId="3E0E8672">
            <w:pPr>
              <w:widowControl/>
              <w:spacing w:line="480" w:lineRule="exact"/>
              <w:jc w:val="left"/>
              <w:rPr>
                <w:rFonts w:hint="eastAsia" w:ascii="宋体" w:hAnsi="宋体" w:cs="宋体"/>
                <w:color w:val="000000"/>
                <w:szCs w:val="21"/>
                <w:highlight w:val="none"/>
              </w:rPr>
            </w:pPr>
            <w:r>
              <w:rPr>
                <w:rFonts w:hint="eastAsia" w:ascii="宋体" w:hAnsi="宋体" w:cs="宋体"/>
                <w:color w:val="000000"/>
                <w:szCs w:val="21"/>
                <w:highlight w:val="none"/>
              </w:rPr>
              <w:t>总报价（人民币大写）：                       （￥       元）</w:t>
            </w:r>
          </w:p>
        </w:tc>
      </w:tr>
    </w:tbl>
    <w:p w14:paraId="0E92A3CB">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2.合同合计金额包含</w:t>
      </w:r>
      <w:r>
        <w:rPr>
          <w:rFonts w:hint="eastAsia" w:ascii="宋体" w:hAnsi="宋体" w:eastAsia="宋体" w:cs="宋体"/>
          <w:color w:val="auto"/>
          <w:szCs w:val="21"/>
          <w:highlight w:val="none"/>
        </w:rPr>
        <w:t>包括完成服务实施所需的费用（包含但不限于课程开发设计、视频拍摄制作、培训、技术支持、售后服务、课程申报、人工道具、专家聘请等费用）、保险费用和各项税金等完成本项目所产生的全部费用</w:t>
      </w:r>
      <w:r>
        <w:rPr>
          <w:rFonts w:hint="eastAsia" w:ascii="宋体" w:hAnsi="宋体" w:cs="宋体"/>
          <w:color w:val="000000"/>
          <w:szCs w:val="21"/>
          <w:highlight w:val="none"/>
        </w:rPr>
        <w:t>，以及合同明示或暗示的所有责任、义务和一般风险等一切费用。</w:t>
      </w:r>
    </w:p>
    <w:p w14:paraId="0096FF74">
      <w:pPr>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第二条　质量保证</w:t>
      </w:r>
    </w:p>
    <w:p w14:paraId="64840568">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14:paraId="7976080E">
      <w:pPr>
        <w:spacing w:line="480" w:lineRule="exact"/>
        <w:ind w:firstLine="422" w:firstLineChars="200"/>
        <w:rPr>
          <w:rFonts w:hint="eastAsia" w:ascii="宋体" w:hAnsi="宋体" w:cs="宋体"/>
          <w:color w:val="000000"/>
          <w:szCs w:val="21"/>
          <w:highlight w:val="none"/>
        </w:rPr>
      </w:pPr>
      <w:r>
        <w:rPr>
          <w:rFonts w:hint="eastAsia" w:ascii="宋体" w:hAnsi="宋体" w:cs="宋体"/>
          <w:b/>
          <w:color w:val="000000"/>
          <w:szCs w:val="21"/>
          <w:highlight w:val="none"/>
        </w:rPr>
        <w:t>第三条　权利保证</w:t>
      </w:r>
    </w:p>
    <w:p w14:paraId="09A2A425">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1.甲方根据工作需要，可为乙方提供相关资料等。</w:t>
      </w:r>
    </w:p>
    <w:p w14:paraId="14DC5057">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2.乙方应按规定时间节点内完成项目工作。</w:t>
      </w:r>
    </w:p>
    <w:p w14:paraId="0A840DA9">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3.乙方应保证所提供的服务不会侵犯任何第三方的专利权、著作权或其他权利。</w:t>
      </w:r>
    </w:p>
    <w:p w14:paraId="74AA68DE">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4.乙方应按招标文件规定的时间向甲方提供项目实施工作有关技术资料。</w:t>
      </w:r>
    </w:p>
    <w:p w14:paraId="5BEB2E01">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BF1918A">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6.乙方所交付的技术成果知识产权归甲方所有。</w:t>
      </w:r>
    </w:p>
    <w:p w14:paraId="2C2FE971">
      <w:pPr>
        <w:spacing w:line="480" w:lineRule="exact"/>
        <w:ind w:firstLine="422" w:firstLineChars="200"/>
        <w:rPr>
          <w:rFonts w:hint="eastAsia" w:ascii="宋体" w:hAnsi="宋体" w:cs="宋体"/>
          <w:color w:val="000000"/>
          <w:szCs w:val="21"/>
          <w:highlight w:val="none"/>
        </w:rPr>
      </w:pPr>
      <w:r>
        <w:rPr>
          <w:rFonts w:hint="eastAsia" w:ascii="宋体" w:hAnsi="宋体" w:cs="宋体"/>
          <w:b/>
          <w:color w:val="000000"/>
          <w:szCs w:val="21"/>
          <w:highlight w:val="none"/>
        </w:rPr>
        <w:t>第四条　服务期限和验收</w:t>
      </w:r>
    </w:p>
    <w:p w14:paraId="0FF131C0">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1.服务</w:t>
      </w:r>
      <w:r>
        <w:rPr>
          <w:rFonts w:hint="eastAsia" w:ascii="宋体" w:hAnsi="宋体" w:cs="宋体"/>
          <w:color w:val="000000"/>
          <w:szCs w:val="21"/>
          <w:highlight w:val="none"/>
          <w:lang w:eastAsia="zh-CN"/>
        </w:rPr>
        <w:t>时间</w:t>
      </w:r>
      <w:r>
        <w:rPr>
          <w:rFonts w:hint="eastAsia" w:ascii="宋体" w:hAnsi="宋体" w:cs="宋体"/>
          <w:color w:val="000000"/>
          <w:szCs w:val="21"/>
          <w:highlight w:val="none"/>
        </w:rPr>
        <w:t>：</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，服务地点：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5ED8F51B">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2.乙方应按投标文件的承诺向甲方提供相应的服务，并提供所服务内容的相关技术资料。</w:t>
      </w:r>
    </w:p>
    <w:p w14:paraId="78821566">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3.乙方提供不符合投标文件和本合同规定的服务成果，甲方有权拒绝接受。</w:t>
      </w:r>
    </w:p>
    <w:p w14:paraId="0379F5AD">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19E1E07E">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5.甲乙双方应按照《广西壮族自治区政府采购项目履约验收管理办法》、双方合同、投标文件验收。</w:t>
      </w:r>
    </w:p>
    <w:p w14:paraId="5F5B4318">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14:paraId="17795D31">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7.甲方验收时以书面形式提出异议的，乙方应自收到甲方书面异议后五个工作日内及时予以解决，否则甲方有权不出具服务验收合格单。</w:t>
      </w:r>
    </w:p>
    <w:p w14:paraId="69E498E9">
      <w:pPr>
        <w:snapToGrid w:val="0"/>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第五条  服务、质量保证期</w:t>
      </w:r>
    </w:p>
    <w:p w14:paraId="6D00A2FD">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乙方应按照国家有关法律法规以及招标文件和乙方投标文件响应，为甲方提供技术服务。</w:t>
      </w:r>
    </w:p>
    <w:p w14:paraId="526D5EA3">
      <w:pPr>
        <w:snapToGrid w:val="0"/>
        <w:spacing w:line="480" w:lineRule="exact"/>
        <w:ind w:firstLine="422" w:firstLineChars="200"/>
        <w:rPr>
          <w:rFonts w:hint="eastAsia" w:ascii="宋体" w:hAnsi="宋体" w:cs="宋体"/>
          <w:color w:val="000000"/>
          <w:szCs w:val="21"/>
          <w:highlight w:val="none"/>
          <w:u w:val="single"/>
        </w:rPr>
      </w:pPr>
      <w:r>
        <w:rPr>
          <w:rFonts w:hint="eastAsia" w:ascii="宋体" w:hAnsi="宋体" w:cs="宋体"/>
          <w:b/>
          <w:color w:val="000000"/>
          <w:szCs w:val="21"/>
          <w:highlight w:val="none"/>
        </w:rPr>
        <w:t>第六条　付款方式</w:t>
      </w:r>
    </w:p>
    <w:p w14:paraId="00BD1837">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1.在合同履行期间，甲方要求终止或解除合同，乙方已开始实施工作的，甲方应根据乙方已进行的实际工作量给予适当的补偿。</w:t>
      </w:r>
    </w:p>
    <w:p w14:paraId="2F4AD3EB">
      <w:pPr>
        <w:snapToGrid w:val="0"/>
        <w:spacing w:line="480" w:lineRule="exact"/>
        <w:ind w:firstLine="420" w:firstLineChars="200"/>
        <w:rPr>
          <w:rFonts w:hint="eastAsia" w:ascii="宋体" w:hAnsi="宋体" w:cs="宋体"/>
          <w:color w:val="000000"/>
          <w:szCs w:val="21"/>
          <w:highlight w:val="none"/>
          <w:u w:val="single"/>
        </w:rPr>
      </w:pPr>
      <w:r>
        <w:rPr>
          <w:rFonts w:hint="eastAsia" w:ascii="宋体" w:hAnsi="宋体" w:cs="宋体"/>
          <w:color w:val="000000"/>
          <w:szCs w:val="21"/>
          <w:highlight w:val="none"/>
        </w:rPr>
        <w:t>2.付款方式：</w:t>
      </w:r>
      <w:r>
        <w:rPr>
          <w:rFonts w:hint="eastAsia" w:ascii="宋体" w:hAnsi="宋体" w:cs="宋体"/>
          <w:color w:val="000000"/>
          <w:szCs w:val="21"/>
          <w:highlight w:val="none"/>
          <w:u w:val="single"/>
        </w:rPr>
        <w:t xml:space="preserve">                                  。</w:t>
      </w:r>
    </w:p>
    <w:p w14:paraId="5FDCED97">
      <w:pPr>
        <w:snapToGrid w:val="0"/>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第七条　履约保证金</w:t>
      </w:r>
    </w:p>
    <w:p w14:paraId="62F2C152">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1.履约保证金金额：中标金额的</w:t>
      </w:r>
      <w:r>
        <w:rPr>
          <w:rFonts w:hint="eastAsia" w:ascii="宋体" w:hAnsi="宋体" w:eastAsia="宋体" w:cs="宋体"/>
          <w:color w:val="000000"/>
          <w:szCs w:val="21"/>
          <w:highlight w:val="none"/>
          <w:u w:val="single"/>
          <w:lang w:val="en-US" w:eastAsia="zh-CN"/>
        </w:rPr>
        <w:t>_5_</w:t>
      </w:r>
      <w:r>
        <w:rPr>
          <w:rFonts w:hint="eastAsia" w:ascii="宋体" w:hAnsi="宋体" w:eastAsia="宋体" w:cs="宋体"/>
          <w:color w:val="000000"/>
          <w:szCs w:val="21"/>
          <w:highlight w:val="none"/>
          <w:lang w:val="en-US" w:eastAsia="zh-CN"/>
        </w:rPr>
        <w:t>%。（若乙方被评标委员会认定为中小企业的，履约保证金数额将按中标金额的2%收取）</w:t>
      </w:r>
    </w:p>
    <w:p w14:paraId="6D1C5E27">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2.履约保证金递交方式：转账或电汇等形式（支持支票、汇票、本票、保函等形式）</w:t>
      </w:r>
    </w:p>
    <w:p w14:paraId="1F4E5BD8">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3.履约保证金递交时间：签订合同后</w:t>
      </w:r>
      <w:r>
        <w:rPr>
          <w:rFonts w:hint="eastAsia" w:ascii="宋体" w:hAnsi="宋体" w:cs="宋体"/>
          <w:color w:val="000000"/>
          <w:szCs w:val="21"/>
          <w:highlight w:val="none"/>
          <w:lang w:val="en-US" w:eastAsia="zh-CN"/>
        </w:rPr>
        <w:t>3</w:t>
      </w:r>
      <w:r>
        <w:rPr>
          <w:rFonts w:hint="eastAsia" w:ascii="宋体" w:hAnsi="宋体" w:eastAsia="宋体" w:cs="宋体"/>
          <w:color w:val="000000"/>
          <w:szCs w:val="21"/>
          <w:highlight w:val="none"/>
          <w:lang w:val="en-US" w:eastAsia="zh-CN"/>
        </w:rPr>
        <w:t>个工作日内由乙方转入甲方指定保证金账户。</w:t>
      </w:r>
    </w:p>
    <w:p w14:paraId="5477B9AD">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4.履约保证金期限：验收合格之日起一年</w:t>
      </w:r>
    </w:p>
    <w:p w14:paraId="721532CE">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履约保证金退还：履约保证期满后乙方无违约行为，甲方提供《政府采购项目履约保证金退付意见书》及《政府采购项目合同验收报告》，向甲方提出书面申请退还，甲方在收到申请后5个工作日内按照履约保证金缴纳的具体方式，配合乙方办理无息退还事宜。</w:t>
      </w:r>
    </w:p>
    <w:p w14:paraId="6675C6B1">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保证金指定账户：</w:t>
      </w:r>
    </w:p>
    <w:p w14:paraId="39EACB11">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开户名：广西制造工程职业技术学院</w:t>
      </w:r>
    </w:p>
    <w:p w14:paraId="440650D7">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开户行：农行南宁东盟经济园区支行</w:t>
      </w:r>
    </w:p>
    <w:p w14:paraId="455C5B24">
      <w:pPr>
        <w:snapToGrid w:val="0"/>
        <w:spacing w:line="48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账  号：20036501040014065</w:t>
      </w:r>
    </w:p>
    <w:p w14:paraId="72221D69">
      <w:pPr>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第八条  税费</w:t>
      </w:r>
    </w:p>
    <w:p w14:paraId="090A202E">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本合同执行中相关的一切税费均由乙方负担，合同另有约定的除外。</w:t>
      </w:r>
    </w:p>
    <w:p w14:paraId="7D9AD3ED">
      <w:pPr>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第九条　违约责任</w:t>
      </w:r>
    </w:p>
    <w:p w14:paraId="7D681E01">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1.除不可抗力原因外，乙方没有按照合同规定的时间提供服务的，甲方可要求乙方支付违约金。每推迟一天按合同金额的0.5‰支付违约金，该违约金累计不超过合同金额的10%。                                  </w:t>
      </w:r>
    </w:p>
    <w:p w14:paraId="29E666D5">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2.乙方提供的服务如侵犯了第三方合法权益而引发的任何纠纷或者诉讼，均由乙方负责交涉并承担全部责任。</w:t>
      </w:r>
    </w:p>
    <w:p w14:paraId="219CD507">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3.甲方延期付款的，每天向乙方偿付延期款额3‰滞纳金，但滞纳金累计不得超过延期款额5%。</w:t>
      </w:r>
    </w:p>
    <w:p w14:paraId="661BC508">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4.由于甲方的原因造成合同不能如期履行的，双方可根据具体情况顺延合同的履行期，对乙方因此遭受的损失，甲方应予以补偿。</w:t>
      </w:r>
    </w:p>
    <w:p w14:paraId="43D2549B">
      <w:pPr>
        <w:snapToGrid w:val="0"/>
        <w:spacing w:line="480" w:lineRule="exact"/>
        <w:ind w:firstLine="420" w:firstLineChars="200"/>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5.其它违约行为由违约方按本合同金额5%向守约方支付违约金并赔偿经济损失。</w:t>
      </w:r>
    </w:p>
    <w:p w14:paraId="6EF66982">
      <w:pPr>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第十条  不可抗力事件处理</w:t>
      </w:r>
    </w:p>
    <w:p w14:paraId="54EA34F7">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1.在合同有效期内，任何一方因不可抗力事件导致不能履行合同，则合同履行期可延长，其延长期与不可抗力影响期相同。</w:t>
      </w:r>
    </w:p>
    <w:p w14:paraId="3A16CE2B">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2.不可抗力事件发生后，应立即通知对方，并寄送有关权威机构出具的证明。</w:t>
      </w:r>
    </w:p>
    <w:p w14:paraId="2D4FDA3A">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3.不可抗力事件延续一百二十天以上，双方应通过友好协商，确定是否继续履行合同。</w:t>
      </w:r>
    </w:p>
    <w:p w14:paraId="252BD51B">
      <w:pPr>
        <w:spacing w:line="480" w:lineRule="exact"/>
        <w:ind w:firstLine="422" w:firstLineChars="200"/>
        <w:rPr>
          <w:rFonts w:hint="eastAsia" w:ascii="宋体" w:hAnsi="宋体" w:cs="宋体"/>
          <w:color w:val="000000"/>
          <w:szCs w:val="21"/>
          <w:highlight w:val="none"/>
        </w:rPr>
      </w:pPr>
      <w:r>
        <w:rPr>
          <w:rFonts w:hint="eastAsia" w:ascii="宋体" w:hAnsi="宋体" w:cs="宋体"/>
          <w:b/>
          <w:color w:val="000000"/>
          <w:szCs w:val="21"/>
          <w:highlight w:val="none"/>
        </w:rPr>
        <w:t>第十一条  合同争议解决</w:t>
      </w:r>
    </w:p>
    <w:p w14:paraId="5F3BEE70">
      <w:pPr>
        <w:spacing w:line="480" w:lineRule="exact"/>
        <w:ind w:firstLine="420" w:firstLineChars="200"/>
        <w:rPr>
          <w:rFonts w:hint="eastAsia" w:ascii="宋体" w:hAnsi="宋体" w:cs="宋体"/>
          <w:color w:val="000000"/>
          <w:szCs w:val="21"/>
          <w:highlight w:val="none"/>
          <w:lang w:val="en-US" w:eastAsia="zh-CN"/>
        </w:rPr>
      </w:pPr>
      <w:r>
        <w:rPr>
          <w:rFonts w:hint="eastAsia" w:ascii="宋体" w:hAnsi="宋体" w:cs="宋体"/>
          <w:color w:val="000000"/>
          <w:szCs w:val="21"/>
          <w:highlight w:val="none"/>
        </w:rPr>
        <w:t>1.因履行本合同引起的或者与本合同有关的争议，甲乙双方应首先通过友好协商解决，如果协商不能解决，可向甲方所在地人民法院提起诉讼。</w:t>
      </w:r>
      <w:r>
        <w:rPr>
          <w:rFonts w:hint="eastAsia" w:ascii="宋体" w:hAnsi="宋体" w:cs="宋体"/>
          <w:color w:val="000000"/>
          <w:szCs w:val="21"/>
          <w:highlight w:val="none"/>
          <w:lang w:val="en-US" w:eastAsia="zh-CN"/>
        </w:rPr>
        <w:t>守约方为主张权利而产生的律师费、保全费、保函费、鉴定费、公告费、公证费等由违约方承担。</w:t>
      </w:r>
    </w:p>
    <w:p w14:paraId="03BF6246">
      <w:pPr>
        <w:snapToGrid w:val="0"/>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2.诉讼期间，本合同继续履行。</w:t>
      </w:r>
    </w:p>
    <w:p w14:paraId="56F44911">
      <w:pPr>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第十二条  合同生效及其它</w:t>
      </w:r>
    </w:p>
    <w:p w14:paraId="64D2E329">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1.合同经双方法定代表人或者授权代表签字并加盖单位公章后生效（委托代理人签字的需后附授权委托书，格式自拟）。</w:t>
      </w:r>
    </w:p>
    <w:p w14:paraId="2DA197B5">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2.合同执行中涉及采购资金和采购内容修改或者补充的，须经财政部门审批，并签书面补充协议报财政部门备案，方可作为主合同不可分割的一部分。</w:t>
      </w:r>
    </w:p>
    <w:p w14:paraId="70167773">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3.本合同未尽事宜，遵照《中华人民共和国民法典》有关条文执行。</w:t>
      </w:r>
    </w:p>
    <w:p w14:paraId="3AECCEBC">
      <w:pPr>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第十三条　合同的变更、终止与转让</w:t>
      </w:r>
    </w:p>
    <w:p w14:paraId="757AD400">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1.除《中华人民共和国政府采购法》第五十条规定的情形外，本合同一经签订，甲乙双方不得擅自变更、中止或者终止。</w:t>
      </w:r>
    </w:p>
    <w:p w14:paraId="2DC5B17A">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2.乙方不得擅自转让其应履行的合同义务。</w:t>
      </w:r>
    </w:p>
    <w:p w14:paraId="277A791B">
      <w:pPr>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第十四条　合同组成及解释</w:t>
      </w:r>
    </w:p>
    <w:p w14:paraId="6CB75119">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本项目的采购文件（含采购答疑）、符合采购要求的投标文件、甲方确认采购要求、本合同履行过程中双方签章确认的协议或其他文件均为本合同的组成部分，若合同组成文件之间发生矛盾的，以下排列顺序为合同组成文件之间的优先解释顺序：</w:t>
      </w:r>
    </w:p>
    <w:p w14:paraId="65E32FFE">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（1）合同履行过程中双方签章确认的协议或其他文件；</w:t>
      </w:r>
    </w:p>
    <w:p w14:paraId="039822C6">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（2）甲方确认的采购要求；</w:t>
      </w:r>
    </w:p>
    <w:p w14:paraId="7D3CB5AA">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（3）合同附件；</w:t>
      </w:r>
    </w:p>
    <w:p w14:paraId="66527B97">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（4）中标或成交通知书；</w:t>
      </w:r>
    </w:p>
    <w:p w14:paraId="72C7A2BB">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（5）采购文件(含答疑)；</w:t>
      </w:r>
    </w:p>
    <w:p w14:paraId="7A958CDC">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（6）符合采购要求的投标文件；</w:t>
      </w:r>
    </w:p>
    <w:p w14:paraId="34535F90">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（7）标准、规范及有关技术文件；</w:t>
      </w:r>
    </w:p>
    <w:p w14:paraId="1CC983A5">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（8）其他合同文件。</w:t>
      </w:r>
    </w:p>
    <w:p w14:paraId="365C4C4F">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2.前述文件应认为是互为补充和解释的，但如有互相矛盾之处，以前述文件所列顺序作为其优先解释的顺序，但如果某一文件对甲方权利维护更有利或对设计工作有更高、更严格要求的以该文件内容为准。</w:t>
      </w:r>
    </w:p>
    <w:p w14:paraId="205EC554">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3.前述各项文件包括双方就该合同组成文件所作出的补充和修改，属于同一项文件的，应以最新签署的为准。</w:t>
      </w:r>
    </w:p>
    <w:p w14:paraId="01ED4E51">
      <w:pPr>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第十五条　通知与送达</w:t>
      </w:r>
    </w:p>
    <w:p w14:paraId="31F1812D">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本协议项下对合同一方对另外一方的任何通知或请求，应当发送至接收方在合同中约定的地址、联系人和通信终端。一方当事人变更名称、地址、联系人或通信终端等信息的，应当在变更后3日内及时书面通知对方当事人，对方当事人实际收到变更通知前的送达仍为有效送达，电子送达与书面送达具有同等法律效力。</w:t>
      </w:r>
    </w:p>
    <w:p w14:paraId="0C5BE53F">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2.任何一方当事人向对/他方所发出的通知或请求送达时间：</w:t>
      </w:r>
    </w:p>
    <w:p w14:paraId="25A73D93">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（1）如果是传真，则在发送当日视为送达；</w:t>
      </w:r>
    </w:p>
    <w:p w14:paraId="46C26D72">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（2）如果是短信/微信/电子邮件，自电子文件内容在发送方正确填写地址且未被系统退回的情况下，进入对方数据电文接收系统当日视为送达。</w:t>
      </w:r>
    </w:p>
    <w:p w14:paraId="0CFE2728">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（3）如果是信函，在挂号信交邮后第三日视为送达；</w:t>
      </w:r>
    </w:p>
    <w:p w14:paraId="4D523CD1">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（4）如果是派人专程送达，则在收件人签收之日视为收到；</w:t>
      </w:r>
    </w:p>
    <w:p w14:paraId="324E038E">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（5）如果同时使用几种通知方式的，以其中较快到达接收方者为准。</w:t>
      </w:r>
    </w:p>
    <w:p w14:paraId="07455E42">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（6）若送达日为非工作日,则视为在下一工作日送达。</w:t>
      </w:r>
    </w:p>
    <w:p w14:paraId="19B164F4">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本合同约定的地址、联系人及电子通信终端等信息亦为双方工作联系往来、法律文书及争议解决时人民法院和/或仲裁机构的法律文书送达地址。人民法院和/或仲裁机构的诉讼文书（含裁判文书）向任何合同任何一方当事人的上述地址和/或工商登记公示地址（居民身份证登记地址）送达的，视为有效送达。当事人对电子通信终端的联系送达适用于争议解决时的送达。</w:t>
      </w:r>
    </w:p>
    <w:p w14:paraId="49F7F9C2">
      <w:pPr>
        <w:spacing w:line="44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合同送达条款与争议解决条款均为独立条款，不受合同整体或其他条款的效力的影响。</w:t>
      </w:r>
    </w:p>
    <w:p w14:paraId="614A12B3">
      <w:pPr>
        <w:spacing w:line="480" w:lineRule="exact"/>
        <w:ind w:firstLine="422" w:firstLineChars="200"/>
        <w:rPr>
          <w:rFonts w:ascii="宋体" w:hAnsi="宋体" w:cs="宋体"/>
          <w:b/>
          <w:color w:val="000000"/>
          <w:kern w:val="1"/>
          <w:szCs w:val="21"/>
          <w:highlight w:val="none"/>
        </w:rPr>
      </w:pPr>
      <w:r>
        <w:rPr>
          <w:rFonts w:hint="eastAsia" w:ascii="宋体" w:hAnsi="宋体" w:cs="宋体"/>
          <w:b/>
          <w:color w:val="000000"/>
          <w:kern w:val="1"/>
          <w:szCs w:val="21"/>
          <w:highlight w:val="none"/>
          <w:lang w:eastAsia="ar-SA"/>
        </w:rPr>
        <w:t>第十</w:t>
      </w:r>
      <w:r>
        <w:rPr>
          <w:rFonts w:hint="eastAsia" w:ascii="宋体" w:hAnsi="宋体" w:cs="宋体"/>
          <w:b/>
          <w:color w:val="000000"/>
          <w:kern w:val="1"/>
          <w:szCs w:val="21"/>
          <w:highlight w:val="none"/>
          <w:lang w:eastAsia="zh-CN"/>
        </w:rPr>
        <w:t>六</w:t>
      </w:r>
      <w:r>
        <w:rPr>
          <w:rFonts w:hint="eastAsia" w:ascii="宋体" w:hAnsi="宋体" w:cs="宋体"/>
          <w:b/>
          <w:color w:val="000000"/>
          <w:kern w:val="1"/>
          <w:szCs w:val="21"/>
          <w:highlight w:val="none"/>
          <w:lang w:eastAsia="ar-SA"/>
        </w:rPr>
        <w:t>条 签订本合同依据</w:t>
      </w:r>
    </w:p>
    <w:p w14:paraId="673D876E">
      <w:pPr>
        <w:spacing w:line="480" w:lineRule="exact"/>
        <w:ind w:firstLine="420" w:firstLineChars="200"/>
        <w:rPr>
          <w:rFonts w:ascii="宋体" w:hAnsi="宋体" w:cs="宋体"/>
          <w:color w:val="000000"/>
          <w:szCs w:val="21"/>
          <w:highlight w:val="none"/>
        </w:rPr>
      </w:pPr>
      <w:r>
        <w:rPr>
          <w:rFonts w:hint="eastAsia" w:ascii="宋体" w:hAnsi="宋体" w:cs="宋体"/>
          <w:color w:val="000000"/>
          <w:kern w:val="1"/>
          <w:szCs w:val="21"/>
          <w:highlight w:val="none"/>
        </w:rPr>
        <w:t>1</w:t>
      </w:r>
      <w:r>
        <w:rPr>
          <w:rFonts w:hint="eastAsia" w:ascii="宋体" w:hAnsi="宋体" w:cs="宋体"/>
          <w:color w:val="000000"/>
          <w:kern w:val="1"/>
          <w:szCs w:val="21"/>
          <w:highlight w:val="none"/>
          <w:lang w:eastAsia="ar-SA"/>
        </w:rPr>
        <w:t>.</w:t>
      </w:r>
      <w:r>
        <w:rPr>
          <w:rFonts w:hint="eastAsia" w:ascii="宋体" w:hAnsi="宋体" w:cs="宋体"/>
          <w:color w:val="000000"/>
          <w:kern w:val="1"/>
          <w:szCs w:val="21"/>
          <w:highlight w:val="none"/>
        </w:rPr>
        <w:t>招标</w:t>
      </w:r>
      <w:r>
        <w:rPr>
          <w:rFonts w:hint="eastAsia" w:ascii="宋体" w:hAnsi="宋体" w:cs="宋体"/>
          <w:color w:val="000000"/>
          <w:kern w:val="1"/>
          <w:szCs w:val="21"/>
          <w:highlight w:val="none"/>
          <w:lang w:eastAsia="ar-SA"/>
        </w:rPr>
        <w:t>文件；</w:t>
      </w:r>
    </w:p>
    <w:p w14:paraId="0F2F39A2">
      <w:pPr>
        <w:suppressAutoHyphens/>
        <w:spacing w:line="480" w:lineRule="exact"/>
        <w:ind w:firstLine="420" w:firstLineChars="200"/>
        <w:rPr>
          <w:rFonts w:ascii="宋体" w:hAnsi="宋体" w:cs="宋体"/>
          <w:color w:val="000000"/>
          <w:kern w:val="1"/>
          <w:szCs w:val="21"/>
          <w:highlight w:val="none"/>
        </w:rPr>
      </w:pPr>
      <w:r>
        <w:rPr>
          <w:rFonts w:hint="eastAsia" w:ascii="宋体" w:hAnsi="宋体" w:cs="宋体"/>
          <w:color w:val="000000"/>
          <w:kern w:val="1"/>
          <w:szCs w:val="21"/>
          <w:highlight w:val="none"/>
        </w:rPr>
        <w:t>2</w:t>
      </w:r>
      <w:r>
        <w:rPr>
          <w:rFonts w:hint="eastAsia" w:ascii="宋体" w:hAnsi="宋体" w:cs="宋体"/>
          <w:color w:val="000000"/>
          <w:kern w:val="1"/>
          <w:szCs w:val="21"/>
          <w:highlight w:val="none"/>
          <w:lang w:eastAsia="ar-SA"/>
        </w:rPr>
        <w:t>.乙方提供的投标文件</w:t>
      </w:r>
      <w:r>
        <w:rPr>
          <w:rFonts w:hint="eastAsia" w:ascii="宋体" w:hAnsi="宋体" w:cs="宋体"/>
          <w:color w:val="000000"/>
          <w:kern w:val="1"/>
          <w:szCs w:val="21"/>
          <w:highlight w:val="none"/>
        </w:rPr>
        <w:t>；</w:t>
      </w:r>
    </w:p>
    <w:p w14:paraId="623DB01E">
      <w:pPr>
        <w:suppressAutoHyphens/>
        <w:spacing w:line="480" w:lineRule="exact"/>
        <w:ind w:firstLine="420" w:firstLineChars="200"/>
        <w:rPr>
          <w:rFonts w:ascii="宋体" w:hAnsi="宋体" w:cs="宋体"/>
          <w:color w:val="000000"/>
          <w:kern w:val="1"/>
          <w:szCs w:val="21"/>
          <w:highlight w:val="none"/>
        </w:rPr>
      </w:pPr>
      <w:r>
        <w:rPr>
          <w:rFonts w:hint="eastAsia" w:ascii="宋体" w:hAnsi="宋体" w:cs="宋体"/>
          <w:color w:val="000000"/>
          <w:kern w:val="1"/>
          <w:szCs w:val="21"/>
          <w:highlight w:val="none"/>
        </w:rPr>
        <w:t>3</w:t>
      </w:r>
      <w:r>
        <w:rPr>
          <w:rFonts w:hint="eastAsia" w:ascii="宋体" w:hAnsi="宋体" w:cs="宋体"/>
          <w:color w:val="000000"/>
          <w:kern w:val="1"/>
          <w:szCs w:val="21"/>
          <w:highlight w:val="none"/>
          <w:lang w:eastAsia="ar-SA"/>
        </w:rPr>
        <w:t>.中标通知书</w:t>
      </w:r>
      <w:r>
        <w:rPr>
          <w:rFonts w:hint="eastAsia" w:ascii="宋体" w:hAnsi="宋体" w:cs="宋体"/>
          <w:color w:val="000000"/>
          <w:kern w:val="1"/>
          <w:szCs w:val="21"/>
          <w:highlight w:val="none"/>
        </w:rPr>
        <w:t>。</w:t>
      </w:r>
    </w:p>
    <w:p w14:paraId="3FB85B15">
      <w:pPr>
        <w:spacing w:line="48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w:t>
      </w:r>
      <w:r>
        <w:rPr>
          <w:rFonts w:hint="eastAsia" w:ascii="宋体" w:hAnsi="宋体" w:cs="宋体"/>
          <w:b/>
          <w:color w:val="000000"/>
          <w:szCs w:val="21"/>
          <w:highlight w:val="none"/>
          <w:lang w:eastAsia="zh-CN"/>
        </w:rPr>
        <w:t>七</w:t>
      </w:r>
      <w:r>
        <w:rPr>
          <w:rFonts w:hint="eastAsia" w:ascii="宋体" w:hAnsi="宋体" w:cs="宋体"/>
          <w:b/>
          <w:color w:val="000000"/>
          <w:szCs w:val="21"/>
          <w:highlight w:val="none"/>
        </w:rPr>
        <w:t>条　</w:t>
      </w:r>
    </w:p>
    <w:p w14:paraId="11FC810E">
      <w:pPr>
        <w:spacing w:line="4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本合同未尽事宜，合同当事人另行签订书面补充协议，补充协议是合同的组成部分，与本合同具有同等法律效力。</w:t>
      </w:r>
    </w:p>
    <w:p w14:paraId="0741E906">
      <w:pPr>
        <w:spacing w:line="460" w:lineRule="exact"/>
        <w:ind w:firstLine="420" w:firstLineChars="200"/>
        <w:rPr>
          <w:rFonts w:hint="eastAsia" w:ascii="宋体" w:hAnsi="宋体" w:cs="宋体"/>
          <w:color w:val="000000"/>
          <w:szCs w:val="21"/>
          <w:highlight w:val="none"/>
        </w:rPr>
      </w:pPr>
      <w:r>
        <w:rPr>
          <w:rFonts w:hint="eastAsia" w:ascii="宋体" w:hAnsi="宋体" w:cs="宋体"/>
          <w:color w:val="000000"/>
          <w:kern w:val="1"/>
          <w:szCs w:val="21"/>
          <w:highlight w:val="none"/>
          <w:lang w:eastAsia="ar-SA"/>
        </w:rPr>
        <w:t>本合同一式</w:t>
      </w:r>
      <w:r>
        <w:rPr>
          <w:rFonts w:hint="eastAsia" w:ascii="宋体" w:hAnsi="宋体" w:cs="宋体"/>
          <w:color w:val="000000"/>
          <w:kern w:val="1"/>
          <w:szCs w:val="21"/>
          <w:highlight w:val="none"/>
          <w:lang w:val="en-US" w:eastAsia="zh-CN"/>
        </w:rPr>
        <w:t>玖</w:t>
      </w:r>
      <w:r>
        <w:rPr>
          <w:rFonts w:hint="eastAsia" w:ascii="宋体" w:hAnsi="宋体" w:cs="宋体"/>
          <w:color w:val="000000"/>
          <w:kern w:val="1"/>
          <w:szCs w:val="21"/>
          <w:highlight w:val="none"/>
          <w:lang w:eastAsia="ar-SA"/>
        </w:rPr>
        <w:t>份，具有同等法律效力。甲方</w:t>
      </w:r>
      <w:r>
        <w:rPr>
          <w:rFonts w:hint="eastAsia" w:ascii="宋体" w:hAnsi="宋体" w:cs="宋体"/>
          <w:color w:val="000000"/>
          <w:kern w:val="1"/>
          <w:szCs w:val="21"/>
          <w:highlight w:val="none"/>
          <w:lang w:val="en-US" w:eastAsia="zh-CN"/>
        </w:rPr>
        <w:t>伍</w:t>
      </w:r>
      <w:r>
        <w:rPr>
          <w:rFonts w:hint="eastAsia" w:ascii="宋体" w:hAnsi="宋体" w:cs="宋体"/>
          <w:color w:val="000000"/>
          <w:kern w:val="1"/>
          <w:szCs w:val="21"/>
          <w:highlight w:val="none"/>
          <w:lang w:eastAsia="ar-SA"/>
        </w:rPr>
        <w:t>份，乙方</w:t>
      </w:r>
      <w:r>
        <w:rPr>
          <w:rFonts w:hint="eastAsia" w:ascii="宋体" w:hAnsi="宋体" w:cs="宋体"/>
          <w:color w:val="000000"/>
          <w:kern w:val="1"/>
          <w:szCs w:val="21"/>
          <w:highlight w:val="none"/>
        </w:rPr>
        <w:t>贰</w:t>
      </w:r>
      <w:r>
        <w:rPr>
          <w:rFonts w:hint="eastAsia" w:ascii="宋体" w:hAnsi="宋体" w:cs="宋体"/>
          <w:color w:val="000000"/>
          <w:kern w:val="1"/>
          <w:szCs w:val="21"/>
          <w:highlight w:val="none"/>
          <w:lang w:eastAsia="ar-SA"/>
        </w:rPr>
        <w:t>份，采购代理机构</w:t>
      </w:r>
      <w:r>
        <w:rPr>
          <w:rFonts w:hint="eastAsia" w:ascii="宋体" w:hAnsi="宋体" w:cs="宋体"/>
          <w:color w:val="000000"/>
          <w:kern w:val="1"/>
          <w:szCs w:val="21"/>
          <w:highlight w:val="none"/>
        </w:rPr>
        <w:t>贰</w:t>
      </w:r>
      <w:r>
        <w:rPr>
          <w:rFonts w:hint="eastAsia" w:ascii="宋体" w:hAnsi="宋体" w:cs="宋体"/>
          <w:color w:val="000000"/>
          <w:kern w:val="1"/>
          <w:szCs w:val="21"/>
          <w:highlight w:val="none"/>
          <w:lang w:eastAsia="ar-SA"/>
        </w:rPr>
        <w:t>份</w:t>
      </w:r>
      <w:r>
        <w:rPr>
          <w:rFonts w:hint="eastAsia" w:ascii="宋体" w:hAnsi="宋体" w:cs="宋体"/>
          <w:color w:val="000000"/>
          <w:kern w:val="1"/>
          <w:szCs w:val="21"/>
          <w:highlight w:val="none"/>
        </w:rPr>
        <w:t>，本合同经甲乙双方法定代表人（或负责人）或授权代表签字并加盖单位公章后生效</w:t>
      </w:r>
      <w:r>
        <w:rPr>
          <w:rFonts w:hint="eastAsia" w:ascii="宋体" w:hAnsi="宋体" w:cs="宋体"/>
          <w:color w:val="000000"/>
          <w:kern w:val="1"/>
          <w:szCs w:val="21"/>
          <w:highlight w:val="none"/>
          <w:lang w:eastAsia="ar-SA"/>
        </w:rPr>
        <w:t>。合同附件是合同的不可分割的组成部分，与合同具有同等法律效力。</w:t>
      </w:r>
      <w:r>
        <w:rPr>
          <w:rFonts w:hint="eastAsia" w:ascii="宋体" w:hAnsi="宋体" w:cs="宋体"/>
          <w:color w:val="000000"/>
          <w:szCs w:val="21"/>
          <w:highlight w:val="none"/>
        </w:rPr>
        <w:t>。</w:t>
      </w:r>
    </w:p>
    <w:p w14:paraId="6AF7297D">
      <w:pPr>
        <w:spacing w:line="4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本合同自签订之日起2个工作日内，甲方应当将采购合同在广西壮族自治区财政厅指定的媒体上公告。</w:t>
      </w:r>
    </w:p>
    <w:tbl>
      <w:tblPr>
        <w:tblStyle w:val="48"/>
        <w:tblW w:w="872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0"/>
        <w:gridCol w:w="4360"/>
      </w:tblGrid>
      <w:tr w14:paraId="348E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360" w:type="dxa"/>
            <w:vAlign w:val="center"/>
          </w:tcPr>
          <w:p w14:paraId="78BC4917">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 xml:space="preserve">甲方（章）广西制造工程职业技术学院 </w:t>
            </w:r>
          </w:p>
          <w:p w14:paraId="768C5A9E">
            <w:pPr>
              <w:snapToGrid w:val="0"/>
              <w:spacing w:line="480" w:lineRule="exact"/>
              <w:rPr>
                <w:rFonts w:ascii="宋体" w:hAnsi="宋体" w:cs="宋体"/>
                <w:color w:val="000000"/>
                <w:szCs w:val="21"/>
                <w:highlight w:val="none"/>
              </w:rPr>
            </w:pPr>
          </w:p>
          <w:p w14:paraId="08D80BAD">
            <w:pPr>
              <w:snapToGrid w:val="0"/>
              <w:spacing w:line="480" w:lineRule="exact"/>
              <w:ind w:firstLine="945" w:firstLineChars="450"/>
              <w:jc w:val="right"/>
              <w:rPr>
                <w:rFonts w:ascii="宋体" w:hAnsi="宋体" w:cs="宋体"/>
                <w:color w:val="000000"/>
                <w:szCs w:val="21"/>
                <w:highlight w:val="none"/>
              </w:rPr>
            </w:pPr>
            <w:r>
              <w:rPr>
                <w:rFonts w:hint="eastAsia" w:ascii="宋体" w:hAnsi="宋体" w:cs="宋体"/>
                <w:color w:val="000000"/>
                <w:szCs w:val="21"/>
                <w:highlight w:val="none"/>
              </w:rPr>
              <w:t>20</w:t>
            </w:r>
            <w:r>
              <w:rPr>
                <w:rFonts w:hint="eastAsia" w:ascii="宋体" w:hAnsi="宋体" w:cs="宋体"/>
                <w:color w:val="000000"/>
                <w:szCs w:val="21"/>
                <w:highlight w:val="none"/>
                <w:lang w:val="en-US" w:eastAsia="zh-CN"/>
              </w:rPr>
              <w:t>26</w:t>
            </w:r>
            <w:r>
              <w:rPr>
                <w:rFonts w:hint="eastAsia" w:ascii="宋体" w:hAnsi="宋体" w:cs="宋体"/>
                <w:color w:val="000000"/>
                <w:szCs w:val="21"/>
                <w:highlight w:val="none"/>
              </w:rPr>
              <w:t>年   月   日</w:t>
            </w:r>
          </w:p>
        </w:tc>
        <w:tc>
          <w:tcPr>
            <w:tcW w:w="4360" w:type="dxa"/>
            <w:vAlign w:val="center"/>
          </w:tcPr>
          <w:p w14:paraId="0CFF7D06">
            <w:pPr>
              <w:snapToGrid w:val="0"/>
              <w:spacing w:line="480" w:lineRule="exact"/>
              <w:rPr>
                <w:rFonts w:ascii="宋体" w:hAnsi="宋体" w:cs="宋体"/>
                <w:color w:val="000000"/>
                <w:szCs w:val="21"/>
                <w:highlight w:val="none"/>
              </w:rPr>
            </w:pPr>
            <w:r>
              <w:rPr>
                <w:rFonts w:hint="eastAsia" w:ascii="宋体" w:hAnsi="宋体" w:cs="宋体"/>
                <w:color w:val="000000"/>
                <w:szCs w:val="21"/>
                <w:highlight w:val="none"/>
              </w:rPr>
              <w:t xml:space="preserve">乙方（章）               </w:t>
            </w:r>
          </w:p>
          <w:p w14:paraId="11DA7E60">
            <w:pPr>
              <w:snapToGrid w:val="0"/>
              <w:spacing w:line="480" w:lineRule="exact"/>
              <w:rPr>
                <w:rFonts w:ascii="宋体" w:hAnsi="宋体" w:cs="宋体"/>
                <w:color w:val="000000"/>
                <w:szCs w:val="21"/>
                <w:highlight w:val="none"/>
              </w:rPr>
            </w:pPr>
          </w:p>
          <w:p w14:paraId="21E0DFD1">
            <w:pPr>
              <w:snapToGrid w:val="0"/>
              <w:spacing w:line="480" w:lineRule="exact"/>
              <w:jc w:val="right"/>
              <w:rPr>
                <w:rFonts w:ascii="宋体" w:hAnsi="宋体" w:cs="宋体"/>
                <w:color w:val="000000"/>
                <w:szCs w:val="21"/>
                <w:highlight w:val="none"/>
              </w:rPr>
            </w:pPr>
            <w:r>
              <w:rPr>
                <w:rFonts w:hint="eastAsia" w:ascii="宋体" w:hAnsi="宋体" w:cs="宋体"/>
                <w:color w:val="000000"/>
                <w:szCs w:val="21"/>
                <w:highlight w:val="none"/>
              </w:rPr>
              <w:t xml:space="preserve"> 20</w:t>
            </w:r>
            <w:r>
              <w:rPr>
                <w:rFonts w:hint="eastAsia" w:ascii="宋体" w:hAnsi="宋体" w:cs="宋体"/>
                <w:color w:val="000000"/>
                <w:szCs w:val="21"/>
                <w:highlight w:val="none"/>
                <w:lang w:val="en-US" w:eastAsia="zh-CN"/>
              </w:rPr>
              <w:t>26</w:t>
            </w:r>
            <w:r>
              <w:rPr>
                <w:rFonts w:hint="eastAsia" w:ascii="宋体" w:hAnsi="宋体" w:cs="宋体"/>
                <w:color w:val="000000"/>
                <w:szCs w:val="21"/>
                <w:highlight w:val="none"/>
              </w:rPr>
              <w:t>年   月   日</w:t>
            </w:r>
          </w:p>
        </w:tc>
      </w:tr>
      <w:tr w14:paraId="329B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360" w:type="dxa"/>
            <w:vAlign w:val="center"/>
          </w:tcPr>
          <w:p w14:paraId="4A9647F0">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单位地址：广西南宁市武鸣区（广西—东盟经济技术开发区）宝源南路29号</w:t>
            </w:r>
          </w:p>
        </w:tc>
        <w:tc>
          <w:tcPr>
            <w:tcW w:w="4360" w:type="dxa"/>
            <w:vAlign w:val="center"/>
          </w:tcPr>
          <w:p w14:paraId="386BEFBF">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单位地址：</w:t>
            </w:r>
          </w:p>
        </w:tc>
      </w:tr>
      <w:tr w14:paraId="2CC9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4360" w:type="dxa"/>
            <w:vAlign w:val="center"/>
          </w:tcPr>
          <w:p w14:paraId="63D974F1">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法定代表人或委托代理人：</w:t>
            </w:r>
          </w:p>
        </w:tc>
        <w:tc>
          <w:tcPr>
            <w:tcW w:w="4360" w:type="dxa"/>
            <w:vAlign w:val="center"/>
          </w:tcPr>
          <w:p w14:paraId="7C9A8B0A">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法定代表人或委托代理人：</w:t>
            </w:r>
          </w:p>
        </w:tc>
      </w:tr>
      <w:tr w14:paraId="5087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360" w:type="dxa"/>
            <w:vAlign w:val="center"/>
          </w:tcPr>
          <w:p w14:paraId="20F5AA89">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电话：</w:t>
            </w:r>
          </w:p>
        </w:tc>
        <w:tc>
          <w:tcPr>
            <w:tcW w:w="4360" w:type="dxa"/>
            <w:vAlign w:val="center"/>
          </w:tcPr>
          <w:p w14:paraId="042D5EDB">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电话：</w:t>
            </w:r>
          </w:p>
        </w:tc>
      </w:tr>
      <w:tr w14:paraId="4326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4360" w:type="dxa"/>
            <w:vAlign w:val="center"/>
          </w:tcPr>
          <w:p w14:paraId="325AE395">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电子邮箱：</w:t>
            </w:r>
          </w:p>
        </w:tc>
        <w:tc>
          <w:tcPr>
            <w:tcW w:w="4360" w:type="dxa"/>
            <w:vAlign w:val="center"/>
          </w:tcPr>
          <w:p w14:paraId="0E557A9C">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电子邮箱：</w:t>
            </w:r>
          </w:p>
        </w:tc>
      </w:tr>
      <w:tr w14:paraId="2392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360" w:type="dxa"/>
            <w:vAlign w:val="center"/>
          </w:tcPr>
          <w:p w14:paraId="3F6E77C0">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开户银行：</w:t>
            </w:r>
          </w:p>
        </w:tc>
        <w:tc>
          <w:tcPr>
            <w:tcW w:w="4360" w:type="dxa"/>
            <w:vAlign w:val="center"/>
          </w:tcPr>
          <w:p w14:paraId="6B424DEA">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开户银行：</w:t>
            </w:r>
          </w:p>
        </w:tc>
      </w:tr>
      <w:tr w14:paraId="15E4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4360" w:type="dxa"/>
            <w:vAlign w:val="center"/>
          </w:tcPr>
          <w:p w14:paraId="3D967208">
            <w:pPr>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账号：</w:t>
            </w:r>
          </w:p>
        </w:tc>
        <w:tc>
          <w:tcPr>
            <w:tcW w:w="4360" w:type="dxa"/>
            <w:vAlign w:val="center"/>
          </w:tcPr>
          <w:p w14:paraId="0D9B8B90">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账号：</w:t>
            </w:r>
          </w:p>
        </w:tc>
      </w:tr>
      <w:tr w14:paraId="0285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trPr>
        <w:tc>
          <w:tcPr>
            <w:tcW w:w="4360" w:type="dxa"/>
            <w:vAlign w:val="center"/>
          </w:tcPr>
          <w:p w14:paraId="008B8E27">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纳税人识别号或统一社会信用代码：12450000MB1G8284XL</w:t>
            </w:r>
          </w:p>
        </w:tc>
        <w:tc>
          <w:tcPr>
            <w:tcW w:w="4360" w:type="dxa"/>
            <w:vAlign w:val="center"/>
          </w:tcPr>
          <w:p w14:paraId="66737420">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纳税人识别号或统一社会信用代码：</w:t>
            </w:r>
          </w:p>
          <w:p w14:paraId="3C6F2610">
            <w:pPr>
              <w:snapToGrid w:val="0"/>
              <w:spacing w:line="480" w:lineRule="exact"/>
              <w:jc w:val="left"/>
              <w:rPr>
                <w:rFonts w:ascii="宋体" w:hAnsi="宋体" w:cs="宋体"/>
                <w:color w:val="000000"/>
                <w:szCs w:val="21"/>
                <w:highlight w:val="none"/>
              </w:rPr>
            </w:pPr>
          </w:p>
        </w:tc>
      </w:tr>
      <w:tr w14:paraId="21B0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4360" w:type="dxa"/>
            <w:vAlign w:val="center"/>
          </w:tcPr>
          <w:p w14:paraId="6E9C411F">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邮政编码：530105</w:t>
            </w:r>
          </w:p>
        </w:tc>
        <w:tc>
          <w:tcPr>
            <w:tcW w:w="4360" w:type="dxa"/>
            <w:vAlign w:val="center"/>
          </w:tcPr>
          <w:p w14:paraId="3C69BBF9">
            <w:pPr>
              <w:snapToGrid w:val="0"/>
              <w:spacing w:line="480" w:lineRule="exact"/>
              <w:jc w:val="left"/>
              <w:rPr>
                <w:rFonts w:ascii="宋体" w:hAnsi="宋体" w:cs="宋体"/>
                <w:color w:val="000000"/>
                <w:szCs w:val="21"/>
                <w:highlight w:val="none"/>
              </w:rPr>
            </w:pPr>
            <w:r>
              <w:rPr>
                <w:rFonts w:hint="eastAsia" w:ascii="宋体" w:hAnsi="宋体" w:cs="宋体"/>
                <w:color w:val="000000"/>
                <w:szCs w:val="21"/>
                <w:highlight w:val="none"/>
              </w:rPr>
              <w:t>邮政编码：</w:t>
            </w:r>
          </w:p>
        </w:tc>
      </w:tr>
    </w:tbl>
    <w:p w14:paraId="5D7E5729">
      <w:pPr>
        <w:snapToGrid w:val="0"/>
        <w:jc w:val="center"/>
        <w:rPr>
          <w:rFonts w:ascii="宋体" w:hAnsi="宋体"/>
          <w:bCs/>
          <w:color w:val="000000"/>
          <w:sz w:val="32"/>
          <w:szCs w:val="32"/>
          <w:highlight w:val="none"/>
        </w:rPr>
      </w:pPr>
    </w:p>
    <w:p w14:paraId="3DC3EC25">
      <w:pPr>
        <w:pStyle w:val="59"/>
        <w:rPr>
          <w:rFonts w:ascii="宋体" w:hAnsi="宋体"/>
          <w:bCs/>
          <w:sz w:val="32"/>
          <w:szCs w:val="32"/>
          <w:highlight w:val="none"/>
        </w:rPr>
      </w:pPr>
    </w:p>
    <w:p w14:paraId="0F797578">
      <w:pPr>
        <w:rPr>
          <w:highlight w:val="none"/>
        </w:rPr>
      </w:pPr>
    </w:p>
    <w:p w14:paraId="046F6931">
      <w:pPr>
        <w:snapToGrid w:val="0"/>
        <w:jc w:val="center"/>
        <w:rPr>
          <w:rFonts w:ascii="宋体" w:hAnsi="宋体"/>
          <w:bCs/>
          <w:color w:val="000000"/>
          <w:sz w:val="32"/>
          <w:szCs w:val="32"/>
          <w:highlight w:val="none"/>
        </w:rPr>
      </w:pPr>
    </w:p>
    <w:p w14:paraId="2A647DFC">
      <w:pPr>
        <w:snapToGrid w:val="0"/>
        <w:jc w:val="center"/>
        <w:rPr>
          <w:rFonts w:ascii="宋体" w:hAnsi="宋体"/>
          <w:bCs/>
          <w:color w:val="000000"/>
          <w:sz w:val="32"/>
          <w:szCs w:val="32"/>
          <w:highlight w:val="none"/>
        </w:rPr>
      </w:pPr>
    </w:p>
    <w:p w14:paraId="4F5F0FA5">
      <w:pPr>
        <w:snapToGrid w:val="0"/>
        <w:jc w:val="center"/>
        <w:rPr>
          <w:rFonts w:ascii="宋体" w:hAnsi="宋体"/>
          <w:bCs/>
          <w:color w:val="000000"/>
          <w:sz w:val="32"/>
          <w:szCs w:val="32"/>
          <w:highlight w:val="none"/>
        </w:rPr>
      </w:pPr>
    </w:p>
    <w:p w14:paraId="682E4B4F">
      <w:pPr>
        <w:snapToGrid w:val="0"/>
        <w:jc w:val="center"/>
        <w:rPr>
          <w:rFonts w:ascii="宋体" w:hAnsi="宋体"/>
          <w:bCs/>
          <w:color w:val="000000"/>
          <w:sz w:val="32"/>
          <w:szCs w:val="32"/>
          <w:highlight w:val="none"/>
        </w:rPr>
      </w:pPr>
    </w:p>
    <w:p w14:paraId="5E4D49B2">
      <w:pPr>
        <w:snapToGrid w:val="0"/>
        <w:jc w:val="center"/>
        <w:rPr>
          <w:rFonts w:ascii="宋体" w:hAnsi="宋体"/>
          <w:bCs/>
          <w:color w:val="000000"/>
          <w:sz w:val="32"/>
          <w:szCs w:val="32"/>
          <w:highlight w:val="none"/>
        </w:rPr>
      </w:pPr>
    </w:p>
    <w:p w14:paraId="4F3DBFBF">
      <w:pPr>
        <w:snapToGrid w:val="0"/>
        <w:jc w:val="center"/>
        <w:rPr>
          <w:rFonts w:ascii="宋体" w:hAnsi="宋体"/>
          <w:bCs/>
          <w:color w:val="000000"/>
          <w:sz w:val="32"/>
          <w:szCs w:val="32"/>
          <w:highlight w:val="none"/>
        </w:rPr>
      </w:pPr>
    </w:p>
    <w:p w14:paraId="7BDD5550">
      <w:pPr>
        <w:snapToGrid w:val="0"/>
        <w:jc w:val="center"/>
        <w:rPr>
          <w:rFonts w:ascii="宋体" w:hAnsi="宋体"/>
          <w:bCs/>
          <w:color w:val="000000"/>
          <w:sz w:val="32"/>
          <w:szCs w:val="32"/>
          <w:highlight w:val="none"/>
        </w:rPr>
      </w:pPr>
    </w:p>
    <w:p w14:paraId="4913062B">
      <w:pPr>
        <w:snapToGrid w:val="0"/>
        <w:jc w:val="center"/>
        <w:rPr>
          <w:rFonts w:ascii="宋体" w:hAnsi="宋体"/>
          <w:bCs/>
          <w:color w:val="000000"/>
          <w:sz w:val="32"/>
          <w:szCs w:val="32"/>
          <w:highlight w:val="none"/>
        </w:rPr>
      </w:pPr>
    </w:p>
    <w:p w14:paraId="2F220C17">
      <w:pPr>
        <w:snapToGrid w:val="0"/>
        <w:jc w:val="center"/>
        <w:rPr>
          <w:rFonts w:ascii="宋体" w:hAnsi="宋体"/>
          <w:bCs/>
          <w:color w:val="000000"/>
          <w:sz w:val="32"/>
          <w:szCs w:val="32"/>
          <w:highlight w:val="none"/>
        </w:rPr>
      </w:pPr>
    </w:p>
    <w:p w14:paraId="62DA4244">
      <w:pPr>
        <w:pStyle w:val="2"/>
        <w:jc w:val="center"/>
        <w:rPr>
          <w:color w:val="000000"/>
          <w:highlight w:val="none"/>
        </w:rPr>
      </w:pPr>
    </w:p>
    <w:p w14:paraId="434F1EE8">
      <w:pPr>
        <w:pStyle w:val="2"/>
        <w:jc w:val="center"/>
        <w:rPr>
          <w:color w:val="000000"/>
          <w:highlight w:val="none"/>
        </w:rPr>
      </w:pPr>
      <w:bookmarkStart w:id="162" w:name="_Toc26018"/>
      <w:r>
        <w:rPr>
          <w:rFonts w:hint="eastAsia"/>
          <w:color w:val="000000"/>
          <w:highlight w:val="none"/>
        </w:rPr>
        <w:t>第六章　投标文件格式</w:t>
      </w:r>
      <w:bookmarkEnd w:id="162"/>
    </w:p>
    <w:p w14:paraId="4AEE988E">
      <w:pPr>
        <w:snapToGrid w:val="0"/>
        <w:spacing w:before="50" w:after="50"/>
        <w:outlineLvl w:val="1"/>
        <w:rPr>
          <w:rFonts w:ascii="宋体" w:hAnsi="宋体"/>
          <w:color w:val="000000"/>
          <w:sz w:val="32"/>
          <w:szCs w:val="20"/>
          <w:highlight w:val="none"/>
        </w:rPr>
      </w:pPr>
    </w:p>
    <w:p w14:paraId="53D7EC2E">
      <w:pPr>
        <w:snapToGrid w:val="0"/>
        <w:spacing w:before="50" w:after="50"/>
        <w:outlineLvl w:val="1"/>
        <w:rPr>
          <w:rFonts w:ascii="宋体" w:hAnsi="宋体"/>
          <w:color w:val="000000"/>
          <w:sz w:val="32"/>
          <w:szCs w:val="20"/>
          <w:highlight w:val="none"/>
        </w:rPr>
      </w:pPr>
    </w:p>
    <w:p w14:paraId="2379DFEF">
      <w:pPr>
        <w:snapToGrid w:val="0"/>
        <w:spacing w:before="50" w:after="50"/>
        <w:outlineLvl w:val="1"/>
        <w:rPr>
          <w:rFonts w:ascii="宋体" w:hAnsi="宋体"/>
          <w:color w:val="000000"/>
          <w:sz w:val="32"/>
          <w:szCs w:val="20"/>
          <w:highlight w:val="none"/>
        </w:rPr>
      </w:pPr>
    </w:p>
    <w:p w14:paraId="59891FBB">
      <w:pPr>
        <w:snapToGrid w:val="0"/>
        <w:spacing w:before="50" w:after="50"/>
        <w:outlineLvl w:val="1"/>
        <w:rPr>
          <w:rFonts w:ascii="宋体" w:hAnsi="宋体"/>
          <w:color w:val="000000"/>
          <w:sz w:val="32"/>
          <w:szCs w:val="20"/>
          <w:highlight w:val="none"/>
        </w:rPr>
      </w:pPr>
    </w:p>
    <w:p w14:paraId="201896F9">
      <w:pPr>
        <w:snapToGrid w:val="0"/>
        <w:spacing w:before="50" w:after="50"/>
        <w:outlineLvl w:val="1"/>
        <w:rPr>
          <w:rFonts w:ascii="宋体" w:hAnsi="宋体"/>
          <w:color w:val="000000"/>
          <w:sz w:val="32"/>
          <w:szCs w:val="20"/>
          <w:highlight w:val="none"/>
        </w:rPr>
      </w:pPr>
    </w:p>
    <w:p w14:paraId="60CBF015">
      <w:pPr>
        <w:snapToGrid w:val="0"/>
        <w:spacing w:before="50" w:after="50"/>
        <w:outlineLvl w:val="1"/>
        <w:rPr>
          <w:rFonts w:ascii="宋体" w:hAnsi="宋体"/>
          <w:color w:val="000000"/>
          <w:sz w:val="32"/>
          <w:szCs w:val="20"/>
          <w:highlight w:val="none"/>
        </w:rPr>
      </w:pPr>
    </w:p>
    <w:p w14:paraId="38284003">
      <w:pPr>
        <w:snapToGrid w:val="0"/>
        <w:spacing w:before="50" w:after="50"/>
        <w:outlineLvl w:val="1"/>
        <w:rPr>
          <w:rFonts w:ascii="宋体" w:hAnsi="宋体"/>
          <w:color w:val="000000"/>
          <w:sz w:val="32"/>
          <w:szCs w:val="20"/>
          <w:highlight w:val="none"/>
        </w:rPr>
      </w:pPr>
    </w:p>
    <w:p w14:paraId="312DEF47">
      <w:pPr>
        <w:snapToGrid w:val="0"/>
        <w:spacing w:before="50" w:after="50"/>
        <w:outlineLvl w:val="1"/>
        <w:rPr>
          <w:rFonts w:ascii="宋体" w:hAnsi="宋体"/>
          <w:color w:val="000000"/>
          <w:sz w:val="32"/>
          <w:szCs w:val="20"/>
          <w:highlight w:val="none"/>
        </w:rPr>
      </w:pPr>
    </w:p>
    <w:p w14:paraId="23288999">
      <w:pPr>
        <w:snapToGrid w:val="0"/>
        <w:spacing w:before="50" w:after="50"/>
        <w:outlineLvl w:val="1"/>
        <w:rPr>
          <w:rFonts w:ascii="宋体" w:hAnsi="宋体"/>
          <w:color w:val="000000"/>
          <w:sz w:val="32"/>
          <w:szCs w:val="20"/>
          <w:highlight w:val="none"/>
        </w:rPr>
      </w:pPr>
    </w:p>
    <w:p w14:paraId="77EC9FE5">
      <w:pPr>
        <w:rPr>
          <w:rFonts w:ascii="宋体" w:hAnsi="宋体"/>
          <w:color w:val="000000"/>
          <w:sz w:val="32"/>
          <w:szCs w:val="20"/>
          <w:highlight w:val="none"/>
        </w:rPr>
      </w:pPr>
      <w:r>
        <w:rPr>
          <w:rFonts w:ascii="宋体" w:hAnsi="宋体"/>
          <w:color w:val="000000"/>
          <w:sz w:val="32"/>
          <w:szCs w:val="20"/>
          <w:highlight w:val="none"/>
        </w:rPr>
        <w:br w:type="page"/>
      </w:r>
    </w:p>
    <w:p w14:paraId="0729B0A3">
      <w:pPr>
        <w:snapToGrid w:val="0"/>
        <w:spacing w:before="120" w:beforeLines="50" w:after="50"/>
        <w:jc w:val="center"/>
        <w:outlineLvl w:val="1"/>
        <w:rPr>
          <w:rFonts w:ascii="宋体" w:hAnsi="宋体"/>
          <w:color w:val="000000"/>
          <w:highlight w:val="none"/>
        </w:rPr>
      </w:pPr>
    </w:p>
    <w:p w14:paraId="75640B9C">
      <w:pPr>
        <w:rPr>
          <w:b/>
          <w:color w:val="000000"/>
          <w:sz w:val="28"/>
          <w:szCs w:val="28"/>
          <w:highlight w:val="none"/>
        </w:rPr>
      </w:pPr>
      <w:bookmarkStart w:id="163" w:name="_Toc19686836"/>
      <w:bookmarkStart w:id="164" w:name="_Toc254970557"/>
      <w:bookmarkStart w:id="165" w:name="_Toc254970698"/>
      <w:r>
        <w:rPr>
          <w:rFonts w:hint="eastAsia"/>
          <w:b/>
          <w:color w:val="000000"/>
          <w:sz w:val="28"/>
          <w:szCs w:val="28"/>
          <w:highlight w:val="none"/>
        </w:rPr>
        <w:t>一、报价文件格式</w:t>
      </w:r>
      <w:bookmarkEnd w:id="163"/>
    </w:p>
    <w:p w14:paraId="4D92EBFE">
      <w:pPr>
        <w:snapToGrid w:val="0"/>
        <w:spacing w:before="120" w:beforeLines="50" w:after="50" w:line="360" w:lineRule="auto"/>
        <w:ind w:left="142"/>
        <w:jc w:val="left"/>
        <w:rPr>
          <w:rFonts w:ascii="宋体" w:hAnsi="宋体"/>
          <w:b/>
          <w:color w:val="000000"/>
          <w:sz w:val="24"/>
          <w:highlight w:val="none"/>
        </w:rPr>
      </w:pPr>
      <w:r>
        <w:rPr>
          <w:rFonts w:hint="eastAsia" w:ascii="宋体" w:hAnsi="宋体"/>
          <w:b/>
          <w:color w:val="000000"/>
          <w:sz w:val="24"/>
          <w:highlight w:val="none"/>
        </w:rPr>
        <w:t xml:space="preserve">1. 报价文件封面格式： </w:t>
      </w:r>
    </w:p>
    <w:p w14:paraId="0DE54741">
      <w:pPr>
        <w:snapToGrid w:val="0"/>
        <w:spacing w:before="120" w:beforeLines="50" w:after="50" w:line="360" w:lineRule="auto"/>
        <w:ind w:left="142"/>
        <w:jc w:val="center"/>
        <w:rPr>
          <w:rFonts w:hint="eastAsia" w:ascii="宋体" w:hAnsi="宋体" w:eastAsia="宋体" w:cs="宋体"/>
          <w:bCs/>
          <w:color w:val="000000"/>
          <w:sz w:val="48"/>
          <w:szCs w:val="48"/>
          <w:highlight w:val="none"/>
        </w:rPr>
      </w:pPr>
      <w:r>
        <w:rPr>
          <w:rFonts w:hint="eastAsia" w:ascii="宋体" w:hAnsi="宋体" w:eastAsia="宋体" w:cs="宋体"/>
          <w:bCs/>
          <w:color w:val="000000"/>
          <w:sz w:val="48"/>
          <w:szCs w:val="48"/>
          <w:highlight w:val="none"/>
        </w:rPr>
        <w:t>电子投标文件</w:t>
      </w:r>
    </w:p>
    <w:p w14:paraId="7B03115D">
      <w:pPr>
        <w:snapToGrid w:val="0"/>
        <w:spacing w:before="120" w:beforeLines="50" w:after="50" w:line="400" w:lineRule="exact"/>
        <w:jc w:val="left"/>
        <w:rPr>
          <w:rFonts w:hint="eastAsia" w:ascii="宋体" w:hAnsi="宋体" w:eastAsia="宋体" w:cs="宋体"/>
          <w:bCs/>
          <w:color w:val="000000"/>
          <w:sz w:val="48"/>
          <w:szCs w:val="48"/>
          <w:highlight w:val="none"/>
        </w:rPr>
      </w:pPr>
    </w:p>
    <w:p w14:paraId="533B8937">
      <w:pPr>
        <w:snapToGrid w:val="0"/>
        <w:spacing w:before="120" w:beforeLines="50" w:after="50" w:line="400" w:lineRule="exact"/>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报  价  文  件</w:t>
      </w:r>
    </w:p>
    <w:p w14:paraId="02CB269A">
      <w:pPr>
        <w:snapToGrid w:val="0"/>
        <w:spacing w:before="120" w:beforeLines="50" w:after="50" w:line="400" w:lineRule="exact"/>
        <w:rPr>
          <w:rFonts w:hint="eastAsia" w:ascii="宋体" w:hAnsi="宋体" w:eastAsia="宋体" w:cs="宋体"/>
          <w:bCs/>
          <w:color w:val="000000"/>
          <w:sz w:val="24"/>
          <w:szCs w:val="20"/>
          <w:highlight w:val="none"/>
        </w:rPr>
      </w:pPr>
    </w:p>
    <w:p w14:paraId="56D6480E">
      <w:pPr>
        <w:snapToGrid w:val="0"/>
        <w:spacing w:before="120" w:beforeLines="50" w:after="50" w:line="400" w:lineRule="exact"/>
        <w:rPr>
          <w:rFonts w:hint="eastAsia" w:ascii="宋体" w:hAnsi="宋体" w:eastAsia="宋体" w:cs="宋体"/>
          <w:bCs/>
          <w:color w:val="000000"/>
          <w:sz w:val="24"/>
          <w:szCs w:val="20"/>
          <w:highlight w:val="none"/>
        </w:rPr>
      </w:pPr>
    </w:p>
    <w:p w14:paraId="75C9024A">
      <w:pPr>
        <w:snapToGrid w:val="0"/>
        <w:spacing w:before="120" w:beforeLines="50" w:after="50" w:line="400" w:lineRule="exact"/>
        <w:rPr>
          <w:rFonts w:hint="eastAsia" w:ascii="宋体" w:hAnsi="宋体" w:eastAsia="宋体" w:cs="宋体"/>
          <w:bCs/>
          <w:color w:val="000000"/>
          <w:sz w:val="24"/>
          <w:szCs w:val="20"/>
          <w:highlight w:val="none"/>
        </w:rPr>
      </w:pPr>
    </w:p>
    <w:p w14:paraId="41EEF133">
      <w:pPr>
        <w:snapToGrid w:val="0"/>
        <w:spacing w:before="120" w:beforeLines="50" w:after="50" w:line="400" w:lineRule="exact"/>
        <w:ind w:firstLine="360" w:firstLineChars="15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 xml:space="preserve">项目名称： </w:t>
      </w:r>
    </w:p>
    <w:p w14:paraId="55054FA8">
      <w:pPr>
        <w:snapToGrid w:val="0"/>
        <w:spacing w:before="120" w:beforeLines="50" w:after="50" w:line="400" w:lineRule="exact"/>
        <w:ind w:firstLine="360" w:firstLineChars="150"/>
        <w:rPr>
          <w:rFonts w:hint="eastAsia" w:ascii="宋体" w:hAnsi="宋体" w:eastAsia="宋体" w:cs="宋体"/>
          <w:bCs/>
          <w:color w:val="000000"/>
          <w:sz w:val="24"/>
          <w:highlight w:val="none"/>
        </w:rPr>
      </w:pPr>
    </w:p>
    <w:p w14:paraId="6414926F">
      <w:pPr>
        <w:snapToGrid w:val="0"/>
        <w:spacing w:before="120" w:beforeLines="50" w:after="50" w:line="400" w:lineRule="exact"/>
        <w:ind w:firstLine="360" w:firstLineChars="15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 xml:space="preserve">项目编号： </w:t>
      </w:r>
    </w:p>
    <w:p w14:paraId="785843EC">
      <w:pPr>
        <w:snapToGrid w:val="0"/>
        <w:spacing w:before="120" w:beforeLines="50" w:after="50" w:line="400" w:lineRule="exact"/>
        <w:ind w:firstLine="360" w:firstLineChars="150"/>
        <w:rPr>
          <w:rFonts w:hint="eastAsia" w:ascii="宋体" w:hAnsi="宋体" w:eastAsia="宋体" w:cs="宋体"/>
          <w:bCs/>
          <w:color w:val="000000"/>
          <w:sz w:val="24"/>
          <w:highlight w:val="none"/>
        </w:rPr>
      </w:pPr>
    </w:p>
    <w:p w14:paraId="3852EE6D">
      <w:pPr>
        <w:snapToGrid w:val="0"/>
        <w:spacing w:before="120" w:beforeLines="50" w:after="50" w:line="400" w:lineRule="exact"/>
        <w:ind w:firstLine="360" w:firstLineChars="15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所投分标：无，则写“/”</w:t>
      </w:r>
    </w:p>
    <w:p w14:paraId="6962EEF0">
      <w:pPr>
        <w:snapToGrid w:val="0"/>
        <w:spacing w:before="120" w:beforeLines="50" w:after="50" w:line="400" w:lineRule="exact"/>
        <w:ind w:firstLine="360" w:firstLineChars="150"/>
        <w:rPr>
          <w:rFonts w:hint="eastAsia" w:ascii="宋体" w:hAnsi="宋体" w:eastAsia="宋体" w:cs="宋体"/>
          <w:bCs/>
          <w:color w:val="000000"/>
          <w:sz w:val="24"/>
          <w:highlight w:val="none"/>
        </w:rPr>
      </w:pPr>
    </w:p>
    <w:p w14:paraId="0E2359E1">
      <w:pPr>
        <w:snapToGrid w:val="0"/>
        <w:spacing w:before="120" w:beforeLines="50" w:after="50" w:line="400" w:lineRule="exact"/>
        <w:ind w:firstLine="360" w:firstLineChars="15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投标人名称：</w:t>
      </w:r>
    </w:p>
    <w:p w14:paraId="6167FAFB">
      <w:pPr>
        <w:snapToGrid w:val="0"/>
        <w:spacing w:before="120" w:beforeLines="50" w:after="50" w:line="400" w:lineRule="exact"/>
        <w:ind w:firstLine="360" w:firstLineChars="150"/>
        <w:rPr>
          <w:rFonts w:hint="eastAsia" w:ascii="宋体" w:hAnsi="宋体" w:eastAsia="宋体" w:cs="宋体"/>
          <w:bCs/>
          <w:color w:val="000000"/>
          <w:sz w:val="24"/>
          <w:highlight w:val="none"/>
        </w:rPr>
      </w:pPr>
    </w:p>
    <w:p w14:paraId="0680F185">
      <w:pPr>
        <w:snapToGrid w:val="0"/>
        <w:spacing w:before="120" w:beforeLines="50" w:after="50" w:line="400" w:lineRule="exact"/>
        <w:ind w:firstLine="360" w:firstLineChars="15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投标人地址：</w:t>
      </w:r>
    </w:p>
    <w:p w14:paraId="520C39A0">
      <w:pPr>
        <w:pStyle w:val="7"/>
        <w:snapToGrid w:val="0"/>
        <w:spacing w:before="50" w:after="50" w:line="400" w:lineRule="exact"/>
        <w:ind w:firstLine="960" w:firstLineChars="400"/>
        <w:rPr>
          <w:rFonts w:hint="eastAsia" w:ascii="宋体" w:hAnsi="宋体" w:eastAsia="宋体" w:cs="宋体"/>
          <w:bCs/>
          <w:color w:val="000000"/>
          <w:sz w:val="24"/>
          <w:szCs w:val="24"/>
          <w:highlight w:val="none"/>
        </w:rPr>
      </w:pPr>
    </w:p>
    <w:p w14:paraId="724B34FF">
      <w:pPr>
        <w:snapToGrid w:val="0"/>
        <w:spacing w:before="120" w:beforeLines="50" w:after="50" w:line="400" w:lineRule="exact"/>
        <w:rPr>
          <w:rFonts w:hint="eastAsia" w:ascii="宋体" w:hAnsi="宋体" w:eastAsia="宋体" w:cs="宋体"/>
          <w:color w:val="000000"/>
          <w:sz w:val="30"/>
          <w:szCs w:val="20"/>
          <w:highlight w:val="none"/>
        </w:rPr>
      </w:pPr>
      <w:r>
        <w:rPr>
          <w:rFonts w:hint="eastAsia" w:ascii="宋体" w:hAnsi="宋体" w:eastAsia="宋体" w:cs="宋体"/>
          <w:color w:val="000000"/>
          <w:sz w:val="24"/>
          <w:highlight w:val="none"/>
        </w:rPr>
        <w:t xml:space="preserve">                                   年  月  日</w:t>
      </w:r>
    </w:p>
    <w:p w14:paraId="10F5FD0B">
      <w:pPr>
        <w:snapToGrid w:val="0"/>
        <w:spacing w:before="120" w:beforeLines="50" w:after="50" w:line="360" w:lineRule="auto"/>
        <w:jc w:val="left"/>
        <w:rPr>
          <w:rFonts w:ascii="宋体" w:hAnsi="宋体"/>
          <w:color w:val="000000"/>
          <w:sz w:val="24"/>
          <w:szCs w:val="20"/>
          <w:highlight w:val="none"/>
        </w:rPr>
      </w:pPr>
      <w:r>
        <w:rPr>
          <w:rFonts w:ascii="宋体" w:hAnsi="宋体"/>
          <w:b/>
          <w:color w:val="000000"/>
          <w:sz w:val="24"/>
          <w:highlight w:val="none"/>
        </w:rPr>
        <w:br w:type="page"/>
      </w:r>
      <w:r>
        <w:rPr>
          <w:rFonts w:hint="eastAsia" w:ascii="宋体" w:hAnsi="宋体"/>
          <w:b/>
          <w:color w:val="000000"/>
          <w:sz w:val="24"/>
          <w:highlight w:val="none"/>
        </w:rPr>
        <w:t>2.</w:t>
      </w:r>
      <w:r>
        <w:rPr>
          <w:rFonts w:hint="eastAsia" w:ascii="宋体" w:hAnsi="宋体"/>
          <w:b/>
          <w:bCs/>
          <w:color w:val="000000"/>
          <w:sz w:val="24"/>
          <w:highlight w:val="none"/>
        </w:rPr>
        <w:t>报价文件目录</w:t>
      </w:r>
    </w:p>
    <w:p w14:paraId="3AA055A8">
      <w:pPr>
        <w:snapToGrid w:val="0"/>
        <w:spacing w:before="50" w:after="120" w:afterLines="50" w:line="360" w:lineRule="auto"/>
        <w:jc w:val="left"/>
        <w:rPr>
          <w:rFonts w:ascii="宋体" w:hAnsi="宋体"/>
          <w:b/>
          <w:color w:val="000000"/>
          <w:sz w:val="24"/>
          <w:highlight w:val="none"/>
        </w:rPr>
      </w:pPr>
      <w:r>
        <w:rPr>
          <w:rFonts w:hint="eastAsia" w:ascii="宋体" w:hAnsi="宋体"/>
          <w:color w:val="000000"/>
          <w:szCs w:val="21"/>
          <w:highlight w:val="none"/>
        </w:rPr>
        <w:t>根据招标文件规定及投标人提供的材料自行编写目录。</w:t>
      </w:r>
    </w:p>
    <w:p w14:paraId="7C88B8D4">
      <w:pPr>
        <w:snapToGrid w:val="0"/>
        <w:spacing w:before="120" w:beforeLines="50" w:after="50"/>
        <w:rPr>
          <w:rFonts w:ascii="宋体" w:hAnsi="宋体"/>
          <w:b/>
          <w:color w:val="000000"/>
          <w:sz w:val="24"/>
          <w:highlight w:val="none"/>
        </w:rPr>
      </w:pPr>
    </w:p>
    <w:p w14:paraId="387AD4FD">
      <w:pPr>
        <w:snapToGrid w:val="0"/>
        <w:spacing w:before="120" w:beforeLines="50" w:after="50"/>
        <w:rPr>
          <w:rFonts w:ascii="宋体" w:hAnsi="宋体"/>
          <w:b/>
          <w:color w:val="000000"/>
          <w:sz w:val="24"/>
          <w:highlight w:val="none"/>
        </w:rPr>
      </w:pPr>
    </w:p>
    <w:p w14:paraId="26F528F9">
      <w:pPr>
        <w:snapToGrid w:val="0"/>
        <w:spacing w:before="120" w:beforeLines="50" w:after="50"/>
        <w:rPr>
          <w:rFonts w:ascii="宋体" w:hAnsi="宋体"/>
          <w:b/>
          <w:color w:val="000000"/>
          <w:sz w:val="24"/>
          <w:highlight w:val="none"/>
        </w:rPr>
      </w:pPr>
    </w:p>
    <w:p w14:paraId="5BEF5E28">
      <w:pPr>
        <w:snapToGrid w:val="0"/>
        <w:spacing w:before="120" w:beforeLines="50" w:after="50"/>
        <w:ind w:left="142"/>
        <w:jc w:val="left"/>
        <w:rPr>
          <w:rFonts w:ascii="宋体" w:hAnsi="宋体"/>
          <w:b/>
          <w:color w:val="000000"/>
          <w:sz w:val="24"/>
          <w:highlight w:val="none"/>
        </w:rPr>
      </w:pPr>
      <w:r>
        <w:rPr>
          <w:rFonts w:ascii="宋体" w:hAnsi="宋体"/>
          <w:b/>
          <w:color w:val="000000"/>
          <w:sz w:val="24"/>
          <w:highlight w:val="none"/>
        </w:rPr>
        <w:br w:type="page"/>
      </w:r>
      <w:r>
        <w:rPr>
          <w:rFonts w:hint="eastAsia" w:ascii="宋体" w:hAnsi="宋体"/>
          <w:b/>
          <w:color w:val="000000"/>
          <w:sz w:val="24"/>
          <w:highlight w:val="none"/>
        </w:rPr>
        <w:t>3. 投标函格式：</w:t>
      </w:r>
    </w:p>
    <w:p w14:paraId="7C6098B6">
      <w:pPr>
        <w:snapToGrid w:val="0"/>
        <w:spacing w:before="120" w:beforeLines="50" w:after="50" w:line="360" w:lineRule="auto"/>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投 标 函</w:t>
      </w:r>
    </w:p>
    <w:p w14:paraId="36396762">
      <w:pPr>
        <w:snapToGrid w:val="0"/>
        <w:spacing w:before="120" w:beforeLines="50" w:after="50" w:line="320" w:lineRule="exact"/>
        <w:jc w:val="center"/>
        <w:rPr>
          <w:rFonts w:ascii="宋体" w:hAnsi="宋体"/>
          <w:b/>
          <w:color w:val="000000"/>
          <w:sz w:val="32"/>
          <w:szCs w:val="32"/>
          <w:highlight w:val="none"/>
        </w:rPr>
      </w:pPr>
    </w:p>
    <w:p w14:paraId="04825BBF">
      <w:pPr>
        <w:spacing w:line="360" w:lineRule="exact"/>
        <w:contextualSpacing/>
        <w:rPr>
          <w:rFonts w:ascii="宋体" w:hAnsi="宋体"/>
          <w:color w:val="000000"/>
          <w:szCs w:val="21"/>
          <w:highlight w:val="none"/>
        </w:rPr>
      </w:pPr>
      <w:r>
        <w:rPr>
          <w:rFonts w:hint="eastAsia" w:ascii="宋体" w:hAnsi="宋体"/>
          <w:color w:val="000000"/>
          <w:szCs w:val="21"/>
          <w:highlight w:val="none"/>
        </w:rPr>
        <w:t>致：</w:t>
      </w:r>
      <w:r>
        <w:rPr>
          <w:rFonts w:hint="eastAsia" w:ascii="宋体" w:hAnsi="宋体"/>
          <w:color w:val="000000"/>
          <w:szCs w:val="21"/>
          <w:highlight w:val="none"/>
          <w:u w:val="single"/>
        </w:rPr>
        <w:t>采购人名称</w:t>
      </w:r>
      <w:r>
        <w:rPr>
          <w:rFonts w:hint="eastAsia" w:ascii="宋体" w:hAnsi="宋体"/>
          <w:color w:val="000000"/>
          <w:szCs w:val="21"/>
          <w:highlight w:val="none"/>
        </w:rPr>
        <w:t>：</w:t>
      </w:r>
    </w:p>
    <w:p w14:paraId="2789C14A">
      <w:pPr>
        <w:spacing w:line="360" w:lineRule="exact"/>
        <w:ind w:firstLine="480"/>
        <w:contextualSpacing/>
        <w:rPr>
          <w:rFonts w:ascii="宋体" w:hAnsi="宋体"/>
          <w:color w:val="000000"/>
          <w:szCs w:val="21"/>
          <w:highlight w:val="none"/>
        </w:rPr>
      </w:pPr>
      <w:r>
        <w:rPr>
          <w:rFonts w:hint="eastAsia" w:ascii="宋体" w:hAnsi="宋体"/>
          <w:color w:val="000000"/>
          <w:szCs w:val="21"/>
          <w:highlight w:val="none"/>
        </w:rPr>
        <w:t>根据贵方</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（项目编号：</w:t>
      </w:r>
      <w:r>
        <w:rPr>
          <w:rFonts w:hint="eastAsia" w:ascii="宋体" w:hAnsi="宋体"/>
          <w:color w:val="000000"/>
          <w:szCs w:val="21"/>
          <w:highlight w:val="none"/>
          <w:u w:val="single"/>
        </w:rPr>
        <w:t xml:space="preserve">        </w:t>
      </w:r>
      <w:r>
        <w:rPr>
          <w:rFonts w:hint="eastAsia" w:ascii="宋体" w:hAnsi="宋体"/>
          <w:color w:val="000000"/>
          <w:szCs w:val="21"/>
          <w:highlight w:val="none"/>
        </w:rPr>
        <w:t>）的招标公告，签字代表______</w:t>
      </w:r>
      <w:r>
        <w:rPr>
          <w:rFonts w:hint="eastAsia" w:ascii="宋体" w:hAnsi="宋体"/>
          <w:color w:val="000000"/>
          <w:szCs w:val="21"/>
          <w:highlight w:val="none"/>
          <w:u w:val="single"/>
        </w:rPr>
        <w:t xml:space="preserve">     </w:t>
      </w:r>
      <w:r>
        <w:rPr>
          <w:rFonts w:hint="eastAsia" w:ascii="宋体" w:hAnsi="宋体"/>
          <w:color w:val="000000"/>
          <w:szCs w:val="21"/>
          <w:highlight w:val="none"/>
        </w:rPr>
        <w:t>（姓名）经正式授权并代表投标人</w:t>
      </w:r>
      <w:r>
        <w:rPr>
          <w:rFonts w:hint="eastAsia" w:ascii="宋体" w:hAnsi="宋体"/>
          <w:color w:val="000000"/>
          <w:szCs w:val="21"/>
          <w:highlight w:val="none"/>
          <w:u w:val="single"/>
        </w:rPr>
        <w:t xml:space="preserve">                 </w:t>
      </w:r>
      <w:r>
        <w:rPr>
          <w:rFonts w:hint="eastAsia" w:ascii="宋体" w:hAnsi="宋体"/>
          <w:color w:val="000000"/>
          <w:szCs w:val="21"/>
          <w:highlight w:val="none"/>
        </w:rPr>
        <w:t>（投标人名称）提交投标文件。</w:t>
      </w:r>
    </w:p>
    <w:p w14:paraId="650661F5">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据此函，我方宣布同意如下：</w:t>
      </w:r>
    </w:p>
    <w:p w14:paraId="5E3CEBB2">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0D5FFB58">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2.我方在投标之前已经完全理解并接受招标文件的各项规定和要求，对招标文件的合理性、合法性不再有异议。</w:t>
      </w:r>
    </w:p>
    <w:p w14:paraId="554FBB6B">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3.本投标有效期自投标截止之日起</w:t>
      </w:r>
      <w:r>
        <w:rPr>
          <w:rFonts w:ascii="宋体" w:hAnsi="宋体"/>
          <w:color w:val="000000"/>
          <w:szCs w:val="21"/>
          <w:highlight w:val="none"/>
          <w:u w:val="single"/>
        </w:rPr>
        <w:t xml:space="preserve">    </w:t>
      </w:r>
      <w:r>
        <w:rPr>
          <w:rFonts w:hint="eastAsia" w:ascii="宋体" w:hAnsi="宋体"/>
          <w:color w:val="000000"/>
          <w:szCs w:val="21"/>
          <w:highlight w:val="none"/>
        </w:rPr>
        <w:t>日。</w:t>
      </w:r>
    </w:p>
    <w:p w14:paraId="5ACA5040">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4.如中标，本投标文件至本项目合同履行完毕止均保持有效，我方将按“招标文件”及政府采购法律、法规的规定履行合同责任和义务。</w:t>
      </w:r>
    </w:p>
    <w:p w14:paraId="383C112A">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5.我方同意按照贵方要求提供与投标有关的一切数据或者资料。</w:t>
      </w:r>
    </w:p>
    <w:p w14:paraId="1E300AFF">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6.我方向贵方提交的所有投标文件、资料都是准确的和真实的。</w:t>
      </w:r>
    </w:p>
    <w:p w14:paraId="479A250C">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7.以上事项如有虚假或者隐瞒，我方愿意承担一切后果，并不再寻求任何旨在减轻或者免除法律责任的辩解。</w:t>
      </w:r>
    </w:p>
    <w:p w14:paraId="0F7E856C">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8.根据</w:t>
      </w:r>
      <w:r>
        <w:rPr>
          <w:rFonts w:ascii="宋体" w:hAnsi="宋体"/>
          <w:color w:val="000000"/>
          <w:szCs w:val="21"/>
          <w:highlight w:val="none"/>
        </w:rPr>
        <w:t>《中华人民共和国政府采购法实施条例》第五十条要求对政府采购合同进行公告</w:t>
      </w:r>
      <w:r>
        <w:rPr>
          <w:rFonts w:hint="eastAsia" w:ascii="宋体" w:hAnsi="宋体"/>
          <w:color w:val="000000"/>
          <w:szCs w:val="21"/>
          <w:highlight w:val="none"/>
        </w:rPr>
        <w:t>，</w:t>
      </w:r>
      <w:r>
        <w:rPr>
          <w:rFonts w:ascii="宋体" w:hAnsi="宋体"/>
          <w:color w:val="000000"/>
          <w:szCs w:val="21"/>
          <w:highlight w:val="none"/>
        </w:rPr>
        <w:t>但政府采购合同中涉及国家秘密、商业秘密的内容除外。</w:t>
      </w:r>
      <w:r>
        <w:rPr>
          <w:rFonts w:hint="eastAsia" w:ascii="宋体" w:hAnsi="宋体"/>
          <w:color w:val="000000"/>
          <w:szCs w:val="21"/>
          <w:highlight w:val="none"/>
        </w:rPr>
        <w:t>我方就对本次投标文件进行注明如下：（两项内容中必须选择一项）</w:t>
      </w:r>
    </w:p>
    <w:p w14:paraId="3CAB58C7">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□我方本次投标文件</w:t>
      </w:r>
      <w:r>
        <w:rPr>
          <w:rFonts w:ascii="宋体" w:hAnsi="宋体" w:cs="宋体"/>
          <w:color w:val="000000"/>
          <w:kern w:val="0"/>
          <w:szCs w:val="21"/>
          <w:highlight w:val="none"/>
        </w:rPr>
        <w:t>内容中</w:t>
      </w:r>
      <w:r>
        <w:rPr>
          <w:rFonts w:hint="eastAsia" w:ascii="宋体" w:hAnsi="宋体"/>
          <w:color w:val="000000"/>
          <w:szCs w:val="21"/>
          <w:highlight w:val="none"/>
        </w:rPr>
        <w:t>未</w:t>
      </w:r>
      <w:r>
        <w:rPr>
          <w:rFonts w:ascii="宋体" w:hAnsi="宋体" w:cs="宋体"/>
          <w:color w:val="000000"/>
          <w:kern w:val="0"/>
          <w:szCs w:val="21"/>
          <w:highlight w:val="none"/>
        </w:rPr>
        <w:t>涉及商业秘密</w:t>
      </w:r>
      <w:r>
        <w:rPr>
          <w:rFonts w:hint="eastAsia" w:ascii="宋体" w:hAnsi="宋体" w:cs="宋体"/>
          <w:color w:val="000000"/>
          <w:kern w:val="0"/>
          <w:szCs w:val="21"/>
          <w:highlight w:val="none"/>
        </w:rPr>
        <w:t>；</w:t>
      </w:r>
    </w:p>
    <w:p w14:paraId="3AF13748">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□我方本次投标文件</w:t>
      </w:r>
      <w:r>
        <w:rPr>
          <w:rFonts w:ascii="宋体" w:hAnsi="宋体" w:cs="宋体"/>
          <w:color w:val="000000"/>
          <w:kern w:val="0"/>
          <w:szCs w:val="21"/>
          <w:highlight w:val="none"/>
        </w:rPr>
        <w:t>涉及商业秘密</w:t>
      </w:r>
      <w:r>
        <w:rPr>
          <w:rFonts w:hint="eastAsia" w:ascii="宋体" w:hAnsi="宋体" w:cs="宋体"/>
          <w:color w:val="000000"/>
          <w:kern w:val="0"/>
          <w:szCs w:val="21"/>
          <w:highlight w:val="none"/>
        </w:rPr>
        <w:t>的</w:t>
      </w:r>
      <w:r>
        <w:rPr>
          <w:rFonts w:ascii="宋体" w:hAnsi="宋体" w:cs="宋体"/>
          <w:color w:val="000000"/>
          <w:kern w:val="0"/>
          <w:szCs w:val="21"/>
          <w:highlight w:val="none"/>
        </w:rPr>
        <w:t>内容</w:t>
      </w:r>
      <w:r>
        <w:rPr>
          <w:rFonts w:hint="eastAsia" w:ascii="宋体" w:hAnsi="宋体" w:cs="宋体"/>
          <w:color w:val="000000"/>
          <w:kern w:val="0"/>
          <w:szCs w:val="21"/>
          <w:highlight w:val="none"/>
        </w:rPr>
        <w:t>有：</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09CE1BF3">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9.与本投标有关的一切正式往来信函请寄：</w:t>
      </w:r>
    </w:p>
    <w:p w14:paraId="7993A286">
      <w:pPr>
        <w:spacing w:line="360" w:lineRule="exact"/>
        <w:ind w:firstLine="420" w:firstLineChars="200"/>
        <w:contextualSpacing/>
        <w:rPr>
          <w:rFonts w:ascii="宋体" w:hAnsi="宋体"/>
          <w:color w:val="000000"/>
          <w:szCs w:val="21"/>
          <w:highlight w:val="none"/>
          <w:u w:val="single"/>
        </w:rPr>
      </w:pPr>
      <w:r>
        <w:rPr>
          <w:rFonts w:hint="eastAsia" w:ascii="宋体" w:hAnsi="宋体"/>
          <w:color w:val="000000"/>
          <w:szCs w:val="21"/>
          <w:highlight w:val="none"/>
        </w:rPr>
        <w:t>地址：</w:t>
      </w:r>
      <w:r>
        <w:rPr>
          <w:rFonts w:hint="eastAsia" w:ascii="宋体" w:hAnsi="宋体"/>
          <w:color w:val="000000"/>
          <w:szCs w:val="21"/>
          <w:highlight w:val="none"/>
          <w:u w:val="single"/>
        </w:rPr>
        <w:t xml:space="preserve">          </w:t>
      </w:r>
      <w:r>
        <w:rPr>
          <w:rFonts w:hint="eastAsia" w:ascii="宋体" w:hAnsi="宋体"/>
          <w:color w:val="000000"/>
          <w:szCs w:val="21"/>
          <w:highlight w:val="none"/>
        </w:rPr>
        <w:t>邮编：</w:t>
      </w:r>
      <w:r>
        <w:rPr>
          <w:rFonts w:hint="eastAsia" w:ascii="宋体" w:hAnsi="宋体"/>
          <w:color w:val="000000"/>
          <w:szCs w:val="21"/>
          <w:highlight w:val="none"/>
          <w:u w:val="single"/>
        </w:rPr>
        <w:t xml:space="preserve">            </w:t>
      </w:r>
    </w:p>
    <w:p w14:paraId="0398C7BF">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电话：</w:t>
      </w:r>
      <w:r>
        <w:rPr>
          <w:rFonts w:hint="eastAsia" w:ascii="宋体" w:hAnsi="宋体"/>
          <w:color w:val="000000"/>
          <w:szCs w:val="21"/>
          <w:highlight w:val="none"/>
          <w:u w:val="single"/>
        </w:rPr>
        <w:t xml:space="preserve">        </w:t>
      </w:r>
      <w:r>
        <w:rPr>
          <w:rFonts w:hint="eastAsia" w:ascii="宋体" w:hAnsi="宋体"/>
          <w:color w:val="000000"/>
          <w:szCs w:val="21"/>
          <w:highlight w:val="none"/>
        </w:rPr>
        <w:t>传真：</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邮箱：</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p>
    <w:p w14:paraId="22AC0B7E">
      <w:pPr>
        <w:spacing w:line="360" w:lineRule="exact"/>
        <w:ind w:firstLine="420" w:firstLineChars="200"/>
        <w:contextualSpacing/>
        <w:rPr>
          <w:rFonts w:ascii="宋体" w:hAnsi="宋体"/>
          <w:color w:val="000000"/>
          <w:szCs w:val="21"/>
          <w:highlight w:val="none"/>
        </w:rPr>
      </w:pPr>
      <w:r>
        <w:rPr>
          <w:rFonts w:hint="eastAsia" w:ascii="宋体" w:hAnsi="宋体"/>
          <w:color w:val="000000"/>
          <w:szCs w:val="21"/>
          <w:highlight w:val="none"/>
        </w:rPr>
        <w:t>投标人名称:</w:t>
      </w:r>
      <w:r>
        <w:rPr>
          <w:rFonts w:hint="eastAsia" w:ascii="宋体" w:hAnsi="宋体"/>
          <w:color w:val="000000"/>
          <w:szCs w:val="21"/>
          <w:highlight w:val="none"/>
          <w:u w:val="single"/>
        </w:rPr>
        <w:t xml:space="preserve">                </w:t>
      </w:r>
    </w:p>
    <w:p w14:paraId="162E245B">
      <w:pPr>
        <w:spacing w:line="36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开户银行：</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银行</w:t>
      </w:r>
      <w:r>
        <w:rPr>
          <w:rFonts w:hint="eastAsia" w:ascii="宋体" w:hAnsi="宋体"/>
          <w:color w:val="000000"/>
          <w:szCs w:val="21"/>
          <w:highlight w:val="none"/>
          <w:lang w:eastAsia="zh-CN"/>
        </w:rPr>
        <w:t>账</w:t>
      </w:r>
      <w:r>
        <w:rPr>
          <w:rFonts w:hint="eastAsia" w:ascii="宋体" w:hAnsi="宋体"/>
          <w:color w:val="000000"/>
          <w:szCs w:val="21"/>
          <w:highlight w:val="none"/>
        </w:rPr>
        <w:t>号：</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0AB68155">
      <w:pPr>
        <w:spacing w:line="36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 xml:space="preserve">法定代表人（或负责人）或者委托代理人（签字或电子签名）:___________ </w:t>
      </w:r>
    </w:p>
    <w:p w14:paraId="31FB30D0">
      <w:pPr>
        <w:pStyle w:val="25"/>
        <w:spacing w:line="360" w:lineRule="exact"/>
        <w:contextualSpacing/>
        <w:jc w:val="center"/>
        <w:rPr>
          <w:rFonts w:hAnsi="宋体"/>
          <w:color w:val="000000"/>
          <w:sz w:val="21"/>
          <w:highlight w:val="none"/>
        </w:rPr>
      </w:pPr>
      <w:r>
        <w:rPr>
          <w:rFonts w:hint="eastAsia" w:hAnsi="宋体"/>
          <w:color w:val="000000"/>
          <w:sz w:val="21"/>
          <w:highlight w:val="none"/>
        </w:rPr>
        <w:t xml:space="preserve"> </w:t>
      </w:r>
      <w:r>
        <w:rPr>
          <w:rFonts w:hAnsi="宋体"/>
          <w:color w:val="000000"/>
          <w:sz w:val="21"/>
          <w:highlight w:val="none"/>
        </w:rPr>
        <w:t xml:space="preserve">                                   </w:t>
      </w:r>
    </w:p>
    <w:p w14:paraId="7007D934">
      <w:pPr>
        <w:pStyle w:val="25"/>
        <w:spacing w:line="360" w:lineRule="exact"/>
        <w:contextualSpacing/>
        <w:jc w:val="center"/>
        <w:rPr>
          <w:rFonts w:hAnsi="宋体"/>
          <w:color w:val="000000"/>
          <w:sz w:val="21"/>
          <w:highlight w:val="none"/>
        </w:rPr>
      </w:pPr>
    </w:p>
    <w:p w14:paraId="507B2C8A">
      <w:pPr>
        <w:pStyle w:val="25"/>
        <w:spacing w:line="360" w:lineRule="exact"/>
        <w:contextualSpacing/>
        <w:jc w:val="center"/>
        <w:rPr>
          <w:rFonts w:hAnsi="宋体"/>
          <w:color w:val="000000"/>
          <w:sz w:val="21"/>
          <w:highlight w:val="none"/>
          <w:u w:val="single"/>
        </w:rPr>
      </w:pPr>
      <w:r>
        <w:rPr>
          <w:rFonts w:hint="eastAsia" w:hAnsi="宋体"/>
          <w:color w:val="000000"/>
          <w:sz w:val="21"/>
          <w:highlight w:val="none"/>
        </w:rPr>
        <w:t>投标人名称（电子签章）：</w:t>
      </w:r>
    </w:p>
    <w:p w14:paraId="4C809722">
      <w:pPr>
        <w:pStyle w:val="25"/>
        <w:spacing w:line="360" w:lineRule="exact"/>
        <w:contextualSpacing/>
        <w:rPr>
          <w:rFonts w:hAnsi="宋体"/>
          <w:color w:val="000000"/>
          <w:sz w:val="21"/>
          <w:highlight w:val="none"/>
        </w:rPr>
      </w:pPr>
      <w:r>
        <w:rPr>
          <w:rFonts w:hint="eastAsia" w:hAnsi="宋体"/>
          <w:color w:val="000000"/>
          <w:sz w:val="21"/>
          <w:highlight w:val="none"/>
        </w:rPr>
        <w:t xml:space="preserve">                                                </w:t>
      </w:r>
      <w:r>
        <w:rPr>
          <w:rFonts w:hint="eastAsia" w:hAnsi="宋体"/>
          <w:color w:val="000000"/>
          <w:sz w:val="21"/>
          <w:highlight w:val="none"/>
          <w:u w:val="single"/>
        </w:rPr>
        <w:t xml:space="preserve">      </w:t>
      </w:r>
      <w:r>
        <w:rPr>
          <w:rFonts w:hint="eastAsia" w:hAnsi="宋体"/>
          <w:color w:val="000000"/>
          <w:sz w:val="21"/>
          <w:highlight w:val="none"/>
        </w:rPr>
        <w:t>年</w:t>
      </w:r>
      <w:r>
        <w:rPr>
          <w:rFonts w:hint="eastAsia" w:hAnsi="宋体"/>
          <w:color w:val="000000"/>
          <w:sz w:val="21"/>
          <w:highlight w:val="none"/>
          <w:u w:val="single"/>
        </w:rPr>
        <w:t xml:space="preserve">    </w:t>
      </w:r>
      <w:r>
        <w:rPr>
          <w:rFonts w:hint="eastAsia" w:hAnsi="宋体"/>
          <w:color w:val="000000"/>
          <w:sz w:val="21"/>
          <w:highlight w:val="none"/>
        </w:rPr>
        <w:t>月</w:t>
      </w:r>
      <w:r>
        <w:rPr>
          <w:rFonts w:hint="eastAsia" w:hAnsi="宋体"/>
          <w:color w:val="000000"/>
          <w:sz w:val="21"/>
          <w:highlight w:val="none"/>
          <w:u w:val="single"/>
        </w:rPr>
        <w:t xml:space="preserve">     </w:t>
      </w:r>
      <w:r>
        <w:rPr>
          <w:rFonts w:hint="eastAsia" w:hAnsi="宋体"/>
          <w:color w:val="000000"/>
          <w:sz w:val="21"/>
          <w:highlight w:val="none"/>
        </w:rPr>
        <w:t>日</w:t>
      </w:r>
    </w:p>
    <w:p w14:paraId="30C131DE">
      <w:pPr>
        <w:snapToGrid w:val="0"/>
        <w:spacing w:before="120" w:beforeLines="50" w:after="50"/>
        <w:jc w:val="left"/>
        <w:rPr>
          <w:rFonts w:ascii="宋体" w:hAnsi="宋体"/>
          <w:b/>
          <w:color w:val="000000"/>
          <w:sz w:val="24"/>
          <w:szCs w:val="20"/>
          <w:highlight w:val="none"/>
        </w:rPr>
      </w:pPr>
      <w:r>
        <w:rPr>
          <w:rFonts w:hAnsi="宋体"/>
          <w:color w:val="000000"/>
          <w:highlight w:val="none"/>
          <w:u w:val="single"/>
        </w:rPr>
        <w:br w:type="page"/>
      </w:r>
      <w:r>
        <w:rPr>
          <w:rFonts w:hint="eastAsia" w:ascii="宋体" w:hAnsi="宋体"/>
          <w:b/>
          <w:color w:val="000000"/>
          <w:sz w:val="24"/>
          <w:highlight w:val="none"/>
        </w:rPr>
        <w:t>4. 开标一览表（货物类格式）</w:t>
      </w:r>
    </w:p>
    <w:p w14:paraId="5778A567">
      <w:pPr>
        <w:snapToGrid w:val="0"/>
        <w:spacing w:before="50" w:after="50"/>
        <w:jc w:val="center"/>
        <w:rPr>
          <w:rFonts w:ascii="宋体" w:hAnsi="宋体"/>
          <w:b/>
          <w:color w:val="000000"/>
          <w:sz w:val="30"/>
          <w:highlight w:val="none"/>
        </w:rPr>
      </w:pPr>
      <w:r>
        <w:rPr>
          <w:rFonts w:hint="eastAsia" w:ascii="宋体" w:hAnsi="宋体"/>
          <w:b/>
          <w:color w:val="000000"/>
          <w:sz w:val="30"/>
          <w:highlight w:val="none"/>
        </w:rPr>
        <w:t>开标一览表</w:t>
      </w:r>
    </w:p>
    <w:p w14:paraId="76360B6E">
      <w:pPr>
        <w:snapToGrid w:val="0"/>
        <w:spacing w:before="50" w:after="50"/>
        <w:jc w:val="center"/>
        <w:rPr>
          <w:rFonts w:ascii="宋体" w:hAnsi="宋体"/>
          <w:b/>
          <w:color w:val="000000"/>
          <w:sz w:val="30"/>
          <w:szCs w:val="20"/>
          <w:highlight w:val="none"/>
        </w:rPr>
      </w:pPr>
    </w:p>
    <w:p w14:paraId="2DCC03F5">
      <w:pPr>
        <w:snapToGrid w:val="0"/>
        <w:spacing w:before="50" w:after="50" w:line="360" w:lineRule="auto"/>
        <w:rPr>
          <w:rFonts w:ascii="宋体" w:hAnsi="宋体"/>
          <w:color w:val="000000"/>
          <w:szCs w:val="21"/>
          <w:highlight w:val="none"/>
          <w:u w:val="single"/>
        </w:rPr>
      </w:pPr>
      <w:r>
        <w:rPr>
          <w:rFonts w:hint="eastAsia" w:ascii="宋体" w:hAnsi="宋体"/>
          <w:color w:val="000000"/>
          <w:szCs w:val="21"/>
          <w:highlight w:val="none"/>
        </w:rPr>
        <w:t>项目名称：</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ascii="宋体" w:hAnsi="宋体"/>
          <w:color w:val="000000"/>
          <w:szCs w:val="21"/>
          <w:highlight w:val="none"/>
        </w:rPr>
        <w:t xml:space="preserve">         </w:t>
      </w:r>
      <w:r>
        <w:rPr>
          <w:rFonts w:hint="eastAsia" w:ascii="宋体" w:hAnsi="宋体"/>
          <w:color w:val="000000"/>
          <w:szCs w:val="21"/>
          <w:highlight w:val="none"/>
        </w:rPr>
        <w:t>项目编号：</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分标：</w:t>
      </w:r>
      <w:r>
        <w:rPr>
          <w:rFonts w:hint="eastAsia" w:ascii="宋体" w:hAnsi="宋体"/>
          <w:color w:val="000000"/>
          <w:szCs w:val="21"/>
          <w:highlight w:val="none"/>
          <w:u w:val="single"/>
        </w:rPr>
        <w:t xml:space="preserve">           </w:t>
      </w:r>
    </w:p>
    <w:p w14:paraId="22F4D828">
      <w:pPr>
        <w:snapToGrid w:val="0"/>
        <w:spacing w:before="50" w:after="50" w:line="360" w:lineRule="auto"/>
        <w:rPr>
          <w:rFonts w:ascii="宋体" w:hAnsi="宋体"/>
          <w:color w:val="000000"/>
          <w:szCs w:val="21"/>
          <w:highlight w:val="none"/>
        </w:rPr>
      </w:pPr>
      <w:r>
        <w:rPr>
          <w:rFonts w:hint="eastAsia" w:ascii="宋体" w:hAnsi="宋体"/>
          <w:color w:val="000000"/>
          <w:szCs w:val="21"/>
          <w:highlight w:val="none"/>
        </w:rPr>
        <w:t>投标人名称：</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单位：元</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8"/>
        <w:gridCol w:w="1111"/>
        <w:gridCol w:w="994"/>
        <w:gridCol w:w="849"/>
        <w:gridCol w:w="710"/>
        <w:gridCol w:w="851"/>
        <w:gridCol w:w="992"/>
        <w:gridCol w:w="992"/>
        <w:gridCol w:w="1523"/>
      </w:tblGrid>
      <w:tr w14:paraId="18A88F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2AC4DBA4">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序号</w:t>
            </w:r>
          </w:p>
        </w:tc>
        <w:tc>
          <w:tcPr>
            <w:tcW w:w="1111" w:type="dxa"/>
            <w:tcBorders>
              <w:top w:val="single" w:color="auto" w:sz="4" w:space="0"/>
              <w:left w:val="single" w:color="auto" w:sz="4" w:space="0"/>
              <w:bottom w:val="single" w:color="auto" w:sz="4" w:space="0"/>
              <w:right w:val="single" w:color="auto" w:sz="4" w:space="0"/>
            </w:tcBorders>
            <w:vAlign w:val="center"/>
          </w:tcPr>
          <w:p w14:paraId="1AF37B18">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标的</w:t>
            </w:r>
          </w:p>
          <w:p w14:paraId="4B6C681D">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名称</w:t>
            </w:r>
          </w:p>
        </w:tc>
        <w:tc>
          <w:tcPr>
            <w:tcW w:w="994" w:type="dxa"/>
            <w:tcBorders>
              <w:top w:val="single" w:color="auto" w:sz="4" w:space="0"/>
              <w:left w:val="single" w:color="auto" w:sz="4" w:space="0"/>
              <w:bottom w:val="single" w:color="auto" w:sz="4" w:space="0"/>
              <w:right w:val="single" w:color="auto" w:sz="4" w:space="0"/>
            </w:tcBorders>
            <w:vAlign w:val="center"/>
          </w:tcPr>
          <w:p w14:paraId="555F4E46">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品牌</w:t>
            </w:r>
          </w:p>
        </w:tc>
        <w:tc>
          <w:tcPr>
            <w:tcW w:w="849" w:type="dxa"/>
            <w:tcBorders>
              <w:top w:val="single" w:color="auto" w:sz="4" w:space="0"/>
              <w:left w:val="single" w:color="auto" w:sz="4" w:space="0"/>
              <w:bottom w:val="single" w:color="auto" w:sz="4" w:space="0"/>
              <w:right w:val="single" w:color="auto" w:sz="4" w:space="0"/>
            </w:tcBorders>
            <w:vAlign w:val="center"/>
          </w:tcPr>
          <w:p w14:paraId="31F4823E">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规格</w:t>
            </w:r>
          </w:p>
          <w:p w14:paraId="4DC8B320">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型号</w:t>
            </w:r>
          </w:p>
        </w:tc>
        <w:tc>
          <w:tcPr>
            <w:tcW w:w="710" w:type="dxa"/>
            <w:tcBorders>
              <w:top w:val="single" w:color="auto" w:sz="4" w:space="0"/>
              <w:left w:val="single" w:color="auto" w:sz="4" w:space="0"/>
              <w:bottom w:val="single" w:color="auto" w:sz="4" w:space="0"/>
              <w:right w:val="single" w:color="auto" w:sz="4" w:space="0"/>
            </w:tcBorders>
            <w:vAlign w:val="center"/>
          </w:tcPr>
          <w:p w14:paraId="6C9528E7">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生产厂家</w:t>
            </w:r>
          </w:p>
        </w:tc>
        <w:tc>
          <w:tcPr>
            <w:tcW w:w="851" w:type="dxa"/>
            <w:tcBorders>
              <w:top w:val="single" w:color="auto" w:sz="4" w:space="0"/>
              <w:left w:val="single" w:color="auto" w:sz="4" w:space="0"/>
              <w:bottom w:val="single" w:color="auto" w:sz="4" w:space="0"/>
              <w:right w:val="single" w:color="auto" w:sz="4" w:space="0"/>
            </w:tcBorders>
            <w:vAlign w:val="center"/>
          </w:tcPr>
          <w:p w14:paraId="36D5B855">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国别</w:t>
            </w:r>
          </w:p>
        </w:tc>
        <w:tc>
          <w:tcPr>
            <w:tcW w:w="992" w:type="dxa"/>
            <w:tcBorders>
              <w:top w:val="single" w:color="auto" w:sz="4" w:space="0"/>
              <w:left w:val="single" w:color="auto" w:sz="4" w:space="0"/>
              <w:bottom w:val="single" w:color="auto" w:sz="4" w:space="0"/>
              <w:right w:val="single" w:color="auto" w:sz="4" w:space="0"/>
            </w:tcBorders>
            <w:vAlign w:val="center"/>
          </w:tcPr>
          <w:p w14:paraId="19E1C429">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数量及单位①</w:t>
            </w:r>
          </w:p>
        </w:tc>
        <w:tc>
          <w:tcPr>
            <w:tcW w:w="992" w:type="dxa"/>
            <w:tcBorders>
              <w:top w:val="single" w:color="auto" w:sz="4" w:space="0"/>
              <w:left w:val="single" w:color="auto" w:sz="4" w:space="0"/>
              <w:bottom w:val="single" w:color="auto" w:sz="4" w:space="0"/>
              <w:right w:val="single" w:color="auto" w:sz="4" w:space="0"/>
            </w:tcBorders>
            <w:vAlign w:val="center"/>
          </w:tcPr>
          <w:p w14:paraId="717A9EE6">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单价</w:t>
            </w:r>
          </w:p>
          <w:p w14:paraId="781B27E0">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②</w:t>
            </w:r>
          </w:p>
        </w:tc>
        <w:tc>
          <w:tcPr>
            <w:tcW w:w="1523" w:type="dxa"/>
            <w:tcBorders>
              <w:top w:val="single" w:color="auto" w:sz="4" w:space="0"/>
              <w:left w:val="single" w:color="auto" w:sz="4" w:space="0"/>
              <w:bottom w:val="single" w:color="auto" w:sz="4" w:space="0"/>
              <w:right w:val="single" w:color="auto" w:sz="4" w:space="0"/>
            </w:tcBorders>
            <w:vAlign w:val="center"/>
          </w:tcPr>
          <w:p w14:paraId="3E8ADED2">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投标报价</w:t>
            </w:r>
          </w:p>
          <w:p w14:paraId="50EDC63F">
            <w:pPr>
              <w:snapToGrid w:val="0"/>
              <w:spacing w:before="50" w:after="50" w:line="360" w:lineRule="auto"/>
              <w:jc w:val="center"/>
              <w:rPr>
                <w:rFonts w:ascii="宋体" w:hAnsi="宋体"/>
                <w:b/>
                <w:color w:val="000000"/>
                <w:szCs w:val="21"/>
                <w:highlight w:val="none"/>
              </w:rPr>
            </w:pPr>
            <w:r>
              <w:rPr>
                <w:rFonts w:ascii="宋体" w:hAnsi="宋体"/>
                <w:b/>
                <w:color w:val="000000"/>
                <w:szCs w:val="21"/>
                <w:highlight w:val="none"/>
              </w:rPr>
              <w:t>③</w:t>
            </w:r>
            <w:r>
              <w:rPr>
                <w:rFonts w:hint="eastAsia" w:ascii="宋体" w:hAnsi="宋体"/>
                <w:b/>
                <w:color w:val="000000"/>
                <w:szCs w:val="21"/>
                <w:highlight w:val="none"/>
              </w:rPr>
              <w:t>=①×②</w:t>
            </w:r>
          </w:p>
        </w:tc>
      </w:tr>
      <w:tr w14:paraId="63B8D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72F79954">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1</w:t>
            </w:r>
          </w:p>
        </w:tc>
        <w:tc>
          <w:tcPr>
            <w:tcW w:w="1111" w:type="dxa"/>
            <w:tcBorders>
              <w:top w:val="single" w:color="auto" w:sz="4" w:space="0"/>
              <w:left w:val="single" w:color="auto" w:sz="4" w:space="0"/>
              <w:bottom w:val="single" w:color="auto" w:sz="4" w:space="0"/>
              <w:right w:val="single" w:color="auto" w:sz="4" w:space="0"/>
            </w:tcBorders>
            <w:vAlign w:val="center"/>
          </w:tcPr>
          <w:p w14:paraId="5AC5BE45">
            <w:pPr>
              <w:snapToGrid w:val="0"/>
              <w:spacing w:before="50" w:after="50" w:line="360" w:lineRule="auto"/>
              <w:jc w:val="center"/>
              <w:rPr>
                <w:rFonts w:ascii="宋体" w:hAnsi="宋体"/>
                <w:b/>
                <w:color w:val="000000"/>
                <w:szCs w:val="21"/>
                <w:highlight w:val="none"/>
              </w:rPr>
            </w:pPr>
          </w:p>
        </w:tc>
        <w:tc>
          <w:tcPr>
            <w:tcW w:w="994" w:type="dxa"/>
            <w:tcBorders>
              <w:top w:val="single" w:color="auto" w:sz="4" w:space="0"/>
              <w:left w:val="single" w:color="auto" w:sz="4" w:space="0"/>
              <w:bottom w:val="single" w:color="auto" w:sz="4" w:space="0"/>
              <w:right w:val="single" w:color="auto" w:sz="4" w:space="0"/>
            </w:tcBorders>
            <w:vAlign w:val="center"/>
          </w:tcPr>
          <w:p w14:paraId="391E15A3">
            <w:pPr>
              <w:snapToGrid w:val="0"/>
              <w:spacing w:before="50" w:after="50" w:line="360" w:lineRule="auto"/>
              <w:rPr>
                <w:rFonts w:ascii="宋体" w:hAnsi="宋体"/>
                <w:color w:val="000000"/>
                <w:szCs w:val="21"/>
                <w:highlight w:val="none"/>
              </w:rPr>
            </w:pPr>
          </w:p>
        </w:tc>
        <w:tc>
          <w:tcPr>
            <w:tcW w:w="849" w:type="dxa"/>
            <w:tcBorders>
              <w:top w:val="single" w:color="auto" w:sz="4" w:space="0"/>
              <w:left w:val="single" w:color="auto" w:sz="4" w:space="0"/>
              <w:bottom w:val="single" w:color="auto" w:sz="4" w:space="0"/>
              <w:right w:val="single" w:color="auto" w:sz="4" w:space="0"/>
            </w:tcBorders>
          </w:tcPr>
          <w:p w14:paraId="0DFDE450">
            <w:pPr>
              <w:snapToGrid w:val="0"/>
              <w:spacing w:before="50" w:after="50" w:line="360" w:lineRule="auto"/>
              <w:rPr>
                <w:rFonts w:ascii="宋体" w:hAnsi="宋体"/>
                <w:color w:val="000000"/>
                <w:szCs w:val="21"/>
                <w:highlight w:val="none"/>
              </w:rPr>
            </w:pPr>
          </w:p>
        </w:tc>
        <w:tc>
          <w:tcPr>
            <w:tcW w:w="710" w:type="dxa"/>
            <w:tcBorders>
              <w:top w:val="single" w:color="auto" w:sz="4" w:space="0"/>
              <w:left w:val="single" w:color="auto" w:sz="4" w:space="0"/>
              <w:bottom w:val="single" w:color="auto" w:sz="4" w:space="0"/>
              <w:right w:val="single" w:color="auto" w:sz="4" w:space="0"/>
            </w:tcBorders>
          </w:tcPr>
          <w:p w14:paraId="465B4937">
            <w:pPr>
              <w:snapToGrid w:val="0"/>
              <w:spacing w:before="50" w:after="50" w:line="360" w:lineRule="auto"/>
              <w:rPr>
                <w:rFonts w:ascii="宋体" w:hAnsi="宋体"/>
                <w:color w:val="000000"/>
                <w:szCs w:val="21"/>
                <w:highlight w:val="none"/>
              </w:rPr>
            </w:pPr>
          </w:p>
        </w:tc>
        <w:tc>
          <w:tcPr>
            <w:tcW w:w="851" w:type="dxa"/>
            <w:tcBorders>
              <w:top w:val="single" w:color="auto" w:sz="4" w:space="0"/>
              <w:left w:val="single" w:color="auto" w:sz="4" w:space="0"/>
              <w:bottom w:val="single" w:color="auto" w:sz="4" w:space="0"/>
              <w:right w:val="single" w:color="auto" w:sz="4" w:space="0"/>
            </w:tcBorders>
          </w:tcPr>
          <w:p w14:paraId="3CA023B7">
            <w:pPr>
              <w:snapToGrid w:val="0"/>
              <w:spacing w:before="50" w:after="50" w:line="360"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2A901FEC">
            <w:pPr>
              <w:snapToGrid w:val="0"/>
              <w:spacing w:before="50" w:after="50" w:line="360"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72EED94F">
            <w:pPr>
              <w:snapToGrid w:val="0"/>
              <w:spacing w:before="50" w:after="50" w:line="360" w:lineRule="auto"/>
              <w:rPr>
                <w:rFonts w:ascii="宋体" w:hAnsi="宋体"/>
                <w:color w:val="000000"/>
                <w:szCs w:val="21"/>
                <w:highlight w:val="none"/>
              </w:rPr>
            </w:pPr>
          </w:p>
        </w:tc>
        <w:tc>
          <w:tcPr>
            <w:tcW w:w="1523" w:type="dxa"/>
            <w:tcBorders>
              <w:top w:val="single" w:color="auto" w:sz="4" w:space="0"/>
              <w:left w:val="single" w:color="auto" w:sz="4" w:space="0"/>
              <w:bottom w:val="single" w:color="auto" w:sz="4" w:space="0"/>
              <w:right w:val="single" w:color="auto" w:sz="4" w:space="0"/>
            </w:tcBorders>
            <w:vAlign w:val="center"/>
          </w:tcPr>
          <w:p w14:paraId="30FC1ED1">
            <w:pPr>
              <w:snapToGrid w:val="0"/>
              <w:spacing w:before="50" w:after="50" w:line="360" w:lineRule="auto"/>
              <w:rPr>
                <w:rFonts w:ascii="宋体" w:hAnsi="宋体"/>
                <w:color w:val="000000"/>
                <w:szCs w:val="21"/>
                <w:highlight w:val="none"/>
              </w:rPr>
            </w:pPr>
          </w:p>
        </w:tc>
      </w:tr>
      <w:tr w14:paraId="15B81A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6535CFEE">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2</w:t>
            </w:r>
          </w:p>
        </w:tc>
        <w:tc>
          <w:tcPr>
            <w:tcW w:w="1111" w:type="dxa"/>
            <w:tcBorders>
              <w:top w:val="single" w:color="auto" w:sz="4" w:space="0"/>
              <w:left w:val="single" w:color="auto" w:sz="4" w:space="0"/>
              <w:bottom w:val="single" w:color="auto" w:sz="4" w:space="0"/>
              <w:right w:val="single" w:color="auto" w:sz="4" w:space="0"/>
            </w:tcBorders>
            <w:vAlign w:val="center"/>
          </w:tcPr>
          <w:p w14:paraId="2A2ECE85">
            <w:pPr>
              <w:snapToGrid w:val="0"/>
              <w:spacing w:before="50" w:after="50" w:line="360" w:lineRule="auto"/>
              <w:jc w:val="center"/>
              <w:rPr>
                <w:rFonts w:ascii="宋体" w:hAnsi="宋体"/>
                <w:b/>
                <w:color w:val="000000"/>
                <w:szCs w:val="21"/>
                <w:highlight w:val="none"/>
              </w:rPr>
            </w:pPr>
          </w:p>
        </w:tc>
        <w:tc>
          <w:tcPr>
            <w:tcW w:w="994" w:type="dxa"/>
            <w:tcBorders>
              <w:top w:val="single" w:color="auto" w:sz="4" w:space="0"/>
              <w:left w:val="single" w:color="auto" w:sz="4" w:space="0"/>
              <w:bottom w:val="single" w:color="auto" w:sz="4" w:space="0"/>
              <w:right w:val="single" w:color="auto" w:sz="4" w:space="0"/>
            </w:tcBorders>
            <w:vAlign w:val="center"/>
          </w:tcPr>
          <w:p w14:paraId="41E1803F">
            <w:pPr>
              <w:snapToGrid w:val="0"/>
              <w:spacing w:before="50" w:after="50" w:line="360" w:lineRule="auto"/>
              <w:rPr>
                <w:rFonts w:ascii="宋体" w:hAnsi="宋体"/>
                <w:color w:val="000000"/>
                <w:szCs w:val="21"/>
                <w:highlight w:val="none"/>
              </w:rPr>
            </w:pPr>
          </w:p>
        </w:tc>
        <w:tc>
          <w:tcPr>
            <w:tcW w:w="849" w:type="dxa"/>
            <w:tcBorders>
              <w:top w:val="single" w:color="auto" w:sz="4" w:space="0"/>
              <w:left w:val="single" w:color="auto" w:sz="4" w:space="0"/>
              <w:bottom w:val="single" w:color="auto" w:sz="4" w:space="0"/>
              <w:right w:val="single" w:color="auto" w:sz="4" w:space="0"/>
            </w:tcBorders>
          </w:tcPr>
          <w:p w14:paraId="6915500B">
            <w:pPr>
              <w:snapToGrid w:val="0"/>
              <w:spacing w:before="50" w:after="50" w:line="360" w:lineRule="auto"/>
              <w:rPr>
                <w:rFonts w:ascii="宋体" w:hAnsi="宋体"/>
                <w:color w:val="000000"/>
                <w:szCs w:val="21"/>
                <w:highlight w:val="none"/>
              </w:rPr>
            </w:pPr>
          </w:p>
        </w:tc>
        <w:tc>
          <w:tcPr>
            <w:tcW w:w="710" w:type="dxa"/>
            <w:tcBorders>
              <w:top w:val="single" w:color="auto" w:sz="4" w:space="0"/>
              <w:left w:val="single" w:color="auto" w:sz="4" w:space="0"/>
              <w:bottom w:val="single" w:color="auto" w:sz="4" w:space="0"/>
              <w:right w:val="single" w:color="auto" w:sz="4" w:space="0"/>
            </w:tcBorders>
          </w:tcPr>
          <w:p w14:paraId="21362E03">
            <w:pPr>
              <w:snapToGrid w:val="0"/>
              <w:spacing w:before="50" w:after="50" w:line="360" w:lineRule="auto"/>
              <w:rPr>
                <w:rFonts w:ascii="宋体" w:hAnsi="宋体"/>
                <w:color w:val="000000"/>
                <w:szCs w:val="21"/>
                <w:highlight w:val="none"/>
              </w:rPr>
            </w:pPr>
          </w:p>
        </w:tc>
        <w:tc>
          <w:tcPr>
            <w:tcW w:w="851" w:type="dxa"/>
            <w:tcBorders>
              <w:top w:val="single" w:color="auto" w:sz="4" w:space="0"/>
              <w:left w:val="single" w:color="auto" w:sz="4" w:space="0"/>
              <w:bottom w:val="single" w:color="auto" w:sz="4" w:space="0"/>
              <w:right w:val="single" w:color="auto" w:sz="4" w:space="0"/>
            </w:tcBorders>
          </w:tcPr>
          <w:p w14:paraId="15A50D7E">
            <w:pPr>
              <w:snapToGrid w:val="0"/>
              <w:spacing w:before="50" w:after="50" w:line="360"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190DEEA2">
            <w:pPr>
              <w:snapToGrid w:val="0"/>
              <w:spacing w:before="50" w:after="50" w:line="360"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39DAEFCA">
            <w:pPr>
              <w:snapToGrid w:val="0"/>
              <w:spacing w:before="50" w:after="50" w:line="360" w:lineRule="auto"/>
              <w:rPr>
                <w:rFonts w:ascii="宋体" w:hAnsi="宋体"/>
                <w:color w:val="000000"/>
                <w:szCs w:val="21"/>
                <w:highlight w:val="none"/>
              </w:rPr>
            </w:pPr>
          </w:p>
        </w:tc>
        <w:tc>
          <w:tcPr>
            <w:tcW w:w="1523" w:type="dxa"/>
            <w:tcBorders>
              <w:top w:val="single" w:color="auto" w:sz="4" w:space="0"/>
              <w:left w:val="single" w:color="auto" w:sz="4" w:space="0"/>
              <w:bottom w:val="single" w:color="auto" w:sz="4" w:space="0"/>
              <w:right w:val="single" w:color="auto" w:sz="4" w:space="0"/>
            </w:tcBorders>
            <w:vAlign w:val="center"/>
          </w:tcPr>
          <w:p w14:paraId="35032ED2">
            <w:pPr>
              <w:snapToGrid w:val="0"/>
              <w:spacing w:before="50" w:after="50" w:line="360" w:lineRule="auto"/>
              <w:rPr>
                <w:rFonts w:ascii="宋体" w:hAnsi="宋体"/>
                <w:color w:val="000000"/>
                <w:szCs w:val="21"/>
                <w:highlight w:val="none"/>
              </w:rPr>
            </w:pPr>
          </w:p>
        </w:tc>
      </w:tr>
      <w:tr w14:paraId="49F074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14:paraId="1B4F9502">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w:t>
            </w:r>
          </w:p>
        </w:tc>
        <w:tc>
          <w:tcPr>
            <w:tcW w:w="1111" w:type="dxa"/>
            <w:tcBorders>
              <w:top w:val="single" w:color="auto" w:sz="4" w:space="0"/>
              <w:left w:val="single" w:color="auto" w:sz="4" w:space="0"/>
              <w:bottom w:val="single" w:color="auto" w:sz="4" w:space="0"/>
              <w:right w:val="single" w:color="auto" w:sz="4" w:space="0"/>
            </w:tcBorders>
            <w:vAlign w:val="center"/>
          </w:tcPr>
          <w:p w14:paraId="697EC191">
            <w:pPr>
              <w:snapToGrid w:val="0"/>
              <w:spacing w:before="50" w:after="50" w:line="360" w:lineRule="auto"/>
              <w:jc w:val="center"/>
              <w:rPr>
                <w:rFonts w:ascii="宋体" w:hAnsi="宋体"/>
                <w:b/>
                <w:color w:val="000000"/>
                <w:szCs w:val="21"/>
                <w:highlight w:val="none"/>
              </w:rPr>
            </w:pPr>
            <w:r>
              <w:rPr>
                <w:rFonts w:hint="eastAsia" w:ascii="宋体" w:hAnsi="宋体"/>
                <w:b/>
                <w:color w:val="000000"/>
                <w:szCs w:val="21"/>
                <w:highlight w:val="none"/>
              </w:rPr>
              <w:t>……</w:t>
            </w:r>
          </w:p>
        </w:tc>
        <w:tc>
          <w:tcPr>
            <w:tcW w:w="994" w:type="dxa"/>
            <w:tcBorders>
              <w:top w:val="single" w:color="auto" w:sz="4" w:space="0"/>
              <w:left w:val="single" w:color="auto" w:sz="4" w:space="0"/>
              <w:bottom w:val="single" w:color="auto" w:sz="4" w:space="0"/>
              <w:right w:val="single" w:color="auto" w:sz="4" w:space="0"/>
            </w:tcBorders>
            <w:vAlign w:val="center"/>
          </w:tcPr>
          <w:p w14:paraId="2411CD35">
            <w:pPr>
              <w:snapToGrid w:val="0"/>
              <w:spacing w:before="50" w:after="50" w:line="360" w:lineRule="auto"/>
              <w:rPr>
                <w:rFonts w:ascii="宋体" w:hAnsi="宋体"/>
                <w:color w:val="000000"/>
                <w:szCs w:val="21"/>
                <w:highlight w:val="none"/>
              </w:rPr>
            </w:pPr>
          </w:p>
        </w:tc>
        <w:tc>
          <w:tcPr>
            <w:tcW w:w="849" w:type="dxa"/>
            <w:tcBorders>
              <w:top w:val="single" w:color="auto" w:sz="4" w:space="0"/>
              <w:left w:val="single" w:color="auto" w:sz="4" w:space="0"/>
              <w:bottom w:val="single" w:color="auto" w:sz="4" w:space="0"/>
              <w:right w:val="single" w:color="auto" w:sz="4" w:space="0"/>
            </w:tcBorders>
          </w:tcPr>
          <w:p w14:paraId="6D479C91">
            <w:pPr>
              <w:snapToGrid w:val="0"/>
              <w:spacing w:before="50" w:after="50" w:line="360" w:lineRule="auto"/>
              <w:rPr>
                <w:rFonts w:ascii="宋体" w:hAnsi="宋体"/>
                <w:color w:val="000000"/>
                <w:szCs w:val="21"/>
                <w:highlight w:val="none"/>
              </w:rPr>
            </w:pPr>
          </w:p>
        </w:tc>
        <w:tc>
          <w:tcPr>
            <w:tcW w:w="710" w:type="dxa"/>
            <w:tcBorders>
              <w:top w:val="single" w:color="auto" w:sz="4" w:space="0"/>
              <w:left w:val="single" w:color="auto" w:sz="4" w:space="0"/>
              <w:bottom w:val="single" w:color="auto" w:sz="4" w:space="0"/>
              <w:right w:val="single" w:color="auto" w:sz="4" w:space="0"/>
            </w:tcBorders>
          </w:tcPr>
          <w:p w14:paraId="2259C717">
            <w:pPr>
              <w:snapToGrid w:val="0"/>
              <w:spacing w:before="50" w:after="50" w:line="360" w:lineRule="auto"/>
              <w:rPr>
                <w:rFonts w:ascii="宋体" w:hAnsi="宋体"/>
                <w:color w:val="000000"/>
                <w:szCs w:val="21"/>
                <w:highlight w:val="none"/>
              </w:rPr>
            </w:pPr>
          </w:p>
        </w:tc>
        <w:tc>
          <w:tcPr>
            <w:tcW w:w="851" w:type="dxa"/>
            <w:tcBorders>
              <w:top w:val="single" w:color="auto" w:sz="4" w:space="0"/>
              <w:left w:val="single" w:color="auto" w:sz="4" w:space="0"/>
              <w:bottom w:val="single" w:color="auto" w:sz="4" w:space="0"/>
              <w:right w:val="single" w:color="auto" w:sz="4" w:space="0"/>
            </w:tcBorders>
          </w:tcPr>
          <w:p w14:paraId="6EFBE4F7">
            <w:pPr>
              <w:snapToGrid w:val="0"/>
              <w:spacing w:before="50" w:after="50" w:line="360"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6CFC55FA">
            <w:pPr>
              <w:snapToGrid w:val="0"/>
              <w:spacing w:before="50" w:after="50" w:line="360"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39FD7A8B">
            <w:pPr>
              <w:snapToGrid w:val="0"/>
              <w:spacing w:before="50" w:after="50" w:line="360" w:lineRule="auto"/>
              <w:rPr>
                <w:rFonts w:ascii="宋体" w:hAnsi="宋体"/>
                <w:color w:val="000000"/>
                <w:szCs w:val="21"/>
                <w:highlight w:val="none"/>
              </w:rPr>
            </w:pPr>
          </w:p>
        </w:tc>
        <w:tc>
          <w:tcPr>
            <w:tcW w:w="1523" w:type="dxa"/>
            <w:tcBorders>
              <w:top w:val="single" w:color="auto" w:sz="4" w:space="0"/>
              <w:left w:val="single" w:color="auto" w:sz="4" w:space="0"/>
              <w:bottom w:val="single" w:color="auto" w:sz="4" w:space="0"/>
              <w:right w:val="single" w:color="auto" w:sz="4" w:space="0"/>
            </w:tcBorders>
            <w:vAlign w:val="center"/>
          </w:tcPr>
          <w:p w14:paraId="0EF4254F">
            <w:pPr>
              <w:snapToGrid w:val="0"/>
              <w:spacing w:before="50" w:after="50" w:line="360" w:lineRule="auto"/>
              <w:rPr>
                <w:rFonts w:ascii="宋体" w:hAnsi="宋体"/>
                <w:color w:val="000000"/>
                <w:szCs w:val="21"/>
                <w:highlight w:val="none"/>
              </w:rPr>
            </w:pPr>
          </w:p>
        </w:tc>
      </w:tr>
      <w:tr w14:paraId="428AE9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8720" w:type="dxa"/>
            <w:gridSpan w:val="9"/>
            <w:tcBorders>
              <w:top w:val="single" w:color="auto" w:sz="4" w:space="0"/>
              <w:left w:val="single" w:color="auto" w:sz="4" w:space="0"/>
              <w:bottom w:val="single" w:color="auto" w:sz="4" w:space="0"/>
              <w:right w:val="single" w:color="auto" w:sz="4" w:space="0"/>
            </w:tcBorders>
          </w:tcPr>
          <w:p w14:paraId="3537F6B4">
            <w:pPr>
              <w:snapToGrid w:val="0"/>
              <w:spacing w:before="50" w:after="50" w:line="360" w:lineRule="auto"/>
              <w:rPr>
                <w:rFonts w:ascii="宋体" w:hAnsi="宋体"/>
                <w:color w:val="000000"/>
                <w:szCs w:val="21"/>
                <w:highlight w:val="none"/>
              </w:rPr>
            </w:pPr>
            <w:r>
              <w:rPr>
                <w:rFonts w:hint="eastAsia" w:ascii="宋体" w:hAnsi="宋体" w:cs="仿宋_GB2312"/>
                <w:color w:val="000000"/>
                <w:szCs w:val="21"/>
                <w:highlight w:val="none"/>
              </w:rPr>
              <w:t>合计金额大写：人民币</w:t>
            </w:r>
            <w:r>
              <w:rPr>
                <w:rFonts w:hint="eastAsia" w:ascii="宋体" w:hAnsi="宋体" w:cs="仿宋_GB2312"/>
                <w:color w:val="000000"/>
                <w:szCs w:val="21"/>
                <w:highlight w:val="none"/>
                <w:u w:val="single"/>
              </w:rPr>
              <w:t xml:space="preserve">           </w:t>
            </w:r>
            <w:r>
              <w:rPr>
                <w:rFonts w:hint="eastAsia" w:ascii="宋体" w:hAnsi="宋体" w:cs="仿宋_GB2312"/>
                <w:color w:val="000000"/>
                <w:szCs w:val="21"/>
                <w:highlight w:val="none"/>
              </w:rPr>
              <w:t>（￥</w:t>
            </w:r>
            <w:r>
              <w:rPr>
                <w:rFonts w:hint="eastAsia" w:ascii="宋体" w:hAnsi="宋体" w:cs="仿宋_GB2312"/>
                <w:color w:val="000000"/>
                <w:szCs w:val="21"/>
                <w:highlight w:val="none"/>
                <w:u w:val="single"/>
              </w:rPr>
              <w:t xml:space="preserve">           </w:t>
            </w:r>
            <w:r>
              <w:rPr>
                <w:rFonts w:hint="eastAsia" w:ascii="宋体" w:hAnsi="宋体" w:cs="仿宋_GB2312"/>
                <w:color w:val="000000"/>
                <w:szCs w:val="21"/>
                <w:highlight w:val="none"/>
              </w:rPr>
              <w:t>）</w:t>
            </w:r>
          </w:p>
        </w:tc>
      </w:tr>
    </w:tbl>
    <w:p w14:paraId="154E2FCC">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 xml:space="preserve">注: </w:t>
      </w:r>
    </w:p>
    <w:p w14:paraId="6B1E0F5A">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1.投标人的开标一览表必须加盖投标人电子签章并由法定代表人（或负责人）</w:t>
      </w:r>
      <w:r>
        <w:rPr>
          <w:rFonts w:ascii="宋体" w:hAnsi="宋体"/>
          <w:color w:val="000000"/>
          <w:szCs w:val="21"/>
          <w:highlight w:val="none"/>
        </w:rPr>
        <w:t>或者委托代理人</w:t>
      </w:r>
      <w:r>
        <w:rPr>
          <w:rFonts w:hint="eastAsia" w:ascii="宋体" w:hAnsi="宋体"/>
          <w:color w:val="000000"/>
          <w:szCs w:val="21"/>
          <w:highlight w:val="none"/>
        </w:rPr>
        <w:t>（签字或电子签名），</w:t>
      </w:r>
      <w:r>
        <w:rPr>
          <w:rFonts w:hint="eastAsia" w:ascii="宋体" w:hAnsi="宋体"/>
          <w:b/>
          <w:color w:val="000000"/>
          <w:szCs w:val="21"/>
          <w:highlight w:val="none"/>
        </w:rPr>
        <w:t>否则其投标作无效标处理</w:t>
      </w:r>
      <w:r>
        <w:rPr>
          <w:rFonts w:hint="eastAsia" w:ascii="宋体" w:hAnsi="宋体"/>
          <w:color w:val="000000"/>
          <w:szCs w:val="21"/>
          <w:highlight w:val="none"/>
        </w:rPr>
        <w:t>。</w:t>
      </w:r>
    </w:p>
    <w:p w14:paraId="11C90380">
      <w:pPr>
        <w:snapToGrid w:val="0"/>
        <w:spacing w:line="360" w:lineRule="auto"/>
        <w:ind w:firstLine="420" w:firstLineChars="200"/>
        <w:jc w:val="left"/>
        <w:rPr>
          <w:rFonts w:ascii="宋体" w:hAnsi="宋体"/>
          <w:b/>
          <w:color w:val="000000"/>
          <w:szCs w:val="21"/>
          <w:highlight w:val="none"/>
        </w:rPr>
      </w:pPr>
      <w:r>
        <w:rPr>
          <w:rFonts w:hint="eastAsia" w:ascii="宋体" w:hAnsi="宋体"/>
          <w:bCs/>
          <w:color w:val="000000"/>
          <w:szCs w:val="21"/>
          <w:highlight w:val="none"/>
        </w:rPr>
        <w:t>2.</w:t>
      </w:r>
      <w:r>
        <w:rPr>
          <w:rFonts w:hint="eastAsia" w:ascii="宋体" w:hAnsi="宋体"/>
          <w:color w:val="000000"/>
          <w:szCs w:val="21"/>
          <w:highlight w:val="none"/>
        </w:rPr>
        <w:t>报价一经涂改，应在涂改处加盖投标人公章或者由法定代表人（或负责人）或者委托代理人（签字或电子签名）或者盖章</w:t>
      </w:r>
      <w:r>
        <w:rPr>
          <w:rFonts w:hint="eastAsia" w:ascii="宋体" w:hAnsi="宋体"/>
          <w:b/>
          <w:color w:val="000000"/>
          <w:szCs w:val="21"/>
          <w:highlight w:val="none"/>
        </w:rPr>
        <w:t>，否则其投标作无效标处理。</w:t>
      </w:r>
    </w:p>
    <w:p w14:paraId="67631253">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3.招标文件中列明采购专用耗材的，应按招标文件规定的耗材量或者按耗材的常规试用量提供报价。</w:t>
      </w:r>
    </w:p>
    <w:p w14:paraId="04B76758">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4.如为联合体投标，“投标人名称”处必须列明联合体各方名称，并标注联合体牵头人名称，</w:t>
      </w:r>
      <w:r>
        <w:rPr>
          <w:rFonts w:hint="eastAsia" w:ascii="宋体" w:hAnsi="宋体"/>
          <w:b/>
          <w:color w:val="000000"/>
          <w:szCs w:val="21"/>
          <w:highlight w:val="none"/>
        </w:rPr>
        <w:t>否则其投标作无效标处理。</w:t>
      </w:r>
    </w:p>
    <w:p w14:paraId="105DFC22">
      <w:pPr>
        <w:snapToGrid w:val="0"/>
        <w:spacing w:line="360" w:lineRule="auto"/>
        <w:ind w:firstLine="396" w:firstLineChars="200"/>
        <w:jc w:val="left"/>
        <w:rPr>
          <w:rFonts w:ascii="宋体" w:hAnsi="宋体"/>
          <w:color w:val="000000"/>
          <w:spacing w:val="-6"/>
          <w:szCs w:val="21"/>
          <w:highlight w:val="none"/>
        </w:rPr>
      </w:pPr>
      <w:r>
        <w:rPr>
          <w:rFonts w:hint="eastAsia" w:ascii="宋体" w:hAnsi="宋体"/>
          <w:color w:val="000000"/>
          <w:spacing w:val="-6"/>
          <w:szCs w:val="21"/>
          <w:highlight w:val="none"/>
        </w:rPr>
        <w:t>5.如为联合体投标，盖章处须加盖联合体牵头人电子签章，</w:t>
      </w:r>
      <w:r>
        <w:rPr>
          <w:rFonts w:hint="eastAsia" w:ascii="宋体" w:hAnsi="宋体"/>
          <w:b/>
          <w:color w:val="000000"/>
          <w:spacing w:val="-6"/>
          <w:szCs w:val="21"/>
          <w:highlight w:val="none"/>
        </w:rPr>
        <w:t>否则其投标作无效标处理。</w:t>
      </w:r>
    </w:p>
    <w:p w14:paraId="586F3870">
      <w:pPr>
        <w:snapToGrid w:val="0"/>
        <w:spacing w:line="360" w:lineRule="auto"/>
        <w:ind w:firstLine="420" w:firstLineChars="200"/>
        <w:rPr>
          <w:rFonts w:ascii="宋体" w:hAnsi="宋体"/>
          <w:b/>
          <w:color w:val="000000"/>
          <w:szCs w:val="21"/>
          <w:highlight w:val="none"/>
        </w:rPr>
      </w:pPr>
      <w:r>
        <w:rPr>
          <w:rFonts w:hint="eastAsia" w:ascii="宋体" w:hAnsi="宋体"/>
          <w:color w:val="000000"/>
          <w:szCs w:val="21"/>
          <w:highlight w:val="none"/>
        </w:rPr>
        <w:t>6.如有多分标，按分标分别提供开标一览表，</w:t>
      </w:r>
      <w:r>
        <w:rPr>
          <w:rFonts w:hint="eastAsia" w:ascii="宋体" w:hAnsi="宋体"/>
          <w:b/>
          <w:color w:val="000000"/>
          <w:szCs w:val="21"/>
          <w:highlight w:val="none"/>
        </w:rPr>
        <w:t>否则投标无效。</w:t>
      </w:r>
    </w:p>
    <w:p w14:paraId="67516F3A">
      <w:pPr>
        <w:pStyle w:val="19"/>
        <w:rPr>
          <w:color w:val="000000"/>
          <w:sz w:val="21"/>
          <w:szCs w:val="21"/>
          <w:highlight w:val="none"/>
        </w:rPr>
      </w:pPr>
    </w:p>
    <w:p w14:paraId="5CD62BC5">
      <w:pPr>
        <w:snapToGrid w:val="0"/>
        <w:spacing w:line="360" w:lineRule="auto"/>
        <w:ind w:left="-2" w:leftChars="-1" w:right="-817" w:rightChars="-389"/>
        <w:rPr>
          <w:rFonts w:ascii="宋体" w:hAnsi="宋体"/>
          <w:color w:val="000000"/>
          <w:szCs w:val="21"/>
          <w:highlight w:val="none"/>
        </w:rPr>
      </w:pPr>
      <w:r>
        <w:rPr>
          <w:rFonts w:hint="eastAsia" w:ascii="宋体" w:hAnsi="宋体"/>
          <w:color w:val="000000"/>
          <w:szCs w:val="21"/>
          <w:highlight w:val="none"/>
        </w:rPr>
        <w:t xml:space="preserve">法定代表人（或负责人）或者委托代理人（签字或电子签名）： </w:t>
      </w:r>
    </w:p>
    <w:p w14:paraId="0E42B0D2">
      <w:pPr>
        <w:snapToGrid w:val="0"/>
        <w:spacing w:line="360" w:lineRule="auto"/>
        <w:ind w:left="-6" w:leftChars="-15" w:right="-817" w:rightChars="-389" w:hanging="25" w:hangingChars="12"/>
        <w:rPr>
          <w:rFonts w:ascii="宋体" w:hAnsi="宋体"/>
          <w:color w:val="000000"/>
          <w:szCs w:val="21"/>
          <w:highlight w:val="none"/>
        </w:rPr>
      </w:pPr>
      <w:r>
        <w:rPr>
          <w:rFonts w:hint="eastAsia" w:ascii="宋体" w:hAnsi="宋体"/>
          <w:color w:val="000000"/>
          <w:szCs w:val="21"/>
          <w:highlight w:val="none"/>
        </w:rPr>
        <w:t xml:space="preserve">                                  投标人名称（电子签章）：</w:t>
      </w:r>
    </w:p>
    <w:p w14:paraId="4AF6C9F9">
      <w:pPr>
        <w:snapToGrid w:val="0"/>
        <w:spacing w:line="360" w:lineRule="auto"/>
        <w:ind w:left="-6" w:leftChars="-15" w:right="-817" w:rightChars="-389" w:hanging="25" w:hangingChars="12"/>
        <w:rPr>
          <w:rFonts w:ascii="宋体" w:hAnsi="宋体"/>
          <w:color w:val="000000"/>
          <w:szCs w:val="21"/>
          <w:highlight w:val="none"/>
        </w:rPr>
      </w:pPr>
      <w:r>
        <w:rPr>
          <w:rFonts w:hint="eastAsia" w:ascii="宋体" w:hAnsi="宋体"/>
          <w:color w:val="000000"/>
          <w:szCs w:val="21"/>
          <w:highlight w:val="none"/>
        </w:rPr>
        <w:t xml:space="preserve">                                  日期：    年   月   日</w:t>
      </w:r>
    </w:p>
    <w:p w14:paraId="23445176">
      <w:pPr>
        <w:rPr>
          <w:rFonts w:ascii="宋体" w:hAnsi="宋体"/>
          <w:b/>
          <w:bCs/>
          <w:color w:val="000000"/>
          <w:sz w:val="24"/>
          <w:highlight w:val="none"/>
        </w:rPr>
      </w:pPr>
      <w:r>
        <w:rPr>
          <w:rFonts w:ascii="宋体" w:hAnsi="宋体"/>
          <w:b/>
          <w:bCs/>
          <w:color w:val="000000"/>
          <w:sz w:val="24"/>
          <w:highlight w:val="none"/>
        </w:rPr>
        <w:br w:type="page"/>
      </w:r>
    </w:p>
    <w:p w14:paraId="19060A3C">
      <w:pPr>
        <w:snapToGrid w:val="0"/>
        <w:spacing w:before="120" w:beforeLines="50" w:after="50"/>
        <w:jc w:val="left"/>
        <w:rPr>
          <w:rFonts w:ascii="宋体" w:hAnsi="宋体"/>
          <w:b/>
          <w:color w:val="000000"/>
          <w:sz w:val="24"/>
          <w:szCs w:val="20"/>
          <w:highlight w:val="none"/>
        </w:rPr>
      </w:pPr>
      <w:r>
        <w:rPr>
          <w:rFonts w:hint="eastAsia" w:ascii="宋体" w:hAnsi="宋体"/>
          <w:b/>
          <w:color w:val="000000"/>
          <w:sz w:val="24"/>
          <w:highlight w:val="none"/>
        </w:rPr>
        <w:t>开标一览表（</w:t>
      </w:r>
      <w:r>
        <w:rPr>
          <w:rFonts w:hint="eastAsia" w:ascii="宋体" w:hAnsi="宋体"/>
          <w:b/>
          <w:color w:val="000000"/>
          <w:sz w:val="24"/>
          <w:highlight w:val="none"/>
          <w:lang w:eastAsia="zh-CN"/>
        </w:rPr>
        <w:t>服</w:t>
      </w:r>
      <w:r>
        <w:rPr>
          <w:rFonts w:hint="eastAsia" w:ascii="宋体" w:hAnsi="宋体"/>
          <w:b/>
          <w:color w:val="000000"/>
          <w:sz w:val="24"/>
          <w:highlight w:val="none"/>
        </w:rPr>
        <w:t>类格式）</w:t>
      </w:r>
    </w:p>
    <w:p w14:paraId="36FFADDA">
      <w:pPr>
        <w:snapToGrid w:val="0"/>
        <w:spacing w:before="50" w:after="50"/>
        <w:jc w:val="center"/>
        <w:rPr>
          <w:rFonts w:ascii="宋体" w:hAnsi="宋体"/>
          <w:b/>
          <w:color w:val="000000"/>
          <w:sz w:val="30"/>
          <w:highlight w:val="none"/>
        </w:rPr>
      </w:pPr>
      <w:r>
        <w:rPr>
          <w:rFonts w:hint="eastAsia" w:ascii="宋体" w:hAnsi="宋体"/>
          <w:b/>
          <w:color w:val="000000"/>
          <w:sz w:val="30"/>
          <w:highlight w:val="none"/>
        </w:rPr>
        <w:t>开标一览表</w:t>
      </w:r>
    </w:p>
    <w:p w14:paraId="25FDA55F">
      <w:pPr>
        <w:snapToGrid w:val="0"/>
        <w:spacing w:before="50" w:after="50"/>
        <w:jc w:val="center"/>
        <w:rPr>
          <w:rFonts w:ascii="宋体" w:hAnsi="宋体"/>
          <w:b/>
          <w:color w:val="000000"/>
          <w:sz w:val="30"/>
          <w:szCs w:val="20"/>
          <w:highlight w:val="none"/>
        </w:rPr>
      </w:pPr>
    </w:p>
    <w:p w14:paraId="1FA054E1">
      <w:pPr>
        <w:snapToGrid w:val="0"/>
        <w:spacing w:before="50" w:after="50" w:line="360" w:lineRule="auto"/>
        <w:rPr>
          <w:rFonts w:ascii="宋体" w:hAnsi="宋体"/>
          <w:color w:val="000000"/>
          <w:szCs w:val="21"/>
          <w:highlight w:val="none"/>
          <w:u w:val="single"/>
        </w:rPr>
      </w:pPr>
      <w:r>
        <w:rPr>
          <w:rFonts w:hint="eastAsia" w:ascii="宋体" w:hAnsi="宋体"/>
          <w:color w:val="000000"/>
          <w:szCs w:val="21"/>
          <w:highlight w:val="none"/>
        </w:rPr>
        <w:t>项目名称：</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ascii="宋体" w:hAnsi="宋体"/>
          <w:color w:val="000000"/>
          <w:szCs w:val="21"/>
          <w:highlight w:val="none"/>
        </w:rPr>
        <w:t xml:space="preserve">         </w:t>
      </w:r>
      <w:r>
        <w:rPr>
          <w:rFonts w:hint="eastAsia" w:ascii="宋体" w:hAnsi="宋体"/>
          <w:color w:val="000000"/>
          <w:szCs w:val="21"/>
          <w:highlight w:val="none"/>
        </w:rPr>
        <w:t>项目编号：</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分标：</w:t>
      </w:r>
      <w:r>
        <w:rPr>
          <w:rFonts w:hint="eastAsia" w:ascii="宋体" w:hAnsi="宋体"/>
          <w:color w:val="000000"/>
          <w:szCs w:val="21"/>
          <w:highlight w:val="none"/>
          <w:u w:val="single"/>
        </w:rPr>
        <w:t xml:space="preserve">           </w:t>
      </w:r>
    </w:p>
    <w:p w14:paraId="71031544">
      <w:pPr>
        <w:snapToGrid w:val="0"/>
        <w:spacing w:before="50" w:after="50" w:line="360" w:lineRule="auto"/>
        <w:rPr>
          <w:rFonts w:ascii="宋体" w:hAnsi="宋体"/>
          <w:color w:val="000000"/>
          <w:szCs w:val="21"/>
          <w:highlight w:val="none"/>
        </w:rPr>
      </w:pPr>
      <w:r>
        <w:rPr>
          <w:rFonts w:hint="eastAsia" w:ascii="宋体" w:hAnsi="宋体"/>
          <w:color w:val="000000"/>
          <w:szCs w:val="21"/>
          <w:highlight w:val="none"/>
        </w:rPr>
        <w:t>投标人名称：</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单位：元</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701"/>
        <w:gridCol w:w="1764"/>
        <w:gridCol w:w="1965"/>
        <w:gridCol w:w="1941"/>
        <w:gridCol w:w="709"/>
      </w:tblGrid>
      <w:tr w14:paraId="6AF5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55851D41">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b/>
                <w:bCs/>
                <w:color w:val="auto"/>
                <w:sz w:val="21"/>
                <w:szCs w:val="21"/>
                <w:highlight w:val="none"/>
              </w:rPr>
            </w:pPr>
            <w:r>
              <w:rPr>
                <w:rFonts w:ascii="宋体" w:hAnsi="宋体" w:cs="仿宋_GB2312"/>
                <w:b/>
                <w:bCs/>
                <w:color w:val="auto"/>
                <w:sz w:val="21"/>
                <w:szCs w:val="21"/>
                <w:highlight w:val="none"/>
              </w:rPr>
              <w:t>序号</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B75C810">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b/>
                <w:bCs/>
                <w:color w:val="auto"/>
                <w:sz w:val="21"/>
                <w:szCs w:val="21"/>
                <w:highlight w:val="none"/>
              </w:rPr>
            </w:pPr>
            <w:r>
              <w:rPr>
                <w:rFonts w:hint="eastAsia" w:ascii="宋体" w:hAnsi="宋体"/>
                <w:b/>
                <w:bCs/>
                <w:color w:val="auto"/>
                <w:sz w:val="21"/>
                <w:szCs w:val="21"/>
                <w:highlight w:val="none"/>
              </w:rPr>
              <w:t>标的名称</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477A2D87">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b/>
                <w:bCs/>
                <w:color w:val="auto"/>
                <w:sz w:val="21"/>
                <w:szCs w:val="21"/>
                <w:highlight w:val="none"/>
              </w:rPr>
            </w:pPr>
            <w:r>
              <w:rPr>
                <w:rFonts w:hint="eastAsia" w:ascii="宋体" w:hAnsi="宋体" w:cs="仿宋_GB2312"/>
                <w:b/>
                <w:bCs/>
                <w:color w:val="auto"/>
                <w:sz w:val="21"/>
                <w:szCs w:val="21"/>
                <w:highlight w:val="none"/>
              </w:rPr>
              <w:t>数量及单位①</w:t>
            </w:r>
          </w:p>
        </w:tc>
        <w:tc>
          <w:tcPr>
            <w:tcW w:w="1965" w:type="dxa"/>
            <w:tcBorders>
              <w:top w:val="single" w:color="auto" w:sz="4" w:space="0"/>
              <w:left w:val="single" w:color="auto" w:sz="4" w:space="0"/>
              <w:bottom w:val="single" w:color="auto" w:sz="4" w:space="0"/>
              <w:right w:val="single" w:color="auto" w:sz="4" w:space="0"/>
            </w:tcBorders>
            <w:noWrap w:val="0"/>
            <w:vAlign w:val="center"/>
          </w:tcPr>
          <w:p w14:paraId="2E474F72">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cs="仿宋_GB2312"/>
                <w:b/>
                <w:bCs/>
                <w:color w:val="auto"/>
                <w:sz w:val="21"/>
                <w:szCs w:val="21"/>
                <w:highlight w:val="none"/>
              </w:rPr>
            </w:pPr>
            <w:r>
              <w:rPr>
                <w:rFonts w:hint="eastAsia" w:ascii="宋体" w:hAnsi="宋体" w:cs="仿宋_GB2312"/>
                <w:b/>
                <w:bCs/>
                <w:color w:val="auto"/>
                <w:sz w:val="21"/>
                <w:szCs w:val="21"/>
                <w:highlight w:val="none"/>
              </w:rPr>
              <w:t>单价②</w:t>
            </w:r>
          </w:p>
        </w:tc>
        <w:tc>
          <w:tcPr>
            <w:tcW w:w="1941" w:type="dxa"/>
            <w:tcBorders>
              <w:top w:val="single" w:color="auto" w:sz="4" w:space="0"/>
              <w:left w:val="single" w:color="auto" w:sz="4" w:space="0"/>
              <w:bottom w:val="single" w:color="auto" w:sz="4" w:space="0"/>
              <w:right w:val="single" w:color="auto" w:sz="4" w:space="0"/>
            </w:tcBorders>
            <w:noWrap w:val="0"/>
            <w:vAlign w:val="center"/>
          </w:tcPr>
          <w:p w14:paraId="04780EB7">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b/>
                <w:bCs/>
                <w:color w:val="auto"/>
                <w:sz w:val="21"/>
                <w:szCs w:val="21"/>
                <w:highlight w:val="none"/>
              </w:rPr>
            </w:pPr>
            <w:r>
              <w:rPr>
                <w:rFonts w:hint="eastAsia" w:ascii="宋体" w:hAnsi="宋体" w:cs="仿宋_GB2312"/>
                <w:b/>
                <w:bCs/>
                <w:color w:val="auto"/>
                <w:sz w:val="21"/>
                <w:szCs w:val="21"/>
                <w:highlight w:val="none"/>
              </w:rPr>
              <w:t>总价（元）</w:t>
            </w:r>
          </w:p>
          <w:p w14:paraId="62678EF5">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b/>
                <w:bCs/>
                <w:color w:val="auto"/>
                <w:sz w:val="21"/>
                <w:szCs w:val="21"/>
                <w:highlight w:val="none"/>
              </w:rPr>
            </w:pPr>
            <w:r>
              <w:rPr>
                <w:rFonts w:hint="eastAsia" w:ascii="宋体" w:hAnsi="宋体" w:cs="仿宋_GB2312"/>
                <w:b/>
                <w:bCs/>
                <w:color w:val="auto"/>
                <w:sz w:val="21"/>
                <w:szCs w:val="21"/>
                <w:highlight w:val="none"/>
              </w:rPr>
              <w:t>③=①×②</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B217A90">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b/>
                <w:bCs/>
                <w:color w:val="auto"/>
                <w:sz w:val="21"/>
                <w:szCs w:val="21"/>
                <w:highlight w:val="none"/>
              </w:rPr>
            </w:pPr>
            <w:r>
              <w:rPr>
                <w:rFonts w:ascii="宋体" w:hAnsi="宋体" w:cs="仿宋_GB2312"/>
                <w:b/>
                <w:bCs/>
                <w:color w:val="auto"/>
                <w:sz w:val="21"/>
                <w:szCs w:val="21"/>
                <w:highlight w:val="none"/>
              </w:rPr>
              <w:t>备注</w:t>
            </w:r>
          </w:p>
        </w:tc>
      </w:tr>
      <w:tr w14:paraId="00C3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6"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0C23F2C6">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color w:val="auto"/>
                <w:sz w:val="21"/>
                <w:szCs w:val="21"/>
                <w:highlight w:val="none"/>
              </w:rPr>
            </w:pPr>
            <w:r>
              <w:rPr>
                <w:rFonts w:ascii="宋体" w:hAnsi="宋体" w:cs="仿宋_GB2312"/>
                <w:color w:val="auto"/>
                <w:sz w:val="21"/>
                <w:szCs w:val="21"/>
                <w:highlight w:val="none"/>
              </w:rPr>
              <w:t>1</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7538D58">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color w:val="auto"/>
                <w:sz w:val="21"/>
                <w:szCs w:val="21"/>
                <w:highlight w:val="none"/>
              </w:rPr>
            </w:pPr>
          </w:p>
        </w:tc>
        <w:tc>
          <w:tcPr>
            <w:tcW w:w="1764" w:type="dxa"/>
            <w:tcBorders>
              <w:top w:val="single" w:color="auto" w:sz="4" w:space="0"/>
              <w:left w:val="single" w:color="auto" w:sz="4" w:space="0"/>
              <w:bottom w:val="single" w:color="auto" w:sz="4" w:space="0"/>
              <w:right w:val="single" w:color="auto" w:sz="4" w:space="0"/>
            </w:tcBorders>
            <w:noWrap w:val="0"/>
            <w:vAlign w:val="center"/>
          </w:tcPr>
          <w:p w14:paraId="1DFEE85A">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color w:val="auto"/>
                <w:sz w:val="21"/>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center"/>
          </w:tcPr>
          <w:p w14:paraId="15647964">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color w:val="auto"/>
                <w:sz w:val="21"/>
                <w:szCs w:val="21"/>
                <w:highlight w:val="none"/>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14:paraId="11EA7B31">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color w:val="auto"/>
                <w:sz w:val="21"/>
                <w:szCs w:val="21"/>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48B717EB">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cs="仿宋_GB2312"/>
                <w:color w:val="auto"/>
                <w:sz w:val="21"/>
                <w:szCs w:val="21"/>
                <w:highlight w:val="none"/>
              </w:rPr>
            </w:pPr>
          </w:p>
        </w:tc>
      </w:tr>
      <w:tr w14:paraId="4174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8647" w:type="dxa"/>
            <w:gridSpan w:val="6"/>
            <w:tcBorders>
              <w:top w:val="single" w:color="auto" w:sz="4" w:space="0"/>
              <w:left w:val="single" w:color="auto" w:sz="4" w:space="0"/>
              <w:bottom w:val="single" w:color="auto" w:sz="4" w:space="0"/>
              <w:right w:val="single" w:color="auto" w:sz="4" w:space="0"/>
            </w:tcBorders>
            <w:noWrap w:val="0"/>
            <w:vAlign w:val="top"/>
          </w:tcPr>
          <w:p w14:paraId="0E9A0368">
            <w:pPr>
              <w:keepNext w:val="0"/>
              <w:keepLines w:val="0"/>
              <w:pageBreakBefore w:val="0"/>
              <w:widowControl w:val="0"/>
              <w:kinsoku/>
              <w:wordWrap/>
              <w:overflowPunct/>
              <w:topLinePunct w:val="0"/>
              <w:autoSpaceDE/>
              <w:autoSpaceDN/>
              <w:bidi w:val="0"/>
              <w:adjustRightInd/>
              <w:snapToGrid w:val="0"/>
              <w:spacing w:line="500" w:lineRule="exact"/>
              <w:textAlignment w:val="auto"/>
              <w:rPr>
                <w:rFonts w:ascii="宋体" w:hAnsi="宋体" w:cs="仿宋_GB2312"/>
                <w:color w:val="auto"/>
                <w:sz w:val="21"/>
                <w:szCs w:val="21"/>
                <w:highlight w:val="none"/>
              </w:rPr>
            </w:pPr>
            <w:r>
              <w:rPr>
                <w:rFonts w:hint="eastAsia" w:ascii="宋体" w:hAnsi="宋体" w:cs="仿宋_GB2312"/>
                <w:color w:val="auto"/>
                <w:sz w:val="21"/>
                <w:szCs w:val="21"/>
                <w:highlight w:val="none"/>
              </w:rPr>
              <w:t>合计金额大写：人民币</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w:t>
            </w:r>
          </w:p>
        </w:tc>
      </w:tr>
    </w:tbl>
    <w:p w14:paraId="2BEE6DDE">
      <w:pPr>
        <w:snapToGrid w:val="0"/>
        <w:spacing w:line="360" w:lineRule="auto"/>
        <w:jc w:val="left"/>
        <w:rPr>
          <w:rFonts w:hint="eastAsia" w:ascii="宋体" w:hAnsi="宋体"/>
          <w:color w:val="000000"/>
          <w:szCs w:val="21"/>
          <w:highlight w:val="none"/>
        </w:rPr>
      </w:pPr>
    </w:p>
    <w:p w14:paraId="5F48626A">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 xml:space="preserve">注: </w:t>
      </w:r>
    </w:p>
    <w:p w14:paraId="74B388AB">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1.投标人的开标一览表必须加盖投标人电子签章并由法定代表人（或负责人）</w:t>
      </w:r>
      <w:r>
        <w:rPr>
          <w:rFonts w:ascii="宋体" w:hAnsi="宋体"/>
          <w:color w:val="000000"/>
          <w:szCs w:val="21"/>
          <w:highlight w:val="none"/>
        </w:rPr>
        <w:t>或者委托代理人</w:t>
      </w:r>
      <w:r>
        <w:rPr>
          <w:rFonts w:hint="eastAsia" w:ascii="宋体" w:hAnsi="宋体"/>
          <w:color w:val="000000"/>
          <w:szCs w:val="21"/>
          <w:highlight w:val="none"/>
        </w:rPr>
        <w:t>（签字或电子签名），</w:t>
      </w:r>
      <w:r>
        <w:rPr>
          <w:rFonts w:hint="eastAsia" w:ascii="宋体" w:hAnsi="宋体"/>
          <w:b/>
          <w:color w:val="000000"/>
          <w:szCs w:val="21"/>
          <w:highlight w:val="none"/>
        </w:rPr>
        <w:t>否则其投标作无效标处理</w:t>
      </w:r>
      <w:r>
        <w:rPr>
          <w:rFonts w:hint="eastAsia" w:ascii="宋体" w:hAnsi="宋体"/>
          <w:color w:val="000000"/>
          <w:szCs w:val="21"/>
          <w:highlight w:val="none"/>
        </w:rPr>
        <w:t>。</w:t>
      </w:r>
    </w:p>
    <w:p w14:paraId="0224B929">
      <w:pPr>
        <w:snapToGrid w:val="0"/>
        <w:spacing w:line="360" w:lineRule="auto"/>
        <w:ind w:firstLine="420" w:firstLineChars="200"/>
        <w:jc w:val="left"/>
        <w:rPr>
          <w:rFonts w:ascii="宋体" w:hAnsi="宋体"/>
          <w:b/>
          <w:color w:val="000000"/>
          <w:szCs w:val="21"/>
          <w:highlight w:val="none"/>
        </w:rPr>
      </w:pPr>
      <w:r>
        <w:rPr>
          <w:rFonts w:hint="eastAsia" w:ascii="宋体" w:hAnsi="宋体"/>
          <w:bCs/>
          <w:color w:val="000000"/>
          <w:szCs w:val="21"/>
          <w:highlight w:val="none"/>
        </w:rPr>
        <w:t>2.</w:t>
      </w:r>
      <w:r>
        <w:rPr>
          <w:rFonts w:hint="eastAsia" w:ascii="宋体" w:hAnsi="宋体"/>
          <w:color w:val="000000"/>
          <w:szCs w:val="21"/>
          <w:highlight w:val="none"/>
        </w:rPr>
        <w:t>报价一经涂改，应在涂改处加盖投标人公章或者由法定代表人（或负责人）或者委托代理人（签字或电子签名）或者盖章</w:t>
      </w:r>
      <w:r>
        <w:rPr>
          <w:rFonts w:hint="eastAsia" w:ascii="宋体" w:hAnsi="宋体"/>
          <w:b/>
          <w:color w:val="000000"/>
          <w:szCs w:val="21"/>
          <w:highlight w:val="none"/>
        </w:rPr>
        <w:t>，否则其投标作无效标处理。</w:t>
      </w:r>
    </w:p>
    <w:p w14:paraId="138DA17A">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3.招标文件中列明采购专用耗材的，应按招标文件规定的耗材量或者按耗材的常规试用量提供报价。</w:t>
      </w:r>
    </w:p>
    <w:p w14:paraId="05BAF441">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4.如为联合体投标，“投标人名称”处必须列明联合体各方名称，并标注联合体牵头人名称，</w:t>
      </w:r>
      <w:r>
        <w:rPr>
          <w:rFonts w:hint="eastAsia" w:ascii="宋体" w:hAnsi="宋体"/>
          <w:b/>
          <w:color w:val="000000"/>
          <w:szCs w:val="21"/>
          <w:highlight w:val="none"/>
        </w:rPr>
        <w:t>否则其投标作无效标处理。</w:t>
      </w:r>
    </w:p>
    <w:p w14:paraId="51D1AA08">
      <w:pPr>
        <w:snapToGrid w:val="0"/>
        <w:spacing w:line="360" w:lineRule="auto"/>
        <w:ind w:firstLine="396" w:firstLineChars="200"/>
        <w:jc w:val="left"/>
        <w:rPr>
          <w:rFonts w:ascii="宋体" w:hAnsi="宋体"/>
          <w:color w:val="000000"/>
          <w:spacing w:val="-6"/>
          <w:szCs w:val="21"/>
          <w:highlight w:val="none"/>
        </w:rPr>
      </w:pPr>
      <w:r>
        <w:rPr>
          <w:rFonts w:hint="eastAsia" w:ascii="宋体" w:hAnsi="宋体"/>
          <w:color w:val="000000"/>
          <w:spacing w:val="-6"/>
          <w:szCs w:val="21"/>
          <w:highlight w:val="none"/>
        </w:rPr>
        <w:t>5.如为联合体投标，盖章处须加盖联合体牵头人电子签章，</w:t>
      </w:r>
      <w:r>
        <w:rPr>
          <w:rFonts w:hint="eastAsia" w:ascii="宋体" w:hAnsi="宋体"/>
          <w:b/>
          <w:color w:val="000000"/>
          <w:spacing w:val="-6"/>
          <w:szCs w:val="21"/>
          <w:highlight w:val="none"/>
        </w:rPr>
        <w:t>否则其投标作无效标处理。</w:t>
      </w:r>
    </w:p>
    <w:p w14:paraId="7C02516D">
      <w:pPr>
        <w:snapToGrid w:val="0"/>
        <w:spacing w:line="360" w:lineRule="auto"/>
        <w:ind w:firstLine="420" w:firstLineChars="200"/>
        <w:rPr>
          <w:rFonts w:ascii="宋体" w:hAnsi="宋体"/>
          <w:b/>
          <w:color w:val="000000"/>
          <w:szCs w:val="21"/>
          <w:highlight w:val="none"/>
        </w:rPr>
      </w:pPr>
      <w:r>
        <w:rPr>
          <w:rFonts w:hint="eastAsia" w:ascii="宋体" w:hAnsi="宋体"/>
          <w:color w:val="000000"/>
          <w:szCs w:val="21"/>
          <w:highlight w:val="none"/>
        </w:rPr>
        <w:t>6.如有多分标，按分标分别提供开标一览表，</w:t>
      </w:r>
      <w:r>
        <w:rPr>
          <w:rFonts w:hint="eastAsia" w:ascii="宋体" w:hAnsi="宋体"/>
          <w:b/>
          <w:color w:val="000000"/>
          <w:szCs w:val="21"/>
          <w:highlight w:val="none"/>
        </w:rPr>
        <w:t>否则投标无效。</w:t>
      </w:r>
    </w:p>
    <w:p w14:paraId="56A0830C">
      <w:pPr>
        <w:pStyle w:val="19"/>
        <w:rPr>
          <w:color w:val="000000"/>
          <w:sz w:val="21"/>
          <w:szCs w:val="21"/>
          <w:highlight w:val="none"/>
        </w:rPr>
      </w:pPr>
    </w:p>
    <w:p w14:paraId="30C151C5">
      <w:pPr>
        <w:snapToGrid w:val="0"/>
        <w:spacing w:line="360" w:lineRule="auto"/>
        <w:ind w:left="-2" w:leftChars="-1" w:right="-817" w:rightChars="-389"/>
        <w:rPr>
          <w:rFonts w:ascii="宋体" w:hAnsi="宋体"/>
          <w:color w:val="000000"/>
          <w:szCs w:val="21"/>
          <w:highlight w:val="none"/>
        </w:rPr>
      </w:pPr>
      <w:r>
        <w:rPr>
          <w:rFonts w:hint="eastAsia" w:ascii="宋体" w:hAnsi="宋体"/>
          <w:color w:val="000000"/>
          <w:szCs w:val="21"/>
          <w:highlight w:val="none"/>
        </w:rPr>
        <w:t xml:space="preserve">法定代表人（或负责人）或者委托代理人（签字或电子签名）： </w:t>
      </w:r>
    </w:p>
    <w:p w14:paraId="2383741B">
      <w:pPr>
        <w:snapToGrid w:val="0"/>
        <w:spacing w:line="360" w:lineRule="auto"/>
        <w:ind w:left="-6" w:leftChars="-15" w:right="-817" w:rightChars="-389" w:hanging="25" w:hangingChars="12"/>
        <w:rPr>
          <w:rFonts w:ascii="宋体" w:hAnsi="宋体"/>
          <w:color w:val="000000"/>
          <w:szCs w:val="21"/>
          <w:highlight w:val="none"/>
        </w:rPr>
      </w:pPr>
      <w:r>
        <w:rPr>
          <w:rFonts w:hint="eastAsia" w:ascii="宋体" w:hAnsi="宋体"/>
          <w:color w:val="000000"/>
          <w:szCs w:val="21"/>
          <w:highlight w:val="none"/>
        </w:rPr>
        <w:t xml:space="preserve">                                  投标人名称（电子签章）：</w:t>
      </w:r>
    </w:p>
    <w:p w14:paraId="289F2FB8">
      <w:pPr>
        <w:snapToGrid w:val="0"/>
        <w:spacing w:line="360" w:lineRule="auto"/>
        <w:ind w:left="-6" w:leftChars="-15" w:right="-817" w:rightChars="-389" w:hanging="25" w:hangingChars="12"/>
        <w:rPr>
          <w:rFonts w:ascii="宋体" w:hAnsi="宋体"/>
          <w:color w:val="000000"/>
          <w:szCs w:val="21"/>
          <w:highlight w:val="none"/>
        </w:rPr>
      </w:pPr>
      <w:r>
        <w:rPr>
          <w:rFonts w:hint="eastAsia" w:ascii="宋体" w:hAnsi="宋体"/>
          <w:color w:val="000000"/>
          <w:szCs w:val="21"/>
          <w:highlight w:val="none"/>
        </w:rPr>
        <w:t xml:space="preserve">                                  日期：    年   月   日</w:t>
      </w:r>
    </w:p>
    <w:p w14:paraId="26071ACC">
      <w:pPr>
        <w:rPr>
          <w:b/>
          <w:color w:val="000000"/>
          <w:sz w:val="28"/>
          <w:szCs w:val="28"/>
          <w:highlight w:val="none"/>
        </w:rPr>
      </w:pPr>
      <w:r>
        <w:rPr>
          <w:rFonts w:ascii="宋体" w:hAnsi="宋体"/>
          <w:b/>
          <w:bCs/>
          <w:color w:val="000000"/>
          <w:sz w:val="24"/>
          <w:highlight w:val="none"/>
        </w:rPr>
        <w:br w:type="page"/>
      </w:r>
      <w:bookmarkStart w:id="166" w:name="_Toc19686837"/>
      <w:r>
        <w:rPr>
          <w:rFonts w:hint="eastAsia"/>
          <w:b/>
          <w:color w:val="000000"/>
          <w:sz w:val="28"/>
          <w:szCs w:val="28"/>
          <w:highlight w:val="none"/>
        </w:rPr>
        <w:t>二、资格证明文件格式</w:t>
      </w:r>
      <w:bookmarkEnd w:id="164"/>
      <w:bookmarkEnd w:id="165"/>
      <w:bookmarkEnd w:id="166"/>
    </w:p>
    <w:p w14:paraId="4FC50A80">
      <w:pPr>
        <w:numPr>
          <w:ilvl w:val="2"/>
          <w:numId w:val="11"/>
        </w:numPr>
        <w:snapToGrid w:val="0"/>
        <w:spacing w:before="120" w:beforeLines="50" w:after="50" w:line="360" w:lineRule="auto"/>
        <w:ind w:left="0" w:firstLine="0"/>
        <w:jc w:val="left"/>
        <w:rPr>
          <w:rFonts w:ascii="宋体" w:hAnsi="宋体"/>
          <w:b/>
          <w:color w:val="000000"/>
          <w:sz w:val="24"/>
          <w:highlight w:val="none"/>
        </w:rPr>
      </w:pPr>
      <w:r>
        <w:rPr>
          <w:rFonts w:hint="eastAsia" w:ascii="宋体" w:hAnsi="宋体"/>
          <w:b/>
          <w:color w:val="000000"/>
          <w:sz w:val="24"/>
          <w:highlight w:val="none"/>
        </w:rPr>
        <w:t xml:space="preserve">资格证明文件封面格式： </w:t>
      </w:r>
    </w:p>
    <w:p w14:paraId="728896D5">
      <w:pPr>
        <w:snapToGrid w:val="0"/>
        <w:spacing w:before="120" w:beforeLines="50" w:after="50"/>
        <w:jc w:val="center"/>
        <w:rPr>
          <w:rFonts w:ascii="宋体" w:hAnsi="宋体" w:eastAsia="仿宋"/>
          <w:bCs/>
          <w:color w:val="000000"/>
          <w:sz w:val="48"/>
          <w:szCs w:val="48"/>
          <w:highlight w:val="none"/>
        </w:rPr>
      </w:pPr>
    </w:p>
    <w:p w14:paraId="5723082A">
      <w:pPr>
        <w:snapToGrid w:val="0"/>
        <w:spacing w:before="120" w:beforeLines="50" w:after="50"/>
        <w:jc w:val="center"/>
        <w:rPr>
          <w:rFonts w:hint="eastAsia" w:ascii="宋体" w:hAnsi="宋体" w:eastAsia="宋体" w:cs="宋体"/>
          <w:bCs/>
          <w:color w:val="000000"/>
          <w:sz w:val="48"/>
          <w:szCs w:val="48"/>
          <w:highlight w:val="none"/>
        </w:rPr>
      </w:pPr>
      <w:r>
        <w:rPr>
          <w:rFonts w:hint="eastAsia" w:ascii="宋体" w:hAnsi="宋体" w:eastAsia="宋体" w:cs="宋体"/>
          <w:bCs/>
          <w:color w:val="000000"/>
          <w:sz w:val="48"/>
          <w:szCs w:val="48"/>
          <w:highlight w:val="none"/>
        </w:rPr>
        <w:t>电子投标文件</w:t>
      </w:r>
    </w:p>
    <w:p w14:paraId="6F915144">
      <w:pPr>
        <w:pStyle w:val="19"/>
        <w:rPr>
          <w:rFonts w:hint="eastAsia" w:ascii="宋体" w:hAnsi="宋体" w:eastAsia="宋体" w:cs="宋体"/>
          <w:color w:val="000000"/>
          <w:highlight w:val="none"/>
        </w:rPr>
      </w:pPr>
    </w:p>
    <w:p w14:paraId="1BEA03EA">
      <w:pPr>
        <w:snapToGrid w:val="0"/>
        <w:spacing w:before="120" w:beforeLines="50" w:after="50"/>
        <w:jc w:val="center"/>
        <w:rPr>
          <w:rFonts w:hint="eastAsia" w:ascii="宋体" w:hAnsi="宋体" w:eastAsia="宋体" w:cs="宋体"/>
          <w:b/>
          <w:color w:val="000000"/>
          <w:sz w:val="24"/>
          <w:szCs w:val="20"/>
          <w:highlight w:val="none"/>
        </w:rPr>
      </w:pPr>
      <w:r>
        <w:rPr>
          <w:rFonts w:hint="eastAsia" w:ascii="宋体" w:hAnsi="宋体" w:eastAsia="宋体" w:cs="宋体"/>
          <w:b/>
          <w:color w:val="000000"/>
          <w:sz w:val="32"/>
          <w:szCs w:val="32"/>
          <w:highlight w:val="none"/>
        </w:rPr>
        <w:t>资格证明文件</w:t>
      </w:r>
    </w:p>
    <w:p w14:paraId="08896D11">
      <w:pPr>
        <w:snapToGrid w:val="0"/>
        <w:spacing w:before="120" w:beforeLines="50" w:after="50"/>
        <w:rPr>
          <w:rFonts w:hint="eastAsia" w:ascii="宋体" w:hAnsi="宋体" w:eastAsia="宋体" w:cs="宋体"/>
          <w:bCs/>
          <w:color w:val="000000"/>
          <w:sz w:val="24"/>
          <w:szCs w:val="20"/>
          <w:highlight w:val="none"/>
        </w:rPr>
      </w:pPr>
    </w:p>
    <w:p w14:paraId="1D7BBBF2">
      <w:pPr>
        <w:snapToGrid w:val="0"/>
        <w:spacing w:before="120" w:beforeLines="50" w:after="50"/>
        <w:rPr>
          <w:rFonts w:hint="eastAsia" w:ascii="宋体" w:hAnsi="宋体" w:eastAsia="宋体" w:cs="宋体"/>
          <w:bCs/>
          <w:color w:val="000000"/>
          <w:sz w:val="24"/>
          <w:szCs w:val="20"/>
          <w:highlight w:val="none"/>
        </w:rPr>
      </w:pPr>
    </w:p>
    <w:p w14:paraId="7E2C10F0">
      <w:pPr>
        <w:snapToGrid w:val="0"/>
        <w:spacing w:before="120" w:beforeLines="50" w:after="50"/>
        <w:rPr>
          <w:rFonts w:hint="eastAsia" w:ascii="宋体" w:hAnsi="宋体" w:eastAsia="宋体" w:cs="宋体"/>
          <w:bCs/>
          <w:color w:val="000000"/>
          <w:sz w:val="24"/>
          <w:szCs w:val="20"/>
          <w:highlight w:val="none"/>
        </w:rPr>
      </w:pPr>
    </w:p>
    <w:p w14:paraId="24EFAD6A">
      <w:pPr>
        <w:snapToGrid w:val="0"/>
        <w:spacing w:before="120" w:beforeLines="50" w:after="50"/>
        <w:rPr>
          <w:rFonts w:hint="eastAsia" w:ascii="宋体" w:hAnsi="宋体" w:eastAsia="宋体" w:cs="宋体"/>
          <w:bCs/>
          <w:color w:val="000000"/>
          <w:sz w:val="24"/>
          <w:szCs w:val="20"/>
          <w:highlight w:val="none"/>
        </w:rPr>
      </w:pPr>
    </w:p>
    <w:p w14:paraId="22F9558B">
      <w:pPr>
        <w:snapToGrid w:val="0"/>
        <w:spacing w:before="120" w:beforeLines="50" w:after="50"/>
        <w:rPr>
          <w:rFonts w:hint="eastAsia" w:ascii="宋体" w:hAnsi="宋体" w:eastAsia="宋体" w:cs="宋体"/>
          <w:bCs/>
          <w:color w:val="000000"/>
          <w:sz w:val="24"/>
          <w:szCs w:val="20"/>
          <w:highlight w:val="none"/>
        </w:rPr>
      </w:pPr>
    </w:p>
    <w:p w14:paraId="7C3E532A">
      <w:pPr>
        <w:snapToGrid w:val="0"/>
        <w:spacing w:before="120" w:beforeLines="50" w:after="50"/>
        <w:rPr>
          <w:rFonts w:hint="eastAsia" w:ascii="宋体" w:hAnsi="宋体" w:eastAsia="宋体" w:cs="宋体"/>
          <w:bCs/>
          <w:color w:val="000000"/>
          <w:sz w:val="24"/>
          <w:szCs w:val="20"/>
          <w:highlight w:val="none"/>
        </w:rPr>
      </w:pPr>
    </w:p>
    <w:p w14:paraId="6471812F">
      <w:pPr>
        <w:snapToGrid w:val="0"/>
        <w:spacing w:before="120" w:beforeLines="50" w:after="50"/>
        <w:rPr>
          <w:rFonts w:hint="eastAsia" w:ascii="宋体" w:hAnsi="宋体" w:eastAsia="宋体" w:cs="宋体"/>
          <w:bCs/>
          <w:color w:val="000000"/>
          <w:sz w:val="24"/>
          <w:szCs w:val="20"/>
          <w:highlight w:val="none"/>
        </w:rPr>
      </w:pPr>
    </w:p>
    <w:p w14:paraId="56807E06">
      <w:pPr>
        <w:snapToGrid w:val="0"/>
        <w:spacing w:before="120" w:beforeLines="50" w:after="50"/>
        <w:ind w:firstLine="540" w:firstLineChars="225"/>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项目名称：</w:t>
      </w:r>
    </w:p>
    <w:p w14:paraId="7C8E9B55">
      <w:pPr>
        <w:snapToGrid w:val="0"/>
        <w:spacing w:before="120" w:beforeLines="50" w:after="50"/>
        <w:ind w:firstLine="540" w:firstLineChars="225"/>
        <w:rPr>
          <w:rFonts w:hint="eastAsia" w:ascii="宋体" w:hAnsi="宋体" w:eastAsia="宋体" w:cs="宋体"/>
          <w:bCs/>
          <w:color w:val="000000"/>
          <w:sz w:val="24"/>
          <w:szCs w:val="20"/>
          <w:highlight w:val="none"/>
        </w:rPr>
      </w:pPr>
    </w:p>
    <w:p w14:paraId="33F1A54F">
      <w:pPr>
        <w:snapToGrid w:val="0"/>
        <w:spacing w:before="120" w:beforeLines="50" w:after="50"/>
        <w:ind w:firstLine="540" w:firstLineChars="225"/>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项目编号：</w:t>
      </w:r>
    </w:p>
    <w:p w14:paraId="49162B33">
      <w:pPr>
        <w:snapToGrid w:val="0"/>
        <w:spacing w:before="120" w:beforeLines="50" w:after="50"/>
        <w:ind w:firstLine="540" w:firstLineChars="225"/>
        <w:rPr>
          <w:rFonts w:hint="eastAsia" w:ascii="宋体" w:hAnsi="宋体" w:eastAsia="宋体" w:cs="宋体"/>
          <w:bCs/>
          <w:color w:val="000000"/>
          <w:sz w:val="24"/>
          <w:szCs w:val="20"/>
          <w:highlight w:val="none"/>
        </w:rPr>
      </w:pPr>
      <w:r>
        <w:rPr>
          <w:rFonts w:hint="eastAsia" w:ascii="宋体" w:hAnsi="宋体" w:eastAsia="宋体" w:cs="宋体"/>
          <w:bCs/>
          <w:color w:val="000000"/>
          <w:sz w:val="24"/>
          <w:highlight w:val="none"/>
        </w:rPr>
        <w:t xml:space="preserve"> </w:t>
      </w:r>
    </w:p>
    <w:p w14:paraId="39779B15">
      <w:pPr>
        <w:snapToGrid w:val="0"/>
        <w:spacing w:before="120" w:beforeLines="50" w:after="50"/>
        <w:ind w:firstLine="540" w:firstLineChars="225"/>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所投分标：无，则写“/”</w:t>
      </w:r>
    </w:p>
    <w:p w14:paraId="0764B862">
      <w:pPr>
        <w:pStyle w:val="7"/>
        <w:snapToGrid w:val="0"/>
        <w:spacing w:before="50" w:after="50"/>
        <w:ind w:firstLine="540" w:firstLineChars="225"/>
        <w:rPr>
          <w:rFonts w:hint="eastAsia" w:ascii="宋体" w:hAnsi="宋体" w:eastAsia="宋体" w:cs="宋体"/>
          <w:bCs/>
          <w:color w:val="000000"/>
          <w:sz w:val="24"/>
          <w:szCs w:val="24"/>
          <w:highlight w:val="none"/>
        </w:rPr>
      </w:pPr>
    </w:p>
    <w:p w14:paraId="55429604">
      <w:pPr>
        <w:pStyle w:val="7"/>
        <w:snapToGrid w:val="0"/>
        <w:spacing w:before="50" w:after="50"/>
        <w:ind w:firstLine="540" w:firstLineChars="225"/>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投标人名称：</w:t>
      </w:r>
    </w:p>
    <w:p w14:paraId="02102C8E">
      <w:pPr>
        <w:pStyle w:val="7"/>
        <w:snapToGrid w:val="0"/>
        <w:spacing w:before="50" w:after="50"/>
        <w:ind w:firstLine="540" w:firstLineChars="225"/>
        <w:rPr>
          <w:rFonts w:hint="eastAsia" w:ascii="宋体" w:hAnsi="宋体" w:eastAsia="宋体" w:cs="宋体"/>
          <w:bCs/>
          <w:color w:val="000000"/>
          <w:sz w:val="24"/>
          <w:szCs w:val="24"/>
          <w:highlight w:val="none"/>
        </w:rPr>
      </w:pPr>
    </w:p>
    <w:p w14:paraId="3782C87F">
      <w:pPr>
        <w:pStyle w:val="7"/>
        <w:snapToGrid w:val="0"/>
        <w:spacing w:before="50" w:after="50"/>
        <w:ind w:firstLine="960" w:firstLineChars="400"/>
        <w:rPr>
          <w:rFonts w:hint="eastAsia" w:ascii="宋体" w:hAnsi="宋体" w:eastAsia="宋体" w:cs="宋体"/>
          <w:bCs/>
          <w:color w:val="000000"/>
          <w:sz w:val="24"/>
          <w:szCs w:val="24"/>
          <w:highlight w:val="none"/>
        </w:rPr>
      </w:pPr>
    </w:p>
    <w:p w14:paraId="75B9EBE3">
      <w:pPr>
        <w:snapToGrid w:val="0"/>
        <w:spacing w:before="120" w:beforeLines="50" w:after="50"/>
        <w:ind w:firstLine="645"/>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年  月  日</w:t>
      </w:r>
    </w:p>
    <w:p w14:paraId="70B6638A">
      <w:pPr>
        <w:snapToGrid w:val="0"/>
        <w:spacing w:before="120" w:beforeLines="50" w:after="50"/>
        <w:rPr>
          <w:rFonts w:ascii="宋体" w:hAnsi="宋体"/>
          <w:color w:val="000000"/>
          <w:sz w:val="24"/>
          <w:szCs w:val="20"/>
          <w:highlight w:val="none"/>
        </w:rPr>
      </w:pPr>
      <w:r>
        <w:rPr>
          <w:rFonts w:ascii="宋体" w:hAnsi="宋体"/>
          <w:color w:val="000000"/>
          <w:sz w:val="24"/>
          <w:szCs w:val="20"/>
          <w:highlight w:val="none"/>
        </w:rPr>
        <w:t xml:space="preserve"> </w:t>
      </w:r>
    </w:p>
    <w:p w14:paraId="7E7E2734">
      <w:pPr>
        <w:snapToGrid w:val="0"/>
        <w:spacing w:before="120" w:beforeLines="50" w:after="50"/>
        <w:rPr>
          <w:rFonts w:ascii="宋体" w:hAnsi="宋体"/>
          <w:color w:val="000000"/>
          <w:sz w:val="24"/>
          <w:szCs w:val="20"/>
          <w:highlight w:val="none"/>
        </w:rPr>
      </w:pPr>
    </w:p>
    <w:p w14:paraId="3CAA2F96">
      <w:pPr>
        <w:numPr>
          <w:ilvl w:val="2"/>
          <w:numId w:val="11"/>
        </w:numPr>
        <w:snapToGrid w:val="0"/>
        <w:spacing w:before="120" w:beforeLines="50" w:after="50" w:line="360" w:lineRule="auto"/>
        <w:ind w:left="0" w:firstLine="0"/>
        <w:jc w:val="left"/>
        <w:rPr>
          <w:rFonts w:ascii="宋体" w:hAnsi="宋体"/>
          <w:color w:val="000000"/>
          <w:sz w:val="24"/>
          <w:szCs w:val="20"/>
          <w:highlight w:val="none"/>
        </w:rPr>
      </w:pPr>
      <w:r>
        <w:rPr>
          <w:rFonts w:ascii="宋体" w:hAnsi="宋体"/>
          <w:b/>
          <w:bCs/>
          <w:color w:val="000000"/>
          <w:sz w:val="24"/>
          <w:highlight w:val="none"/>
        </w:rPr>
        <w:br w:type="page"/>
      </w:r>
      <w:r>
        <w:rPr>
          <w:rFonts w:hint="eastAsia" w:ascii="宋体" w:hAnsi="宋体"/>
          <w:b/>
          <w:bCs/>
          <w:color w:val="000000"/>
          <w:sz w:val="24"/>
          <w:highlight w:val="none"/>
        </w:rPr>
        <w:t>资格证明文件目录</w:t>
      </w:r>
    </w:p>
    <w:p w14:paraId="337AE9BC">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根据招标文件规定及投标人提供的材料自行编写目录。</w:t>
      </w:r>
    </w:p>
    <w:p w14:paraId="6424C49D">
      <w:pPr>
        <w:snapToGrid w:val="0"/>
        <w:spacing w:before="50" w:after="120" w:afterLines="50"/>
        <w:jc w:val="left"/>
        <w:rPr>
          <w:rFonts w:ascii="宋体" w:hAnsi="宋体"/>
          <w:color w:val="000000"/>
          <w:sz w:val="24"/>
          <w:highlight w:val="none"/>
        </w:rPr>
      </w:pPr>
    </w:p>
    <w:p w14:paraId="0BB08107">
      <w:pPr>
        <w:snapToGrid w:val="0"/>
        <w:spacing w:before="50" w:after="120" w:afterLines="50"/>
        <w:jc w:val="left"/>
        <w:rPr>
          <w:rFonts w:ascii="宋体" w:hAnsi="宋体"/>
          <w:color w:val="000000"/>
          <w:sz w:val="24"/>
          <w:highlight w:val="none"/>
        </w:rPr>
      </w:pPr>
    </w:p>
    <w:p w14:paraId="2E02FA6C">
      <w:pPr>
        <w:numPr>
          <w:ilvl w:val="2"/>
          <w:numId w:val="11"/>
        </w:numPr>
        <w:snapToGrid w:val="0"/>
        <w:spacing w:before="120" w:beforeLines="50" w:after="50"/>
        <w:ind w:left="0" w:firstLine="0"/>
        <w:jc w:val="left"/>
        <w:rPr>
          <w:rFonts w:ascii="宋体" w:hAnsi="宋体"/>
          <w:b/>
          <w:color w:val="000000"/>
          <w:sz w:val="24"/>
          <w:highlight w:val="none"/>
        </w:rPr>
      </w:pPr>
      <w:r>
        <w:rPr>
          <w:rFonts w:ascii="宋体" w:hAnsi="宋体"/>
          <w:b/>
          <w:color w:val="000000"/>
          <w:sz w:val="24"/>
          <w:highlight w:val="none"/>
        </w:rPr>
        <w:br w:type="page"/>
      </w:r>
      <w:r>
        <w:rPr>
          <w:rFonts w:hint="eastAsia" w:ascii="宋体" w:hAnsi="宋体"/>
          <w:b/>
          <w:color w:val="000000"/>
          <w:sz w:val="28"/>
          <w:szCs w:val="28"/>
          <w:highlight w:val="none"/>
        </w:rPr>
        <w:t>投标人直接控股、管理关系信息表</w:t>
      </w:r>
    </w:p>
    <w:p w14:paraId="73CA715F">
      <w:pPr>
        <w:snapToGrid w:val="0"/>
        <w:spacing w:before="50" w:after="120" w:afterLines="50"/>
        <w:jc w:val="center"/>
        <w:rPr>
          <w:rFonts w:ascii="宋体" w:hAnsi="宋体"/>
          <w:b/>
          <w:color w:val="000000"/>
          <w:sz w:val="28"/>
          <w:szCs w:val="28"/>
          <w:highlight w:val="none"/>
        </w:rPr>
      </w:pPr>
    </w:p>
    <w:p w14:paraId="28B672BA">
      <w:pPr>
        <w:snapToGrid w:val="0"/>
        <w:spacing w:before="50" w:after="120" w:afterLines="50" w:line="360" w:lineRule="auto"/>
        <w:jc w:val="center"/>
        <w:rPr>
          <w:rFonts w:ascii="宋体" w:hAnsi="宋体"/>
          <w:b/>
          <w:color w:val="000000"/>
          <w:sz w:val="32"/>
          <w:szCs w:val="32"/>
          <w:highlight w:val="none"/>
        </w:rPr>
      </w:pPr>
      <w:r>
        <w:rPr>
          <w:rFonts w:hint="eastAsia" w:ascii="宋体" w:hAnsi="宋体"/>
          <w:b/>
          <w:color w:val="000000"/>
          <w:sz w:val="32"/>
          <w:szCs w:val="32"/>
          <w:highlight w:val="none"/>
        </w:rPr>
        <w:t>投标人直接控股股东信息表</w:t>
      </w:r>
    </w:p>
    <w:tbl>
      <w:tblPr>
        <w:tblStyle w:val="48"/>
        <w:tblW w:w="0" w:type="auto"/>
        <w:tblInd w:w="0" w:type="dxa"/>
        <w:shd w:val="clear" w:color="auto" w:fill="FBFBFB"/>
        <w:tblLayout w:type="fixed"/>
        <w:tblCellMar>
          <w:top w:w="0" w:type="dxa"/>
          <w:left w:w="0" w:type="dxa"/>
          <w:bottom w:w="0" w:type="dxa"/>
          <w:right w:w="0" w:type="dxa"/>
        </w:tblCellMar>
      </w:tblPr>
      <w:tblGrid>
        <w:gridCol w:w="828"/>
        <w:gridCol w:w="2269"/>
        <w:gridCol w:w="1239"/>
        <w:gridCol w:w="4006"/>
        <w:gridCol w:w="1134"/>
      </w:tblGrid>
      <w:tr w14:paraId="0FBC1156">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9C563D4">
            <w:pPr>
              <w:spacing w:line="360" w:lineRule="auto"/>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F9E35CC">
            <w:pPr>
              <w:spacing w:line="360" w:lineRule="auto"/>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DBDEEF">
            <w:pPr>
              <w:spacing w:line="360" w:lineRule="auto"/>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出资比例</w:t>
            </w:r>
          </w:p>
        </w:tc>
        <w:tc>
          <w:tcPr>
            <w:tcW w:w="4006"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FE1F537">
            <w:pPr>
              <w:spacing w:line="360" w:lineRule="auto"/>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身份证号码或者统一社会信用代码</w:t>
            </w:r>
          </w:p>
        </w:tc>
        <w:tc>
          <w:tcPr>
            <w:tcW w:w="113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31B0CE">
            <w:pPr>
              <w:spacing w:line="360" w:lineRule="auto"/>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14:paraId="4C7BAC9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AD602A">
            <w:pPr>
              <w:spacing w:line="360" w:lineRule="auto"/>
              <w:jc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159B65">
            <w:pPr>
              <w:spacing w:line="360" w:lineRule="auto"/>
              <w:jc w:val="center"/>
              <w:rPr>
                <w:rFonts w:ascii="宋体" w:hAnsi="宋体" w:cs="宋体"/>
                <w:color w:val="000000"/>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683CEF">
            <w:pPr>
              <w:spacing w:line="360" w:lineRule="auto"/>
              <w:jc w:val="center"/>
              <w:rPr>
                <w:rFonts w:ascii="宋体" w:hAnsi="宋体" w:cs="宋体"/>
                <w:color w:val="000000"/>
                <w:kern w:val="0"/>
                <w:szCs w:val="21"/>
                <w:highlight w:val="none"/>
              </w:rPr>
            </w:pPr>
          </w:p>
        </w:tc>
        <w:tc>
          <w:tcPr>
            <w:tcW w:w="400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7A4D75">
            <w:pPr>
              <w:spacing w:line="360" w:lineRule="auto"/>
              <w:jc w:val="center"/>
              <w:rPr>
                <w:rFonts w:ascii="宋体" w:hAnsi="宋体" w:cs="宋体"/>
                <w:color w:val="000000"/>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8858D4">
            <w:pPr>
              <w:spacing w:line="360" w:lineRule="auto"/>
              <w:jc w:val="center"/>
              <w:rPr>
                <w:rFonts w:ascii="宋体" w:hAnsi="宋体" w:cs="宋体"/>
                <w:color w:val="000000"/>
                <w:kern w:val="0"/>
                <w:szCs w:val="21"/>
                <w:highlight w:val="none"/>
              </w:rPr>
            </w:pPr>
          </w:p>
        </w:tc>
      </w:tr>
      <w:tr w14:paraId="50B59EF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4FFCD5">
            <w:pPr>
              <w:spacing w:line="360" w:lineRule="auto"/>
              <w:jc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B3A3FB">
            <w:pPr>
              <w:spacing w:line="360" w:lineRule="auto"/>
              <w:jc w:val="center"/>
              <w:rPr>
                <w:rFonts w:ascii="宋体" w:hAnsi="宋体" w:cs="宋体"/>
                <w:color w:val="000000"/>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27F4FF">
            <w:pPr>
              <w:spacing w:line="360" w:lineRule="auto"/>
              <w:jc w:val="center"/>
              <w:rPr>
                <w:rFonts w:ascii="宋体" w:hAnsi="宋体" w:cs="宋体"/>
                <w:color w:val="000000"/>
                <w:kern w:val="0"/>
                <w:szCs w:val="21"/>
                <w:highlight w:val="none"/>
              </w:rPr>
            </w:pPr>
          </w:p>
        </w:tc>
        <w:tc>
          <w:tcPr>
            <w:tcW w:w="400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209F89">
            <w:pPr>
              <w:spacing w:line="360" w:lineRule="auto"/>
              <w:jc w:val="center"/>
              <w:rPr>
                <w:rFonts w:ascii="宋体" w:hAnsi="宋体" w:cs="宋体"/>
                <w:color w:val="000000"/>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913CF1">
            <w:pPr>
              <w:spacing w:line="360" w:lineRule="auto"/>
              <w:jc w:val="center"/>
              <w:rPr>
                <w:rFonts w:ascii="宋体" w:hAnsi="宋体" w:cs="宋体"/>
                <w:color w:val="000000"/>
                <w:kern w:val="0"/>
                <w:szCs w:val="21"/>
                <w:highlight w:val="none"/>
              </w:rPr>
            </w:pPr>
          </w:p>
        </w:tc>
      </w:tr>
      <w:tr w14:paraId="4D22348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B5A50A">
            <w:pPr>
              <w:spacing w:line="360" w:lineRule="auto"/>
              <w:jc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61AEFD">
            <w:pPr>
              <w:spacing w:line="360" w:lineRule="auto"/>
              <w:jc w:val="center"/>
              <w:rPr>
                <w:rFonts w:ascii="宋体" w:hAnsi="宋体" w:cs="宋体"/>
                <w:color w:val="000000"/>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160C5D">
            <w:pPr>
              <w:spacing w:line="360" w:lineRule="auto"/>
              <w:jc w:val="center"/>
              <w:rPr>
                <w:rFonts w:ascii="宋体" w:hAnsi="宋体" w:cs="宋体"/>
                <w:color w:val="000000"/>
                <w:kern w:val="0"/>
                <w:szCs w:val="21"/>
                <w:highlight w:val="none"/>
              </w:rPr>
            </w:pPr>
          </w:p>
        </w:tc>
        <w:tc>
          <w:tcPr>
            <w:tcW w:w="400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292CB2">
            <w:pPr>
              <w:spacing w:line="360" w:lineRule="auto"/>
              <w:jc w:val="center"/>
              <w:rPr>
                <w:rFonts w:ascii="宋体" w:hAnsi="宋体" w:cs="宋体"/>
                <w:color w:val="000000"/>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761A7E">
            <w:pPr>
              <w:spacing w:line="360" w:lineRule="auto"/>
              <w:jc w:val="center"/>
              <w:rPr>
                <w:rFonts w:ascii="宋体" w:hAnsi="宋体" w:cs="宋体"/>
                <w:color w:val="000000"/>
                <w:kern w:val="0"/>
                <w:szCs w:val="21"/>
                <w:highlight w:val="none"/>
              </w:rPr>
            </w:pPr>
          </w:p>
        </w:tc>
      </w:tr>
      <w:tr w14:paraId="3C67D0A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4DC624">
            <w:pPr>
              <w:spacing w:line="360" w:lineRule="auto"/>
              <w:jc w:val="center"/>
              <w:rPr>
                <w:rFonts w:ascii="宋体" w:hAnsi="宋体" w:cs="宋体"/>
                <w:color w:val="000000"/>
                <w:kern w:val="0"/>
                <w:szCs w:val="21"/>
                <w:highlight w:val="none"/>
              </w:rPr>
            </w:pPr>
            <w:r>
              <w:rPr>
                <w:rFonts w:hint="eastAsia" w:ascii="宋体" w:hAnsi="宋体" w:cs="宋体"/>
                <w:color w:val="000000"/>
                <w:kern w:val="0"/>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290C55">
            <w:pPr>
              <w:spacing w:line="360" w:lineRule="auto"/>
              <w:jc w:val="center"/>
              <w:rPr>
                <w:rFonts w:ascii="宋体" w:hAnsi="宋体" w:cs="宋体"/>
                <w:color w:val="000000"/>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35B8EC">
            <w:pPr>
              <w:spacing w:line="360" w:lineRule="auto"/>
              <w:jc w:val="center"/>
              <w:rPr>
                <w:rFonts w:ascii="宋体" w:hAnsi="宋体" w:cs="宋体"/>
                <w:color w:val="000000"/>
                <w:kern w:val="0"/>
                <w:szCs w:val="21"/>
                <w:highlight w:val="none"/>
              </w:rPr>
            </w:pPr>
          </w:p>
        </w:tc>
        <w:tc>
          <w:tcPr>
            <w:tcW w:w="400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A798A0">
            <w:pPr>
              <w:spacing w:line="360" w:lineRule="auto"/>
              <w:jc w:val="center"/>
              <w:rPr>
                <w:rFonts w:ascii="宋体" w:hAnsi="宋体" w:cs="宋体"/>
                <w:color w:val="000000"/>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DC215B">
            <w:pPr>
              <w:spacing w:line="360" w:lineRule="auto"/>
              <w:jc w:val="center"/>
              <w:rPr>
                <w:rFonts w:ascii="宋体" w:hAnsi="宋体" w:cs="宋体"/>
                <w:color w:val="000000"/>
                <w:kern w:val="0"/>
                <w:szCs w:val="21"/>
                <w:highlight w:val="none"/>
              </w:rPr>
            </w:pPr>
          </w:p>
        </w:tc>
      </w:tr>
    </w:tbl>
    <w:p w14:paraId="4B1E92D4">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注：</w:t>
      </w:r>
    </w:p>
    <w:p w14:paraId="2CC7DE41">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20EBE7E">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2.本表所指的控股关系仅限于直接控股关系，不包括间接的控股关系。公司实际控制人与公司之间的关系不属于本表所指的直接控股关系。</w:t>
      </w:r>
    </w:p>
    <w:p w14:paraId="79625A3B">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3.供应商不存在直接控股股东的，则在“</w:t>
      </w:r>
      <w:r>
        <w:rPr>
          <w:rFonts w:hint="eastAsia" w:ascii="宋体" w:hAnsi="宋体" w:cs="宋体"/>
          <w:b/>
          <w:bCs/>
          <w:color w:val="000000"/>
          <w:kern w:val="0"/>
          <w:szCs w:val="21"/>
          <w:highlight w:val="none"/>
        </w:rPr>
        <w:t>直接控股股东名称</w:t>
      </w:r>
      <w:r>
        <w:rPr>
          <w:rFonts w:hint="eastAsia" w:ascii="宋体" w:hAnsi="宋体"/>
          <w:color w:val="000000"/>
          <w:szCs w:val="21"/>
          <w:highlight w:val="none"/>
        </w:rPr>
        <w:t>”中填“无”。</w:t>
      </w:r>
    </w:p>
    <w:p w14:paraId="57B86D21">
      <w:pPr>
        <w:snapToGrid w:val="0"/>
        <w:spacing w:line="360" w:lineRule="auto"/>
        <w:jc w:val="left"/>
        <w:rPr>
          <w:rFonts w:ascii="宋体" w:hAnsi="宋体"/>
          <w:color w:val="000000"/>
          <w:szCs w:val="21"/>
          <w:highlight w:val="none"/>
        </w:rPr>
      </w:pPr>
    </w:p>
    <w:p w14:paraId="12EB9213">
      <w:pPr>
        <w:snapToGrid w:val="0"/>
        <w:spacing w:line="360" w:lineRule="auto"/>
        <w:jc w:val="left"/>
        <w:rPr>
          <w:rFonts w:ascii="宋体" w:hAnsi="宋体"/>
          <w:color w:val="000000"/>
          <w:szCs w:val="21"/>
          <w:highlight w:val="none"/>
        </w:rPr>
      </w:pPr>
    </w:p>
    <w:p w14:paraId="72702C38">
      <w:pPr>
        <w:snapToGrid w:val="0"/>
        <w:spacing w:line="360" w:lineRule="auto"/>
        <w:jc w:val="left"/>
        <w:rPr>
          <w:rFonts w:ascii="宋体" w:hAnsi="宋体"/>
          <w:color w:val="000000"/>
          <w:szCs w:val="21"/>
          <w:highlight w:val="none"/>
        </w:rPr>
      </w:pPr>
    </w:p>
    <w:p w14:paraId="72C822A8">
      <w:pPr>
        <w:snapToGrid w:val="0"/>
        <w:spacing w:line="360" w:lineRule="auto"/>
        <w:ind w:left="-2" w:leftChars="-1" w:right="-817" w:rightChars="-389"/>
        <w:rPr>
          <w:rFonts w:ascii="宋体" w:hAnsi="宋体"/>
          <w:color w:val="000000"/>
          <w:szCs w:val="21"/>
          <w:highlight w:val="none"/>
        </w:rPr>
      </w:pPr>
      <w:r>
        <w:rPr>
          <w:rFonts w:hint="eastAsia" w:ascii="宋体" w:hAnsi="宋体"/>
          <w:color w:val="000000"/>
          <w:szCs w:val="21"/>
          <w:highlight w:val="none"/>
        </w:rPr>
        <w:t xml:space="preserve">法定代表人（或负责人）或者委托代理人（签字或电子签名）： </w:t>
      </w:r>
    </w:p>
    <w:p w14:paraId="7C2476CC">
      <w:pPr>
        <w:snapToGrid w:val="0"/>
        <w:spacing w:line="360" w:lineRule="auto"/>
        <w:ind w:left="-6" w:leftChars="-15" w:right="-817" w:rightChars="-389" w:hanging="25" w:hangingChars="12"/>
        <w:rPr>
          <w:rFonts w:ascii="宋体" w:hAnsi="宋体"/>
          <w:color w:val="000000"/>
          <w:szCs w:val="21"/>
          <w:highlight w:val="none"/>
        </w:rPr>
      </w:pPr>
      <w:r>
        <w:rPr>
          <w:rFonts w:hint="eastAsia" w:ascii="宋体" w:hAnsi="宋体"/>
          <w:color w:val="000000"/>
          <w:szCs w:val="21"/>
          <w:highlight w:val="none"/>
        </w:rPr>
        <w:t xml:space="preserve">                                    投标人名称（电子签章）：</w:t>
      </w:r>
    </w:p>
    <w:p w14:paraId="7C2251F6">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 xml:space="preserve">                                    日期：    年   月   日</w:t>
      </w:r>
    </w:p>
    <w:p w14:paraId="3451A469">
      <w:pPr>
        <w:snapToGrid w:val="0"/>
        <w:jc w:val="center"/>
        <w:rPr>
          <w:rFonts w:ascii="宋体" w:hAnsi="宋体"/>
          <w:b/>
          <w:color w:val="000000"/>
          <w:sz w:val="28"/>
          <w:szCs w:val="28"/>
          <w:highlight w:val="none"/>
        </w:rPr>
      </w:pPr>
    </w:p>
    <w:p w14:paraId="2F28466A">
      <w:pPr>
        <w:snapToGrid w:val="0"/>
        <w:spacing w:line="360" w:lineRule="auto"/>
        <w:jc w:val="center"/>
        <w:rPr>
          <w:rFonts w:ascii="宋体" w:hAnsi="宋体"/>
          <w:color w:val="000000"/>
          <w:sz w:val="32"/>
          <w:szCs w:val="32"/>
          <w:highlight w:val="none"/>
        </w:rPr>
      </w:pPr>
      <w:r>
        <w:rPr>
          <w:rFonts w:ascii="宋体" w:hAnsi="宋体"/>
          <w:b/>
          <w:color w:val="000000"/>
          <w:sz w:val="32"/>
          <w:szCs w:val="32"/>
          <w:highlight w:val="none"/>
        </w:rPr>
        <w:br w:type="page"/>
      </w:r>
      <w:r>
        <w:rPr>
          <w:rFonts w:hint="eastAsia" w:ascii="宋体" w:hAnsi="宋体"/>
          <w:b/>
          <w:color w:val="000000"/>
          <w:sz w:val="32"/>
          <w:szCs w:val="32"/>
          <w:highlight w:val="none"/>
        </w:rPr>
        <w:t>投标人直接管理关系信息表</w:t>
      </w:r>
    </w:p>
    <w:tbl>
      <w:tblPr>
        <w:tblStyle w:val="48"/>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1281FA5">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7A7C60E">
            <w:pPr>
              <w:spacing w:line="360" w:lineRule="auto"/>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63C647">
            <w:pPr>
              <w:spacing w:line="360" w:lineRule="auto"/>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1B2AF3">
            <w:pPr>
              <w:spacing w:line="360" w:lineRule="auto"/>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A5314C3">
            <w:pPr>
              <w:spacing w:line="360" w:lineRule="auto"/>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14:paraId="0C818FF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2B083C">
            <w:pPr>
              <w:spacing w:line="360" w:lineRule="auto"/>
              <w:jc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EAFEFE">
            <w:pPr>
              <w:spacing w:line="360" w:lineRule="auto"/>
              <w:jc w:val="center"/>
              <w:rPr>
                <w:rFonts w:ascii="宋体" w:hAnsi="宋体" w:cs="宋体"/>
                <w:color w:val="000000"/>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F539BF">
            <w:pPr>
              <w:spacing w:line="360" w:lineRule="auto"/>
              <w:jc w:val="center"/>
              <w:rPr>
                <w:rFonts w:ascii="宋体" w:hAnsi="宋体" w:cs="宋体"/>
                <w:color w:val="000000"/>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FE6447">
            <w:pPr>
              <w:spacing w:line="360" w:lineRule="auto"/>
              <w:jc w:val="center"/>
              <w:rPr>
                <w:rFonts w:ascii="宋体" w:hAnsi="宋体" w:cs="宋体"/>
                <w:color w:val="000000"/>
                <w:kern w:val="0"/>
                <w:szCs w:val="21"/>
                <w:highlight w:val="none"/>
              </w:rPr>
            </w:pPr>
          </w:p>
        </w:tc>
      </w:tr>
      <w:tr w14:paraId="2788961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CEBA54">
            <w:pPr>
              <w:spacing w:line="360" w:lineRule="auto"/>
              <w:jc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2B9391">
            <w:pPr>
              <w:spacing w:line="360" w:lineRule="auto"/>
              <w:jc w:val="center"/>
              <w:rPr>
                <w:rFonts w:ascii="宋体" w:hAnsi="宋体" w:cs="宋体"/>
                <w:color w:val="000000"/>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618A36">
            <w:pPr>
              <w:spacing w:line="360" w:lineRule="auto"/>
              <w:jc w:val="center"/>
              <w:rPr>
                <w:rFonts w:ascii="宋体" w:hAnsi="宋体" w:cs="宋体"/>
                <w:color w:val="000000"/>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13393B">
            <w:pPr>
              <w:spacing w:line="360" w:lineRule="auto"/>
              <w:jc w:val="center"/>
              <w:rPr>
                <w:rFonts w:ascii="宋体" w:hAnsi="宋体" w:cs="宋体"/>
                <w:color w:val="000000"/>
                <w:kern w:val="0"/>
                <w:szCs w:val="21"/>
                <w:highlight w:val="none"/>
              </w:rPr>
            </w:pPr>
          </w:p>
        </w:tc>
      </w:tr>
      <w:tr w14:paraId="4BC72CD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67A839">
            <w:pPr>
              <w:spacing w:line="360" w:lineRule="auto"/>
              <w:jc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F98F90">
            <w:pPr>
              <w:spacing w:line="360" w:lineRule="auto"/>
              <w:jc w:val="center"/>
              <w:rPr>
                <w:rFonts w:ascii="宋体" w:hAnsi="宋体" w:cs="宋体"/>
                <w:color w:val="000000"/>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3B743F">
            <w:pPr>
              <w:spacing w:line="360" w:lineRule="auto"/>
              <w:jc w:val="center"/>
              <w:rPr>
                <w:rFonts w:ascii="宋体" w:hAnsi="宋体" w:cs="宋体"/>
                <w:color w:val="000000"/>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0FA69B">
            <w:pPr>
              <w:spacing w:line="360" w:lineRule="auto"/>
              <w:jc w:val="center"/>
              <w:rPr>
                <w:rFonts w:ascii="宋体" w:hAnsi="宋体" w:cs="宋体"/>
                <w:color w:val="000000"/>
                <w:kern w:val="0"/>
                <w:szCs w:val="21"/>
                <w:highlight w:val="none"/>
              </w:rPr>
            </w:pPr>
          </w:p>
        </w:tc>
      </w:tr>
      <w:tr w14:paraId="3EBD606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EFE317">
            <w:pPr>
              <w:spacing w:line="360" w:lineRule="auto"/>
              <w:jc w:val="center"/>
              <w:rPr>
                <w:rFonts w:ascii="宋体" w:hAnsi="宋体" w:cs="宋体"/>
                <w:color w:val="000000"/>
                <w:kern w:val="0"/>
                <w:szCs w:val="21"/>
                <w:highlight w:val="none"/>
              </w:rPr>
            </w:pPr>
            <w:r>
              <w:rPr>
                <w:rFonts w:hint="eastAsia" w:ascii="宋体" w:hAnsi="宋体" w:cs="宋体"/>
                <w:color w:val="000000"/>
                <w:kern w:val="0"/>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A3B101">
            <w:pPr>
              <w:spacing w:line="360" w:lineRule="auto"/>
              <w:jc w:val="center"/>
              <w:rPr>
                <w:rFonts w:ascii="宋体" w:hAnsi="宋体" w:cs="宋体"/>
                <w:color w:val="000000"/>
                <w:kern w:val="0"/>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A87B46">
            <w:pPr>
              <w:spacing w:line="360" w:lineRule="auto"/>
              <w:jc w:val="center"/>
              <w:rPr>
                <w:rFonts w:ascii="宋体" w:hAnsi="宋体" w:cs="宋体"/>
                <w:color w:val="000000"/>
                <w:kern w:val="0"/>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9CF9A5">
            <w:pPr>
              <w:spacing w:line="360" w:lineRule="auto"/>
              <w:jc w:val="center"/>
              <w:rPr>
                <w:rFonts w:ascii="宋体" w:hAnsi="宋体" w:cs="宋体"/>
                <w:color w:val="000000"/>
                <w:kern w:val="0"/>
                <w:szCs w:val="21"/>
                <w:highlight w:val="none"/>
              </w:rPr>
            </w:pPr>
          </w:p>
        </w:tc>
      </w:tr>
    </w:tbl>
    <w:p w14:paraId="465EE270">
      <w:pPr>
        <w:snapToGrid w:val="0"/>
        <w:spacing w:line="360" w:lineRule="auto"/>
        <w:jc w:val="left"/>
        <w:rPr>
          <w:rFonts w:ascii="宋体" w:hAnsi="宋体"/>
          <w:color w:val="000000"/>
          <w:szCs w:val="21"/>
          <w:highlight w:val="none"/>
        </w:rPr>
      </w:pPr>
      <w:r>
        <w:rPr>
          <w:rFonts w:hint="eastAsia" w:ascii="宋体" w:hAnsi="宋体"/>
          <w:color w:val="000000"/>
          <w:szCs w:val="21"/>
          <w:highlight w:val="none"/>
        </w:rPr>
        <w:t>注：</w:t>
      </w:r>
    </w:p>
    <w:p w14:paraId="35F4C203">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1.管理关系：是指不具有出资持股关系的其他单位之间存在的管理与被管理关系，如一些上下级关系的事业单位和团体组织。</w:t>
      </w:r>
    </w:p>
    <w:p w14:paraId="5946B016">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2.</w:t>
      </w:r>
      <w:r>
        <w:rPr>
          <w:rFonts w:hint="eastAsia" w:ascii="宋体" w:hAnsi="宋体"/>
          <w:color w:val="000000"/>
          <w:spacing w:val="-6"/>
          <w:szCs w:val="21"/>
          <w:highlight w:val="none"/>
        </w:rPr>
        <w:t>本表所指的管理关系仅限于直接管理关系，不包括间接的管理关系。</w:t>
      </w:r>
    </w:p>
    <w:p w14:paraId="6863F5D7">
      <w:pPr>
        <w:snapToGrid w:val="0"/>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3.供应商不存在直接管理关系的，则在“</w:t>
      </w:r>
      <w:r>
        <w:rPr>
          <w:rFonts w:hint="eastAsia" w:ascii="宋体" w:hAnsi="宋体" w:cs="宋体"/>
          <w:b/>
          <w:bCs/>
          <w:color w:val="000000"/>
          <w:kern w:val="0"/>
          <w:szCs w:val="21"/>
          <w:highlight w:val="none"/>
        </w:rPr>
        <w:t>直接管理关系单位名称</w:t>
      </w:r>
      <w:r>
        <w:rPr>
          <w:rFonts w:hint="eastAsia" w:ascii="宋体" w:hAnsi="宋体"/>
          <w:color w:val="000000"/>
          <w:szCs w:val="21"/>
          <w:highlight w:val="none"/>
        </w:rPr>
        <w:t>”中填“无”。</w:t>
      </w:r>
    </w:p>
    <w:p w14:paraId="3EB46BD4">
      <w:pPr>
        <w:snapToGrid w:val="0"/>
        <w:spacing w:line="360" w:lineRule="auto"/>
        <w:jc w:val="left"/>
        <w:rPr>
          <w:rFonts w:ascii="宋体" w:hAnsi="宋体"/>
          <w:color w:val="000000"/>
          <w:szCs w:val="21"/>
          <w:highlight w:val="none"/>
        </w:rPr>
      </w:pPr>
    </w:p>
    <w:p w14:paraId="2F9607A0">
      <w:pPr>
        <w:snapToGrid w:val="0"/>
        <w:spacing w:line="360" w:lineRule="auto"/>
        <w:jc w:val="left"/>
        <w:rPr>
          <w:rFonts w:ascii="宋体" w:hAnsi="宋体"/>
          <w:color w:val="000000"/>
          <w:szCs w:val="21"/>
          <w:highlight w:val="none"/>
        </w:rPr>
      </w:pPr>
    </w:p>
    <w:p w14:paraId="72CCA12F">
      <w:pPr>
        <w:snapToGrid w:val="0"/>
        <w:spacing w:line="360" w:lineRule="auto"/>
        <w:jc w:val="left"/>
        <w:rPr>
          <w:rFonts w:ascii="宋体" w:hAnsi="宋体"/>
          <w:color w:val="000000"/>
          <w:szCs w:val="21"/>
          <w:highlight w:val="none"/>
        </w:rPr>
      </w:pPr>
    </w:p>
    <w:p w14:paraId="231F7559">
      <w:pPr>
        <w:snapToGrid w:val="0"/>
        <w:spacing w:line="360" w:lineRule="auto"/>
        <w:jc w:val="left"/>
        <w:rPr>
          <w:color w:val="000000"/>
          <w:szCs w:val="21"/>
          <w:highlight w:val="none"/>
        </w:rPr>
      </w:pPr>
    </w:p>
    <w:p w14:paraId="5CB6E8F6">
      <w:pPr>
        <w:snapToGrid w:val="0"/>
        <w:spacing w:line="360" w:lineRule="auto"/>
        <w:ind w:left="-2" w:leftChars="-1" w:right="-817" w:rightChars="-389"/>
        <w:rPr>
          <w:rFonts w:ascii="宋体" w:hAnsi="宋体"/>
          <w:color w:val="000000"/>
          <w:szCs w:val="21"/>
          <w:highlight w:val="none"/>
        </w:rPr>
      </w:pPr>
      <w:r>
        <w:rPr>
          <w:rFonts w:hint="eastAsia" w:ascii="宋体" w:hAnsi="宋体"/>
          <w:color w:val="000000"/>
          <w:szCs w:val="21"/>
          <w:highlight w:val="none"/>
        </w:rPr>
        <w:t xml:space="preserve">法定代表人（或负责人）或者委托代理人（签字或电子签名）： </w:t>
      </w:r>
    </w:p>
    <w:p w14:paraId="27CD5534">
      <w:pPr>
        <w:snapToGrid w:val="0"/>
        <w:spacing w:line="360" w:lineRule="auto"/>
        <w:ind w:left="-6" w:leftChars="-15" w:right="-817" w:rightChars="-389" w:hanging="25" w:hangingChars="12"/>
        <w:rPr>
          <w:rFonts w:ascii="宋体" w:hAnsi="宋体"/>
          <w:color w:val="000000"/>
          <w:szCs w:val="21"/>
          <w:highlight w:val="none"/>
        </w:rPr>
      </w:pPr>
      <w:r>
        <w:rPr>
          <w:rFonts w:hint="eastAsia" w:ascii="宋体" w:hAnsi="宋体"/>
          <w:color w:val="000000"/>
          <w:szCs w:val="21"/>
          <w:highlight w:val="none"/>
        </w:rPr>
        <w:t xml:space="preserve">                                  投标人名称（电子签章）：</w:t>
      </w:r>
    </w:p>
    <w:p w14:paraId="7CE26898">
      <w:pPr>
        <w:snapToGrid w:val="0"/>
        <w:spacing w:line="360" w:lineRule="auto"/>
        <w:ind w:right="480" w:firstLine="210" w:firstLineChars="100"/>
        <w:jc w:val="left"/>
        <w:rPr>
          <w:rFonts w:ascii="宋体" w:hAnsi="宋体"/>
          <w:color w:val="000000"/>
          <w:szCs w:val="21"/>
          <w:highlight w:val="none"/>
        </w:rPr>
      </w:pPr>
      <w:r>
        <w:rPr>
          <w:rFonts w:hint="eastAsia" w:ascii="宋体" w:hAnsi="宋体"/>
          <w:color w:val="000000"/>
          <w:szCs w:val="21"/>
          <w:highlight w:val="none"/>
        </w:rPr>
        <w:t xml:space="preserve">                                日期：    年   月   日</w:t>
      </w:r>
    </w:p>
    <w:p w14:paraId="1678FDDE">
      <w:pPr>
        <w:snapToGrid w:val="0"/>
        <w:spacing w:before="120" w:beforeLines="50" w:after="50"/>
        <w:jc w:val="left"/>
        <w:rPr>
          <w:rFonts w:ascii="宋体" w:hAnsi="宋体"/>
          <w:b/>
          <w:color w:val="000000"/>
          <w:sz w:val="24"/>
          <w:szCs w:val="20"/>
          <w:highlight w:val="none"/>
        </w:rPr>
      </w:pPr>
    </w:p>
    <w:p w14:paraId="09CC0CFB">
      <w:pPr>
        <w:numPr>
          <w:ilvl w:val="2"/>
          <w:numId w:val="11"/>
        </w:numPr>
        <w:snapToGrid w:val="0"/>
        <w:spacing w:before="120" w:beforeLines="50" w:after="50"/>
        <w:ind w:left="0" w:firstLine="0"/>
        <w:jc w:val="left"/>
        <w:rPr>
          <w:rFonts w:ascii="宋体" w:hAnsi="宋体"/>
          <w:b/>
          <w:color w:val="000000"/>
          <w:sz w:val="24"/>
          <w:szCs w:val="20"/>
          <w:highlight w:val="none"/>
        </w:rPr>
      </w:pPr>
      <w:r>
        <w:rPr>
          <w:rFonts w:ascii="宋体" w:hAnsi="宋体"/>
          <w:b/>
          <w:color w:val="000000"/>
          <w:sz w:val="24"/>
          <w:highlight w:val="none"/>
        </w:rPr>
        <w:br w:type="page"/>
      </w:r>
      <w:r>
        <w:rPr>
          <w:rFonts w:hint="eastAsia" w:ascii="宋体" w:hAnsi="宋体"/>
          <w:b/>
          <w:color w:val="000000"/>
          <w:sz w:val="24"/>
          <w:highlight w:val="none"/>
        </w:rPr>
        <w:t>投标声明</w:t>
      </w:r>
    </w:p>
    <w:p w14:paraId="340C22DB">
      <w:pPr>
        <w:snapToGrid w:val="0"/>
        <w:spacing w:before="50" w:after="120" w:afterLines="50"/>
        <w:jc w:val="left"/>
        <w:rPr>
          <w:rFonts w:ascii="宋体" w:hAnsi="宋体"/>
          <w:color w:val="000000"/>
          <w:highlight w:val="none"/>
        </w:rPr>
      </w:pPr>
    </w:p>
    <w:p w14:paraId="75F1FCCA">
      <w:pPr>
        <w:snapToGrid w:val="0"/>
        <w:spacing w:before="50" w:after="120" w:afterLines="5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投标声明</w:t>
      </w:r>
    </w:p>
    <w:p w14:paraId="21C0BFE2">
      <w:pPr>
        <w:spacing w:line="400" w:lineRule="exact"/>
        <w:contextualSpacing/>
        <w:jc w:val="left"/>
        <w:rPr>
          <w:color w:val="000000"/>
          <w:szCs w:val="21"/>
          <w:highlight w:val="none"/>
        </w:rPr>
      </w:pPr>
      <w:r>
        <w:rPr>
          <w:rFonts w:hint="eastAsia"/>
          <w:color w:val="000000"/>
          <w:szCs w:val="21"/>
          <w:highlight w:val="none"/>
        </w:rPr>
        <w:t>（采购人名称）：</w:t>
      </w:r>
    </w:p>
    <w:p w14:paraId="31D7B962">
      <w:pPr>
        <w:spacing w:line="400" w:lineRule="exact"/>
        <w:ind w:firstLine="457" w:firstLineChars="218"/>
        <w:contextualSpacing/>
        <w:jc w:val="left"/>
        <w:rPr>
          <w:rFonts w:ascii="宋体" w:hAnsi="宋体"/>
          <w:color w:val="000000"/>
          <w:szCs w:val="21"/>
          <w:highlight w:val="none"/>
        </w:rPr>
      </w:pPr>
      <w:r>
        <w:rPr>
          <w:rFonts w:hint="eastAsia" w:ascii="宋体" w:hAnsi="宋体"/>
          <w:color w:val="000000"/>
          <w:szCs w:val="21"/>
          <w:highlight w:val="none"/>
        </w:rPr>
        <w:t>我方参加贵单位组织</w:t>
      </w:r>
      <w:r>
        <w:rPr>
          <w:rFonts w:hint="eastAsia" w:ascii="宋体" w:hAnsi="宋体"/>
          <w:color w:val="000000"/>
          <w:szCs w:val="21"/>
          <w:highlight w:val="none"/>
          <w:u w:val="single"/>
        </w:rPr>
        <w:t xml:space="preserve">             </w:t>
      </w:r>
      <w:r>
        <w:rPr>
          <w:rFonts w:hint="eastAsia" w:ascii="宋体" w:hAnsi="宋体"/>
          <w:color w:val="000000"/>
          <w:szCs w:val="21"/>
          <w:highlight w:val="none"/>
        </w:rPr>
        <w:t>项目（项目编号：</w:t>
      </w:r>
      <w:r>
        <w:rPr>
          <w:rFonts w:hint="eastAsia" w:ascii="宋体" w:hAnsi="宋体"/>
          <w:color w:val="000000"/>
          <w:szCs w:val="21"/>
          <w:highlight w:val="none"/>
          <w:u w:val="single"/>
        </w:rPr>
        <w:t xml:space="preserve">       </w:t>
      </w:r>
      <w:r>
        <w:rPr>
          <w:rFonts w:hint="eastAsia" w:ascii="宋体" w:hAnsi="宋体"/>
          <w:color w:val="000000"/>
          <w:szCs w:val="21"/>
          <w:highlight w:val="none"/>
        </w:rPr>
        <w:t>）的政府采购活动。我方在此郑重声明：</w:t>
      </w:r>
    </w:p>
    <w:p w14:paraId="5BF1DCE6">
      <w:pPr>
        <w:spacing w:line="40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CB1640D">
      <w:pPr>
        <w:spacing w:line="40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2.我方不是为本次采购项目提供整体设计、规范编制或者项目管理、监理、检测等服务的供应商。</w:t>
      </w:r>
    </w:p>
    <w:p w14:paraId="685723D8">
      <w:pPr>
        <w:spacing w:line="40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3. 我方承诺符合《中华人民共和国政府采购法》第二十二条规定：</w:t>
      </w:r>
    </w:p>
    <w:p w14:paraId="435A4F91">
      <w:pPr>
        <w:spacing w:line="40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（一）具有独立承担民事责任的能力；</w:t>
      </w:r>
    </w:p>
    <w:p w14:paraId="5CE740C3">
      <w:pPr>
        <w:spacing w:line="40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（二）具有良好的商业信誉和健全的财务会计制度；</w:t>
      </w:r>
    </w:p>
    <w:p w14:paraId="1E3B72F0">
      <w:pPr>
        <w:spacing w:line="40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（三）具有履行合同所必需的设备和专业技术能力；</w:t>
      </w:r>
    </w:p>
    <w:p w14:paraId="6B7262B0">
      <w:pPr>
        <w:spacing w:line="40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（四）有依法缴纳税收和社会保障资金的良好记录；</w:t>
      </w:r>
    </w:p>
    <w:p w14:paraId="4F4E0CA2">
      <w:pPr>
        <w:spacing w:line="40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（五）参加政府采购活动前三年内，在经营活动中没有重大违法记录；</w:t>
      </w:r>
    </w:p>
    <w:p w14:paraId="630712E8">
      <w:pPr>
        <w:spacing w:line="40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（六）法律、行政法规规定的其他条件。</w:t>
      </w:r>
    </w:p>
    <w:p w14:paraId="3928A49C">
      <w:pPr>
        <w:spacing w:line="400" w:lineRule="exact"/>
        <w:ind w:firstLine="420" w:firstLineChars="200"/>
        <w:contextualSpacing/>
        <w:jc w:val="left"/>
        <w:rPr>
          <w:rFonts w:ascii="宋体" w:hAnsi="宋体"/>
          <w:color w:val="000000"/>
          <w:szCs w:val="21"/>
          <w:highlight w:val="none"/>
        </w:rPr>
      </w:pPr>
      <w:r>
        <w:rPr>
          <w:rFonts w:hint="eastAsia" w:ascii="宋体" w:hAnsi="宋体"/>
          <w:color w:val="000000"/>
          <w:szCs w:val="21"/>
          <w:highlight w:val="none"/>
        </w:rPr>
        <w:t>4.以上事项如有虚假或者隐瞒，我方愿意承担一切后果，并不再寻求任何旨在减轻或者免除法律责任的辩解。</w:t>
      </w:r>
    </w:p>
    <w:p w14:paraId="2E7C05D8">
      <w:pPr>
        <w:spacing w:line="400" w:lineRule="exact"/>
        <w:contextualSpacing/>
        <w:jc w:val="left"/>
        <w:rPr>
          <w:rFonts w:ascii="宋体" w:hAnsi="宋体"/>
          <w:color w:val="000000"/>
          <w:szCs w:val="21"/>
          <w:highlight w:val="none"/>
        </w:rPr>
      </w:pPr>
      <w:r>
        <w:rPr>
          <w:rFonts w:hint="eastAsia" w:ascii="宋体" w:hAnsi="宋体"/>
          <w:color w:val="000000"/>
          <w:szCs w:val="21"/>
          <w:highlight w:val="none"/>
        </w:rPr>
        <w:t xml:space="preserve">    特此承诺。</w:t>
      </w:r>
    </w:p>
    <w:p w14:paraId="57A17240">
      <w:pPr>
        <w:spacing w:line="400" w:lineRule="exact"/>
        <w:ind w:firstLine="2520" w:firstLineChars="1200"/>
        <w:contextualSpacing/>
        <w:jc w:val="left"/>
        <w:rPr>
          <w:rFonts w:ascii="宋体" w:hAnsi="宋体"/>
          <w:color w:val="000000"/>
          <w:szCs w:val="21"/>
          <w:highlight w:val="none"/>
        </w:rPr>
      </w:pPr>
      <w:r>
        <w:rPr>
          <w:rFonts w:hint="eastAsia" w:ascii="宋体" w:hAnsi="宋体"/>
          <w:color w:val="000000"/>
          <w:szCs w:val="21"/>
          <w:highlight w:val="none"/>
        </w:rPr>
        <w:t>法定代表人（或负责人）（签字或电子签名）：</w:t>
      </w:r>
      <w:r>
        <w:rPr>
          <w:rFonts w:hint="eastAsia" w:ascii="宋体" w:hAnsi="宋体"/>
          <w:color w:val="000000"/>
          <w:szCs w:val="21"/>
          <w:highlight w:val="none"/>
          <w:u w:val="single"/>
        </w:rPr>
        <w:t xml:space="preserve">             </w:t>
      </w:r>
    </w:p>
    <w:p w14:paraId="26706361">
      <w:pPr>
        <w:spacing w:line="400" w:lineRule="exact"/>
        <w:contextualSpacing/>
        <w:jc w:val="left"/>
        <w:rPr>
          <w:rFonts w:ascii="宋体" w:hAnsi="宋体"/>
          <w:color w:val="000000"/>
          <w:szCs w:val="21"/>
          <w:highlight w:val="none"/>
        </w:rPr>
      </w:pPr>
      <w:r>
        <w:rPr>
          <w:rFonts w:hint="eastAsia" w:ascii="宋体" w:hAnsi="宋体"/>
          <w:color w:val="000000"/>
          <w:szCs w:val="21"/>
          <w:highlight w:val="none"/>
        </w:rPr>
        <w:t xml:space="preserve">                                         投标人名称（电子签章）：</w:t>
      </w:r>
      <w:r>
        <w:rPr>
          <w:rFonts w:hint="eastAsia" w:ascii="宋体" w:hAnsi="宋体"/>
          <w:color w:val="000000"/>
          <w:szCs w:val="21"/>
          <w:highlight w:val="none"/>
          <w:u w:val="single"/>
        </w:rPr>
        <w:t xml:space="preserve">                 </w:t>
      </w:r>
    </w:p>
    <w:p w14:paraId="14B80471">
      <w:pPr>
        <w:spacing w:line="400" w:lineRule="exact"/>
        <w:contextualSpacing/>
        <w:jc w:val="left"/>
        <w:rPr>
          <w:rFonts w:ascii="宋体" w:hAnsi="宋体"/>
          <w:color w:val="000000"/>
          <w:szCs w:val="21"/>
          <w:highlight w:val="none"/>
        </w:rPr>
      </w:pPr>
      <w:r>
        <w:rPr>
          <w:rFonts w:hint="eastAsia" w:ascii="宋体" w:hAnsi="宋体"/>
          <w:color w:val="000000"/>
          <w:szCs w:val="21"/>
          <w:highlight w:val="none"/>
        </w:rPr>
        <w:t xml:space="preserve">                                                  年    月    日</w:t>
      </w:r>
    </w:p>
    <w:p w14:paraId="0C68F293">
      <w:pPr>
        <w:spacing w:line="440" w:lineRule="exact"/>
        <w:contextualSpacing/>
        <w:rPr>
          <w:rFonts w:ascii="宋体" w:hAnsi="宋体"/>
          <w:b/>
          <w:color w:val="000000"/>
          <w:szCs w:val="21"/>
          <w:highlight w:val="none"/>
        </w:rPr>
      </w:pPr>
      <w:bookmarkStart w:id="167" w:name="_Toc19686838"/>
      <w:r>
        <w:rPr>
          <w:rFonts w:hint="eastAsia" w:ascii="宋体" w:hAnsi="宋体"/>
          <w:b/>
          <w:color w:val="000000"/>
          <w:szCs w:val="21"/>
          <w:highlight w:val="none"/>
        </w:rPr>
        <w:t>注：1.如为联合体投标，盖章处须加盖联合体牵头人电子签章并由联合体各方法定代表人（或负责人）分别签字或者电子签名，否则投标无效。</w:t>
      </w:r>
    </w:p>
    <w:p w14:paraId="176F8EF5">
      <w:pPr>
        <w:spacing w:line="440" w:lineRule="exact"/>
        <w:contextualSpacing/>
        <w:jc w:val="left"/>
        <w:rPr>
          <w:rFonts w:ascii="宋体" w:hAnsi="宋体"/>
          <w:b/>
          <w:color w:val="000000"/>
          <w:szCs w:val="21"/>
          <w:highlight w:val="none"/>
        </w:rPr>
      </w:pPr>
      <w:r>
        <w:rPr>
          <w:rFonts w:hint="eastAsia" w:ascii="宋体" w:hAnsi="宋体"/>
          <w:b/>
          <w:color w:val="000000"/>
          <w:szCs w:val="21"/>
          <w:highlight w:val="none"/>
        </w:rPr>
        <w:t>2</w:t>
      </w:r>
      <w:r>
        <w:rPr>
          <w:rFonts w:hint="eastAsia" w:ascii="宋体" w:hAnsi="宋体" w:cs="仿宋_GB2312"/>
          <w:color w:val="000000"/>
          <w:szCs w:val="21"/>
          <w:highlight w:val="none"/>
        </w:rPr>
        <w:t>.法定代表人（或负责人）必须在授权委托书上亲笔签字或者盖章</w:t>
      </w:r>
      <w:r>
        <w:rPr>
          <w:rFonts w:hint="eastAsia" w:ascii="宋体" w:hAnsi="宋体"/>
          <w:color w:val="000000"/>
          <w:szCs w:val="21"/>
          <w:highlight w:val="none"/>
        </w:rPr>
        <w:t>或者电子签名</w:t>
      </w:r>
      <w:r>
        <w:rPr>
          <w:rFonts w:hint="eastAsia" w:ascii="宋体" w:hAnsi="宋体" w:cs="仿宋_GB2312"/>
          <w:color w:val="000000"/>
          <w:szCs w:val="21"/>
          <w:highlight w:val="none"/>
        </w:rPr>
        <w:t>，</w:t>
      </w:r>
      <w:r>
        <w:rPr>
          <w:rFonts w:hint="eastAsia" w:ascii="宋体" w:hAnsi="宋体" w:cs="仿宋_GB2312"/>
          <w:b/>
          <w:bCs/>
          <w:color w:val="000000"/>
          <w:szCs w:val="21"/>
          <w:highlight w:val="none"/>
        </w:rPr>
        <w:t>否则按无效投标处理</w:t>
      </w:r>
      <w:r>
        <w:rPr>
          <w:rFonts w:hint="eastAsia" w:ascii="宋体" w:hAnsi="宋体" w:cs="仿宋_GB2312"/>
          <w:color w:val="000000"/>
          <w:szCs w:val="21"/>
          <w:highlight w:val="none"/>
        </w:rPr>
        <w:t>；</w:t>
      </w:r>
    </w:p>
    <w:p w14:paraId="22E21CA6">
      <w:pPr>
        <w:rPr>
          <w:b/>
          <w:color w:val="000000"/>
          <w:sz w:val="28"/>
          <w:szCs w:val="28"/>
          <w:highlight w:val="none"/>
        </w:rPr>
      </w:pPr>
      <w:r>
        <w:rPr>
          <w:b/>
          <w:color w:val="000000"/>
          <w:sz w:val="28"/>
          <w:szCs w:val="28"/>
          <w:highlight w:val="none"/>
        </w:rPr>
        <w:br w:type="page"/>
      </w:r>
      <w:r>
        <w:rPr>
          <w:rFonts w:hint="eastAsia"/>
          <w:b/>
          <w:color w:val="000000"/>
          <w:sz w:val="28"/>
          <w:szCs w:val="28"/>
          <w:highlight w:val="none"/>
        </w:rPr>
        <w:t>三、商务文件格式</w:t>
      </w:r>
      <w:bookmarkEnd w:id="167"/>
    </w:p>
    <w:p w14:paraId="15B5377D">
      <w:pPr>
        <w:snapToGrid w:val="0"/>
        <w:spacing w:before="120" w:beforeLines="50" w:after="50" w:line="360" w:lineRule="auto"/>
        <w:jc w:val="left"/>
        <w:rPr>
          <w:rFonts w:ascii="宋体" w:hAnsi="宋体"/>
          <w:b/>
          <w:color w:val="000000"/>
          <w:sz w:val="24"/>
          <w:highlight w:val="none"/>
        </w:rPr>
      </w:pPr>
      <w:r>
        <w:rPr>
          <w:rFonts w:hint="eastAsia" w:ascii="宋体" w:hAnsi="宋体"/>
          <w:b/>
          <w:color w:val="000000"/>
          <w:sz w:val="24"/>
          <w:highlight w:val="none"/>
        </w:rPr>
        <w:t xml:space="preserve">1.商务文件封面格式： </w:t>
      </w:r>
    </w:p>
    <w:p w14:paraId="5D058595">
      <w:pPr>
        <w:snapToGrid w:val="0"/>
        <w:spacing w:before="120" w:beforeLines="50" w:after="50"/>
        <w:jc w:val="center"/>
        <w:rPr>
          <w:rFonts w:ascii="宋体" w:hAnsi="宋体" w:eastAsia="仿宋"/>
          <w:bCs/>
          <w:color w:val="000000"/>
          <w:sz w:val="48"/>
          <w:szCs w:val="48"/>
          <w:highlight w:val="none"/>
        </w:rPr>
      </w:pPr>
    </w:p>
    <w:p w14:paraId="13032523">
      <w:pPr>
        <w:snapToGrid w:val="0"/>
        <w:spacing w:before="120" w:beforeLines="50" w:after="50"/>
        <w:jc w:val="center"/>
        <w:rPr>
          <w:rFonts w:hint="eastAsia" w:ascii="宋体" w:hAnsi="宋体" w:eastAsia="宋体" w:cs="宋体"/>
          <w:color w:val="000000"/>
          <w:sz w:val="24"/>
          <w:highlight w:val="none"/>
        </w:rPr>
      </w:pPr>
      <w:r>
        <w:rPr>
          <w:rFonts w:hint="eastAsia" w:ascii="宋体" w:hAnsi="宋体" w:eastAsia="宋体" w:cs="宋体"/>
          <w:bCs/>
          <w:color w:val="000000"/>
          <w:sz w:val="48"/>
          <w:szCs w:val="48"/>
          <w:highlight w:val="none"/>
        </w:rPr>
        <w:t>电子投标文件</w:t>
      </w:r>
    </w:p>
    <w:p w14:paraId="64C8484D">
      <w:pPr>
        <w:snapToGrid w:val="0"/>
        <w:spacing w:before="120" w:beforeLines="50" w:after="50"/>
        <w:jc w:val="center"/>
        <w:rPr>
          <w:rFonts w:hint="eastAsia" w:ascii="宋体" w:hAnsi="宋体" w:eastAsia="宋体" w:cs="宋体"/>
          <w:bCs/>
          <w:color w:val="000000"/>
          <w:sz w:val="44"/>
          <w:szCs w:val="44"/>
          <w:highlight w:val="none"/>
        </w:rPr>
      </w:pPr>
    </w:p>
    <w:p w14:paraId="4093DFC0">
      <w:pPr>
        <w:snapToGrid w:val="0"/>
        <w:spacing w:before="120" w:beforeLines="50" w:after="5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商  务  文  件</w:t>
      </w:r>
    </w:p>
    <w:p w14:paraId="633CB83A">
      <w:pPr>
        <w:snapToGrid w:val="0"/>
        <w:spacing w:before="120" w:beforeLines="50" w:after="50"/>
        <w:rPr>
          <w:rFonts w:hint="eastAsia" w:ascii="宋体" w:hAnsi="宋体" w:eastAsia="宋体" w:cs="宋体"/>
          <w:bCs/>
          <w:color w:val="000000"/>
          <w:sz w:val="24"/>
          <w:szCs w:val="20"/>
          <w:highlight w:val="none"/>
        </w:rPr>
      </w:pPr>
    </w:p>
    <w:p w14:paraId="409A6AFA">
      <w:pPr>
        <w:snapToGrid w:val="0"/>
        <w:spacing w:before="120" w:beforeLines="50" w:after="50"/>
        <w:ind w:firstLine="540" w:firstLineChars="225"/>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项目名称：</w:t>
      </w:r>
    </w:p>
    <w:p w14:paraId="5C2BFB4C">
      <w:pPr>
        <w:snapToGrid w:val="0"/>
        <w:spacing w:before="120" w:beforeLines="50" w:after="50"/>
        <w:ind w:firstLine="540" w:firstLineChars="225"/>
        <w:rPr>
          <w:rFonts w:hint="eastAsia" w:ascii="宋体" w:hAnsi="宋体" w:eastAsia="宋体" w:cs="宋体"/>
          <w:bCs/>
          <w:color w:val="000000"/>
          <w:sz w:val="24"/>
          <w:szCs w:val="20"/>
          <w:highlight w:val="none"/>
        </w:rPr>
      </w:pPr>
    </w:p>
    <w:p w14:paraId="469B08DA">
      <w:pPr>
        <w:snapToGrid w:val="0"/>
        <w:spacing w:before="120" w:beforeLines="50" w:after="50"/>
        <w:ind w:firstLine="540" w:firstLineChars="225"/>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项目编号：</w:t>
      </w:r>
    </w:p>
    <w:p w14:paraId="30270882">
      <w:pPr>
        <w:snapToGrid w:val="0"/>
        <w:spacing w:before="120" w:beforeLines="50" w:after="50"/>
        <w:ind w:firstLine="540" w:firstLineChars="225"/>
        <w:rPr>
          <w:rFonts w:hint="eastAsia" w:ascii="宋体" w:hAnsi="宋体" w:eastAsia="宋体" w:cs="宋体"/>
          <w:bCs/>
          <w:color w:val="000000"/>
          <w:sz w:val="24"/>
          <w:szCs w:val="20"/>
          <w:highlight w:val="none"/>
        </w:rPr>
      </w:pPr>
      <w:r>
        <w:rPr>
          <w:rFonts w:hint="eastAsia" w:ascii="宋体" w:hAnsi="宋体" w:eastAsia="宋体" w:cs="宋体"/>
          <w:bCs/>
          <w:color w:val="000000"/>
          <w:sz w:val="24"/>
          <w:highlight w:val="none"/>
        </w:rPr>
        <w:t xml:space="preserve"> </w:t>
      </w:r>
    </w:p>
    <w:p w14:paraId="07F15F32">
      <w:pPr>
        <w:snapToGrid w:val="0"/>
        <w:spacing w:before="120" w:beforeLines="50" w:after="50"/>
        <w:ind w:firstLine="540" w:firstLineChars="225"/>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所投分标：无，则写“/”</w:t>
      </w:r>
    </w:p>
    <w:p w14:paraId="0EDCAA6B">
      <w:pPr>
        <w:snapToGrid w:val="0"/>
        <w:spacing w:before="120" w:beforeLines="50" w:after="50"/>
        <w:ind w:firstLine="540" w:firstLineChars="225"/>
        <w:rPr>
          <w:rFonts w:hint="eastAsia" w:ascii="宋体" w:hAnsi="宋体" w:eastAsia="宋体" w:cs="宋体"/>
          <w:bCs/>
          <w:color w:val="000000"/>
          <w:sz w:val="24"/>
          <w:szCs w:val="20"/>
          <w:highlight w:val="none"/>
        </w:rPr>
      </w:pPr>
    </w:p>
    <w:p w14:paraId="7324AC68">
      <w:pPr>
        <w:pStyle w:val="7"/>
        <w:snapToGrid w:val="0"/>
        <w:spacing w:before="50" w:after="50"/>
        <w:ind w:firstLine="540" w:firstLineChars="225"/>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投标人名称：</w:t>
      </w:r>
    </w:p>
    <w:p w14:paraId="0F142EA9">
      <w:pPr>
        <w:pStyle w:val="7"/>
        <w:snapToGrid w:val="0"/>
        <w:spacing w:before="50" w:after="50"/>
        <w:ind w:firstLine="540" w:firstLineChars="225"/>
        <w:rPr>
          <w:rFonts w:hint="eastAsia" w:ascii="宋体" w:hAnsi="宋体" w:eastAsia="宋体" w:cs="宋体"/>
          <w:bCs/>
          <w:color w:val="000000"/>
          <w:sz w:val="24"/>
          <w:szCs w:val="24"/>
          <w:highlight w:val="none"/>
        </w:rPr>
      </w:pPr>
    </w:p>
    <w:p w14:paraId="6E86AD7B">
      <w:pPr>
        <w:pStyle w:val="7"/>
        <w:snapToGrid w:val="0"/>
        <w:spacing w:before="50" w:after="50"/>
        <w:ind w:firstLine="540" w:firstLineChars="225"/>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投标人地址：</w:t>
      </w:r>
    </w:p>
    <w:p w14:paraId="76213DA1">
      <w:pPr>
        <w:pStyle w:val="7"/>
        <w:snapToGrid w:val="0"/>
        <w:spacing w:before="50" w:after="50"/>
        <w:ind w:firstLine="960" w:firstLineChars="400"/>
        <w:rPr>
          <w:rFonts w:hint="eastAsia" w:ascii="宋体" w:hAnsi="宋体" w:eastAsia="宋体" w:cs="宋体"/>
          <w:bCs/>
          <w:color w:val="000000"/>
          <w:sz w:val="24"/>
          <w:szCs w:val="24"/>
          <w:highlight w:val="none"/>
        </w:rPr>
      </w:pPr>
    </w:p>
    <w:p w14:paraId="0020DA52">
      <w:pPr>
        <w:snapToGrid w:val="0"/>
        <w:spacing w:before="120" w:beforeLines="50" w:after="50"/>
        <w:ind w:firstLine="645"/>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年  月  日</w:t>
      </w:r>
    </w:p>
    <w:p w14:paraId="081ED8BD">
      <w:pPr>
        <w:snapToGrid w:val="0"/>
        <w:spacing w:before="120" w:beforeLines="50" w:after="50"/>
        <w:rPr>
          <w:rFonts w:ascii="宋体" w:hAnsi="宋体"/>
          <w:color w:val="000000"/>
          <w:sz w:val="24"/>
          <w:szCs w:val="20"/>
          <w:highlight w:val="none"/>
        </w:rPr>
      </w:pPr>
      <w:r>
        <w:rPr>
          <w:rFonts w:ascii="宋体" w:hAnsi="宋体"/>
          <w:color w:val="000000"/>
          <w:sz w:val="24"/>
          <w:szCs w:val="20"/>
          <w:highlight w:val="none"/>
        </w:rPr>
        <w:t xml:space="preserve"> </w:t>
      </w:r>
    </w:p>
    <w:p w14:paraId="339374D7">
      <w:pPr>
        <w:snapToGrid w:val="0"/>
        <w:spacing w:line="360" w:lineRule="auto"/>
        <w:jc w:val="left"/>
        <w:rPr>
          <w:rFonts w:ascii="宋体" w:hAnsi="宋体"/>
          <w:b/>
          <w:color w:val="000000"/>
          <w:sz w:val="24"/>
          <w:highlight w:val="none"/>
        </w:rPr>
      </w:pPr>
      <w:r>
        <w:rPr>
          <w:rFonts w:ascii="宋体" w:hAnsi="宋体"/>
          <w:color w:val="000000"/>
          <w:sz w:val="24"/>
          <w:szCs w:val="20"/>
          <w:highlight w:val="none"/>
        </w:rPr>
        <w:br w:type="page"/>
      </w:r>
      <w:r>
        <w:rPr>
          <w:rFonts w:hint="eastAsia" w:ascii="宋体" w:hAnsi="宋体"/>
          <w:b/>
          <w:color w:val="000000"/>
          <w:sz w:val="24"/>
          <w:highlight w:val="none"/>
        </w:rPr>
        <w:t>2.商务文件目录</w:t>
      </w:r>
    </w:p>
    <w:p w14:paraId="3CBB44DD">
      <w:pPr>
        <w:snapToGrid w:val="0"/>
        <w:spacing w:before="50" w:after="120" w:afterLines="50" w:line="360" w:lineRule="auto"/>
        <w:ind w:firstLine="420" w:firstLineChars="200"/>
        <w:jc w:val="left"/>
        <w:rPr>
          <w:rFonts w:ascii="微软雅黑" w:hAnsi="微软雅黑" w:eastAsia="微软雅黑"/>
          <w:b/>
          <w:bCs/>
          <w:color w:val="000000"/>
          <w:szCs w:val="21"/>
          <w:highlight w:val="none"/>
        </w:rPr>
      </w:pPr>
      <w:r>
        <w:rPr>
          <w:rFonts w:hint="eastAsia" w:ascii="宋体" w:hAnsi="宋体"/>
          <w:color w:val="000000"/>
          <w:szCs w:val="21"/>
          <w:highlight w:val="none"/>
        </w:rPr>
        <w:t>根据招标文件规定及投标人提供的材料自行编写目录。</w:t>
      </w:r>
    </w:p>
    <w:p w14:paraId="1A7BFD60">
      <w:pPr>
        <w:snapToGrid w:val="0"/>
        <w:spacing w:before="50" w:after="120" w:afterLines="50"/>
        <w:jc w:val="left"/>
        <w:rPr>
          <w:rFonts w:ascii="宋体" w:hAnsi="宋体"/>
          <w:color w:val="000000"/>
          <w:highlight w:val="none"/>
        </w:rPr>
      </w:pPr>
    </w:p>
    <w:p w14:paraId="1F2DC208">
      <w:pPr>
        <w:snapToGrid w:val="0"/>
        <w:spacing w:before="120" w:beforeLines="50" w:after="50"/>
        <w:jc w:val="left"/>
        <w:rPr>
          <w:rFonts w:ascii="宋体" w:hAnsi="宋体"/>
          <w:b/>
          <w:color w:val="000000"/>
          <w:sz w:val="24"/>
          <w:highlight w:val="none"/>
        </w:rPr>
      </w:pPr>
      <w:r>
        <w:rPr>
          <w:rFonts w:ascii="宋体" w:hAnsi="宋体"/>
          <w:b/>
          <w:color w:val="000000"/>
          <w:sz w:val="24"/>
          <w:highlight w:val="none"/>
        </w:rPr>
        <w:br w:type="page"/>
      </w:r>
      <w:r>
        <w:rPr>
          <w:rFonts w:hint="eastAsia" w:ascii="宋体" w:hAnsi="宋体"/>
          <w:b/>
          <w:color w:val="000000"/>
          <w:sz w:val="24"/>
          <w:highlight w:val="none"/>
        </w:rPr>
        <w:t>3.投标人参加本项目无围标串标行为的承诺</w:t>
      </w:r>
    </w:p>
    <w:p w14:paraId="6088E601">
      <w:pPr>
        <w:snapToGrid w:val="0"/>
        <w:spacing w:before="120" w:beforeLines="50" w:after="50"/>
        <w:jc w:val="left"/>
        <w:rPr>
          <w:rFonts w:ascii="宋体" w:hAnsi="宋体"/>
          <w:b/>
          <w:color w:val="000000"/>
          <w:sz w:val="24"/>
          <w:highlight w:val="none"/>
        </w:rPr>
      </w:pPr>
    </w:p>
    <w:p w14:paraId="59148028">
      <w:pPr>
        <w:spacing w:line="360" w:lineRule="auto"/>
        <w:ind w:left="420"/>
        <w:contextualSpacing/>
        <w:jc w:val="center"/>
        <w:rPr>
          <w:rFonts w:hint="eastAsia" w:ascii="宋体" w:hAnsi="宋体" w:eastAsia="宋体" w:cs="宋体"/>
          <w:b/>
          <w:color w:val="000000"/>
          <w:sz w:val="24"/>
          <w:highlight w:val="none"/>
        </w:rPr>
      </w:pPr>
      <w:r>
        <w:rPr>
          <w:rFonts w:hint="eastAsia" w:ascii="宋体" w:hAnsi="宋体" w:eastAsia="宋体" w:cs="宋体"/>
          <w:bCs/>
          <w:color w:val="000000"/>
          <w:spacing w:val="-11"/>
          <w:sz w:val="44"/>
          <w:szCs w:val="44"/>
          <w:highlight w:val="none"/>
        </w:rPr>
        <w:t>投标人参加本项目无围标串标行为的承诺函</w:t>
      </w:r>
    </w:p>
    <w:p w14:paraId="6E1403B8">
      <w:pPr>
        <w:spacing w:line="440" w:lineRule="exact"/>
        <w:contextualSpacing/>
        <w:jc w:val="left"/>
        <w:rPr>
          <w:rFonts w:ascii="宋体" w:hAnsi="宋体"/>
          <w:b/>
          <w:color w:val="000000"/>
          <w:szCs w:val="21"/>
          <w:highlight w:val="none"/>
        </w:rPr>
      </w:pPr>
      <w:r>
        <w:rPr>
          <w:rFonts w:hint="eastAsia" w:ascii="宋体" w:hAnsi="宋体"/>
          <w:b/>
          <w:color w:val="000000"/>
          <w:szCs w:val="21"/>
          <w:highlight w:val="none"/>
        </w:rPr>
        <w:t>一、我方承诺无下列相互串通投标的情形：</w:t>
      </w:r>
    </w:p>
    <w:p w14:paraId="465E7954">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1.不同投标人的投标文件由同一单位或者个人编制；</w:t>
      </w:r>
    </w:p>
    <w:p w14:paraId="1FE43340">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2.不同投标人委托同一单位或者个人办理投标事宜；</w:t>
      </w:r>
    </w:p>
    <w:p w14:paraId="495BE1B7">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3.不同的投标人的投标文件载明的项目管理员为同一个人；</w:t>
      </w:r>
    </w:p>
    <w:p w14:paraId="4529331E">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4.不同投标人的投标文件异常一致或者投标报价呈规律性差异；</w:t>
      </w:r>
    </w:p>
    <w:p w14:paraId="05D28DCB">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5.不同投标人的投标文件相互混装；</w:t>
      </w:r>
    </w:p>
    <w:p w14:paraId="6A109E6A">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6.不同投标人的投标保证金从同一单位或者个人账户转出。</w:t>
      </w:r>
    </w:p>
    <w:p w14:paraId="6EE8B798">
      <w:pPr>
        <w:spacing w:line="440" w:lineRule="exact"/>
        <w:contextualSpacing/>
        <w:jc w:val="left"/>
        <w:rPr>
          <w:rFonts w:ascii="宋体" w:hAnsi="宋体"/>
          <w:color w:val="000000"/>
          <w:szCs w:val="21"/>
          <w:highlight w:val="none"/>
        </w:rPr>
      </w:pPr>
      <w:r>
        <w:rPr>
          <w:rFonts w:hint="eastAsia" w:ascii="宋体" w:hAnsi="宋体"/>
          <w:b/>
          <w:color w:val="000000"/>
          <w:szCs w:val="21"/>
          <w:highlight w:val="none"/>
        </w:rPr>
        <w:t>二、我方承诺无下列恶意串通的情形：</w:t>
      </w:r>
    </w:p>
    <w:p w14:paraId="5048A013">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1.投标人直接或者间接从采购人或者采购代理机构处获得其他投标人的相关信息并修改其投标文件或者响应文件；</w:t>
      </w:r>
    </w:p>
    <w:p w14:paraId="12B03354">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2.投标人按照采购人或者采购代理机构的授意撤换、修改投标文件或者响应文件；</w:t>
      </w:r>
    </w:p>
    <w:p w14:paraId="4C1D04B6">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3.投标人之间协商报价、技术方案等投标文件或者响应文件的实质性内容；</w:t>
      </w:r>
    </w:p>
    <w:p w14:paraId="40A28476">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4.属于同一集团、协会、商会等组织成员的投标人按照该组织要求协同参加政府采购活动；</w:t>
      </w:r>
    </w:p>
    <w:p w14:paraId="65C367FA">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5.投标人之间事先约定一致抬高或者压低投标报价，或者在招标项目中事先约定轮流以高价位或者低价位中标，或者事先约定由某一特定投标人中标，然后再参加投标；</w:t>
      </w:r>
    </w:p>
    <w:p w14:paraId="7052BEE9">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6.投标人之间商定部分投标人放弃参加政府采购活动或者放弃中标；</w:t>
      </w:r>
    </w:p>
    <w:p w14:paraId="0B2E0320">
      <w:pPr>
        <w:spacing w:line="440" w:lineRule="exact"/>
        <w:ind w:firstLine="411" w:firstLineChars="196"/>
        <w:contextualSpacing/>
        <w:jc w:val="left"/>
        <w:rPr>
          <w:rFonts w:ascii="宋体" w:hAnsi="宋体"/>
          <w:color w:val="000000"/>
          <w:szCs w:val="21"/>
          <w:highlight w:val="none"/>
        </w:rPr>
      </w:pPr>
      <w:r>
        <w:rPr>
          <w:rFonts w:hint="eastAsia" w:ascii="宋体" w:hAnsi="宋体"/>
          <w:color w:val="000000"/>
          <w:szCs w:val="21"/>
          <w:highlight w:val="none"/>
        </w:rPr>
        <w:t>7.投标人与采购人或者采购代理机构之间、投标人相互之间，为谋求特定投标人中标或者排斥其他投标人的其他串通行为。</w:t>
      </w:r>
    </w:p>
    <w:p w14:paraId="3EEAE96C">
      <w:pPr>
        <w:spacing w:line="440" w:lineRule="exact"/>
        <w:ind w:firstLine="413" w:firstLineChars="196"/>
        <w:contextualSpacing/>
        <w:jc w:val="left"/>
        <w:rPr>
          <w:rFonts w:ascii="宋体" w:hAnsi="宋体"/>
          <w:b/>
          <w:color w:val="000000"/>
          <w:szCs w:val="21"/>
          <w:highlight w:val="none"/>
        </w:rPr>
      </w:pPr>
      <w:r>
        <w:rPr>
          <w:rFonts w:hint="eastAsia" w:ascii="宋体" w:hAnsi="宋体"/>
          <w:b/>
          <w:color w:val="000000"/>
          <w:szCs w:val="21"/>
          <w:highlight w:val="none"/>
        </w:rPr>
        <w:t>以上情形一经核查属实，我方愿意承担一切后果，并不再寻求任何旨在减轻或者免除法律责任的辩解。</w:t>
      </w:r>
    </w:p>
    <w:p w14:paraId="1807EEEC">
      <w:pPr>
        <w:pStyle w:val="25"/>
        <w:spacing w:line="440" w:lineRule="exact"/>
        <w:ind w:firstLine="5985" w:firstLineChars="2850"/>
        <w:contextualSpacing/>
        <w:rPr>
          <w:rFonts w:hAnsi="宋体"/>
          <w:color w:val="000000"/>
          <w:sz w:val="21"/>
          <w:highlight w:val="none"/>
        </w:rPr>
      </w:pPr>
    </w:p>
    <w:p w14:paraId="07655FC0">
      <w:pPr>
        <w:pStyle w:val="25"/>
        <w:spacing w:line="440" w:lineRule="exact"/>
        <w:contextualSpacing/>
        <w:jc w:val="center"/>
        <w:rPr>
          <w:rFonts w:hAnsi="宋体"/>
          <w:color w:val="000000"/>
          <w:sz w:val="21"/>
          <w:highlight w:val="none"/>
        </w:rPr>
      </w:pPr>
      <w:r>
        <w:rPr>
          <w:rFonts w:hint="eastAsia" w:hAnsi="宋体"/>
          <w:color w:val="000000"/>
          <w:sz w:val="21"/>
          <w:highlight w:val="none"/>
        </w:rPr>
        <w:t xml:space="preserve"> </w:t>
      </w:r>
      <w:r>
        <w:rPr>
          <w:rFonts w:hAnsi="宋体"/>
          <w:color w:val="000000"/>
          <w:sz w:val="21"/>
          <w:highlight w:val="none"/>
        </w:rPr>
        <w:t xml:space="preserve">                                   </w:t>
      </w:r>
      <w:r>
        <w:rPr>
          <w:rFonts w:hint="eastAsia" w:hAnsi="宋体"/>
          <w:color w:val="000000"/>
          <w:sz w:val="21"/>
          <w:highlight w:val="none"/>
        </w:rPr>
        <w:t>投标人名称（电子签章）</w:t>
      </w:r>
    </w:p>
    <w:p w14:paraId="13C45FF0">
      <w:pPr>
        <w:pStyle w:val="25"/>
        <w:spacing w:line="440" w:lineRule="exact"/>
        <w:contextualSpacing/>
        <w:rPr>
          <w:rFonts w:hAnsi="宋体"/>
          <w:color w:val="000000"/>
          <w:sz w:val="21"/>
          <w:highlight w:val="none"/>
        </w:rPr>
        <w:sectPr>
          <w:pgSz w:w="11906" w:h="16838"/>
          <w:pgMar w:top="1701" w:right="1701" w:bottom="1701" w:left="1701" w:header="851" w:footer="992" w:gutter="0"/>
          <w:cols w:space="720" w:num="1"/>
          <w:titlePg/>
          <w:docGrid w:linePitch="312" w:charSpace="0"/>
        </w:sectPr>
      </w:pPr>
      <w:r>
        <w:rPr>
          <w:rFonts w:hint="eastAsia" w:hAnsi="宋体"/>
          <w:color w:val="000000"/>
          <w:sz w:val="21"/>
          <w:highlight w:val="none"/>
        </w:rPr>
        <w:t xml:space="preserve">                                                </w:t>
      </w:r>
      <w:r>
        <w:rPr>
          <w:rFonts w:hint="eastAsia" w:hAnsi="宋体"/>
          <w:color w:val="000000"/>
          <w:sz w:val="21"/>
          <w:highlight w:val="none"/>
          <w:u w:val="single"/>
        </w:rPr>
        <w:t xml:space="preserve">      </w:t>
      </w:r>
      <w:r>
        <w:rPr>
          <w:rFonts w:hint="eastAsia" w:hAnsi="宋体"/>
          <w:color w:val="000000"/>
          <w:sz w:val="21"/>
          <w:highlight w:val="none"/>
        </w:rPr>
        <w:t>年</w:t>
      </w:r>
      <w:r>
        <w:rPr>
          <w:rFonts w:hint="eastAsia" w:hAnsi="宋体"/>
          <w:color w:val="000000"/>
          <w:sz w:val="21"/>
          <w:highlight w:val="none"/>
          <w:u w:val="single"/>
        </w:rPr>
        <w:t xml:space="preserve">    </w:t>
      </w:r>
      <w:r>
        <w:rPr>
          <w:rFonts w:hint="eastAsia" w:hAnsi="宋体"/>
          <w:color w:val="000000"/>
          <w:sz w:val="21"/>
          <w:highlight w:val="none"/>
        </w:rPr>
        <w:t>月</w:t>
      </w:r>
      <w:r>
        <w:rPr>
          <w:rFonts w:hint="eastAsia" w:hAnsi="宋体"/>
          <w:color w:val="000000"/>
          <w:sz w:val="21"/>
          <w:highlight w:val="none"/>
          <w:u w:val="single"/>
        </w:rPr>
        <w:t xml:space="preserve">     </w:t>
      </w:r>
      <w:r>
        <w:rPr>
          <w:rFonts w:hint="eastAsia" w:hAnsi="宋体"/>
          <w:color w:val="000000"/>
          <w:sz w:val="21"/>
          <w:highlight w:val="none"/>
        </w:rPr>
        <w:t>日</w:t>
      </w:r>
    </w:p>
    <w:p w14:paraId="20845507">
      <w:pPr>
        <w:snapToGrid w:val="0"/>
        <w:spacing w:before="120" w:beforeLines="50" w:after="50"/>
        <w:jc w:val="left"/>
        <w:rPr>
          <w:rFonts w:ascii="宋体" w:hAnsi="宋体"/>
          <w:b/>
          <w:color w:val="000000"/>
          <w:sz w:val="24"/>
          <w:szCs w:val="20"/>
          <w:highlight w:val="none"/>
        </w:rPr>
      </w:pPr>
      <w:r>
        <w:rPr>
          <w:rFonts w:hint="eastAsia" w:ascii="宋体" w:hAnsi="宋体"/>
          <w:b/>
          <w:color w:val="000000"/>
          <w:sz w:val="24"/>
          <w:highlight w:val="none"/>
        </w:rPr>
        <w:t>4.法定代表人（或负责人）身份证明</w:t>
      </w:r>
    </w:p>
    <w:p w14:paraId="224AB83E">
      <w:pPr>
        <w:spacing w:before="240" w:beforeLines="100" w:after="120" w:afterLines="50"/>
        <w:ind w:left="540"/>
        <w:jc w:val="center"/>
        <w:rPr>
          <w:rFonts w:ascii="宋体" w:hAnsi="Courier New"/>
          <w:b/>
          <w:color w:val="000000"/>
          <w:sz w:val="32"/>
          <w:szCs w:val="32"/>
          <w:highlight w:val="none"/>
        </w:rPr>
      </w:pPr>
    </w:p>
    <w:p w14:paraId="59EB715F">
      <w:pPr>
        <w:spacing w:before="240" w:beforeLines="100" w:after="120" w:afterLines="50"/>
        <w:ind w:left="54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法定代表人（或负责人）身份证明</w:t>
      </w:r>
    </w:p>
    <w:p w14:paraId="648B9303">
      <w:pPr>
        <w:spacing w:line="500" w:lineRule="exact"/>
        <w:ind w:left="540"/>
        <w:rPr>
          <w:rFonts w:ascii="宋体" w:hAnsi="宋体"/>
          <w:color w:val="000000"/>
          <w:szCs w:val="21"/>
          <w:highlight w:val="none"/>
        </w:rPr>
      </w:pPr>
      <w:r>
        <w:rPr>
          <w:rFonts w:hint="eastAsia" w:ascii="宋体" w:hAnsi="宋体"/>
          <w:color w:val="000000"/>
          <w:szCs w:val="21"/>
          <w:highlight w:val="none"/>
        </w:rPr>
        <w:t>投 标 人：</w:t>
      </w:r>
      <w:r>
        <w:rPr>
          <w:rFonts w:hint="eastAsia" w:ascii="宋体" w:hAnsi="宋体"/>
          <w:color w:val="000000"/>
          <w:szCs w:val="21"/>
          <w:highlight w:val="none"/>
          <w:u w:val="single"/>
        </w:rPr>
        <w:t xml:space="preserve">                                                        </w:t>
      </w:r>
    </w:p>
    <w:p w14:paraId="75664366">
      <w:pPr>
        <w:spacing w:line="500" w:lineRule="exact"/>
        <w:ind w:left="540"/>
        <w:rPr>
          <w:rFonts w:ascii="宋体" w:hAnsi="宋体"/>
          <w:color w:val="000000"/>
          <w:szCs w:val="21"/>
          <w:highlight w:val="none"/>
        </w:rPr>
      </w:pPr>
      <w:r>
        <w:rPr>
          <w:rFonts w:hint="eastAsia" w:ascii="宋体" w:hAnsi="宋体"/>
          <w:color w:val="000000"/>
          <w:szCs w:val="21"/>
          <w:highlight w:val="none"/>
        </w:rPr>
        <w:t>地    址：</w:t>
      </w:r>
      <w:r>
        <w:rPr>
          <w:rFonts w:hint="eastAsia" w:ascii="宋体" w:hAnsi="宋体"/>
          <w:color w:val="000000"/>
          <w:szCs w:val="21"/>
          <w:highlight w:val="none"/>
          <w:u w:val="single"/>
        </w:rPr>
        <w:t xml:space="preserve">                                                        </w:t>
      </w:r>
    </w:p>
    <w:p w14:paraId="030828C2">
      <w:pPr>
        <w:spacing w:line="500" w:lineRule="exact"/>
        <w:ind w:left="540"/>
        <w:rPr>
          <w:rFonts w:ascii="宋体" w:hAnsi="宋体"/>
          <w:color w:val="000000"/>
          <w:szCs w:val="21"/>
          <w:highlight w:val="none"/>
        </w:rPr>
      </w:pPr>
      <w:r>
        <w:rPr>
          <w:rFonts w:hint="eastAsia" w:ascii="宋体" w:hAnsi="宋体"/>
          <w:color w:val="000000"/>
          <w:szCs w:val="21"/>
          <w:highlight w:val="none"/>
        </w:rPr>
        <w:t>姓    名：</w:t>
      </w:r>
      <w:r>
        <w:rPr>
          <w:rFonts w:hint="eastAsia" w:ascii="宋体" w:hAnsi="宋体"/>
          <w:color w:val="000000"/>
          <w:szCs w:val="21"/>
          <w:highlight w:val="none"/>
          <w:u w:val="single"/>
        </w:rPr>
        <w:t xml:space="preserve">                          </w:t>
      </w:r>
      <w:r>
        <w:rPr>
          <w:rFonts w:hint="eastAsia" w:ascii="宋体" w:hAnsi="宋体"/>
          <w:color w:val="000000"/>
          <w:szCs w:val="21"/>
          <w:highlight w:val="none"/>
        </w:rPr>
        <w:t>性      别：</w:t>
      </w:r>
      <w:r>
        <w:rPr>
          <w:rFonts w:hint="eastAsia" w:ascii="宋体" w:hAnsi="宋体"/>
          <w:color w:val="000000"/>
          <w:szCs w:val="21"/>
          <w:highlight w:val="none"/>
          <w:u w:val="single"/>
        </w:rPr>
        <w:t xml:space="preserve">                </w:t>
      </w:r>
    </w:p>
    <w:p w14:paraId="4ED55100">
      <w:pPr>
        <w:spacing w:line="500" w:lineRule="exact"/>
        <w:ind w:left="540"/>
        <w:rPr>
          <w:rFonts w:ascii="宋体" w:hAnsi="宋体"/>
          <w:color w:val="000000"/>
          <w:szCs w:val="21"/>
          <w:highlight w:val="none"/>
          <w:u w:val="single"/>
        </w:rPr>
      </w:pPr>
      <w:r>
        <w:rPr>
          <w:rFonts w:hint="eastAsia" w:ascii="宋体" w:hAnsi="宋体"/>
          <w:color w:val="000000"/>
          <w:szCs w:val="21"/>
          <w:highlight w:val="none"/>
        </w:rPr>
        <w:t>年    龄：</w:t>
      </w:r>
      <w:r>
        <w:rPr>
          <w:rFonts w:hint="eastAsia" w:ascii="宋体" w:hAnsi="宋体"/>
          <w:color w:val="000000"/>
          <w:szCs w:val="21"/>
          <w:highlight w:val="none"/>
          <w:u w:val="single"/>
        </w:rPr>
        <w:t xml:space="preserve">                          </w:t>
      </w:r>
      <w:r>
        <w:rPr>
          <w:rFonts w:hint="eastAsia" w:ascii="宋体" w:hAnsi="宋体"/>
          <w:color w:val="000000"/>
          <w:szCs w:val="21"/>
          <w:highlight w:val="none"/>
        </w:rPr>
        <w:t>职      务：</w:t>
      </w:r>
      <w:r>
        <w:rPr>
          <w:rFonts w:hint="eastAsia" w:ascii="宋体" w:hAnsi="宋体"/>
          <w:color w:val="000000"/>
          <w:szCs w:val="21"/>
          <w:highlight w:val="none"/>
          <w:u w:val="single"/>
        </w:rPr>
        <w:t xml:space="preserve">                </w:t>
      </w:r>
    </w:p>
    <w:p w14:paraId="380E95C7">
      <w:pPr>
        <w:spacing w:line="500" w:lineRule="exact"/>
        <w:ind w:left="540"/>
        <w:rPr>
          <w:rFonts w:ascii="宋体" w:hAnsi="宋体"/>
          <w:color w:val="000000"/>
          <w:szCs w:val="21"/>
          <w:highlight w:val="none"/>
        </w:rPr>
      </w:pPr>
      <w:r>
        <w:rPr>
          <w:rFonts w:hint="eastAsia" w:ascii="宋体" w:hAnsi="宋体"/>
          <w:color w:val="000000"/>
          <w:szCs w:val="21"/>
          <w:highlight w:val="none"/>
        </w:rPr>
        <w:t>身份证</w:t>
      </w:r>
      <w:r>
        <w:rPr>
          <w:rFonts w:hint="eastAsia"/>
          <w:color w:val="000000"/>
          <w:szCs w:val="21"/>
          <w:highlight w:val="none"/>
        </w:rPr>
        <w:t>号码：</w:t>
      </w:r>
      <w:r>
        <w:rPr>
          <w:rFonts w:hint="eastAsia"/>
          <w:color w:val="000000"/>
          <w:szCs w:val="21"/>
          <w:highlight w:val="none"/>
          <w:u w:val="single"/>
        </w:rPr>
        <w:t xml:space="preserve">                                 </w:t>
      </w:r>
    </w:p>
    <w:p w14:paraId="5E234969">
      <w:pPr>
        <w:spacing w:line="500" w:lineRule="exact"/>
        <w:ind w:left="540"/>
        <w:rPr>
          <w:rFonts w:ascii="宋体" w:hAnsi="宋体"/>
          <w:color w:val="000000"/>
          <w:szCs w:val="21"/>
          <w:highlight w:val="none"/>
        </w:rPr>
      </w:pPr>
      <w:r>
        <w:rPr>
          <w:rFonts w:hint="eastAsia" w:ascii="宋体" w:hAnsi="宋体"/>
          <w:color w:val="000000"/>
          <w:szCs w:val="21"/>
          <w:highlight w:val="none"/>
        </w:rPr>
        <w:t>系</w:t>
      </w:r>
      <w:r>
        <w:rPr>
          <w:rFonts w:hint="eastAsia" w:ascii="宋体" w:hAnsi="宋体"/>
          <w:color w:val="000000"/>
          <w:szCs w:val="21"/>
          <w:highlight w:val="none"/>
          <w:u w:val="single"/>
        </w:rPr>
        <w:t xml:space="preserve">            （投标人名称）              </w:t>
      </w:r>
      <w:r>
        <w:rPr>
          <w:rFonts w:hint="eastAsia" w:ascii="宋体" w:hAnsi="宋体"/>
          <w:color w:val="000000"/>
          <w:szCs w:val="21"/>
          <w:highlight w:val="none"/>
        </w:rPr>
        <w:t>的法定代表人（或负责人）。</w:t>
      </w:r>
    </w:p>
    <w:p w14:paraId="78EEB535">
      <w:pPr>
        <w:spacing w:line="500" w:lineRule="exact"/>
        <w:ind w:left="540"/>
        <w:rPr>
          <w:rFonts w:ascii="宋体" w:hAnsi="宋体"/>
          <w:color w:val="000000"/>
          <w:szCs w:val="21"/>
          <w:highlight w:val="none"/>
        </w:rPr>
      </w:pPr>
      <w:r>
        <w:rPr>
          <w:rFonts w:hint="eastAsia" w:ascii="宋体" w:hAnsi="宋体"/>
          <w:color w:val="000000"/>
          <w:szCs w:val="21"/>
          <w:highlight w:val="none"/>
        </w:rPr>
        <w:t>特此证明。</w:t>
      </w:r>
    </w:p>
    <w:p w14:paraId="43BF678A">
      <w:pPr>
        <w:spacing w:line="500" w:lineRule="exact"/>
        <w:ind w:left="540"/>
        <w:rPr>
          <w:rFonts w:ascii="宋体" w:hAnsi="宋体"/>
          <w:color w:val="000000"/>
          <w:szCs w:val="21"/>
          <w:highlight w:val="none"/>
        </w:rPr>
      </w:pPr>
    </w:p>
    <w:p w14:paraId="2EF15E4A">
      <w:pPr>
        <w:spacing w:line="500" w:lineRule="exact"/>
        <w:ind w:left="540"/>
        <w:rPr>
          <w:rFonts w:ascii="宋体" w:hAnsi="宋体"/>
          <w:color w:val="000000"/>
          <w:szCs w:val="21"/>
          <w:highlight w:val="none"/>
        </w:rPr>
      </w:pPr>
    </w:p>
    <w:p w14:paraId="42834084">
      <w:pPr>
        <w:spacing w:line="500" w:lineRule="exact"/>
        <w:ind w:left="540"/>
        <w:rPr>
          <w:rFonts w:ascii="宋体" w:hAnsi="宋体"/>
          <w:color w:val="000000"/>
          <w:szCs w:val="21"/>
          <w:highlight w:val="none"/>
        </w:rPr>
      </w:pPr>
      <w:r>
        <w:rPr>
          <w:rFonts w:hint="eastAsia" w:ascii="宋体" w:hAnsi="宋体"/>
          <w:color w:val="000000"/>
          <w:szCs w:val="21"/>
          <w:highlight w:val="none"/>
        </w:rPr>
        <w:t>附件：法定代表人（或负责人）有效身份证正反面复印件</w:t>
      </w:r>
    </w:p>
    <w:p w14:paraId="3E6F4295">
      <w:pPr>
        <w:spacing w:line="500" w:lineRule="exact"/>
        <w:ind w:left="540"/>
        <w:rPr>
          <w:rFonts w:ascii="宋体" w:hAnsi="宋体"/>
          <w:color w:val="000000"/>
          <w:szCs w:val="21"/>
          <w:highlight w:val="none"/>
        </w:rPr>
      </w:pPr>
    </w:p>
    <w:p w14:paraId="14AF829F">
      <w:pPr>
        <w:spacing w:line="500" w:lineRule="exact"/>
        <w:ind w:left="540"/>
        <w:jc w:val="right"/>
        <w:rPr>
          <w:rFonts w:ascii="宋体" w:hAnsi="宋体"/>
          <w:color w:val="000000"/>
          <w:szCs w:val="21"/>
          <w:highlight w:val="none"/>
        </w:rPr>
      </w:pPr>
      <w:r>
        <w:rPr>
          <w:rFonts w:hint="eastAsia" w:ascii="宋体" w:hAnsi="宋体"/>
          <w:color w:val="000000"/>
          <w:szCs w:val="21"/>
          <w:highlight w:val="none"/>
        </w:rPr>
        <w:t>投标人名称（电子签章）</w:t>
      </w:r>
    </w:p>
    <w:p w14:paraId="11127F80">
      <w:pPr>
        <w:spacing w:line="500" w:lineRule="exact"/>
        <w:ind w:left="540"/>
        <w:jc w:val="right"/>
        <w:rPr>
          <w:rFonts w:ascii="宋体" w:hAnsi="宋体"/>
          <w:color w:val="000000"/>
          <w:szCs w:val="21"/>
          <w:highlight w:val="none"/>
        </w:rPr>
      </w:pPr>
    </w:p>
    <w:p w14:paraId="600E815F">
      <w:pPr>
        <w:snapToGrid w:val="0"/>
        <w:spacing w:before="120" w:beforeLines="50" w:after="50"/>
        <w:ind w:left="540"/>
        <w:jc w:val="right"/>
        <w:rPr>
          <w:rFonts w:ascii="宋体" w:hAnsi="宋体"/>
          <w:color w:val="000000"/>
          <w:szCs w:val="21"/>
          <w:highlight w:val="none"/>
        </w:rPr>
      </w:pP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w:t>
      </w:r>
    </w:p>
    <w:p w14:paraId="38FE5B0D">
      <w:pPr>
        <w:snapToGrid w:val="0"/>
        <w:spacing w:before="120" w:beforeLines="50" w:after="50"/>
        <w:jc w:val="center"/>
        <w:rPr>
          <w:rFonts w:ascii="宋体" w:hAnsi="宋体"/>
          <w:b/>
          <w:color w:val="000000"/>
          <w:szCs w:val="21"/>
          <w:highlight w:val="none"/>
        </w:rPr>
      </w:pPr>
    </w:p>
    <w:p w14:paraId="3B522DD2">
      <w:pPr>
        <w:snapToGrid w:val="0"/>
        <w:spacing w:before="120" w:beforeLines="50" w:after="50"/>
        <w:jc w:val="left"/>
        <w:rPr>
          <w:rFonts w:ascii="宋体" w:hAnsi="宋体"/>
          <w:b/>
          <w:color w:val="000000"/>
          <w:szCs w:val="21"/>
          <w:highlight w:val="none"/>
        </w:rPr>
      </w:pPr>
      <w:r>
        <w:rPr>
          <w:rFonts w:hint="eastAsia" w:ascii="宋体" w:hAnsi="宋体"/>
          <w:color w:val="000000"/>
          <w:szCs w:val="21"/>
          <w:highlight w:val="none"/>
        </w:rPr>
        <w:t>注：自然人投标的无需提供</w:t>
      </w:r>
    </w:p>
    <w:p w14:paraId="00E3C139">
      <w:pPr>
        <w:snapToGrid w:val="0"/>
        <w:spacing w:before="120" w:beforeLines="50" w:after="50"/>
        <w:jc w:val="left"/>
        <w:rPr>
          <w:rFonts w:ascii="宋体" w:hAnsi="宋体"/>
          <w:b/>
          <w:color w:val="000000"/>
          <w:sz w:val="24"/>
          <w:szCs w:val="20"/>
          <w:highlight w:val="none"/>
        </w:rPr>
      </w:pPr>
      <w:r>
        <w:rPr>
          <w:rFonts w:ascii="宋体" w:hAnsi="宋体"/>
          <w:b/>
          <w:color w:val="000000"/>
          <w:sz w:val="24"/>
          <w:highlight w:val="none"/>
        </w:rPr>
        <w:br w:type="page"/>
      </w:r>
      <w:r>
        <w:rPr>
          <w:rFonts w:hint="eastAsia" w:ascii="宋体" w:hAnsi="宋体"/>
          <w:b/>
          <w:color w:val="000000"/>
          <w:sz w:val="24"/>
          <w:highlight w:val="none"/>
        </w:rPr>
        <w:t>5.授权委托书格式</w:t>
      </w:r>
    </w:p>
    <w:p w14:paraId="78C9B739">
      <w:pPr>
        <w:spacing w:line="360" w:lineRule="auto"/>
        <w:contextualSpacing/>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授权委托书</w:t>
      </w:r>
    </w:p>
    <w:p w14:paraId="42B9AC96">
      <w:pPr>
        <w:spacing w:line="360" w:lineRule="auto"/>
        <w:contextualSpacing/>
        <w:jc w:val="center"/>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（非联合体投标格式）</w:t>
      </w:r>
    </w:p>
    <w:p w14:paraId="17D1D281">
      <w:pPr>
        <w:spacing w:line="360" w:lineRule="auto"/>
        <w:contextualSpacing/>
        <w:jc w:val="center"/>
        <w:rPr>
          <w:rFonts w:hint="eastAsia" w:ascii="宋体" w:hAnsi="宋体" w:eastAsia="宋体" w:cs="宋体"/>
          <w:bCs/>
          <w:color w:val="000000"/>
          <w:sz w:val="24"/>
          <w:highlight w:val="none"/>
        </w:rPr>
      </w:pPr>
      <w:r>
        <w:rPr>
          <w:rFonts w:hint="eastAsia" w:ascii="宋体" w:hAnsi="宋体" w:eastAsia="宋体" w:cs="宋体"/>
          <w:bCs/>
          <w:color w:val="000000"/>
          <w:sz w:val="32"/>
          <w:szCs w:val="32"/>
          <w:highlight w:val="none"/>
        </w:rPr>
        <w:t>（如有委托时）</w:t>
      </w:r>
    </w:p>
    <w:p w14:paraId="33838FF8">
      <w:pPr>
        <w:spacing w:line="440" w:lineRule="exact"/>
        <w:contextualSpacing/>
        <w:jc w:val="center"/>
        <w:rPr>
          <w:rFonts w:ascii="宋体" w:hAnsi="宋体"/>
          <w:b/>
          <w:color w:val="000000"/>
          <w:sz w:val="24"/>
          <w:highlight w:val="none"/>
        </w:rPr>
      </w:pPr>
    </w:p>
    <w:p w14:paraId="45AACF71">
      <w:pPr>
        <w:spacing w:line="440" w:lineRule="exact"/>
        <w:contextualSpacing/>
        <w:rPr>
          <w:rFonts w:ascii="宋体" w:hAnsi="宋体"/>
          <w:b/>
          <w:bCs/>
          <w:color w:val="000000"/>
          <w:szCs w:val="21"/>
          <w:highlight w:val="none"/>
        </w:rPr>
      </w:pPr>
      <w:r>
        <w:rPr>
          <w:rFonts w:hint="eastAsia" w:ascii="宋体" w:hAnsi="宋体"/>
          <w:bCs/>
          <w:color w:val="000000"/>
          <w:szCs w:val="21"/>
          <w:highlight w:val="none"/>
        </w:rPr>
        <w:t>致：</w:t>
      </w:r>
      <w:r>
        <w:rPr>
          <w:rFonts w:hint="eastAsia" w:ascii="宋体" w:hAnsi="宋体"/>
          <w:color w:val="000000"/>
          <w:szCs w:val="21"/>
          <w:highlight w:val="none"/>
          <w:u w:val="single"/>
        </w:rPr>
        <w:t>采购人名称</w:t>
      </w:r>
      <w:r>
        <w:rPr>
          <w:rFonts w:hint="eastAsia" w:ascii="宋体" w:hAnsi="宋体"/>
          <w:color w:val="000000"/>
          <w:szCs w:val="21"/>
          <w:highlight w:val="none"/>
        </w:rPr>
        <w:t>：</w:t>
      </w:r>
    </w:p>
    <w:p w14:paraId="15379A3E">
      <w:pPr>
        <w:spacing w:line="440" w:lineRule="exact"/>
        <w:ind w:firstLine="495" w:firstLineChars="236"/>
        <w:contextualSpacing/>
        <w:rPr>
          <w:rFonts w:ascii="宋体" w:hAnsi="宋体"/>
          <w:color w:val="000000"/>
          <w:szCs w:val="21"/>
          <w:highlight w:val="none"/>
        </w:rPr>
      </w:pPr>
      <w:r>
        <w:rPr>
          <w:rFonts w:hint="eastAsia" w:ascii="宋体" w:hAnsi="宋体"/>
          <w:color w:val="000000"/>
          <w:szCs w:val="21"/>
          <w:highlight w:val="none"/>
        </w:rPr>
        <w:t>我</w:t>
      </w:r>
      <w:r>
        <w:rPr>
          <w:rFonts w:hint="eastAsia" w:ascii="宋体" w:hAnsi="宋体"/>
          <w:color w:val="000000"/>
          <w:szCs w:val="21"/>
          <w:highlight w:val="none"/>
          <w:u w:val="single"/>
        </w:rPr>
        <w:t xml:space="preserve">       </w:t>
      </w:r>
      <w:r>
        <w:rPr>
          <w:rFonts w:hint="eastAsia" w:ascii="宋体" w:hAnsi="宋体"/>
          <w:color w:val="000000"/>
          <w:szCs w:val="21"/>
          <w:highlight w:val="none"/>
        </w:rPr>
        <w:t>（姓名）系</w:t>
      </w:r>
      <w:r>
        <w:rPr>
          <w:rFonts w:hint="eastAsia" w:ascii="宋体" w:hAnsi="宋体"/>
          <w:color w:val="000000"/>
          <w:szCs w:val="21"/>
          <w:highlight w:val="none"/>
          <w:u w:val="single"/>
        </w:rPr>
        <w:t xml:space="preserve">      </w:t>
      </w:r>
      <w:r>
        <w:rPr>
          <w:rFonts w:hint="eastAsia" w:ascii="宋体" w:hAnsi="宋体"/>
          <w:color w:val="000000"/>
          <w:szCs w:val="21"/>
          <w:highlight w:val="none"/>
        </w:rPr>
        <w:t>（投标人名称）的法定代表人（或负责人），现授权委托</w:t>
      </w:r>
      <w:r>
        <w:rPr>
          <w:rFonts w:hint="eastAsia" w:ascii="宋体" w:hAnsi="宋体"/>
          <w:color w:val="000000"/>
          <w:szCs w:val="21"/>
          <w:highlight w:val="none"/>
          <w:u w:val="single"/>
        </w:rPr>
        <w:t xml:space="preserve">              （姓名）</w:t>
      </w:r>
      <w:r>
        <w:rPr>
          <w:rFonts w:hint="eastAsia" w:ascii="宋体" w:hAnsi="宋体"/>
          <w:color w:val="000000"/>
          <w:szCs w:val="21"/>
          <w:highlight w:val="none"/>
        </w:rPr>
        <w:t>以我方的名义参加</w:t>
      </w:r>
      <w:r>
        <w:rPr>
          <w:rFonts w:hint="eastAsia" w:ascii="宋体" w:hAnsi="宋体"/>
          <w:color w:val="000000"/>
          <w:szCs w:val="21"/>
          <w:highlight w:val="none"/>
          <w:u w:val="single"/>
        </w:rPr>
        <w:t xml:space="preserve">              </w:t>
      </w:r>
      <w:r>
        <w:rPr>
          <w:rFonts w:hint="eastAsia" w:ascii="宋体" w:hAnsi="宋体"/>
          <w:color w:val="000000"/>
          <w:szCs w:val="21"/>
          <w:highlight w:val="none"/>
        </w:rPr>
        <w:t>项目的投标活动，并代表我方全权办理针对上述项目的所有采购程序和环节的具体事务和签署相关文件。</w:t>
      </w:r>
    </w:p>
    <w:p w14:paraId="32DDD862">
      <w:pPr>
        <w:spacing w:line="440" w:lineRule="exact"/>
        <w:contextualSpacing/>
        <w:rPr>
          <w:rFonts w:ascii="宋体" w:hAnsi="宋体"/>
          <w:color w:val="000000"/>
          <w:szCs w:val="21"/>
          <w:highlight w:val="none"/>
        </w:rPr>
      </w:pPr>
      <w:r>
        <w:rPr>
          <w:rFonts w:hint="eastAsia" w:ascii="宋体" w:hAnsi="宋体"/>
          <w:color w:val="000000"/>
          <w:szCs w:val="21"/>
          <w:highlight w:val="none"/>
        </w:rPr>
        <w:t xml:space="preserve">    我方对委托代理人的签字或者电子签名事项负全部责任。</w:t>
      </w:r>
    </w:p>
    <w:p w14:paraId="28593FE0">
      <w:pPr>
        <w:spacing w:line="440" w:lineRule="exact"/>
        <w:ind w:firstLine="480"/>
        <w:contextualSpacing/>
        <w:rPr>
          <w:rFonts w:ascii="宋体" w:hAnsi="宋体"/>
          <w:color w:val="000000"/>
          <w:szCs w:val="21"/>
          <w:highlight w:val="none"/>
        </w:rPr>
      </w:pPr>
      <w:r>
        <w:rPr>
          <w:rFonts w:hint="eastAsia" w:ascii="宋体" w:hAnsi="宋体"/>
          <w:color w:val="000000"/>
          <w:szCs w:val="21"/>
          <w:highlight w:val="none"/>
          <w:u w:val="single"/>
        </w:rPr>
        <w:t>本授权书自签署之日起生效，在撤销授权的书面通知以前，本授权书一直有效。委托代理人在授权书有效期内签署的所有文件不因授权的撤销而失效。</w:t>
      </w:r>
    </w:p>
    <w:p w14:paraId="0C22F5FE">
      <w:pPr>
        <w:spacing w:line="440" w:lineRule="exact"/>
        <w:ind w:firstLine="480"/>
        <w:contextualSpacing/>
        <w:rPr>
          <w:rFonts w:ascii="宋体" w:hAnsi="宋体"/>
          <w:color w:val="000000"/>
          <w:szCs w:val="21"/>
          <w:highlight w:val="none"/>
        </w:rPr>
      </w:pPr>
      <w:r>
        <w:rPr>
          <w:rFonts w:hint="eastAsia" w:ascii="宋体" w:hAnsi="宋体"/>
          <w:color w:val="000000"/>
          <w:szCs w:val="21"/>
          <w:highlight w:val="none"/>
        </w:rPr>
        <w:t>委托代理人无转委托权，特此委托。</w:t>
      </w:r>
    </w:p>
    <w:p w14:paraId="3CB7DAED">
      <w:pPr>
        <w:spacing w:line="440" w:lineRule="exact"/>
        <w:ind w:firstLine="480"/>
        <w:contextualSpacing/>
        <w:rPr>
          <w:rFonts w:ascii="宋体" w:hAnsi="宋体"/>
          <w:color w:val="000000"/>
          <w:szCs w:val="21"/>
          <w:highlight w:val="none"/>
        </w:rPr>
      </w:pPr>
      <w:r>
        <w:rPr>
          <w:rFonts w:hint="eastAsia" w:ascii="宋体" w:hAnsi="宋体"/>
          <w:color w:val="000000"/>
          <w:szCs w:val="21"/>
          <w:highlight w:val="none"/>
        </w:rPr>
        <w:t>附：法定代表人（或负责人）身份证明及委托代理人有效身份证正反面复印件</w:t>
      </w:r>
    </w:p>
    <w:p w14:paraId="2C33D52A">
      <w:pPr>
        <w:spacing w:line="440" w:lineRule="exact"/>
        <w:contextualSpacing/>
        <w:rPr>
          <w:rFonts w:ascii="宋体" w:hAnsi="宋体"/>
          <w:color w:val="000000"/>
          <w:szCs w:val="21"/>
          <w:highlight w:val="none"/>
        </w:rPr>
      </w:pPr>
    </w:p>
    <w:p w14:paraId="71DD86CA">
      <w:pPr>
        <w:spacing w:line="440" w:lineRule="exact"/>
        <w:contextualSpacing/>
        <w:rPr>
          <w:rFonts w:ascii="宋体" w:hAnsi="宋体"/>
          <w:color w:val="000000"/>
          <w:szCs w:val="21"/>
          <w:highlight w:val="none"/>
        </w:rPr>
      </w:pPr>
      <w:r>
        <w:rPr>
          <w:rFonts w:hint="eastAsia" w:ascii="宋体" w:hAnsi="宋体"/>
          <w:color w:val="000000"/>
          <w:szCs w:val="21"/>
          <w:highlight w:val="none"/>
        </w:rPr>
        <w:t>委托代理人（签字或电子签名）：</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116D9F9C">
      <w:pPr>
        <w:spacing w:line="440" w:lineRule="exact"/>
        <w:contextualSpacing/>
        <w:rPr>
          <w:rFonts w:ascii="宋体" w:hAnsi="宋体"/>
          <w:color w:val="000000"/>
          <w:szCs w:val="21"/>
          <w:highlight w:val="none"/>
          <w:u w:val="single"/>
        </w:rPr>
      </w:pPr>
      <w:r>
        <w:rPr>
          <w:rFonts w:hint="eastAsia" w:ascii="宋体" w:hAnsi="宋体"/>
          <w:color w:val="000000"/>
          <w:szCs w:val="21"/>
          <w:highlight w:val="none"/>
        </w:rPr>
        <w:t>委托代理人身份证号码：</w:t>
      </w:r>
      <w:r>
        <w:rPr>
          <w:rFonts w:hint="eastAsia" w:ascii="宋体" w:hAnsi="宋体"/>
          <w:color w:val="000000"/>
          <w:szCs w:val="21"/>
          <w:highlight w:val="none"/>
          <w:u w:val="single"/>
        </w:rPr>
        <w:t xml:space="preserve">                             </w:t>
      </w:r>
    </w:p>
    <w:p w14:paraId="1D3C0813">
      <w:pPr>
        <w:spacing w:line="440" w:lineRule="exact"/>
        <w:contextualSpacing/>
        <w:rPr>
          <w:rFonts w:ascii="宋体" w:hAnsi="宋体"/>
          <w:color w:val="000000"/>
          <w:szCs w:val="21"/>
          <w:highlight w:val="none"/>
          <w:u w:val="single"/>
        </w:rPr>
      </w:pPr>
      <w:r>
        <w:rPr>
          <w:rFonts w:hint="eastAsia" w:ascii="宋体" w:hAnsi="宋体"/>
          <w:color w:val="000000"/>
          <w:szCs w:val="21"/>
          <w:highlight w:val="none"/>
        </w:rPr>
        <w:t>法定代表人（或负责人）（签字或电子签名）：</w:t>
      </w:r>
      <w:r>
        <w:rPr>
          <w:rFonts w:hint="eastAsia" w:ascii="宋体" w:hAnsi="宋体"/>
          <w:color w:val="000000"/>
          <w:szCs w:val="21"/>
          <w:highlight w:val="none"/>
          <w:u w:val="single"/>
        </w:rPr>
        <w:t xml:space="preserve">              </w:t>
      </w:r>
    </w:p>
    <w:p w14:paraId="1A02FF40">
      <w:pPr>
        <w:spacing w:line="440" w:lineRule="exact"/>
        <w:contextualSpacing/>
        <w:rPr>
          <w:rFonts w:ascii="宋体" w:hAnsi="宋体"/>
          <w:color w:val="000000"/>
          <w:szCs w:val="21"/>
          <w:highlight w:val="none"/>
        </w:rPr>
      </w:pPr>
      <w:r>
        <w:rPr>
          <w:rFonts w:hint="eastAsia" w:ascii="宋体" w:hAnsi="宋体"/>
          <w:color w:val="000000"/>
          <w:szCs w:val="21"/>
          <w:highlight w:val="none"/>
        </w:rPr>
        <w:t xml:space="preserve"> </w:t>
      </w:r>
    </w:p>
    <w:p w14:paraId="20874A86">
      <w:pPr>
        <w:spacing w:line="440" w:lineRule="exact"/>
        <w:contextualSpacing/>
        <w:jc w:val="center"/>
        <w:rPr>
          <w:rFonts w:ascii="宋体" w:hAnsi="宋体"/>
          <w:color w:val="000000"/>
          <w:szCs w:val="21"/>
          <w:highlight w:val="none"/>
        </w:rPr>
      </w:pPr>
      <w:r>
        <w:rPr>
          <w:rFonts w:hint="eastAsia" w:ascii="宋体" w:hAnsi="宋体"/>
          <w:color w:val="000000"/>
          <w:szCs w:val="21"/>
          <w:highlight w:val="none"/>
        </w:rPr>
        <w:t xml:space="preserve">                                                投标人名称（电子签章）：</w:t>
      </w:r>
    </w:p>
    <w:p w14:paraId="4A45909B">
      <w:pPr>
        <w:spacing w:line="440" w:lineRule="exact"/>
        <w:contextualSpacing/>
        <w:jc w:val="center"/>
        <w:rPr>
          <w:rFonts w:ascii="宋体" w:hAnsi="宋体"/>
          <w:color w:val="000000"/>
          <w:szCs w:val="21"/>
          <w:highlight w:val="none"/>
        </w:rPr>
      </w:pPr>
      <w:r>
        <w:rPr>
          <w:rFonts w:hint="eastAsia" w:ascii="宋体" w:hAnsi="宋体"/>
          <w:color w:val="000000"/>
          <w:szCs w:val="21"/>
          <w:highlight w:val="none"/>
        </w:rPr>
        <w:t xml:space="preserve">                                              年    月    日</w:t>
      </w:r>
    </w:p>
    <w:p w14:paraId="42D03C4B">
      <w:pPr>
        <w:spacing w:line="440" w:lineRule="exact"/>
        <w:contextualSpacing/>
        <w:rPr>
          <w:rFonts w:ascii="宋体" w:hAnsi="宋体" w:cs="仿宋_GB2312"/>
          <w:color w:val="000000"/>
          <w:szCs w:val="21"/>
          <w:highlight w:val="none"/>
        </w:rPr>
      </w:pPr>
      <w:r>
        <w:rPr>
          <w:rFonts w:hint="eastAsia" w:ascii="宋体" w:hAnsi="宋体" w:cs="仿宋_GB2312"/>
          <w:color w:val="000000"/>
          <w:szCs w:val="21"/>
          <w:highlight w:val="none"/>
        </w:rPr>
        <w:t>注：1.</w:t>
      </w:r>
      <w:bookmarkStart w:id="168" w:name="_Hlk65851555"/>
      <w:bookmarkStart w:id="169" w:name="_Hlk65851620"/>
      <w:r>
        <w:rPr>
          <w:rFonts w:hint="eastAsia" w:ascii="宋体" w:hAnsi="宋体" w:cs="仿宋_GB2312"/>
          <w:color w:val="000000"/>
          <w:szCs w:val="21"/>
          <w:highlight w:val="none"/>
        </w:rPr>
        <w:t>法定代表人（或负责人）必须在授权委托书上亲笔签字或者盖章</w:t>
      </w:r>
      <w:r>
        <w:rPr>
          <w:rFonts w:hint="eastAsia" w:ascii="宋体" w:hAnsi="宋体"/>
          <w:color w:val="000000"/>
          <w:szCs w:val="21"/>
          <w:highlight w:val="none"/>
        </w:rPr>
        <w:t>或者电子签名</w:t>
      </w:r>
      <w:r>
        <w:rPr>
          <w:rFonts w:hint="eastAsia" w:ascii="宋体" w:hAnsi="宋体" w:cs="仿宋_GB2312"/>
          <w:color w:val="000000"/>
          <w:szCs w:val="21"/>
          <w:highlight w:val="none"/>
        </w:rPr>
        <w:t>，</w:t>
      </w:r>
      <w:bookmarkEnd w:id="168"/>
      <w:r>
        <w:rPr>
          <w:rFonts w:hint="eastAsia" w:ascii="宋体" w:hAnsi="宋体" w:cs="仿宋_GB2312"/>
          <w:color w:val="000000"/>
          <w:szCs w:val="21"/>
          <w:highlight w:val="none"/>
        </w:rPr>
        <w:t>委托代理人必须在授权委托书上亲笔签字</w:t>
      </w:r>
      <w:r>
        <w:rPr>
          <w:rFonts w:hint="eastAsia" w:ascii="宋体" w:hAnsi="宋体"/>
          <w:color w:val="000000"/>
          <w:szCs w:val="21"/>
          <w:highlight w:val="none"/>
        </w:rPr>
        <w:t>或者电子签名</w:t>
      </w:r>
      <w:r>
        <w:rPr>
          <w:rFonts w:hint="eastAsia" w:ascii="宋体" w:hAnsi="宋体" w:cs="仿宋_GB2312"/>
          <w:color w:val="000000"/>
          <w:szCs w:val="21"/>
          <w:highlight w:val="none"/>
        </w:rPr>
        <w:t>，</w:t>
      </w:r>
      <w:r>
        <w:rPr>
          <w:rFonts w:hint="eastAsia" w:ascii="宋体" w:hAnsi="宋体" w:cs="仿宋_GB2312"/>
          <w:b/>
          <w:bCs/>
          <w:color w:val="000000"/>
          <w:szCs w:val="21"/>
          <w:highlight w:val="none"/>
        </w:rPr>
        <w:t>否则按无效投标处理</w:t>
      </w:r>
      <w:r>
        <w:rPr>
          <w:rFonts w:hint="eastAsia" w:ascii="宋体" w:hAnsi="宋体" w:cs="仿宋_GB2312"/>
          <w:color w:val="000000"/>
          <w:szCs w:val="21"/>
          <w:highlight w:val="none"/>
        </w:rPr>
        <w:t>；</w:t>
      </w:r>
      <w:bookmarkEnd w:id="169"/>
    </w:p>
    <w:p w14:paraId="76CA0DC0">
      <w:pPr>
        <w:spacing w:line="440" w:lineRule="exact"/>
        <w:ind w:firstLine="420" w:firstLineChars="200"/>
        <w:contextualSpacing/>
        <w:jc w:val="left"/>
        <w:rPr>
          <w:rFonts w:ascii="宋体" w:hAnsi="宋体"/>
          <w:color w:val="000000"/>
          <w:szCs w:val="21"/>
          <w:highlight w:val="none"/>
        </w:rPr>
      </w:pPr>
      <w:r>
        <w:rPr>
          <w:rFonts w:hint="eastAsia" w:ascii="宋体" w:hAnsi="宋体" w:cs="仿宋_GB2312"/>
          <w:color w:val="000000"/>
          <w:szCs w:val="21"/>
          <w:highlight w:val="none"/>
        </w:rPr>
        <w:t>2.法人、其他组织投标时“我方”是指“我单位”，自然人投标时“我方”是指“本人”。</w:t>
      </w:r>
    </w:p>
    <w:p w14:paraId="6CA23A93">
      <w:pPr>
        <w:rPr>
          <w:rFonts w:ascii="宋体" w:hAnsi="宋体"/>
          <w:color w:val="000000"/>
          <w:sz w:val="24"/>
          <w:highlight w:val="none"/>
        </w:rPr>
      </w:pPr>
      <w:r>
        <w:rPr>
          <w:rFonts w:ascii="宋体" w:hAnsi="宋体"/>
          <w:color w:val="000000"/>
          <w:sz w:val="24"/>
          <w:highlight w:val="none"/>
        </w:rPr>
        <w:br w:type="page"/>
      </w:r>
    </w:p>
    <w:p w14:paraId="0FEADDEC">
      <w:pPr>
        <w:rPr>
          <w:rFonts w:ascii="宋体" w:hAnsi="宋体"/>
          <w:b/>
          <w:color w:val="000000"/>
          <w:sz w:val="24"/>
          <w:szCs w:val="20"/>
          <w:highlight w:val="none"/>
        </w:rPr>
      </w:pPr>
      <w:r>
        <w:rPr>
          <w:rFonts w:hint="eastAsia" w:ascii="宋体" w:hAnsi="宋体"/>
          <w:b/>
          <w:color w:val="000000"/>
          <w:sz w:val="24"/>
          <w:highlight w:val="none"/>
        </w:rPr>
        <w:t>6.商务要求偏离表格式（注：按项目需求表具体项目修改）</w:t>
      </w:r>
    </w:p>
    <w:p w14:paraId="6E9550C2">
      <w:pPr>
        <w:snapToGrid w:val="0"/>
        <w:spacing w:before="50"/>
        <w:jc w:val="left"/>
        <w:rPr>
          <w:rFonts w:ascii="宋体" w:hAnsi="宋体"/>
          <w:color w:val="000000"/>
          <w:sz w:val="24"/>
          <w:highlight w:val="none"/>
        </w:rPr>
      </w:pPr>
    </w:p>
    <w:p w14:paraId="0BD7A6B6">
      <w:pPr>
        <w:snapToGrid w:val="0"/>
        <w:spacing w:before="50"/>
        <w:jc w:val="left"/>
        <w:rPr>
          <w:rFonts w:hint="eastAsia" w:ascii="宋体" w:hAnsi="宋体"/>
          <w:color w:val="000000"/>
          <w:szCs w:val="21"/>
          <w:highlight w:val="none"/>
        </w:rPr>
      </w:pPr>
      <w:r>
        <w:rPr>
          <w:rFonts w:hint="eastAsia" w:ascii="宋体" w:hAnsi="宋体"/>
          <w:color w:val="000000"/>
          <w:szCs w:val="21"/>
          <w:highlight w:val="none"/>
        </w:rPr>
        <w:t xml:space="preserve">项目名称：                                     </w:t>
      </w:r>
    </w:p>
    <w:p w14:paraId="25882B06">
      <w:pPr>
        <w:snapToGrid w:val="0"/>
        <w:spacing w:before="50"/>
        <w:jc w:val="left"/>
        <w:rPr>
          <w:rFonts w:ascii="宋体" w:hAnsi="宋体"/>
          <w:color w:val="000000"/>
          <w:szCs w:val="21"/>
          <w:highlight w:val="none"/>
        </w:rPr>
      </w:pPr>
      <w:r>
        <w:rPr>
          <w:rFonts w:hint="eastAsia" w:ascii="宋体" w:hAnsi="宋体"/>
          <w:color w:val="000000"/>
          <w:szCs w:val="21"/>
          <w:highlight w:val="none"/>
        </w:rPr>
        <w:t xml:space="preserve">项目编号：                        </w:t>
      </w:r>
    </w:p>
    <w:p w14:paraId="33784182">
      <w:pPr>
        <w:snapToGrid w:val="0"/>
        <w:spacing w:before="50"/>
        <w:jc w:val="left"/>
        <w:rPr>
          <w:rFonts w:ascii="宋体" w:hAnsi="宋体"/>
          <w:color w:val="000000"/>
          <w:szCs w:val="21"/>
          <w:highlight w:val="none"/>
        </w:rPr>
      </w:pPr>
      <w:r>
        <w:rPr>
          <w:rFonts w:hint="eastAsia" w:ascii="宋体" w:hAnsi="宋体"/>
          <w:color w:val="000000"/>
          <w:szCs w:val="21"/>
          <w:highlight w:val="none"/>
        </w:rPr>
        <w:t xml:space="preserve">                      </w:t>
      </w:r>
    </w:p>
    <w:tbl>
      <w:tblPr>
        <w:tblStyle w:val="48"/>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488"/>
        <w:gridCol w:w="2126"/>
        <w:gridCol w:w="1701"/>
        <w:gridCol w:w="1326"/>
      </w:tblGrid>
      <w:tr w14:paraId="153912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3488" w:type="dxa"/>
            <w:tcBorders>
              <w:top w:val="single" w:color="auto" w:sz="4" w:space="0"/>
              <w:left w:val="single" w:color="auto" w:sz="4" w:space="0"/>
              <w:bottom w:val="single" w:color="auto" w:sz="4" w:space="0"/>
              <w:right w:val="single" w:color="auto" w:sz="4" w:space="0"/>
            </w:tcBorders>
          </w:tcPr>
          <w:p w14:paraId="5324F880">
            <w:pPr>
              <w:snapToGrid w:val="0"/>
              <w:spacing w:before="120" w:beforeLines="50"/>
              <w:jc w:val="center"/>
              <w:rPr>
                <w:rFonts w:ascii="宋体" w:hAnsi="宋体"/>
                <w:color w:val="000000"/>
                <w:szCs w:val="21"/>
                <w:highlight w:val="none"/>
              </w:rPr>
            </w:pPr>
            <w:r>
              <w:rPr>
                <w:rFonts w:hint="eastAsia" w:ascii="宋体" w:hAnsi="宋体"/>
                <w:color w:val="000000"/>
                <w:szCs w:val="21"/>
                <w:highlight w:val="none"/>
              </w:rPr>
              <w:t>项目</w:t>
            </w:r>
          </w:p>
        </w:tc>
        <w:tc>
          <w:tcPr>
            <w:tcW w:w="2126" w:type="dxa"/>
            <w:tcBorders>
              <w:top w:val="single" w:color="auto" w:sz="4" w:space="0"/>
              <w:left w:val="single" w:color="auto" w:sz="4" w:space="0"/>
              <w:bottom w:val="single" w:color="auto" w:sz="4" w:space="0"/>
              <w:right w:val="single" w:color="auto" w:sz="4" w:space="0"/>
            </w:tcBorders>
          </w:tcPr>
          <w:p w14:paraId="3E65C853">
            <w:pPr>
              <w:snapToGrid w:val="0"/>
              <w:spacing w:before="120" w:beforeLines="50"/>
              <w:jc w:val="center"/>
              <w:rPr>
                <w:rFonts w:ascii="宋体" w:hAnsi="宋体"/>
                <w:color w:val="000000"/>
                <w:szCs w:val="21"/>
                <w:highlight w:val="none"/>
              </w:rPr>
            </w:pPr>
            <w:r>
              <w:rPr>
                <w:rFonts w:hint="eastAsia" w:ascii="宋体" w:hAnsi="宋体"/>
                <w:color w:val="000000"/>
                <w:szCs w:val="21"/>
                <w:highlight w:val="none"/>
              </w:rPr>
              <w:t>招标文件商务要求</w:t>
            </w:r>
          </w:p>
        </w:tc>
        <w:tc>
          <w:tcPr>
            <w:tcW w:w="1701" w:type="dxa"/>
            <w:tcBorders>
              <w:top w:val="single" w:color="auto" w:sz="4" w:space="0"/>
              <w:left w:val="single" w:color="auto" w:sz="4" w:space="0"/>
              <w:bottom w:val="single" w:color="auto" w:sz="4" w:space="0"/>
              <w:right w:val="single" w:color="auto" w:sz="4" w:space="0"/>
            </w:tcBorders>
          </w:tcPr>
          <w:p w14:paraId="66CC0684">
            <w:pPr>
              <w:snapToGrid w:val="0"/>
              <w:spacing w:before="120" w:beforeLines="50"/>
              <w:jc w:val="center"/>
              <w:rPr>
                <w:rFonts w:ascii="宋体" w:hAnsi="宋体"/>
                <w:color w:val="000000"/>
                <w:szCs w:val="21"/>
                <w:highlight w:val="none"/>
              </w:rPr>
            </w:pPr>
            <w:r>
              <w:rPr>
                <w:rFonts w:hint="eastAsia" w:ascii="宋体" w:hAnsi="宋体"/>
                <w:color w:val="000000"/>
                <w:szCs w:val="21"/>
                <w:highlight w:val="none"/>
              </w:rPr>
              <w:t>投标人的承诺</w:t>
            </w:r>
          </w:p>
        </w:tc>
        <w:tc>
          <w:tcPr>
            <w:tcW w:w="1326" w:type="dxa"/>
            <w:tcBorders>
              <w:top w:val="single" w:color="auto" w:sz="4" w:space="0"/>
              <w:left w:val="single" w:color="auto" w:sz="4" w:space="0"/>
              <w:bottom w:val="single" w:color="auto" w:sz="4" w:space="0"/>
              <w:right w:val="single" w:color="auto" w:sz="4" w:space="0"/>
            </w:tcBorders>
          </w:tcPr>
          <w:p w14:paraId="5203C4FF">
            <w:pPr>
              <w:snapToGrid w:val="0"/>
              <w:spacing w:before="120" w:beforeLines="50"/>
              <w:jc w:val="center"/>
              <w:rPr>
                <w:rFonts w:ascii="宋体" w:hAnsi="宋体"/>
                <w:color w:val="000000"/>
                <w:szCs w:val="21"/>
                <w:highlight w:val="none"/>
              </w:rPr>
            </w:pPr>
            <w:r>
              <w:rPr>
                <w:rFonts w:hint="eastAsia" w:ascii="宋体" w:hAnsi="宋体"/>
                <w:color w:val="000000"/>
                <w:szCs w:val="21"/>
                <w:highlight w:val="none"/>
              </w:rPr>
              <w:t>偏离说明</w:t>
            </w:r>
          </w:p>
        </w:tc>
      </w:tr>
      <w:tr w14:paraId="4F00EC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488" w:type="dxa"/>
            <w:tcBorders>
              <w:top w:val="single" w:color="auto" w:sz="4" w:space="0"/>
              <w:left w:val="single" w:color="auto" w:sz="4" w:space="0"/>
              <w:bottom w:val="single" w:color="auto" w:sz="4" w:space="0"/>
              <w:right w:val="single" w:color="auto" w:sz="4" w:space="0"/>
            </w:tcBorders>
            <w:vAlign w:val="center"/>
          </w:tcPr>
          <w:p w14:paraId="22AE8E5F">
            <w:pPr>
              <w:snapToGrid w:val="0"/>
              <w:spacing w:line="400" w:lineRule="exact"/>
              <w:jc w:val="center"/>
              <w:rPr>
                <w:rFonts w:ascii="宋体" w:hAnsi="宋体"/>
                <w:color w:val="000000"/>
                <w:szCs w:val="21"/>
                <w:highlight w:val="none"/>
              </w:rPr>
            </w:pPr>
          </w:p>
        </w:tc>
        <w:tc>
          <w:tcPr>
            <w:tcW w:w="2126" w:type="dxa"/>
            <w:tcBorders>
              <w:top w:val="single" w:color="auto" w:sz="4" w:space="0"/>
              <w:left w:val="single" w:color="auto" w:sz="4" w:space="0"/>
              <w:bottom w:val="single" w:color="auto" w:sz="4" w:space="0"/>
              <w:right w:val="single" w:color="auto" w:sz="4" w:space="0"/>
            </w:tcBorders>
          </w:tcPr>
          <w:p w14:paraId="3AF07446">
            <w:pPr>
              <w:snapToGrid w:val="0"/>
              <w:spacing w:line="400" w:lineRule="exact"/>
              <w:jc w:val="center"/>
              <w:rPr>
                <w:rFonts w:ascii="宋体" w:hAnsi="宋体"/>
                <w:color w:val="000000"/>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27C3F18E">
            <w:pPr>
              <w:snapToGrid w:val="0"/>
              <w:spacing w:line="400" w:lineRule="exact"/>
              <w:jc w:val="center"/>
              <w:rPr>
                <w:rFonts w:ascii="宋体" w:hAnsi="宋体"/>
                <w:color w:val="000000"/>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1EDC4C5F">
            <w:pPr>
              <w:snapToGrid w:val="0"/>
              <w:spacing w:line="400" w:lineRule="exact"/>
              <w:jc w:val="center"/>
              <w:rPr>
                <w:rFonts w:ascii="宋体" w:hAnsi="宋体"/>
                <w:color w:val="000000"/>
                <w:szCs w:val="21"/>
                <w:highlight w:val="none"/>
              </w:rPr>
            </w:pPr>
          </w:p>
        </w:tc>
      </w:tr>
      <w:tr w14:paraId="39A862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3488" w:type="dxa"/>
            <w:tcBorders>
              <w:top w:val="single" w:color="auto" w:sz="4" w:space="0"/>
              <w:left w:val="single" w:color="auto" w:sz="4" w:space="0"/>
              <w:bottom w:val="single" w:color="auto" w:sz="4" w:space="0"/>
              <w:right w:val="single" w:color="auto" w:sz="4" w:space="0"/>
            </w:tcBorders>
            <w:vAlign w:val="center"/>
          </w:tcPr>
          <w:p w14:paraId="39DC7BA6">
            <w:pPr>
              <w:snapToGrid w:val="0"/>
              <w:spacing w:line="400" w:lineRule="exact"/>
              <w:jc w:val="center"/>
              <w:rPr>
                <w:rFonts w:ascii="宋体" w:hAnsi="宋体"/>
                <w:color w:val="000000"/>
                <w:szCs w:val="21"/>
                <w:highlight w:val="none"/>
              </w:rPr>
            </w:pPr>
          </w:p>
        </w:tc>
        <w:tc>
          <w:tcPr>
            <w:tcW w:w="2126" w:type="dxa"/>
            <w:tcBorders>
              <w:top w:val="single" w:color="auto" w:sz="4" w:space="0"/>
              <w:left w:val="single" w:color="auto" w:sz="4" w:space="0"/>
              <w:bottom w:val="single" w:color="auto" w:sz="4" w:space="0"/>
              <w:right w:val="single" w:color="auto" w:sz="4" w:space="0"/>
            </w:tcBorders>
          </w:tcPr>
          <w:p w14:paraId="29F31223">
            <w:pPr>
              <w:snapToGrid w:val="0"/>
              <w:spacing w:line="400" w:lineRule="exact"/>
              <w:jc w:val="center"/>
              <w:rPr>
                <w:rFonts w:ascii="宋体" w:hAnsi="宋体"/>
                <w:color w:val="000000"/>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0D4FE6DA">
            <w:pPr>
              <w:snapToGrid w:val="0"/>
              <w:spacing w:line="400" w:lineRule="exact"/>
              <w:jc w:val="center"/>
              <w:rPr>
                <w:rFonts w:ascii="宋体" w:hAnsi="宋体"/>
                <w:color w:val="000000"/>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3BC035E6">
            <w:pPr>
              <w:snapToGrid w:val="0"/>
              <w:spacing w:line="400" w:lineRule="exact"/>
              <w:jc w:val="center"/>
              <w:rPr>
                <w:rFonts w:ascii="宋体" w:hAnsi="宋体"/>
                <w:color w:val="000000"/>
                <w:szCs w:val="21"/>
                <w:highlight w:val="none"/>
              </w:rPr>
            </w:pPr>
          </w:p>
        </w:tc>
      </w:tr>
      <w:tr w14:paraId="371006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488" w:type="dxa"/>
            <w:tcBorders>
              <w:top w:val="single" w:color="auto" w:sz="4" w:space="0"/>
              <w:left w:val="single" w:color="auto" w:sz="4" w:space="0"/>
              <w:bottom w:val="single" w:color="auto" w:sz="4" w:space="0"/>
              <w:right w:val="single" w:color="auto" w:sz="4" w:space="0"/>
            </w:tcBorders>
            <w:vAlign w:val="center"/>
          </w:tcPr>
          <w:p w14:paraId="1FE12D02">
            <w:pPr>
              <w:spacing w:line="400" w:lineRule="exact"/>
              <w:jc w:val="center"/>
              <w:rPr>
                <w:rFonts w:ascii="宋体" w:hAnsi="宋体"/>
                <w:color w:val="000000"/>
                <w:szCs w:val="21"/>
                <w:highlight w:val="none"/>
              </w:rPr>
            </w:pPr>
          </w:p>
        </w:tc>
        <w:tc>
          <w:tcPr>
            <w:tcW w:w="2126" w:type="dxa"/>
            <w:tcBorders>
              <w:top w:val="single" w:color="auto" w:sz="4" w:space="0"/>
              <w:left w:val="single" w:color="auto" w:sz="4" w:space="0"/>
              <w:bottom w:val="single" w:color="auto" w:sz="4" w:space="0"/>
              <w:right w:val="single" w:color="auto" w:sz="4" w:space="0"/>
            </w:tcBorders>
          </w:tcPr>
          <w:p w14:paraId="3647B5BD">
            <w:pPr>
              <w:snapToGrid w:val="0"/>
              <w:spacing w:line="400" w:lineRule="exact"/>
              <w:rPr>
                <w:rFonts w:ascii="宋体" w:hAnsi="宋体"/>
                <w:color w:val="000000"/>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tcPr>
          <w:p w14:paraId="0D407476">
            <w:pPr>
              <w:snapToGrid w:val="0"/>
              <w:spacing w:line="400" w:lineRule="exact"/>
              <w:ind w:left="43"/>
              <w:jc w:val="center"/>
              <w:rPr>
                <w:rFonts w:ascii="宋体" w:hAnsi="宋体"/>
                <w:color w:val="000000"/>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74C6E348">
            <w:pPr>
              <w:snapToGrid w:val="0"/>
              <w:spacing w:line="400" w:lineRule="exact"/>
              <w:ind w:left="43"/>
              <w:jc w:val="center"/>
              <w:rPr>
                <w:rFonts w:ascii="宋体" w:hAnsi="宋体"/>
                <w:color w:val="000000"/>
                <w:szCs w:val="21"/>
                <w:highlight w:val="none"/>
              </w:rPr>
            </w:pPr>
          </w:p>
        </w:tc>
      </w:tr>
      <w:tr w14:paraId="2980F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488" w:type="dxa"/>
            <w:tcBorders>
              <w:top w:val="single" w:color="auto" w:sz="4" w:space="0"/>
              <w:left w:val="single" w:color="auto" w:sz="4" w:space="0"/>
              <w:bottom w:val="single" w:color="auto" w:sz="4" w:space="0"/>
              <w:right w:val="single" w:color="auto" w:sz="4" w:space="0"/>
            </w:tcBorders>
            <w:vAlign w:val="center"/>
          </w:tcPr>
          <w:p w14:paraId="781ED509">
            <w:pPr>
              <w:snapToGrid w:val="0"/>
              <w:spacing w:line="400" w:lineRule="exact"/>
              <w:jc w:val="center"/>
              <w:rPr>
                <w:rFonts w:ascii="宋体" w:hAnsi="宋体"/>
                <w:color w:val="000000"/>
                <w:szCs w:val="21"/>
                <w:highlight w:val="none"/>
              </w:rPr>
            </w:pPr>
          </w:p>
        </w:tc>
        <w:tc>
          <w:tcPr>
            <w:tcW w:w="2126" w:type="dxa"/>
            <w:tcBorders>
              <w:top w:val="single" w:color="auto" w:sz="4" w:space="0"/>
              <w:left w:val="single" w:color="auto" w:sz="4" w:space="0"/>
              <w:bottom w:val="single" w:color="auto" w:sz="4" w:space="0"/>
              <w:right w:val="single" w:color="auto" w:sz="4" w:space="0"/>
            </w:tcBorders>
          </w:tcPr>
          <w:p w14:paraId="5C9A1916">
            <w:pPr>
              <w:snapToGrid w:val="0"/>
              <w:spacing w:line="400" w:lineRule="exact"/>
              <w:rPr>
                <w:rFonts w:ascii="宋体" w:hAnsi="宋体"/>
                <w:color w:val="000000"/>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tcPr>
          <w:p w14:paraId="483A3036">
            <w:pPr>
              <w:snapToGrid w:val="0"/>
              <w:spacing w:line="400" w:lineRule="exact"/>
              <w:ind w:left="43"/>
              <w:jc w:val="center"/>
              <w:rPr>
                <w:rFonts w:ascii="宋体" w:hAnsi="宋体"/>
                <w:color w:val="000000"/>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6897BA43">
            <w:pPr>
              <w:snapToGrid w:val="0"/>
              <w:spacing w:line="400" w:lineRule="exact"/>
              <w:ind w:left="43"/>
              <w:jc w:val="center"/>
              <w:rPr>
                <w:rFonts w:ascii="宋体" w:hAnsi="宋体"/>
                <w:color w:val="000000"/>
                <w:szCs w:val="21"/>
                <w:highlight w:val="none"/>
              </w:rPr>
            </w:pPr>
          </w:p>
        </w:tc>
      </w:tr>
      <w:tr w14:paraId="0F954B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3488" w:type="dxa"/>
            <w:tcBorders>
              <w:top w:val="single" w:color="auto" w:sz="4" w:space="0"/>
              <w:left w:val="single" w:color="auto" w:sz="4" w:space="0"/>
              <w:bottom w:val="single" w:color="auto" w:sz="4" w:space="0"/>
              <w:right w:val="single" w:color="auto" w:sz="4" w:space="0"/>
            </w:tcBorders>
            <w:vAlign w:val="center"/>
          </w:tcPr>
          <w:p w14:paraId="0966D3FC">
            <w:pPr>
              <w:snapToGrid w:val="0"/>
              <w:spacing w:line="400" w:lineRule="exact"/>
              <w:jc w:val="center"/>
              <w:rPr>
                <w:rFonts w:ascii="宋体" w:hAnsi="宋体"/>
                <w:color w:val="000000"/>
                <w:szCs w:val="21"/>
                <w:highlight w:val="none"/>
              </w:rPr>
            </w:pPr>
          </w:p>
        </w:tc>
        <w:tc>
          <w:tcPr>
            <w:tcW w:w="2126" w:type="dxa"/>
            <w:tcBorders>
              <w:top w:val="single" w:color="auto" w:sz="4" w:space="0"/>
              <w:left w:val="single" w:color="auto" w:sz="4" w:space="0"/>
              <w:bottom w:val="single" w:color="auto" w:sz="4" w:space="0"/>
              <w:right w:val="single" w:color="auto" w:sz="4" w:space="0"/>
            </w:tcBorders>
          </w:tcPr>
          <w:p w14:paraId="7B8C846D">
            <w:pPr>
              <w:snapToGrid w:val="0"/>
              <w:spacing w:line="400" w:lineRule="exact"/>
              <w:rPr>
                <w:rFonts w:ascii="宋体" w:hAnsi="宋体"/>
                <w:color w:val="000000"/>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tcPr>
          <w:p w14:paraId="5B27B393">
            <w:pPr>
              <w:snapToGrid w:val="0"/>
              <w:spacing w:line="400" w:lineRule="exact"/>
              <w:ind w:left="43"/>
              <w:jc w:val="center"/>
              <w:rPr>
                <w:rFonts w:ascii="宋体" w:hAnsi="宋体"/>
                <w:color w:val="000000"/>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352AF95B">
            <w:pPr>
              <w:snapToGrid w:val="0"/>
              <w:spacing w:line="400" w:lineRule="exact"/>
              <w:ind w:left="43"/>
              <w:jc w:val="center"/>
              <w:rPr>
                <w:rFonts w:ascii="宋体" w:hAnsi="宋体"/>
                <w:color w:val="000000"/>
                <w:szCs w:val="21"/>
                <w:highlight w:val="none"/>
              </w:rPr>
            </w:pPr>
          </w:p>
        </w:tc>
      </w:tr>
      <w:tr w14:paraId="65144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3488" w:type="dxa"/>
            <w:tcBorders>
              <w:top w:val="single" w:color="auto" w:sz="4" w:space="0"/>
              <w:left w:val="single" w:color="auto" w:sz="4" w:space="0"/>
              <w:bottom w:val="single" w:color="auto" w:sz="4" w:space="0"/>
              <w:right w:val="single" w:color="auto" w:sz="4" w:space="0"/>
            </w:tcBorders>
            <w:vAlign w:val="center"/>
          </w:tcPr>
          <w:p w14:paraId="6639A2CD">
            <w:pPr>
              <w:snapToGrid w:val="0"/>
              <w:spacing w:line="400" w:lineRule="exact"/>
              <w:jc w:val="center"/>
              <w:rPr>
                <w:rFonts w:ascii="宋体" w:hAnsi="宋体" w:cs="宋体"/>
                <w:color w:val="000000"/>
                <w:szCs w:val="21"/>
                <w:highlight w:val="none"/>
              </w:rPr>
            </w:pPr>
          </w:p>
        </w:tc>
        <w:tc>
          <w:tcPr>
            <w:tcW w:w="2126" w:type="dxa"/>
            <w:tcBorders>
              <w:top w:val="single" w:color="auto" w:sz="4" w:space="0"/>
              <w:left w:val="single" w:color="auto" w:sz="4" w:space="0"/>
              <w:bottom w:val="single" w:color="auto" w:sz="4" w:space="0"/>
              <w:right w:val="single" w:color="auto" w:sz="4" w:space="0"/>
            </w:tcBorders>
          </w:tcPr>
          <w:p w14:paraId="5B73F1F2">
            <w:pPr>
              <w:snapToGrid w:val="0"/>
              <w:spacing w:line="400" w:lineRule="exact"/>
              <w:rPr>
                <w:rFonts w:ascii="宋体" w:hAnsi="宋体"/>
                <w:color w:val="000000"/>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tcPr>
          <w:p w14:paraId="032AE72C">
            <w:pPr>
              <w:snapToGrid w:val="0"/>
              <w:spacing w:line="400" w:lineRule="exact"/>
              <w:ind w:left="43"/>
              <w:jc w:val="center"/>
              <w:rPr>
                <w:rFonts w:ascii="宋体" w:hAnsi="宋体"/>
                <w:color w:val="000000"/>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6862B55C">
            <w:pPr>
              <w:snapToGrid w:val="0"/>
              <w:spacing w:line="400" w:lineRule="exact"/>
              <w:ind w:left="43"/>
              <w:jc w:val="center"/>
              <w:rPr>
                <w:rFonts w:ascii="宋体" w:hAnsi="宋体"/>
                <w:color w:val="000000"/>
                <w:szCs w:val="21"/>
                <w:highlight w:val="none"/>
              </w:rPr>
            </w:pPr>
          </w:p>
        </w:tc>
      </w:tr>
      <w:tr w14:paraId="53BD7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3488" w:type="dxa"/>
            <w:tcBorders>
              <w:top w:val="single" w:color="auto" w:sz="4" w:space="0"/>
              <w:left w:val="single" w:color="auto" w:sz="4" w:space="0"/>
              <w:bottom w:val="single" w:color="auto" w:sz="4" w:space="0"/>
              <w:right w:val="single" w:color="auto" w:sz="4" w:space="0"/>
            </w:tcBorders>
            <w:vAlign w:val="center"/>
          </w:tcPr>
          <w:p w14:paraId="27C22490">
            <w:pPr>
              <w:snapToGrid w:val="0"/>
              <w:spacing w:line="400" w:lineRule="exact"/>
              <w:jc w:val="center"/>
              <w:rPr>
                <w:rFonts w:ascii="宋体" w:hAnsi="宋体"/>
                <w:color w:val="000000"/>
                <w:szCs w:val="21"/>
                <w:highlight w:val="none"/>
              </w:rPr>
            </w:pPr>
          </w:p>
        </w:tc>
        <w:tc>
          <w:tcPr>
            <w:tcW w:w="2126" w:type="dxa"/>
            <w:tcBorders>
              <w:top w:val="single" w:color="auto" w:sz="4" w:space="0"/>
              <w:left w:val="single" w:color="auto" w:sz="4" w:space="0"/>
              <w:bottom w:val="single" w:color="auto" w:sz="4" w:space="0"/>
              <w:right w:val="single" w:color="auto" w:sz="4" w:space="0"/>
            </w:tcBorders>
          </w:tcPr>
          <w:p w14:paraId="09D83F32">
            <w:pPr>
              <w:snapToGrid w:val="0"/>
              <w:spacing w:line="400" w:lineRule="exact"/>
              <w:rPr>
                <w:rFonts w:ascii="宋体" w:hAnsi="宋体"/>
                <w:color w:val="000000"/>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tcPr>
          <w:p w14:paraId="200A0F6B">
            <w:pPr>
              <w:snapToGrid w:val="0"/>
              <w:spacing w:line="400" w:lineRule="exact"/>
              <w:ind w:left="43"/>
              <w:jc w:val="center"/>
              <w:rPr>
                <w:rFonts w:ascii="宋体" w:hAnsi="宋体"/>
                <w:color w:val="000000"/>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3378DE4E">
            <w:pPr>
              <w:snapToGrid w:val="0"/>
              <w:spacing w:line="400" w:lineRule="exact"/>
              <w:ind w:left="43"/>
              <w:jc w:val="center"/>
              <w:rPr>
                <w:rFonts w:ascii="宋体" w:hAnsi="宋体"/>
                <w:color w:val="000000"/>
                <w:szCs w:val="21"/>
                <w:highlight w:val="none"/>
              </w:rPr>
            </w:pPr>
          </w:p>
        </w:tc>
      </w:tr>
      <w:tr w14:paraId="70FFF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3488" w:type="dxa"/>
            <w:tcBorders>
              <w:top w:val="single" w:color="auto" w:sz="4" w:space="0"/>
              <w:left w:val="single" w:color="auto" w:sz="4" w:space="0"/>
              <w:bottom w:val="single" w:color="auto" w:sz="4" w:space="0"/>
              <w:right w:val="single" w:color="auto" w:sz="4" w:space="0"/>
            </w:tcBorders>
            <w:vAlign w:val="center"/>
          </w:tcPr>
          <w:p w14:paraId="4461BF1F">
            <w:pPr>
              <w:snapToGrid w:val="0"/>
              <w:spacing w:line="400" w:lineRule="exact"/>
              <w:jc w:val="center"/>
              <w:rPr>
                <w:rFonts w:ascii="宋体" w:hAnsi="宋体"/>
                <w:color w:val="000000"/>
                <w:szCs w:val="21"/>
                <w:highlight w:val="none"/>
              </w:rPr>
            </w:pPr>
          </w:p>
        </w:tc>
        <w:tc>
          <w:tcPr>
            <w:tcW w:w="2126" w:type="dxa"/>
            <w:tcBorders>
              <w:top w:val="single" w:color="auto" w:sz="4" w:space="0"/>
              <w:left w:val="single" w:color="auto" w:sz="4" w:space="0"/>
              <w:bottom w:val="single" w:color="auto" w:sz="4" w:space="0"/>
              <w:right w:val="single" w:color="auto" w:sz="4" w:space="0"/>
            </w:tcBorders>
          </w:tcPr>
          <w:p w14:paraId="7976F09E">
            <w:pPr>
              <w:snapToGrid w:val="0"/>
              <w:spacing w:line="400" w:lineRule="exact"/>
              <w:jc w:val="center"/>
              <w:rPr>
                <w:rFonts w:ascii="宋体" w:hAnsi="宋体"/>
                <w:color w:val="000000"/>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038DFAF3">
            <w:pPr>
              <w:snapToGrid w:val="0"/>
              <w:spacing w:line="400" w:lineRule="exact"/>
              <w:jc w:val="center"/>
              <w:rPr>
                <w:rFonts w:ascii="宋体" w:hAnsi="宋体"/>
                <w:color w:val="000000"/>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44A246F6">
            <w:pPr>
              <w:snapToGrid w:val="0"/>
              <w:spacing w:line="400" w:lineRule="exact"/>
              <w:jc w:val="center"/>
              <w:rPr>
                <w:rFonts w:ascii="宋体" w:hAnsi="宋体"/>
                <w:color w:val="000000"/>
                <w:szCs w:val="21"/>
                <w:highlight w:val="none"/>
              </w:rPr>
            </w:pPr>
          </w:p>
        </w:tc>
      </w:tr>
      <w:tr w14:paraId="44E7C1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3488" w:type="dxa"/>
            <w:tcBorders>
              <w:top w:val="single" w:color="auto" w:sz="4" w:space="0"/>
              <w:left w:val="single" w:color="auto" w:sz="4" w:space="0"/>
              <w:bottom w:val="single" w:color="auto" w:sz="4" w:space="0"/>
              <w:right w:val="single" w:color="auto" w:sz="4" w:space="0"/>
            </w:tcBorders>
            <w:vAlign w:val="center"/>
          </w:tcPr>
          <w:p w14:paraId="5D065D85">
            <w:pPr>
              <w:snapToGrid w:val="0"/>
              <w:spacing w:line="400" w:lineRule="exact"/>
              <w:jc w:val="center"/>
              <w:rPr>
                <w:rFonts w:ascii="宋体" w:hAnsi="宋体" w:cs="宋体"/>
                <w:color w:val="000000"/>
                <w:szCs w:val="21"/>
                <w:highlight w:val="none"/>
              </w:rPr>
            </w:pPr>
          </w:p>
        </w:tc>
        <w:tc>
          <w:tcPr>
            <w:tcW w:w="2126" w:type="dxa"/>
            <w:tcBorders>
              <w:top w:val="single" w:color="auto" w:sz="4" w:space="0"/>
              <w:left w:val="single" w:color="auto" w:sz="4" w:space="0"/>
              <w:bottom w:val="single" w:color="auto" w:sz="4" w:space="0"/>
              <w:right w:val="single" w:color="auto" w:sz="4" w:space="0"/>
            </w:tcBorders>
          </w:tcPr>
          <w:p w14:paraId="28A825E9">
            <w:pPr>
              <w:snapToGrid w:val="0"/>
              <w:spacing w:line="400" w:lineRule="exact"/>
              <w:jc w:val="center"/>
              <w:rPr>
                <w:rFonts w:ascii="宋体" w:hAnsi="宋体"/>
                <w:color w:val="000000"/>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31794174">
            <w:pPr>
              <w:snapToGrid w:val="0"/>
              <w:spacing w:line="400" w:lineRule="exact"/>
              <w:jc w:val="center"/>
              <w:rPr>
                <w:rFonts w:ascii="宋体" w:hAnsi="宋体"/>
                <w:color w:val="000000"/>
                <w:szCs w:val="21"/>
                <w:highlight w:val="none"/>
              </w:rPr>
            </w:pPr>
          </w:p>
        </w:tc>
        <w:tc>
          <w:tcPr>
            <w:tcW w:w="1326" w:type="dxa"/>
            <w:tcBorders>
              <w:top w:val="single" w:color="auto" w:sz="4" w:space="0"/>
              <w:left w:val="single" w:color="auto" w:sz="4" w:space="0"/>
              <w:bottom w:val="single" w:color="auto" w:sz="4" w:space="0"/>
              <w:right w:val="single" w:color="auto" w:sz="4" w:space="0"/>
            </w:tcBorders>
          </w:tcPr>
          <w:p w14:paraId="03366642">
            <w:pPr>
              <w:snapToGrid w:val="0"/>
              <w:spacing w:line="400" w:lineRule="exact"/>
              <w:jc w:val="center"/>
              <w:rPr>
                <w:rFonts w:ascii="宋体" w:hAnsi="宋体"/>
                <w:color w:val="000000"/>
                <w:szCs w:val="21"/>
                <w:highlight w:val="none"/>
              </w:rPr>
            </w:pPr>
          </w:p>
        </w:tc>
      </w:tr>
      <w:tr w14:paraId="7D2B0D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488" w:type="dxa"/>
            <w:tcBorders>
              <w:top w:val="single" w:color="auto" w:sz="4" w:space="0"/>
              <w:left w:val="single" w:color="auto" w:sz="4" w:space="0"/>
              <w:bottom w:val="single" w:color="auto" w:sz="4" w:space="0"/>
              <w:right w:val="single" w:color="auto" w:sz="4" w:space="0"/>
            </w:tcBorders>
            <w:vAlign w:val="center"/>
          </w:tcPr>
          <w:p w14:paraId="6A5BA0B6">
            <w:pPr>
              <w:snapToGrid w:val="0"/>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w:t>
            </w:r>
          </w:p>
        </w:tc>
        <w:tc>
          <w:tcPr>
            <w:tcW w:w="2126" w:type="dxa"/>
            <w:tcBorders>
              <w:top w:val="single" w:color="auto" w:sz="4" w:space="0"/>
              <w:left w:val="single" w:color="auto" w:sz="4" w:space="0"/>
              <w:bottom w:val="single" w:color="auto" w:sz="4" w:space="0"/>
              <w:right w:val="single" w:color="auto" w:sz="4" w:space="0"/>
            </w:tcBorders>
          </w:tcPr>
          <w:p w14:paraId="49331BC2">
            <w:pPr>
              <w:snapToGrid w:val="0"/>
              <w:spacing w:line="400" w:lineRule="exact"/>
              <w:jc w:val="center"/>
              <w:rPr>
                <w:rFonts w:ascii="宋体" w:hAnsi="宋体"/>
                <w:color w:val="000000"/>
                <w:szCs w:val="21"/>
                <w:highlight w:val="none"/>
              </w:rPr>
            </w:pPr>
            <w:r>
              <w:rPr>
                <w:rFonts w:hint="eastAsia" w:ascii="宋体" w:hAnsi="宋体" w:cs="宋体"/>
                <w:color w:val="000000"/>
                <w:szCs w:val="21"/>
                <w:highlight w:val="none"/>
              </w:rPr>
              <w:t>……</w:t>
            </w:r>
          </w:p>
        </w:tc>
        <w:tc>
          <w:tcPr>
            <w:tcW w:w="1701" w:type="dxa"/>
            <w:tcBorders>
              <w:top w:val="single" w:color="auto" w:sz="4" w:space="0"/>
              <w:left w:val="single" w:color="auto" w:sz="4" w:space="0"/>
              <w:bottom w:val="single" w:color="auto" w:sz="4" w:space="0"/>
              <w:right w:val="single" w:color="auto" w:sz="4" w:space="0"/>
            </w:tcBorders>
          </w:tcPr>
          <w:p w14:paraId="5C107598">
            <w:pPr>
              <w:snapToGrid w:val="0"/>
              <w:spacing w:line="400" w:lineRule="exact"/>
              <w:jc w:val="center"/>
              <w:rPr>
                <w:rFonts w:ascii="宋体" w:hAnsi="宋体"/>
                <w:color w:val="000000"/>
                <w:szCs w:val="21"/>
                <w:highlight w:val="none"/>
              </w:rPr>
            </w:pPr>
            <w:r>
              <w:rPr>
                <w:rFonts w:hint="eastAsia" w:ascii="宋体" w:hAnsi="宋体" w:cs="宋体"/>
                <w:color w:val="000000"/>
                <w:szCs w:val="21"/>
                <w:highlight w:val="none"/>
              </w:rPr>
              <w:t>……</w:t>
            </w:r>
          </w:p>
        </w:tc>
        <w:tc>
          <w:tcPr>
            <w:tcW w:w="1326" w:type="dxa"/>
            <w:tcBorders>
              <w:top w:val="single" w:color="auto" w:sz="4" w:space="0"/>
              <w:left w:val="single" w:color="auto" w:sz="4" w:space="0"/>
              <w:bottom w:val="single" w:color="auto" w:sz="4" w:space="0"/>
              <w:right w:val="single" w:color="auto" w:sz="4" w:space="0"/>
            </w:tcBorders>
          </w:tcPr>
          <w:p w14:paraId="381EBD6F">
            <w:pPr>
              <w:snapToGrid w:val="0"/>
              <w:spacing w:line="400" w:lineRule="exact"/>
              <w:jc w:val="center"/>
              <w:rPr>
                <w:rFonts w:ascii="宋体" w:hAnsi="宋体"/>
                <w:color w:val="000000"/>
                <w:szCs w:val="21"/>
                <w:highlight w:val="none"/>
              </w:rPr>
            </w:pPr>
            <w:r>
              <w:rPr>
                <w:rFonts w:hint="eastAsia" w:ascii="宋体" w:hAnsi="宋体" w:cs="宋体"/>
                <w:color w:val="000000"/>
                <w:szCs w:val="21"/>
                <w:highlight w:val="none"/>
              </w:rPr>
              <w:t>……</w:t>
            </w:r>
          </w:p>
        </w:tc>
      </w:tr>
    </w:tbl>
    <w:p w14:paraId="6B99846F">
      <w:pPr>
        <w:pStyle w:val="18"/>
        <w:rPr>
          <w:rFonts w:ascii="宋体" w:hAnsi="宋体"/>
          <w:color w:val="000000"/>
          <w:sz w:val="21"/>
          <w:szCs w:val="21"/>
          <w:highlight w:val="none"/>
        </w:rPr>
      </w:pPr>
      <w:r>
        <w:rPr>
          <w:rFonts w:hint="eastAsia" w:ascii="宋体" w:hAnsi="宋体"/>
          <w:color w:val="000000"/>
          <w:sz w:val="21"/>
          <w:szCs w:val="21"/>
          <w:highlight w:val="none"/>
        </w:rPr>
        <w:t>注：</w:t>
      </w:r>
    </w:p>
    <w:p w14:paraId="3E6A1643">
      <w:pPr>
        <w:pStyle w:val="20"/>
        <w:spacing w:line="520" w:lineRule="exact"/>
        <w:ind w:firstLine="0" w:firstLineChars="0"/>
        <w:rPr>
          <w:rFonts w:hAnsi="仿宋_GB2312" w:cs="仿宋_GB2312"/>
          <w:color w:val="000000"/>
          <w:sz w:val="21"/>
          <w:szCs w:val="21"/>
          <w:highlight w:val="none"/>
        </w:rPr>
      </w:pPr>
      <w:r>
        <w:rPr>
          <w:rFonts w:hint="eastAsia" w:ascii="宋体" w:hAnsi="宋体" w:eastAsia="宋体"/>
          <w:color w:val="000000"/>
          <w:sz w:val="21"/>
          <w:szCs w:val="21"/>
          <w:highlight w:val="none"/>
        </w:rPr>
        <w:t>1.</w:t>
      </w:r>
      <w:r>
        <w:rPr>
          <w:rFonts w:hint="eastAsia"/>
          <w:color w:val="000000"/>
          <w:sz w:val="21"/>
          <w:szCs w:val="21"/>
          <w:highlight w:val="none"/>
        </w:rPr>
        <w:t xml:space="preserve"> </w:t>
      </w:r>
      <w:r>
        <w:rPr>
          <w:rFonts w:hint="eastAsia" w:ascii="宋体" w:hAnsi="宋体" w:eastAsia="宋体"/>
          <w:color w:val="000000"/>
          <w:sz w:val="21"/>
          <w:szCs w:val="21"/>
          <w:highlight w:val="none"/>
        </w:rPr>
        <w:t>说明：应对照招标文件“第二章 采购需求”中的商务要求逐条作明确的投标响应，并作出偏离说明。</w:t>
      </w:r>
    </w:p>
    <w:p w14:paraId="0F35B25A">
      <w:pPr>
        <w:pStyle w:val="18"/>
        <w:rPr>
          <w:rFonts w:ascii="宋体" w:hAnsi="宋体"/>
          <w:b w:val="0"/>
          <w:bCs w:val="0"/>
          <w:color w:val="000000"/>
          <w:sz w:val="21"/>
          <w:szCs w:val="21"/>
          <w:highlight w:val="none"/>
        </w:rPr>
      </w:pPr>
      <w:r>
        <w:rPr>
          <w:rFonts w:ascii="宋体" w:hAnsi="宋体"/>
          <w:b w:val="0"/>
          <w:bCs w:val="0"/>
          <w:color w:val="000000"/>
          <w:sz w:val="21"/>
          <w:szCs w:val="21"/>
          <w:highlight w:val="none"/>
        </w:rPr>
        <w:t>2.</w:t>
      </w:r>
      <w:r>
        <w:rPr>
          <w:rFonts w:hint="eastAsia" w:ascii="宋体" w:hAnsi="宋体"/>
          <w:b w:val="0"/>
          <w:bCs w:val="0"/>
          <w:color w:val="000000"/>
          <w:sz w:val="21"/>
          <w:szCs w:val="21"/>
          <w:highlight w:val="none"/>
        </w:rPr>
        <w:t>投标人应根据自身的承诺，对照招标文件要求在“偏离说明”中注明“</w:t>
      </w:r>
      <w:r>
        <w:rPr>
          <w:rFonts w:hint="eastAsia" w:ascii="宋体" w:hAnsi="宋体"/>
          <w:color w:val="000000"/>
          <w:sz w:val="21"/>
          <w:szCs w:val="21"/>
          <w:highlight w:val="none"/>
        </w:rPr>
        <w:t>正偏离</w:t>
      </w:r>
      <w:r>
        <w:rPr>
          <w:rFonts w:hint="eastAsia" w:ascii="宋体" w:hAnsi="宋体"/>
          <w:b w:val="0"/>
          <w:bCs w:val="0"/>
          <w:color w:val="000000"/>
          <w:sz w:val="21"/>
          <w:szCs w:val="21"/>
          <w:highlight w:val="none"/>
        </w:rPr>
        <w:t>”、“</w:t>
      </w:r>
      <w:r>
        <w:rPr>
          <w:rFonts w:hint="eastAsia" w:ascii="宋体" w:hAnsi="宋体"/>
          <w:color w:val="000000"/>
          <w:sz w:val="21"/>
          <w:szCs w:val="21"/>
          <w:highlight w:val="none"/>
        </w:rPr>
        <w:t>负偏离</w:t>
      </w:r>
      <w:r>
        <w:rPr>
          <w:rFonts w:hint="eastAsia" w:ascii="宋体" w:hAnsi="宋体"/>
          <w:b w:val="0"/>
          <w:bCs w:val="0"/>
          <w:color w:val="000000"/>
          <w:sz w:val="21"/>
          <w:szCs w:val="21"/>
          <w:highlight w:val="none"/>
        </w:rPr>
        <w:t>”或者“</w:t>
      </w:r>
      <w:r>
        <w:rPr>
          <w:rFonts w:hint="eastAsia" w:ascii="宋体" w:hAnsi="宋体"/>
          <w:color w:val="000000"/>
          <w:sz w:val="21"/>
          <w:szCs w:val="21"/>
          <w:highlight w:val="none"/>
        </w:rPr>
        <w:t>无偏离</w:t>
      </w:r>
      <w:r>
        <w:rPr>
          <w:rFonts w:hint="eastAsia" w:ascii="宋体" w:hAnsi="宋体"/>
          <w:b w:val="0"/>
          <w:bCs w:val="0"/>
          <w:color w:val="000000"/>
          <w:sz w:val="21"/>
          <w:szCs w:val="21"/>
          <w:highlight w:val="none"/>
        </w:rPr>
        <w:t>”。既不属于“</w:t>
      </w:r>
      <w:r>
        <w:rPr>
          <w:rFonts w:hint="eastAsia" w:ascii="宋体" w:hAnsi="宋体"/>
          <w:color w:val="000000"/>
          <w:sz w:val="21"/>
          <w:szCs w:val="21"/>
          <w:highlight w:val="none"/>
        </w:rPr>
        <w:t>正偏离</w:t>
      </w:r>
      <w:r>
        <w:rPr>
          <w:rFonts w:hint="eastAsia" w:ascii="宋体" w:hAnsi="宋体"/>
          <w:b w:val="0"/>
          <w:bCs w:val="0"/>
          <w:color w:val="000000"/>
          <w:sz w:val="21"/>
          <w:szCs w:val="21"/>
          <w:highlight w:val="none"/>
        </w:rPr>
        <w:t>”也不属于“</w:t>
      </w:r>
      <w:r>
        <w:rPr>
          <w:rFonts w:hint="eastAsia" w:ascii="宋体" w:hAnsi="宋体"/>
          <w:color w:val="000000"/>
          <w:sz w:val="21"/>
          <w:szCs w:val="21"/>
          <w:highlight w:val="none"/>
        </w:rPr>
        <w:t>负偏离</w:t>
      </w:r>
      <w:r>
        <w:rPr>
          <w:rFonts w:hint="eastAsia" w:ascii="宋体" w:hAnsi="宋体"/>
          <w:b w:val="0"/>
          <w:bCs w:val="0"/>
          <w:color w:val="000000"/>
          <w:sz w:val="21"/>
          <w:szCs w:val="21"/>
          <w:highlight w:val="none"/>
        </w:rPr>
        <w:t>”即为“</w:t>
      </w:r>
      <w:r>
        <w:rPr>
          <w:rFonts w:hint="eastAsia" w:ascii="宋体" w:hAnsi="宋体"/>
          <w:color w:val="000000"/>
          <w:sz w:val="21"/>
          <w:szCs w:val="21"/>
          <w:highlight w:val="none"/>
        </w:rPr>
        <w:t>无偏离</w:t>
      </w:r>
      <w:r>
        <w:rPr>
          <w:rFonts w:hint="eastAsia" w:ascii="宋体" w:hAnsi="宋体"/>
          <w:b w:val="0"/>
          <w:bCs w:val="0"/>
          <w:color w:val="000000"/>
          <w:sz w:val="21"/>
          <w:szCs w:val="21"/>
          <w:highlight w:val="none"/>
        </w:rPr>
        <w:t>”。</w:t>
      </w:r>
    </w:p>
    <w:p w14:paraId="5F7BA810">
      <w:pPr>
        <w:pStyle w:val="18"/>
        <w:rPr>
          <w:rFonts w:ascii="宋体" w:hAnsi="宋体"/>
          <w:b w:val="0"/>
          <w:bCs w:val="0"/>
          <w:color w:val="000000"/>
          <w:sz w:val="21"/>
          <w:szCs w:val="21"/>
          <w:highlight w:val="none"/>
        </w:rPr>
      </w:pPr>
      <w:r>
        <w:rPr>
          <w:rFonts w:hint="eastAsia" w:ascii="宋体" w:hAnsi="宋体"/>
          <w:b w:val="0"/>
          <w:bCs w:val="0"/>
          <w:color w:val="000000"/>
          <w:sz w:val="21"/>
          <w:szCs w:val="21"/>
          <w:highlight w:val="none"/>
        </w:rPr>
        <w:t>3.不按照要求填写承诺内容的或者仅填写“满足或者响应”的，均按无效投标处理。</w:t>
      </w:r>
    </w:p>
    <w:p w14:paraId="3A8E148C">
      <w:pPr>
        <w:snapToGrid w:val="0"/>
        <w:spacing w:before="50" w:after="50"/>
        <w:rPr>
          <w:rFonts w:hint="eastAsia" w:ascii="宋体" w:hAnsi="宋体"/>
          <w:color w:val="000000"/>
          <w:szCs w:val="21"/>
          <w:highlight w:val="none"/>
        </w:rPr>
      </w:pPr>
    </w:p>
    <w:p w14:paraId="50324CCE">
      <w:pPr>
        <w:snapToGrid w:val="0"/>
        <w:spacing w:before="50" w:after="50"/>
        <w:rPr>
          <w:rFonts w:ascii="宋体" w:hAnsi="宋体"/>
          <w:color w:val="000000"/>
          <w:spacing w:val="20"/>
          <w:szCs w:val="21"/>
          <w:highlight w:val="none"/>
          <w:u w:val="single"/>
        </w:rPr>
      </w:pPr>
      <w:r>
        <w:rPr>
          <w:rFonts w:hint="eastAsia" w:ascii="宋体" w:hAnsi="宋体"/>
          <w:color w:val="000000"/>
          <w:szCs w:val="21"/>
          <w:highlight w:val="none"/>
        </w:rPr>
        <w:t>法定代表人（或负责人）或者委托代理人（签字或电子签名）</w:t>
      </w:r>
      <w:r>
        <w:rPr>
          <w:rFonts w:hint="eastAsia" w:ascii="宋体" w:hAnsi="宋体"/>
          <w:color w:val="000000"/>
          <w:spacing w:val="20"/>
          <w:szCs w:val="21"/>
          <w:highlight w:val="none"/>
        </w:rPr>
        <w:t>：</w:t>
      </w:r>
      <w:r>
        <w:rPr>
          <w:rFonts w:hint="eastAsia" w:ascii="宋体" w:hAnsi="宋体"/>
          <w:color w:val="000000"/>
          <w:spacing w:val="20"/>
          <w:szCs w:val="21"/>
          <w:highlight w:val="none"/>
          <w:u w:val="single"/>
        </w:rPr>
        <w:t xml:space="preserve">        </w:t>
      </w:r>
    </w:p>
    <w:p w14:paraId="2AB48FC5">
      <w:pPr>
        <w:snapToGrid w:val="0"/>
        <w:spacing w:before="120" w:beforeLines="50"/>
        <w:rPr>
          <w:rFonts w:ascii="宋体" w:hAnsi="宋体"/>
          <w:color w:val="000000"/>
          <w:spacing w:val="20"/>
          <w:szCs w:val="21"/>
          <w:highlight w:val="none"/>
        </w:rPr>
      </w:pPr>
      <w:r>
        <w:rPr>
          <w:rFonts w:hint="eastAsia" w:ascii="宋体" w:hAnsi="宋体"/>
          <w:color w:val="000000"/>
          <w:spacing w:val="20"/>
          <w:szCs w:val="21"/>
          <w:highlight w:val="none"/>
        </w:rPr>
        <w:t>投标人名称（电子签章）：</w:t>
      </w:r>
      <w:r>
        <w:rPr>
          <w:rFonts w:hint="eastAsia" w:ascii="宋体" w:hAnsi="宋体"/>
          <w:color w:val="000000"/>
          <w:spacing w:val="20"/>
          <w:szCs w:val="21"/>
          <w:highlight w:val="none"/>
          <w:u w:val="single"/>
        </w:rPr>
        <w:t xml:space="preserve">            </w:t>
      </w:r>
      <w:r>
        <w:rPr>
          <w:rFonts w:hint="eastAsia" w:ascii="宋体" w:hAnsi="宋体"/>
          <w:color w:val="000000"/>
          <w:spacing w:val="20"/>
          <w:szCs w:val="21"/>
          <w:highlight w:val="none"/>
        </w:rPr>
        <w:t xml:space="preserve">   </w:t>
      </w:r>
    </w:p>
    <w:p w14:paraId="7E883758">
      <w:pPr>
        <w:snapToGrid w:val="0"/>
        <w:spacing w:before="120" w:beforeLines="50"/>
        <w:rPr>
          <w:rFonts w:ascii="宋体" w:hAnsi="宋体"/>
          <w:color w:val="000000"/>
          <w:szCs w:val="21"/>
          <w:highlight w:val="none"/>
        </w:rPr>
      </w:pPr>
      <w:r>
        <w:rPr>
          <w:rFonts w:hint="eastAsia" w:ascii="宋体" w:hAnsi="宋体"/>
          <w:color w:val="000000"/>
          <w:spacing w:val="20"/>
          <w:szCs w:val="21"/>
          <w:highlight w:val="none"/>
        </w:rPr>
        <w:t>日  期：</w:t>
      </w:r>
      <w:r>
        <w:rPr>
          <w:rFonts w:hint="eastAsia" w:ascii="宋体" w:hAnsi="宋体"/>
          <w:color w:val="000000"/>
          <w:spacing w:val="20"/>
          <w:szCs w:val="21"/>
          <w:highlight w:val="none"/>
          <w:u w:val="single"/>
        </w:rPr>
        <w:t xml:space="preserve">         </w:t>
      </w:r>
    </w:p>
    <w:p w14:paraId="5B9BDC18">
      <w:pPr>
        <w:snapToGrid w:val="0"/>
        <w:spacing w:before="120" w:beforeLines="50" w:after="50"/>
        <w:jc w:val="left"/>
        <w:rPr>
          <w:rFonts w:ascii="宋体" w:hAnsi="宋体"/>
          <w:b/>
          <w:color w:val="000000"/>
          <w:sz w:val="24"/>
          <w:highlight w:val="none"/>
        </w:rPr>
        <w:sectPr>
          <w:pgSz w:w="11906" w:h="16838"/>
          <w:pgMar w:top="1440" w:right="1797" w:bottom="1440" w:left="1797" w:header="851" w:footer="992" w:gutter="0"/>
          <w:cols w:space="720" w:num="1"/>
          <w:docGrid w:linePitch="312" w:charSpace="0"/>
        </w:sectPr>
      </w:pPr>
    </w:p>
    <w:p w14:paraId="5F439CE5">
      <w:pPr>
        <w:snapToGrid w:val="0"/>
        <w:spacing w:before="120" w:beforeLines="50" w:after="50"/>
        <w:jc w:val="left"/>
        <w:rPr>
          <w:rFonts w:ascii="宋体" w:hAnsi="宋体"/>
          <w:b/>
          <w:color w:val="000000"/>
          <w:sz w:val="24"/>
          <w:highlight w:val="none"/>
        </w:rPr>
      </w:pPr>
      <w:r>
        <w:rPr>
          <w:rFonts w:hint="eastAsia" w:ascii="宋体" w:hAnsi="宋体"/>
          <w:b/>
          <w:color w:val="000000"/>
          <w:sz w:val="24"/>
          <w:highlight w:val="none"/>
        </w:rPr>
        <w:t>7.投标人业绩证明材料</w:t>
      </w:r>
    </w:p>
    <w:p w14:paraId="48ACCC90">
      <w:pPr>
        <w:pStyle w:val="35"/>
        <w:snapToGrid w:val="0"/>
        <w:ind w:left="480" w:hanging="480"/>
        <w:rPr>
          <w:rFonts w:ascii="宋体" w:hAnsi="宋体"/>
          <w:color w:val="000000"/>
          <w:sz w:val="24"/>
          <w:highlight w:val="none"/>
        </w:rPr>
      </w:pPr>
    </w:p>
    <w:p w14:paraId="30B537BC">
      <w:pPr>
        <w:pStyle w:val="35"/>
        <w:snapToGrid w:val="0"/>
        <w:ind w:left="420" w:hanging="420"/>
        <w:rPr>
          <w:rFonts w:ascii="宋体" w:hAnsi="宋体"/>
          <w:color w:val="000000"/>
          <w:sz w:val="21"/>
          <w:szCs w:val="21"/>
          <w:highlight w:val="none"/>
        </w:rPr>
      </w:pPr>
      <w:r>
        <w:rPr>
          <w:rFonts w:hint="eastAsia" w:ascii="宋体" w:hAnsi="宋体"/>
          <w:color w:val="000000"/>
          <w:sz w:val="21"/>
          <w:szCs w:val="21"/>
          <w:highlight w:val="none"/>
        </w:rPr>
        <w:t xml:space="preserve">投标人业绩情况一览表格式： </w:t>
      </w:r>
    </w:p>
    <w:tbl>
      <w:tblPr>
        <w:tblStyle w:val="48"/>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06"/>
        <w:gridCol w:w="1706"/>
        <w:gridCol w:w="1414"/>
        <w:gridCol w:w="1414"/>
        <w:gridCol w:w="2285"/>
      </w:tblGrid>
      <w:tr w14:paraId="05CE22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65" w:hRule="atLeast"/>
        </w:trPr>
        <w:tc>
          <w:tcPr>
            <w:tcW w:w="1000" w:type="pct"/>
            <w:tcBorders>
              <w:top w:val="single" w:color="auto" w:sz="4" w:space="0"/>
              <w:left w:val="single" w:color="auto" w:sz="4" w:space="0"/>
              <w:bottom w:val="single" w:color="auto" w:sz="4" w:space="0"/>
              <w:right w:val="single" w:color="auto" w:sz="4" w:space="0"/>
            </w:tcBorders>
            <w:vAlign w:val="center"/>
          </w:tcPr>
          <w:p w14:paraId="195E4451">
            <w:pPr>
              <w:snapToGrid w:val="0"/>
              <w:spacing w:line="240" w:lineRule="exact"/>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序号</w:t>
            </w:r>
          </w:p>
        </w:tc>
        <w:tc>
          <w:tcPr>
            <w:tcW w:w="1000" w:type="pct"/>
            <w:tcBorders>
              <w:top w:val="single" w:color="auto" w:sz="4" w:space="0"/>
              <w:left w:val="single" w:color="auto" w:sz="4" w:space="0"/>
              <w:bottom w:val="single" w:color="auto" w:sz="4" w:space="0"/>
              <w:right w:val="single" w:color="auto" w:sz="4" w:space="0"/>
            </w:tcBorders>
            <w:vAlign w:val="center"/>
          </w:tcPr>
          <w:p w14:paraId="58D7D8A8">
            <w:pPr>
              <w:snapToGrid w:val="0"/>
              <w:spacing w:line="240" w:lineRule="exact"/>
              <w:jc w:val="center"/>
              <w:rPr>
                <w:rFonts w:ascii="宋体" w:hAnsi="宋体"/>
                <w:color w:val="000000"/>
                <w:szCs w:val="21"/>
                <w:highlight w:val="none"/>
              </w:rPr>
            </w:pPr>
            <w:r>
              <w:rPr>
                <w:rFonts w:hint="eastAsia" w:ascii="宋体" w:hAnsi="宋体"/>
                <w:color w:val="000000"/>
                <w:szCs w:val="21"/>
                <w:highlight w:val="none"/>
              </w:rPr>
              <w:t>采购人名称</w:t>
            </w:r>
          </w:p>
        </w:tc>
        <w:tc>
          <w:tcPr>
            <w:tcW w:w="829" w:type="pct"/>
            <w:tcBorders>
              <w:top w:val="single" w:color="auto" w:sz="4" w:space="0"/>
              <w:left w:val="single" w:color="auto" w:sz="4" w:space="0"/>
              <w:bottom w:val="single" w:color="auto" w:sz="4" w:space="0"/>
              <w:right w:val="single" w:color="auto" w:sz="4" w:space="0"/>
            </w:tcBorders>
            <w:vAlign w:val="center"/>
          </w:tcPr>
          <w:p w14:paraId="743A52EE">
            <w:pPr>
              <w:snapToGrid w:val="0"/>
              <w:spacing w:line="240" w:lineRule="exact"/>
              <w:jc w:val="center"/>
              <w:rPr>
                <w:rFonts w:ascii="宋体" w:hAnsi="宋体"/>
                <w:color w:val="000000"/>
                <w:szCs w:val="21"/>
                <w:highlight w:val="none"/>
              </w:rPr>
            </w:pPr>
            <w:r>
              <w:rPr>
                <w:rFonts w:hint="eastAsia" w:ascii="宋体" w:hAnsi="宋体"/>
                <w:color w:val="000000"/>
                <w:szCs w:val="21"/>
                <w:highlight w:val="none"/>
              </w:rPr>
              <w:t>项目名称</w:t>
            </w:r>
          </w:p>
        </w:tc>
        <w:tc>
          <w:tcPr>
            <w:tcW w:w="829" w:type="pct"/>
            <w:tcBorders>
              <w:top w:val="single" w:color="auto" w:sz="4" w:space="0"/>
              <w:left w:val="single" w:color="auto" w:sz="4" w:space="0"/>
              <w:bottom w:val="single" w:color="auto" w:sz="4" w:space="0"/>
              <w:right w:val="single" w:color="auto" w:sz="4" w:space="0"/>
            </w:tcBorders>
            <w:vAlign w:val="center"/>
          </w:tcPr>
          <w:p w14:paraId="16E9462B">
            <w:pPr>
              <w:snapToGrid w:val="0"/>
              <w:spacing w:line="240" w:lineRule="exact"/>
              <w:jc w:val="center"/>
              <w:rPr>
                <w:rFonts w:ascii="宋体" w:hAnsi="宋体"/>
                <w:color w:val="000000"/>
                <w:szCs w:val="21"/>
                <w:highlight w:val="none"/>
              </w:rPr>
            </w:pPr>
            <w:r>
              <w:rPr>
                <w:rFonts w:hint="eastAsia" w:ascii="宋体" w:hAnsi="宋体"/>
                <w:color w:val="000000"/>
                <w:szCs w:val="21"/>
                <w:highlight w:val="none"/>
              </w:rPr>
              <w:t>合同金额</w:t>
            </w:r>
          </w:p>
          <w:p w14:paraId="113909D0">
            <w:pPr>
              <w:snapToGrid w:val="0"/>
              <w:spacing w:line="240" w:lineRule="exact"/>
              <w:jc w:val="center"/>
              <w:rPr>
                <w:rFonts w:ascii="宋体" w:hAnsi="宋体"/>
                <w:color w:val="000000"/>
                <w:szCs w:val="21"/>
                <w:highlight w:val="none"/>
              </w:rPr>
            </w:pPr>
            <w:r>
              <w:rPr>
                <w:rFonts w:hint="eastAsia" w:ascii="宋体" w:hAnsi="宋体"/>
                <w:color w:val="000000"/>
                <w:szCs w:val="21"/>
                <w:highlight w:val="none"/>
              </w:rPr>
              <w:t>（万元）</w:t>
            </w:r>
          </w:p>
        </w:tc>
        <w:tc>
          <w:tcPr>
            <w:tcW w:w="1339" w:type="pct"/>
            <w:tcBorders>
              <w:top w:val="single" w:color="auto" w:sz="4" w:space="0"/>
              <w:left w:val="single" w:color="auto" w:sz="4" w:space="0"/>
              <w:bottom w:val="single" w:color="auto" w:sz="4" w:space="0"/>
              <w:right w:val="single" w:color="auto" w:sz="4" w:space="0"/>
            </w:tcBorders>
            <w:vAlign w:val="center"/>
          </w:tcPr>
          <w:p w14:paraId="2CEEC077">
            <w:pPr>
              <w:snapToGrid w:val="0"/>
              <w:spacing w:line="240" w:lineRule="exact"/>
              <w:jc w:val="center"/>
              <w:rPr>
                <w:rFonts w:ascii="宋体" w:hAnsi="宋体"/>
                <w:color w:val="000000"/>
                <w:szCs w:val="21"/>
                <w:highlight w:val="none"/>
              </w:rPr>
            </w:pPr>
            <w:r>
              <w:rPr>
                <w:rFonts w:hint="eastAsia" w:ascii="宋体" w:hAnsi="宋体"/>
                <w:color w:val="000000"/>
                <w:szCs w:val="21"/>
                <w:highlight w:val="none"/>
              </w:rPr>
              <w:t>采购人联系人及</w:t>
            </w:r>
          </w:p>
          <w:p w14:paraId="1CFD3A74">
            <w:pPr>
              <w:snapToGrid w:val="0"/>
              <w:spacing w:line="240" w:lineRule="exact"/>
              <w:jc w:val="center"/>
              <w:rPr>
                <w:rFonts w:ascii="宋体" w:hAnsi="宋体"/>
                <w:color w:val="000000"/>
                <w:szCs w:val="21"/>
                <w:highlight w:val="none"/>
              </w:rPr>
            </w:pPr>
            <w:r>
              <w:rPr>
                <w:rFonts w:hint="eastAsia" w:ascii="宋体" w:hAnsi="宋体"/>
                <w:color w:val="000000"/>
                <w:szCs w:val="21"/>
                <w:highlight w:val="none"/>
              </w:rPr>
              <w:t>联系电话</w:t>
            </w:r>
          </w:p>
        </w:tc>
      </w:tr>
      <w:tr w14:paraId="27C48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00" w:type="pct"/>
            <w:tcBorders>
              <w:top w:val="single" w:color="auto" w:sz="4" w:space="0"/>
              <w:left w:val="single" w:color="auto" w:sz="4" w:space="0"/>
              <w:bottom w:val="single" w:color="auto" w:sz="4" w:space="0"/>
              <w:right w:val="single" w:color="auto" w:sz="4" w:space="0"/>
            </w:tcBorders>
          </w:tcPr>
          <w:p w14:paraId="1A15ECA2">
            <w:pPr>
              <w:snapToGrid w:val="0"/>
              <w:spacing w:line="240" w:lineRule="exact"/>
              <w:jc w:val="left"/>
              <w:rPr>
                <w:rFonts w:ascii="宋体" w:hAnsi="宋体"/>
                <w:color w:val="000000"/>
                <w:szCs w:val="21"/>
                <w:highlight w:val="none"/>
              </w:rPr>
            </w:pPr>
          </w:p>
        </w:tc>
        <w:tc>
          <w:tcPr>
            <w:tcW w:w="1000" w:type="pct"/>
            <w:tcBorders>
              <w:top w:val="single" w:color="auto" w:sz="4" w:space="0"/>
              <w:left w:val="single" w:color="auto" w:sz="4" w:space="0"/>
              <w:bottom w:val="single" w:color="auto" w:sz="4" w:space="0"/>
              <w:right w:val="single" w:color="auto" w:sz="4" w:space="0"/>
            </w:tcBorders>
          </w:tcPr>
          <w:p w14:paraId="44A7610D">
            <w:pPr>
              <w:snapToGrid w:val="0"/>
              <w:spacing w:line="240" w:lineRule="exact"/>
              <w:jc w:val="left"/>
              <w:rPr>
                <w:rFonts w:ascii="宋体" w:hAnsi="宋体"/>
                <w:color w:val="000000"/>
                <w:szCs w:val="21"/>
                <w:highlight w:val="none"/>
              </w:rPr>
            </w:pPr>
          </w:p>
        </w:tc>
        <w:tc>
          <w:tcPr>
            <w:tcW w:w="829" w:type="pct"/>
            <w:tcBorders>
              <w:top w:val="single" w:color="auto" w:sz="4" w:space="0"/>
              <w:left w:val="single" w:color="auto" w:sz="4" w:space="0"/>
              <w:bottom w:val="single" w:color="auto" w:sz="4" w:space="0"/>
              <w:right w:val="single" w:color="auto" w:sz="4" w:space="0"/>
            </w:tcBorders>
          </w:tcPr>
          <w:p w14:paraId="164B2C91">
            <w:pPr>
              <w:snapToGrid w:val="0"/>
              <w:spacing w:line="240" w:lineRule="exact"/>
              <w:jc w:val="left"/>
              <w:rPr>
                <w:rFonts w:ascii="宋体" w:hAnsi="宋体"/>
                <w:color w:val="000000"/>
                <w:szCs w:val="21"/>
                <w:highlight w:val="none"/>
              </w:rPr>
            </w:pPr>
          </w:p>
        </w:tc>
        <w:tc>
          <w:tcPr>
            <w:tcW w:w="829" w:type="pct"/>
            <w:tcBorders>
              <w:top w:val="single" w:color="auto" w:sz="4" w:space="0"/>
              <w:left w:val="single" w:color="auto" w:sz="4" w:space="0"/>
              <w:bottom w:val="single" w:color="auto" w:sz="4" w:space="0"/>
              <w:right w:val="single" w:color="auto" w:sz="4" w:space="0"/>
            </w:tcBorders>
          </w:tcPr>
          <w:p w14:paraId="0344C812">
            <w:pPr>
              <w:snapToGrid w:val="0"/>
              <w:spacing w:line="240" w:lineRule="exact"/>
              <w:jc w:val="left"/>
              <w:rPr>
                <w:rFonts w:ascii="宋体" w:hAnsi="宋体"/>
                <w:color w:val="000000"/>
                <w:szCs w:val="21"/>
                <w:highlight w:val="none"/>
              </w:rPr>
            </w:pPr>
          </w:p>
        </w:tc>
        <w:tc>
          <w:tcPr>
            <w:tcW w:w="1339" w:type="pct"/>
            <w:tcBorders>
              <w:top w:val="single" w:color="auto" w:sz="4" w:space="0"/>
              <w:left w:val="single" w:color="auto" w:sz="4" w:space="0"/>
              <w:bottom w:val="single" w:color="auto" w:sz="4" w:space="0"/>
              <w:right w:val="single" w:color="auto" w:sz="4" w:space="0"/>
            </w:tcBorders>
          </w:tcPr>
          <w:p w14:paraId="5EE31256">
            <w:pPr>
              <w:snapToGrid w:val="0"/>
              <w:spacing w:line="240" w:lineRule="exact"/>
              <w:jc w:val="left"/>
              <w:rPr>
                <w:rFonts w:ascii="宋体" w:hAnsi="宋体"/>
                <w:color w:val="000000"/>
                <w:szCs w:val="21"/>
                <w:highlight w:val="none"/>
              </w:rPr>
            </w:pPr>
          </w:p>
        </w:tc>
      </w:tr>
      <w:tr w14:paraId="120A3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0" w:type="pct"/>
            <w:tcBorders>
              <w:top w:val="single" w:color="auto" w:sz="4" w:space="0"/>
              <w:left w:val="single" w:color="auto" w:sz="4" w:space="0"/>
              <w:bottom w:val="single" w:color="auto" w:sz="4" w:space="0"/>
              <w:right w:val="single" w:color="auto" w:sz="4" w:space="0"/>
            </w:tcBorders>
          </w:tcPr>
          <w:p w14:paraId="22812224">
            <w:pPr>
              <w:snapToGrid w:val="0"/>
              <w:spacing w:before="50" w:after="120" w:afterLines="50" w:line="400" w:lineRule="exact"/>
              <w:jc w:val="left"/>
              <w:rPr>
                <w:rFonts w:ascii="宋体" w:hAnsi="宋体"/>
                <w:color w:val="000000"/>
                <w:szCs w:val="21"/>
                <w:highlight w:val="none"/>
              </w:rPr>
            </w:pPr>
          </w:p>
        </w:tc>
        <w:tc>
          <w:tcPr>
            <w:tcW w:w="1000" w:type="pct"/>
            <w:tcBorders>
              <w:top w:val="single" w:color="auto" w:sz="4" w:space="0"/>
              <w:left w:val="single" w:color="auto" w:sz="4" w:space="0"/>
              <w:bottom w:val="single" w:color="auto" w:sz="4" w:space="0"/>
              <w:right w:val="single" w:color="auto" w:sz="4" w:space="0"/>
            </w:tcBorders>
          </w:tcPr>
          <w:p w14:paraId="6D9E66C8">
            <w:pPr>
              <w:snapToGrid w:val="0"/>
              <w:spacing w:before="50" w:after="120" w:afterLines="50" w:line="400" w:lineRule="exact"/>
              <w:jc w:val="left"/>
              <w:rPr>
                <w:rFonts w:ascii="宋体" w:hAnsi="宋体"/>
                <w:color w:val="000000"/>
                <w:szCs w:val="21"/>
                <w:highlight w:val="none"/>
              </w:rPr>
            </w:pPr>
          </w:p>
        </w:tc>
        <w:tc>
          <w:tcPr>
            <w:tcW w:w="829" w:type="pct"/>
            <w:tcBorders>
              <w:top w:val="single" w:color="auto" w:sz="4" w:space="0"/>
              <w:left w:val="single" w:color="auto" w:sz="4" w:space="0"/>
              <w:bottom w:val="single" w:color="auto" w:sz="4" w:space="0"/>
              <w:right w:val="single" w:color="auto" w:sz="4" w:space="0"/>
            </w:tcBorders>
          </w:tcPr>
          <w:p w14:paraId="4C3E18D6">
            <w:pPr>
              <w:snapToGrid w:val="0"/>
              <w:spacing w:before="50" w:after="120" w:afterLines="50" w:line="400" w:lineRule="exact"/>
              <w:jc w:val="left"/>
              <w:rPr>
                <w:rFonts w:ascii="宋体" w:hAnsi="宋体"/>
                <w:color w:val="000000"/>
                <w:szCs w:val="21"/>
                <w:highlight w:val="none"/>
              </w:rPr>
            </w:pPr>
          </w:p>
        </w:tc>
        <w:tc>
          <w:tcPr>
            <w:tcW w:w="829" w:type="pct"/>
            <w:tcBorders>
              <w:top w:val="single" w:color="auto" w:sz="4" w:space="0"/>
              <w:left w:val="single" w:color="auto" w:sz="4" w:space="0"/>
              <w:bottom w:val="single" w:color="auto" w:sz="4" w:space="0"/>
              <w:right w:val="single" w:color="auto" w:sz="4" w:space="0"/>
            </w:tcBorders>
          </w:tcPr>
          <w:p w14:paraId="08F7C125">
            <w:pPr>
              <w:snapToGrid w:val="0"/>
              <w:spacing w:before="50" w:after="120" w:afterLines="50" w:line="400" w:lineRule="exact"/>
              <w:jc w:val="left"/>
              <w:rPr>
                <w:rFonts w:ascii="宋体" w:hAnsi="宋体"/>
                <w:color w:val="000000"/>
                <w:szCs w:val="21"/>
                <w:highlight w:val="none"/>
              </w:rPr>
            </w:pPr>
          </w:p>
        </w:tc>
        <w:tc>
          <w:tcPr>
            <w:tcW w:w="1339" w:type="pct"/>
            <w:tcBorders>
              <w:top w:val="single" w:color="auto" w:sz="4" w:space="0"/>
              <w:left w:val="single" w:color="auto" w:sz="4" w:space="0"/>
              <w:bottom w:val="single" w:color="auto" w:sz="4" w:space="0"/>
              <w:right w:val="single" w:color="auto" w:sz="4" w:space="0"/>
            </w:tcBorders>
          </w:tcPr>
          <w:p w14:paraId="3BC40F66">
            <w:pPr>
              <w:snapToGrid w:val="0"/>
              <w:spacing w:before="50" w:after="120" w:afterLines="50" w:line="400" w:lineRule="exact"/>
              <w:jc w:val="left"/>
              <w:rPr>
                <w:rFonts w:ascii="宋体" w:hAnsi="宋体"/>
                <w:color w:val="000000"/>
                <w:szCs w:val="21"/>
                <w:highlight w:val="none"/>
              </w:rPr>
            </w:pPr>
          </w:p>
        </w:tc>
      </w:tr>
      <w:tr w14:paraId="44AE3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000" w:type="pct"/>
            <w:tcBorders>
              <w:top w:val="single" w:color="auto" w:sz="4" w:space="0"/>
              <w:left w:val="single" w:color="auto" w:sz="4" w:space="0"/>
              <w:bottom w:val="single" w:color="auto" w:sz="4" w:space="0"/>
              <w:right w:val="single" w:color="auto" w:sz="4" w:space="0"/>
            </w:tcBorders>
          </w:tcPr>
          <w:p w14:paraId="04FD5EE5">
            <w:pPr>
              <w:snapToGrid w:val="0"/>
              <w:spacing w:before="50" w:after="120" w:afterLines="50" w:line="400" w:lineRule="exact"/>
              <w:jc w:val="left"/>
              <w:rPr>
                <w:rFonts w:ascii="宋体" w:hAnsi="宋体"/>
                <w:color w:val="000000"/>
                <w:szCs w:val="21"/>
                <w:highlight w:val="none"/>
              </w:rPr>
            </w:pPr>
          </w:p>
        </w:tc>
        <w:tc>
          <w:tcPr>
            <w:tcW w:w="1000" w:type="pct"/>
            <w:tcBorders>
              <w:top w:val="single" w:color="auto" w:sz="4" w:space="0"/>
              <w:left w:val="single" w:color="auto" w:sz="4" w:space="0"/>
              <w:bottom w:val="single" w:color="auto" w:sz="4" w:space="0"/>
              <w:right w:val="single" w:color="auto" w:sz="4" w:space="0"/>
            </w:tcBorders>
          </w:tcPr>
          <w:p w14:paraId="1BB92901">
            <w:pPr>
              <w:snapToGrid w:val="0"/>
              <w:spacing w:before="50" w:after="120" w:afterLines="50" w:line="400" w:lineRule="exact"/>
              <w:jc w:val="left"/>
              <w:rPr>
                <w:rFonts w:ascii="宋体" w:hAnsi="宋体"/>
                <w:color w:val="000000"/>
                <w:szCs w:val="21"/>
                <w:highlight w:val="none"/>
              </w:rPr>
            </w:pPr>
          </w:p>
        </w:tc>
        <w:tc>
          <w:tcPr>
            <w:tcW w:w="829" w:type="pct"/>
            <w:tcBorders>
              <w:top w:val="single" w:color="auto" w:sz="4" w:space="0"/>
              <w:left w:val="single" w:color="auto" w:sz="4" w:space="0"/>
              <w:bottom w:val="single" w:color="auto" w:sz="4" w:space="0"/>
              <w:right w:val="single" w:color="auto" w:sz="4" w:space="0"/>
            </w:tcBorders>
          </w:tcPr>
          <w:p w14:paraId="593BA4D4">
            <w:pPr>
              <w:snapToGrid w:val="0"/>
              <w:spacing w:before="50" w:after="120" w:afterLines="50" w:line="400" w:lineRule="exact"/>
              <w:jc w:val="left"/>
              <w:rPr>
                <w:rFonts w:ascii="宋体" w:hAnsi="宋体"/>
                <w:color w:val="000000"/>
                <w:szCs w:val="21"/>
                <w:highlight w:val="none"/>
              </w:rPr>
            </w:pPr>
          </w:p>
        </w:tc>
        <w:tc>
          <w:tcPr>
            <w:tcW w:w="829" w:type="pct"/>
            <w:tcBorders>
              <w:top w:val="single" w:color="auto" w:sz="4" w:space="0"/>
              <w:left w:val="single" w:color="auto" w:sz="4" w:space="0"/>
              <w:bottom w:val="single" w:color="auto" w:sz="4" w:space="0"/>
              <w:right w:val="single" w:color="auto" w:sz="4" w:space="0"/>
            </w:tcBorders>
          </w:tcPr>
          <w:p w14:paraId="0063980A">
            <w:pPr>
              <w:snapToGrid w:val="0"/>
              <w:spacing w:before="50" w:after="120" w:afterLines="50" w:line="400" w:lineRule="exact"/>
              <w:jc w:val="left"/>
              <w:rPr>
                <w:rFonts w:ascii="宋体" w:hAnsi="宋体"/>
                <w:color w:val="000000"/>
                <w:szCs w:val="21"/>
                <w:highlight w:val="none"/>
              </w:rPr>
            </w:pPr>
          </w:p>
        </w:tc>
        <w:tc>
          <w:tcPr>
            <w:tcW w:w="1339" w:type="pct"/>
            <w:tcBorders>
              <w:top w:val="single" w:color="auto" w:sz="4" w:space="0"/>
              <w:left w:val="single" w:color="auto" w:sz="4" w:space="0"/>
              <w:bottom w:val="single" w:color="auto" w:sz="4" w:space="0"/>
              <w:right w:val="single" w:color="auto" w:sz="4" w:space="0"/>
            </w:tcBorders>
          </w:tcPr>
          <w:p w14:paraId="25CE7691">
            <w:pPr>
              <w:snapToGrid w:val="0"/>
              <w:spacing w:before="50" w:after="120" w:afterLines="50" w:line="400" w:lineRule="exact"/>
              <w:jc w:val="left"/>
              <w:rPr>
                <w:rFonts w:ascii="宋体" w:hAnsi="宋体"/>
                <w:color w:val="000000"/>
                <w:szCs w:val="21"/>
                <w:highlight w:val="none"/>
              </w:rPr>
            </w:pPr>
          </w:p>
        </w:tc>
      </w:tr>
      <w:tr w14:paraId="5C90F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0" w:type="pct"/>
            <w:tcBorders>
              <w:top w:val="single" w:color="auto" w:sz="4" w:space="0"/>
              <w:left w:val="single" w:color="auto" w:sz="4" w:space="0"/>
              <w:bottom w:val="single" w:color="auto" w:sz="4" w:space="0"/>
              <w:right w:val="single" w:color="auto" w:sz="4" w:space="0"/>
            </w:tcBorders>
          </w:tcPr>
          <w:p w14:paraId="70C400F3">
            <w:pPr>
              <w:snapToGrid w:val="0"/>
              <w:spacing w:before="50" w:after="120" w:afterLines="50" w:line="400" w:lineRule="exact"/>
              <w:jc w:val="left"/>
              <w:rPr>
                <w:rFonts w:ascii="宋体" w:hAnsi="宋体"/>
                <w:color w:val="000000"/>
                <w:szCs w:val="21"/>
                <w:highlight w:val="none"/>
              </w:rPr>
            </w:pPr>
          </w:p>
        </w:tc>
        <w:tc>
          <w:tcPr>
            <w:tcW w:w="1000" w:type="pct"/>
            <w:tcBorders>
              <w:top w:val="single" w:color="auto" w:sz="4" w:space="0"/>
              <w:left w:val="single" w:color="auto" w:sz="4" w:space="0"/>
              <w:bottom w:val="single" w:color="auto" w:sz="4" w:space="0"/>
              <w:right w:val="single" w:color="auto" w:sz="4" w:space="0"/>
            </w:tcBorders>
          </w:tcPr>
          <w:p w14:paraId="087C1E1D">
            <w:pPr>
              <w:snapToGrid w:val="0"/>
              <w:spacing w:before="50" w:after="120" w:afterLines="50" w:line="400" w:lineRule="exact"/>
              <w:jc w:val="left"/>
              <w:rPr>
                <w:rFonts w:ascii="宋体" w:hAnsi="宋体"/>
                <w:color w:val="000000"/>
                <w:szCs w:val="21"/>
                <w:highlight w:val="none"/>
              </w:rPr>
            </w:pPr>
          </w:p>
        </w:tc>
        <w:tc>
          <w:tcPr>
            <w:tcW w:w="829" w:type="pct"/>
            <w:tcBorders>
              <w:top w:val="single" w:color="auto" w:sz="4" w:space="0"/>
              <w:left w:val="single" w:color="auto" w:sz="4" w:space="0"/>
              <w:bottom w:val="single" w:color="auto" w:sz="4" w:space="0"/>
              <w:right w:val="single" w:color="auto" w:sz="4" w:space="0"/>
            </w:tcBorders>
          </w:tcPr>
          <w:p w14:paraId="61E62773">
            <w:pPr>
              <w:snapToGrid w:val="0"/>
              <w:spacing w:before="50" w:after="120" w:afterLines="50" w:line="400" w:lineRule="exact"/>
              <w:jc w:val="left"/>
              <w:rPr>
                <w:rFonts w:ascii="宋体" w:hAnsi="宋体"/>
                <w:color w:val="000000"/>
                <w:szCs w:val="21"/>
                <w:highlight w:val="none"/>
              </w:rPr>
            </w:pPr>
          </w:p>
        </w:tc>
        <w:tc>
          <w:tcPr>
            <w:tcW w:w="829" w:type="pct"/>
            <w:tcBorders>
              <w:top w:val="single" w:color="auto" w:sz="4" w:space="0"/>
              <w:left w:val="single" w:color="auto" w:sz="4" w:space="0"/>
              <w:bottom w:val="single" w:color="auto" w:sz="4" w:space="0"/>
              <w:right w:val="single" w:color="auto" w:sz="4" w:space="0"/>
            </w:tcBorders>
          </w:tcPr>
          <w:p w14:paraId="74C08162">
            <w:pPr>
              <w:snapToGrid w:val="0"/>
              <w:spacing w:before="50" w:after="120" w:afterLines="50" w:line="400" w:lineRule="exact"/>
              <w:jc w:val="left"/>
              <w:rPr>
                <w:rFonts w:ascii="宋体" w:hAnsi="宋体"/>
                <w:color w:val="000000"/>
                <w:szCs w:val="21"/>
                <w:highlight w:val="none"/>
              </w:rPr>
            </w:pPr>
          </w:p>
        </w:tc>
        <w:tc>
          <w:tcPr>
            <w:tcW w:w="1339" w:type="pct"/>
            <w:tcBorders>
              <w:top w:val="single" w:color="auto" w:sz="4" w:space="0"/>
              <w:left w:val="single" w:color="auto" w:sz="4" w:space="0"/>
              <w:bottom w:val="single" w:color="auto" w:sz="4" w:space="0"/>
              <w:right w:val="single" w:color="auto" w:sz="4" w:space="0"/>
            </w:tcBorders>
          </w:tcPr>
          <w:p w14:paraId="4DBDE81B">
            <w:pPr>
              <w:snapToGrid w:val="0"/>
              <w:spacing w:before="50" w:after="120" w:afterLines="50" w:line="400" w:lineRule="exact"/>
              <w:jc w:val="left"/>
              <w:rPr>
                <w:rFonts w:ascii="宋体" w:hAnsi="宋体"/>
                <w:color w:val="000000"/>
                <w:szCs w:val="21"/>
                <w:highlight w:val="none"/>
              </w:rPr>
            </w:pPr>
          </w:p>
        </w:tc>
      </w:tr>
      <w:tr w14:paraId="19AC24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0" w:type="pct"/>
            <w:tcBorders>
              <w:top w:val="single" w:color="auto" w:sz="4" w:space="0"/>
              <w:left w:val="single" w:color="auto" w:sz="4" w:space="0"/>
              <w:bottom w:val="single" w:color="auto" w:sz="4" w:space="0"/>
              <w:right w:val="single" w:color="auto" w:sz="4" w:space="0"/>
            </w:tcBorders>
          </w:tcPr>
          <w:p w14:paraId="7463A4AE">
            <w:pPr>
              <w:snapToGrid w:val="0"/>
              <w:spacing w:before="50" w:after="120" w:afterLines="50" w:line="400" w:lineRule="exact"/>
              <w:jc w:val="left"/>
              <w:rPr>
                <w:rFonts w:ascii="宋体" w:hAnsi="宋体"/>
                <w:color w:val="000000"/>
                <w:szCs w:val="21"/>
                <w:highlight w:val="none"/>
              </w:rPr>
            </w:pPr>
          </w:p>
        </w:tc>
        <w:tc>
          <w:tcPr>
            <w:tcW w:w="1000" w:type="pct"/>
            <w:tcBorders>
              <w:top w:val="single" w:color="auto" w:sz="4" w:space="0"/>
              <w:left w:val="single" w:color="auto" w:sz="4" w:space="0"/>
              <w:bottom w:val="single" w:color="auto" w:sz="4" w:space="0"/>
              <w:right w:val="single" w:color="auto" w:sz="4" w:space="0"/>
            </w:tcBorders>
          </w:tcPr>
          <w:p w14:paraId="212BF4CB">
            <w:pPr>
              <w:snapToGrid w:val="0"/>
              <w:spacing w:before="50" w:after="120" w:afterLines="50" w:line="400" w:lineRule="exact"/>
              <w:jc w:val="left"/>
              <w:rPr>
                <w:rFonts w:ascii="宋体" w:hAnsi="宋体"/>
                <w:color w:val="000000"/>
                <w:szCs w:val="21"/>
                <w:highlight w:val="none"/>
              </w:rPr>
            </w:pPr>
          </w:p>
        </w:tc>
        <w:tc>
          <w:tcPr>
            <w:tcW w:w="829" w:type="pct"/>
            <w:tcBorders>
              <w:top w:val="single" w:color="auto" w:sz="4" w:space="0"/>
              <w:left w:val="single" w:color="auto" w:sz="4" w:space="0"/>
              <w:bottom w:val="single" w:color="auto" w:sz="4" w:space="0"/>
              <w:right w:val="single" w:color="auto" w:sz="4" w:space="0"/>
            </w:tcBorders>
          </w:tcPr>
          <w:p w14:paraId="46BD6275">
            <w:pPr>
              <w:snapToGrid w:val="0"/>
              <w:spacing w:before="50" w:after="120" w:afterLines="50" w:line="400" w:lineRule="exact"/>
              <w:jc w:val="left"/>
              <w:rPr>
                <w:rFonts w:ascii="宋体" w:hAnsi="宋体"/>
                <w:color w:val="000000"/>
                <w:szCs w:val="21"/>
                <w:highlight w:val="none"/>
              </w:rPr>
            </w:pPr>
          </w:p>
        </w:tc>
        <w:tc>
          <w:tcPr>
            <w:tcW w:w="829" w:type="pct"/>
            <w:tcBorders>
              <w:top w:val="single" w:color="auto" w:sz="4" w:space="0"/>
              <w:left w:val="single" w:color="auto" w:sz="4" w:space="0"/>
              <w:bottom w:val="single" w:color="auto" w:sz="4" w:space="0"/>
              <w:right w:val="single" w:color="auto" w:sz="4" w:space="0"/>
            </w:tcBorders>
          </w:tcPr>
          <w:p w14:paraId="7E06B204">
            <w:pPr>
              <w:snapToGrid w:val="0"/>
              <w:spacing w:before="50" w:after="120" w:afterLines="50" w:line="400" w:lineRule="exact"/>
              <w:jc w:val="left"/>
              <w:rPr>
                <w:rFonts w:ascii="宋体" w:hAnsi="宋体"/>
                <w:color w:val="000000"/>
                <w:szCs w:val="21"/>
                <w:highlight w:val="none"/>
              </w:rPr>
            </w:pPr>
          </w:p>
        </w:tc>
        <w:tc>
          <w:tcPr>
            <w:tcW w:w="1339" w:type="pct"/>
            <w:tcBorders>
              <w:top w:val="single" w:color="auto" w:sz="4" w:space="0"/>
              <w:left w:val="single" w:color="auto" w:sz="4" w:space="0"/>
              <w:bottom w:val="single" w:color="auto" w:sz="4" w:space="0"/>
              <w:right w:val="single" w:color="auto" w:sz="4" w:space="0"/>
            </w:tcBorders>
          </w:tcPr>
          <w:p w14:paraId="7DDB7165">
            <w:pPr>
              <w:snapToGrid w:val="0"/>
              <w:spacing w:before="50" w:after="120" w:afterLines="50" w:line="400" w:lineRule="exact"/>
              <w:jc w:val="left"/>
              <w:rPr>
                <w:rFonts w:ascii="宋体" w:hAnsi="宋体"/>
                <w:color w:val="000000"/>
                <w:szCs w:val="21"/>
                <w:highlight w:val="none"/>
              </w:rPr>
            </w:pPr>
          </w:p>
        </w:tc>
      </w:tr>
    </w:tbl>
    <w:p w14:paraId="7C79B918">
      <w:pPr>
        <w:pStyle w:val="15"/>
        <w:spacing w:before="0" w:after="0" w:line="360" w:lineRule="auto"/>
        <w:contextualSpacing/>
        <w:rPr>
          <w:rFonts w:ascii="宋体" w:hAnsi="宋体" w:eastAsia="宋体"/>
          <w:color w:val="000000"/>
          <w:sz w:val="21"/>
          <w:szCs w:val="21"/>
          <w:highlight w:val="none"/>
        </w:rPr>
      </w:pPr>
    </w:p>
    <w:p w14:paraId="13EBA681">
      <w:pPr>
        <w:pStyle w:val="15"/>
        <w:spacing w:before="0" w:after="0" w:line="360" w:lineRule="auto"/>
        <w:contextualSpacing/>
        <w:rPr>
          <w:rFonts w:ascii="宋体" w:hAnsi="宋体" w:eastAsia="宋体"/>
          <w:color w:val="000000"/>
          <w:sz w:val="21"/>
          <w:szCs w:val="21"/>
          <w:highlight w:val="none"/>
        </w:rPr>
      </w:pPr>
      <w:r>
        <w:rPr>
          <w:rFonts w:hint="eastAsia" w:ascii="宋体" w:hAnsi="宋体" w:eastAsia="宋体"/>
          <w:color w:val="000000"/>
          <w:sz w:val="21"/>
          <w:szCs w:val="21"/>
          <w:highlight w:val="none"/>
        </w:rPr>
        <w:t>注：</w:t>
      </w:r>
      <w:r>
        <w:rPr>
          <w:rFonts w:hint="eastAsia" w:ascii="宋体" w:hAnsi="宋体"/>
          <w:color w:val="000000"/>
          <w:sz w:val="21"/>
          <w:szCs w:val="21"/>
          <w:highlight w:val="none"/>
        </w:rPr>
        <w:t>投标人根据评标标准具体要求附业绩证明材料。</w:t>
      </w:r>
    </w:p>
    <w:p w14:paraId="4DEBFAD5">
      <w:pPr>
        <w:pStyle w:val="15"/>
        <w:spacing w:before="0" w:after="0" w:line="360" w:lineRule="auto"/>
        <w:contextualSpacing/>
        <w:jc w:val="left"/>
        <w:rPr>
          <w:rFonts w:ascii="宋体" w:hAnsi="宋体" w:eastAsia="宋体"/>
          <w:color w:val="000000"/>
          <w:sz w:val="21"/>
          <w:szCs w:val="21"/>
          <w:highlight w:val="none"/>
          <w:u w:val="single"/>
        </w:rPr>
      </w:pPr>
      <w:r>
        <w:rPr>
          <w:rFonts w:hint="eastAsia" w:ascii="宋体" w:hAnsi="宋体" w:eastAsia="宋体"/>
          <w:color w:val="000000"/>
          <w:sz w:val="21"/>
          <w:szCs w:val="21"/>
          <w:highlight w:val="none"/>
        </w:rPr>
        <w:t>法定代表人（或负责人）或者委托代理人</w:t>
      </w:r>
      <w:r>
        <w:rPr>
          <w:rFonts w:hint="eastAsia" w:ascii="宋体" w:hAnsi="宋体"/>
          <w:color w:val="000000"/>
          <w:sz w:val="21"/>
          <w:szCs w:val="21"/>
          <w:highlight w:val="none"/>
        </w:rPr>
        <w:t>（签字或电子签名）</w:t>
      </w:r>
      <w:r>
        <w:rPr>
          <w:rFonts w:hint="eastAsia" w:ascii="宋体" w:hAnsi="宋体" w:eastAsia="宋体"/>
          <w:color w:val="000000"/>
          <w:sz w:val="21"/>
          <w:szCs w:val="21"/>
          <w:highlight w:val="none"/>
        </w:rPr>
        <w:t>：</w:t>
      </w:r>
      <w:r>
        <w:rPr>
          <w:rFonts w:hint="eastAsia" w:ascii="宋体" w:hAnsi="宋体" w:eastAsia="宋体"/>
          <w:color w:val="000000"/>
          <w:sz w:val="21"/>
          <w:szCs w:val="21"/>
          <w:highlight w:val="none"/>
          <w:u w:val="single"/>
        </w:rPr>
        <w:t>　　　　　</w:t>
      </w:r>
    </w:p>
    <w:p w14:paraId="37A08E42">
      <w:pPr>
        <w:spacing w:line="360" w:lineRule="auto"/>
        <w:ind w:right="480"/>
        <w:contextualSpacing/>
        <w:jc w:val="left"/>
        <w:rPr>
          <w:rFonts w:ascii="宋体" w:hAnsi="宋体"/>
          <w:color w:val="000000"/>
          <w:szCs w:val="21"/>
          <w:highlight w:val="none"/>
        </w:rPr>
      </w:pPr>
      <w:r>
        <w:rPr>
          <w:rFonts w:hint="eastAsia" w:ascii="宋体" w:hAnsi="宋体" w:cs="Arial"/>
          <w:color w:val="000000"/>
          <w:szCs w:val="21"/>
          <w:highlight w:val="none"/>
        </w:rPr>
        <w:t xml:space="preserve">投标人名称（电子签章）： </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年    月    日</w:t>
      </w:r>
    </w:p>
    <w:p w14:paraId="6FA41A54">
      <w:pPr>
        <w:snapToGrid w:val="0"/>
        <w:spacing w:before="50"/>
        <w:ind w:firstLine="480" w:firstLineChars="200"/>
        <w:jc w:val="left"/>
        <w:rPr>
          <w:rFonts w:ascii="宋体" w:hAnsi="宋体"/>
          <w:color w:val="000000"/>
          <w:sz w:val="24"/>
          <w:szCs w:val="20"/>
          <w:highlight w:val="none"/>
        </w:rPr>
      </w:pPr>
    </w:p>
    <w:p w14:paraId="56E0B29A">
      <w:pPr>
        <w:snapToGrid w:val="0"/>
        <w:spacing w:before="50"/>
        <w:jc w:val="left"/>
        <w:rPr>
          <w:rFonts w:ascii="宋体" w:hAnsi="宋体"/>
          <w:color w:val="000000"/>
          <w:sz w:val="24"/>
          <w:highlight w:val="none"/>
        </w:rPr>
      </w:pPr>
    </w:p>
    <w:p w14:paraId="39CD7181">
      <w:pPr>
        <w:snapToGrid w:val="0"/>
        <w:spacing w:before="120" w:beforeLines="50"/>
        <w:rPr>
          <w:rFonts w:ascii="宋体" w:hAnsi="宋体"/>
          <w:color w:val="000000"/>
          <w:sz w:val="24"/>
          <w:szCs w:val="20"/>
          <w:highlight w:val="none"/>
        </w:rPr>
        <w:sectPr>
          <w:pgSz w:w="11906" w:h="16838"/>
          <w:pgMar w:top="1440" w:right="1797" w:bottom="1440" w:left="1797" w:header="851" w:footer="992" w:gutter="0"/>
          <w:cols w:space="720" w:num="1"/>
          <w:docGrid w:linePitch="312" w:charSpace="0"/>
        </w:sectPr>
      </w:pPr>
    </w:p>
    <w:p w14:paraId="2F523E5A">
      <w:pPr>
        <w:rPr>
          <w:b/>
          <w:color w:val="000000"/>
          <w:sz w:val="28"/>
          <w:szCs w:val="28"/>
          <w:highlight w:val="none"/>
        </w:rPr>
      </w:pPr>
      <w:r>
        <w:rPr>
          <w:rFonts w:hint="eastAsia"/>
          <w:b/>
          <w:color w:val="000000"/>
          <w:sz w:val="28"/>
          <w:szCs w:val="28"/>
          <w:highlight w:val="none"/>
        </w:rPr>
        <w:t>四、技术文件格式</w:t>
      </w:r>
    </w:p>
    <w:p w14:paraId="34A9AF00">
      <w:pPr>
        <w:snapToGrid w:val="0"/>
        <w:spacing w:before="120" w:beforeLines="50" w:after="50"/>
        <w:ind w:left="142"/>
        <w:jc w:val="left"/>
        <w:rPr>
          <w:rFonts w:ascii="宋体" w:hAnsi="宋体"/>
          <w:b/>
          <w:color w:val="000000"/>
          <w:sz w:val="24"/>
          <w:highlight w:val="none"/>
        </w:rPr>
      </w:pPr>
      <w:r>
        <w:rPr>
          <w:rFonts w:hint="eastAsia" w:ascii="宋体" w:hAnsi="宋体"/>
          <w:b/>
          <w:color w:val="000000"/>
          <w:sz w:val="24"/>
          <w:highlight w:val="none"/>
        </w:rPr>
        <w:t xml:space="preserve">1. 技术文件封面格式： </w:t>
      </w:r>
    </w:p>
    <w:p w14:paraId="331F4365">
      <w:pPr>
        <w:snapToGrid w:val="0"/>
        <w:spacing w:before="120" w:beforeLines="50" w:after="50" w:line="360" w:lineRule="auto"/>
        <w:ind w:left="142"/>
        <w:jc w:val="center"/>
        <w:rPr>
          <w:rFonts w:ascii="宋体" w:hAnsi="宋体" w:eastAsia="仿宋"/>
          <w:bCs/>
          <w:color w:val="000000"/>
          <w:sz w:val="48"/>
          <w:szCs w:val="48"/>
          <w:highlight w:val="none"/>
        </w:rPr>
      </w:pPr>
      <w:r>
        <w:rPr>
          <w:rFonts w:hint="eastAsia" w:ascii="宋体" w:hAnsi="宋体" w:eastAsia="仿宋"/>
          <w:bCs/>
          <w:color w:val="000000"/>
          <w:sz w:val="48"/>
          <w:szCs w:val="48"/>
          <w:highlight w:val="none"/>
        </w:rPr>
        <w:t>电子投标文件</w:t>
      </w:r>
    </w:p>
    <w:p w14:paraId="0BD296D2">
      <w:pPr>
        <w:snapToGrid w:val="0"/>
        <w:spacing w:before="120" w:beforeLines="50" w:after="50"/>
        <w:jc w:val="center"/>
        <w:rPr>
          <w:rFonts w:ascii="宋体" w:hAnsi="宋体"/>
          <w:b/>
          <w:bCs/>
          <w:color w:val="000000"/>
          <w:sz w:val="32"/>
          <w:szCs w:val="32"/>
          <w:highlight w:val="none"/>
        </w:rPr>
      </w:pPr>
      <w:r>
        <w:rPr>
          <w:rFonts w:hint="eastAsia" w:ascii="宋体" w:hAnsi="宋体"/>
          <w:b/>
          <w:bCs/>
          <w:color w:val="000000"/>
          <w:sz w:val="32"/>
          <w:szCs w:val="32"/>
          <w:highlight w:val="none"/>
        </w:rPr>
        <w:t>技术文件</w:t>
      </w:r>
    </w:p>
    <w:p w14:paraId="59B7FEB1">
      <w:pPr>
        <w:snapToGrid w:val="0"/>
        <w:spacing w:before="120" w:beforeLines="50" w:after="50"/>
        <w:rPr>
          <w:rFonts w:ascii="宋体" w:hAnsi="宋体"/>
          <w:bCs/>
          <w:color w:val="000000"/>
          <w:sz w:val="24"/>
          <w:szCs w:val="20"/>
          <w:highlight w:val="none"/>
        </w:rPr>
      </w:pPr>
    </w:p>
    <w:p w14:paraId="5C6B818D">
      <w:pPr>
        <w:snapToGrid w:val="0"/>
        <w:spacing w:before="120" w:beforeLines="50" w:after="50" w:line="400" w:lineRule="exact"/>
        <w:ind w:firstLine="360" w:firstLineChars="150"/>
        <w:rPr>
          <w:rFonts w:ascii="宋体" w:hAnsi="宋体"/>
          <w:bCs/>
          <w:color w:val="000000"/>
          <w:sz w:val="24"/>
          <w:szCs w:val="20"/>
          <w:highlight w:val="none"/>
        </w:rPr>
      </w:pPr>
      <w:r>
        <w:rPr>
          <w:rFonts w:hint="eastAsia" w:ascii="宋体" w:hAnsi="宋体"/>
          <w:bCs/>
          <w:color w:val="000000"/>
          <w:sz w:val="24"/>
          <w:highlight w:val="none"/>
        </w:rPr>
        <w:t xml:space="preserve">项目名称： </w:t>
      </w:r>
    </w:p>
    <w:p w14:paraId="5EBE6AFC">
      <w:pPr>
        <w:snapToGrid w:val="0"/>
        <w:spacing w:before="120" w:beforeLines="50" w:after="50" w:line="400" w:lineRule="exact"/>
        <w:ind w:firstLine="360" w:firstLineChars="150"/>
        <w:rPr>
          <w:rFonts w:ascii="宋体" w:hAnsi="宋体"/>
          <w:bCs/>
          <w:color w:val="000000"/>
          <w:sz w:val="24"/>
          <w:highlight w:val="none"/>
        </w:rPr>
      </w:pPr>
      <w:r>
        <w:rPr>
          <w:rFonts w:hint="eastAsia" w:ascii="宋体" w:hAnsi="宋体"/>
          <w:bCs/>
          <w:color w:val="000000"/>
          <w:sz w:val="24"/>
          <w:highlight w:val="none"/>
        </w:rPr>
        <w:t xml:space="preserve">项目编号： </w:t>
      </w:r>
    </w:p>
    <w:p w14:paraId="6FF7EFA6">
      <w:pPr>
        <w:snapToGrid w:val="0"/>
        <w:spacing w:before="120" w:beforeLines="50" w:after="50" w:line="400" w:lineRule="exact"/>
        <w:ind w:firstLine="360" w:firstLineChars="150"/>
        <w:rPr>
          <w:rFonts w:ascii="宋体" w:hAnsi="宋体"/>
          <w:bCs/>
          <w:color w:val="000000"/>
          <w:sz w:val="24"/>
          <w:highlight w:val="none"/>
        </w:rPr>
      </w:pPr>
      <w:r>
        <w:rPr>
          <w:rFonts w:hint="eastAsia" w:ascii="宋体" w:hAnsi="宋体"/>
          <w:bCs/>
          <w:color w:val="000000"/>
          <w:sz w:val="24"/>
          <w:highlight w:val="none"/>
        </w:rPr>
        <w:t>所投分标：无，则写“/”</w:t>
      </w:r>
    </w:p>
    <w:p w14:paraId="0AB54A89">
      <w:pPr>
        <w:snapToGrid w:val="0"/>
        <w:spacing w:before="120" w:beforeLines="50" w:after="50" w:line="400" w:lineRule="exact"/>
        <w:ind w:firstLine="360" w:firstLineChars="150"/>
        <w:rPr>
          <w:rFonts w:ascii="宋体" w:hAnsi="宋体"/>
          <w:bCs/>
          <w:color w:val="000000"/>
          <w:sz w:val="24"/>
          <w:highlight w:val="none"/>
        </w:rPr>
      </w:pPr>
      <w:r>
        <w:rPr>
          <w:rFonts w:hint="eastAsia" w:ascii="宋体" w:hAnsi="宋体"/>
          <w:bCs/>
          <w:color w:val="000000"/>
          <w:sz w:val="24"/>
          <w:highlight w:val="none"/>
        </w:rPr>
        <w:t>投标人名称：</w:t>
      </w:r>
    </w:p>
    <w:p w14:paraId="7ECA55C4">
      <w:pPr>
        <w:snapToGrid w:val="0"/>
        <w:spacing w:before="120" w:beforeLines="50" w:after="50" w:line="400" w:lineRule="exact"/>
        <w:ind w:firstLine="360" w:firstLineChars="150"/>
        <w:rPr>
          <w:rFonts w:ascii="宋体" w:hAnsi="宋体"/>
          <w:bCs/>
          <w:color w:val="000000"/>
          <w:sz w:val="24"/>
          <w:highlight w:val="none"/>
        </w:rPr>
      </w:pPr>
      <w:r>
        <w:rPr>
          <w:rFonts w:hint="eastAsia" w:ascii="宋体" w:hAnsi="宋体"/>
          <w:bCs/>
          <w:color w:val="000000"/>
          <w:sz w:val="24"/>
          <w:highlight w:val="none"/>
        </w:rPr>
        <w:t>投标人地址：</w:t>
      </w:r>
    </w:p>
    <w:p w14:paraId="7D4FDFB8">
      <w:pPr>
        <w:snapToGrid w:val="0"/>
        <w:spacing w:before="120" w:beforeLines="50" w:after="50"/>
        <w:ind w:firstLine="645"/>
        <w:jc w:val="center"/>
        <w:rPr>
          <w:rFonts w:ascii="宋体" w:hAnsi="宋体"/>
          <w:color w:val="000000"/>
          <w:sz w:val="24"/>
          <w:highlight w:val="none"/>
        </w:rPr>
      </w:pPr>
      <w:r>
        <w:rPr>
          <w:rFonts w:hint="eastAsia" w:ascii="宋体" w:hAnsi="宋体"/>
          <w:color w:val="000000"/>
          <w:sz w:val="24"/>
          <w:highlight w:val="none"/>
        </w:rPr>
        <w:t xml:space="preserve">                        年    月    日</w:t>
      </w:r>
    </w:p>
    <w:p w14:paraId="6794D5AB">
      <w:pPr>
        <w:snapToGrid w:val="0"/>
        <w:spacing w:before="120" w:beforeLines="50" w:after="50"/>
        <w:ind w:firstLine="645"/>
        <w:jc w:val="center"/>
        <w:rPr>
          <w:rFonts w:ascii="宋体" w:hAnsi="宋体"/>
          <w:color w:val="000000"/>
          <w:sz w:val="24"/>
          <w:szCs w:val="20"/>
          <w:highlight w:val="none"/>
        </w:rPr>
      </w:pPr>
    </w:p>
    <w:p w14:paraId="46FB04CE">
      <w:pPr>
        <w:snapToGrid w:val="0"/>
        <w:spacing w:before="120" w:beforeLines="50" w:after="50"/>
        <w:ind w:left="142"/>
        <w:jc w:val="left"/>
        <w:rPr>
          <w:rFonts w:ascii="宋体" w:hAnsi="宋体"/>
          <w:b/>
          <w:color w:val="000000"/>
          <w:sz w:val="24"/>
          <w:highlight w:val="none"/>
        </w:rPr>
      </w:pPr>
      <w:r>
        <w:rPr>
          <w:rFonts w:ascii="宋体" w:hAnsi="宋体"/>
          <w:b/>
          <w:bCs/>
          <w:color w:val="000000"/>
          <w:sz w:val="24"/>
          <w:highlight w:val="none"/>
        </w:rPr>
        <w:br w:type="page"/>
      </w:r>
      <w:r>
        <w:rPr>
          <w:rFonts w:hint="eastAsia" w:ascii="宋体" w:hAnsi="宋体"/>
          <w:b/>
          <w:color w:val="000000"/>
          <w:sz w:val="24"/>
          <w:highlight w:val="none"/>
        </w:rPr>
        <w:t>2.技术文件目录</w:t>
      </w:r>
    </w:p>
    <w:p w14:paraId="5018DE44">
      <w:pPr>
        <w:snapToGrid w:val="0"/>
        <w:spacing w:before="50" w:after="120" w:afterLines="50"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根据招标文件规定及投标人提供的材料自行编写目录。</w:t>
      </w:r>
    </w:p>
    <w:p w14:paraId="0F09DB07">
      <w:pPr>
        <w:snapToGrid w:val="0"/>
        <w:spacing w:before="120" w:beforeLines="50" w:after="50"/>
        <w:ind w:left="142"/>
        <w:jc w:val="left"/>
        <w:rPr>
          <w:rFonts w:hint="eastAsia" w:ascii="宋体" w:hAnsi="宋体" w:eastAsia="宋体"/>
          <w:b/>
          <w:color w:val="000000"/>
          <w:sz w:val="24"/>
          <w:highlight w:val="none"/>
          <w:lang w:eastAsia="zh-CN"/>
        </w:rPr>
      </w:pPr>
      <w:r>
        <w:rPr>
          <w:rFonts w:ascii="宋体" w:hAnsi="宋体"/>
          <w:b/>
          <w:color w:val="000000"/>
          <w:sz w:val="24"/>
          <w:highlight w:val="none"/>
        </w:rPr>
        <w:br w:type="page"/>
      </w:r>
      <w:r>
        <w:rPr>
          <w:rFonts w:hint="eastAsia" w:ascii="宋体" w:hAnsi="宋体"/>
          <w:b/>
          <w:color w:val="000000"/>
          <w:sz w:val="24"/>
          <w:highlight w:val="none"/>
        </w:rPr>
        <w:t>3. 设备性能配置清单格式</w:t>
      </w:r>
      <w:r>
        <w:rPr>
          <w:rFonts w:hint="eastAsia" w:ascii="宋体" w:hAnsi="宋体"/>
          <w:b/>
          <w:color w:val="000000"/>
          <w:sz w:val="24"/>
          <w:highlight w:val="none"/>
          <w:lang w:eastAsia="zh-CN"/>
        </w:rPr>
        <w:t>（适用于</w:t>
      </w:r>
      <w:r>
        <w:rPr>
          <w:rFonts w:hint="eastAsia" w:ascii="宋体" w:hAnsi="宋体"/>
          <w:b/>
          <w:color w:val="000000"/>
          <w:sz w:val="24"/>
          <w:highlight w:val="none"/>
          <w:lang w:val="en-US" w:eastAsia="zh-CN"/>
        </w:rPr>
        <w:t>分标1/分标2</w:t>
      </w:r>
      <w:r>
        <w:rPr>
          <w:rFonts w:hint="eastAsia" w:ascii="宋体" w:hAnsi="宋体"/>
          <w:b/>
          <w:color w:val="000000"/>
          <w:sz w:val="24"/>
          <w:highlight w:val="none"/>
          <w:lang w:eastAsia="zh-CN"/>
        </w:rPr>
        <w:t>）</w:t>
      </w:r>
    </w:p>
    <w:p w14:paraId="50456B0A">
      <w:pPr>
        <w:snapToGrid w:val="0"/>
        <w:spacing w:before="120" w:beforeLines="50" w:after="50"/>
        <w:ind w:left="142"/>
        <w:jc w:val="left"/>
        <w:rPr>
          <w:rFonts w:ascii="宋体" w:hAnsi="宋体"/>
          <w:b/>
          <w:color w:val="000000"/>
          <w:sz w:val="24"/>
          <w:highlight w:val="none"/>
        </w:rPr>
      </w:pPr>
    </w:p>
    <w:p w14:paraId="59C48E5B">
      <w:pPr>
        <w:snapToGrid w:val="0"/>
        <w:spacing w:before="120" w:beforeLines="50" w:after="50"/>
        <w:ind w:left="142"/>
        <w:jc w:val="center"/>
        <w:rPr>
          <w:rFonts w:hint="eastAsia" w:ascii="宋体" w:hAnsi="宋体" w:eastAsia="宋体"/>
          <w:b/>
          <w:color w:val="000000"/>
          <w:sz w:val="32"/>
          <w:szCs w:val="32"/>
          <w:highlight w:val="none"/>
          <w:lang w:eastAsia="zh-CN"/>
        </w:rPr>
      </w:pPr>
      <w:r>
        <w:rPr>
          <w:rFonts w:hint="eastAsia" w:ascii="宋体" w:hAnsi="宋体"/>
          <w:b/>
          <w:color w:val="000000"/>
          <w:sz w:val="32"/>
          <w:szCs w:val="32"/>
          <w:highlight w:val="none"/>
        </w:rPr>
        <w:t>设备性能配置清单</w:t>
      </w:r>
    </w:p>
    <w:p w14:paraId="7E1239EB">
      <w:pPr>
        <w:pStyle w:val="25"/>
        <w:rPr>
          <w:color w:val="000000"/>
          <w:sz w:val="21"/>
          <w:highlight w:val="none"/>
        </w:rPr>
      </w:pPr>
      <w:r>
        <w:rPr>
          <w:rFonts w:hint="eastAsia"/>
          <w:color w:val="000000"/>
          <w:sz w:val="21"/>
          <w:highlight w:val="none"/>
        </w:rPr>
        <w:t>所投分标：</w:t>
      </w:r>
      <w:r>
        <w:rPr>
          <w:rFonts w:hint="eastAsia"/>
          <w:color w:val="000000"/>
          <w:sz w:val="21"/>
          <w:highlight w:val="none"/>
          <w:u w:val="single"/>
        </w:rPr>
        <w:t xml:space="preserve">     </w:t>
      </w:r>
      <w:r>
        <w:rPr>
          <w:rFonts w:hint="eastAsia"/>
          <w:color w:val="000000"/>
          <w:sz w:val="21"/>
          <w:highlight w:val="none"/>
        </w:rPr>
        <w:t>分标</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187"/>
        <w:gridCol w:w="766"/>
        <w:gridCol w:w="853"/>
        <w:gridCol w:w="1702"/>
        <w:gridCol w:w="1187"/>
        <w:gridCol w:w="703"/>
        <w:gridCol w:w="1426"/>
      </w:tblGrid>
      <w:tr w14:paraId="315E1B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D9E2671">
            <w:pPr>
              <w:snapToGrid w:val="0"/>
              <w:spacing w:before="50" w:after="50"/>
              <w:jc w:val="center"/>
              <w:rPr>
                <w:rFonts w:ascii="宋体" w:hAnsi="宋体"/>
                <w:color w:val="000000"/>
                <w:szCs w:val="21"/>
                <w:highlight w:val="none"/>
              </w:rPr>
            </w:pPr>
            <w:r>
              <w:rPr>
                <w:rFonts w:hint="eastAsia" w:ascii="宋体" w:hAnsi="宋体"/>
                <w:color w:val="000000"/>
                <w:szCs w:val="21"/>
                <w:highlight w:val="none"/>
              </w:rPr>
              <w:t>序号</w:t>
            </w:r>
          </w:p>
        </w:tc>
        <w:tc>
          <w:tcPr>
            <w:tcW w:w="1187" w:type="dxa"/>
            <w:tcBorders>
              <w:top w:val="single" w:color="auto" w:sz="4" w:space="0"/>
              <w:left w:val="single" w:color="auto" w:sz="4" w:space="0"/>
              <w:bottom w:val="single" w:color="auto" w:sz="4" w:space="0"/>
              <w:right w:val="single" w:color="auto" w:sz="4" w:space="0"/>
            </w:tcBorders>
            <w:vAlign w:val="center"/>
          </w:tcPr>
          <w:p w14:paraId="2875E842">
            <w:pPr>
              <w:snapToGrid w:val="0"/>
              <w:spacing w:before="50" w:after="50"/>
              <w:jc w:val="center"/>
              <w:rPr>
                <w:rFonts w:ascii="宋体" w:hAnsi="宋体"/>
                <w:color w:val="000000"/>
                <w:szCs w:val="21"/>
                <w:highlight w:val="none"/>
              </w:rPr>
            </w:pPr>
            <w:r>
              <w:rPr>
                <w:rFonts w:hint="eastAsia" w:ascii="宋体" w:hAnsi="宋体"/>
                <w:color w:val="000000"/>
                <w:szCs w:val="21"/>
                <w:highlight w:val="none"/>
              </w:rPr>
              <w:t>标的名称</w:t>
            </w:r>
          </w:p>
        </w:tc>
        <w:tc>
          <w:tcPr>
            <w:tcW w:w="766" w:type="dxa"/>
            <w:tcBorders>
              <w:top w:val="single" w:color="auto" w:sz="4" w:space="0"/>
              <w:left w:val="single" w:color="auto" w:sz="4" w:space="0"/>
              <w:bottom w:val="single" w:color="auto" w:sz="4" w:space="0"/>
              <w:right w:val="single" w:color="auto" w:sz="4" w:space="0"/>
            </w:tcBorders>
            <w:vAlign w:val="center"/>
          </w:tcPr>
          <w:p w14:paraId="5B388345">
            <w:pPr>
              <w:snapToGrid w:val="0"/>
              <w:spacing w:before="50" w:after="50"/>
              <w:jc w:val="center"/>
              <w:rPr>
                <w:rFonts w:ascii="宋体" w:hAnsi="宋体"/>
                <w:color w:val="000000"/>
                <w:szCs w:val="21"/>
                <w:highlight w:val="none"/>
              </w:rPr>
            </w:pPr>
            <w:r>
              <w:rPr>
                <w:rFonts w:hint="eastAsia" w:ascii="宋体" w:hAnsi="宋体"/>
                <w:color w:val="000000"/>
                <w:szCs w:val="21"/>
                <w:highlight w:val="none"/>
              </w:rPr>
              <w:t>数量及单位</w:t>
            </w:r>
          </w:p>
        </w:tc>
        <w:tc>
          <w:tcPr>
            <w:tcW w:w="853" w:type="dxa"/>
            <w:tcBorders>
              <w:top w:val="single" w:color="auto" w:sz="4" w:space="0"/>
              <w:left w:val="single" w:color="auto" w:sz="4" w:space="0"/>
              <w:bottom w:val="single" w:color="auto" w:sz="4" w:space="0"/>
              <w:right w:val="single" w:color="auto" w:sz="4" w:space="0"/>
            </w:tcBorders>
            <w:vAlign w:val="center"/>
          </w:tcPr>
          <w:p w14:paraId="38FDD277">
            <w:pPr>
              <w:snapToGrid w:val="0"/>
              <w:spacing w:before="50" w:after="50"/>
              <w:jc w:val="center"/>
              <w:rPr>
                <w:rFonts w:ascii="宋体" w:hAnsi="宋体"/>
                <w:color w:val="000000"/>
                <w:szCs w:val="21"/>
                <w:highlight w:val="none"/>
              </w:rPr>
            </w:pPr>
            <w:r>
              <w:rPr>
                <w:rFonts w:hint="eastAsia" w:ascii="宋体" w:hAnsi="宋体"/>
                <w:color w:val="000000"/>
                <w:szCs w:val="21"/>
                <w:highlight w:val="none"/>
              </w:rPr>
              <w:t>品牌</w:t>
            </w:r>
          </w:p>
        </w:tc>
        <w:tc>
          <w:tcPr>
            <w:tcW w:w="1702" w:type="dxa"/>
            <w:tcBorders>
              <w:top w:val="single" w:color="auto" w:sz="4" w:space="0"/>
              <w:left w:val="single" w:color="auto" w:sz="4" w:space="0"/>
              <w:bottom w:val="single" w:color="auto" w:sz="4" w:space="0"/>
              <w:right w:val="single" w:color="auto" w:sz="4" w:space="0"/>
            </w:tcBorders>
          </w:tcPr>
          <w:p w14:paraId="7373B737">
            <w:pPr>
              <w:snapToGrid w:val="0"/>
              <w:spacing w:before="50" w:after="50"/>
              <w:jc w:val="center"/>
              <w:rPr>
                <w:rFonts w:ascii="宋体" w:hAnsi="宋体"/>
                <w:color w:val="000000"/>
                <w:szCs w:val="21"/>
                <w:highlight w:val="none"/>
              </w:rPr>
            </w:pPr>
          </w:p>
          <w:p w14:paraId="0C6D65EE">
            <w:pPr>
              <w:snapToGrid w:val="0"/>
              <w:spacing w:before="50" w:after="50"/>
              <w:jc w:val="center"/>
              <w:rPr>
                <w:rFonts w:ascii="宋体" w:hAnsi="宋体"/>
                <w:color w:val="000000"/>
                <w:szCs w:val="21"/>
                <w:highlight w:val="none"/>
              </w:rPr>
            </w:pPr>
            <w:r>
              <w:rPr>
                <w:rFonts w:hint="eastAsia" w:ascii="宋体" w:hAnsi="宋体"/>
                <w:color w:val="000000"/>
                <w:szCs w:val="21"/>
                <w:highlight w:val="none"/>
              </w:rPr>
              <w:t>规格型号</w:t>
            </w:r>
          </w:p>
        </w:tc>
        <w:tc>
          <w:tcPr>
            <w:tcW w:w="1187" w:type="dxa"/>
            <w:tcBorders>
              <w:top w:val="single" w:color="auto" w:sz="4" w:space="0"/>
              <w:left w:val="single" w:color="auto" w:sz="4" w:space="0"/>
              <w:bottom w:val="single" w:color="auto" w:sz="4" w:space="0"/>
              <w:right w:val="single" w:color="auto" w:sz="4" w:space="0"/>
            </w:tcBorders>
            <w:vAlign w:val="center"/>
          </w:tcPr>
          <w:p w14:paraId="64A5D885">
            <w:pPr>
              <w:snapToGrid w:val="0"/>
              <w:spacing w:before="50" w:after="50"/>
              <w:jc w:val="center"/>
              <w:rPr>
                <w:rFonts w:ascii="宋体" w:hAnsi="宋体"/>
                <w:color w:val="000000"/>
                <w:szCs w:val="21"/>
                <w:highlight w:val="none"/>
              </w:rPr>
            </w:pPr>
            <w:r>
              <w:rPr>
                <w:rFonts w:hint="eastAsia" w:ascii="宋体" w:hAnsi="宋体"/>
                <w:color w:val="000000"/>
                <w:szCs w:val="21"/>
                <w:highlight w:val="none"/>
              </w:rPr>
              <w:t>生产厂家</w:t>
            </w:r>
          </w:p>
        </w:tc>
        <w:tc>
          <w:tcPr>
            <w:tcW w:w="703" w:type="dxa"/>
            <w:tcBorders>
              <w:top w:val="single" w:color="auto" w:sz="4" w:space="0"/>
              <w:left w:val="single" w:color="auto" w:sz="4" w:space="0"/>
              <w:bottom w:val="single" w:color="auto" w:sz="4" w:space="0"/>
              <w:right w:val="single" w:color="auto" w:sz="4" w:space="0"/>
            </w:tcBorders>
            <w:vAlign w:val="center"/>
          </w:tcPr>
          <w:p w14:paraId="2E8400E3">
            <w:pPr>
              <w:snapToGrid w:val="0"/>
              <w:spacing w:before="50" w:after="50"/>
              <w:jc w:val="center"/>
              <w:rPr>
                <w:rFonts w:ascii="宋体" w:hAnsi="宋体"/>
                <w:color w:val="000000"/>
                <w:szCs w:val="21"/>
                <w:highlight w:val="none"/>
              </w:rPr>
            </w:pPr>
            <w:r>
              <w:rPr>
                <w:rFonts w:hint="eastAsia" w:ascii="宋体" w:hAnsi="宋体"/>
                <w:color w:val="000000"/>
                <w:szCs w:val="21"/>
                <w:highlight w:val="none"/>
              </w:rPr>
              <w:t>国别</w:t>
            </w:r>
          </w:p>
        </w:tc>
        <w:tc>
          <w:tcPr>
            <w:tcW w:w="1426" w:type="dxa"/>
            <w:tcBorders>
              <w:top w:val="single" w:color="auto" w:sz="4" w:space="0"/>
              <w:left w:val="single" w:color="auto" w:sz="4" w:space="0"/>
              <w:bottom w:val="single" w:color="auto" w:sz="4" w:space="0"/>
              <w:right w:val="single" w:color="auto" w:sz="4" w:space="0"/>
            </w:tcBorders>
            <w:vAlign w:val="center"/>
          </w:tcPr>
          <w:p w14:paraId="4442D80B">
            <w:pPr>
              <w:snapToGrid w:val="0"/>
              <w:spacing w:before="50" w:after="50"/>
              <w:jc w:val="center"/>
              <w:rPr>
                <w:rFonts w:ascii="宋体" w:hAnsi="宋体"/>
                <w:color w:val="000000"/>
                <w:szCs w:val="21"/>
                <w:highlight w:val="none"/>
              </w:rPr>
            </w:pPr>
            <w:r>
              <w:rPr>
                <w:rFonts w:hint="eastAsia" w:ascii="宋体" w:hAnsi="宋体"/>
                <w:color w:val="000000"/>
                <w:szCs w:val="21"/>
                <w:highlight w:val="none"/>
              </w:rPr>
              <w:t>参数性能、指标及配置</w:t>
            </w:r>
          </w:p>
        </w:tc>
      </w:tr>
      <w:tr w14:paraId="273A51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F2E620B">
            <w:pPr>
              <w:snapToGrid w:val="0"/>
              <w:spacing w:before="50" w:after="50"/>
              <w:jc w:val="center"/>
              <w:rPr>
                <w:rFonts w:ascii="宋体" w:hAnsi="宋体"/>
                <w:color w:val="000000"/>
                <w:szCs w:val="21"/>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14:paraId="1B4E676A">
            <w:pPr>
              <w:snapToGrid w:val="0"/>
              <w:spacing w:before="50" w:after="50"/>
              <w:jc w:val="center"/>
              <w:rPr>
                <w:rFonts w:ascii="宋体" w:hAnsi="宋体"/>
                <w:color w:val="000000"/>
                <w:szCs w:val="21"/>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14:paraId="59E5A022">
            <w:pPr>
              <w:snapToGrid w:val="0"/>
              <w:spacing w:before="50" w:after="50"/>
              <w:jc w:val="center"/>
              <w:rPr>
                <w:rFonts w:ascii="宋体" w:hAnsi="宋体"/>
                <w:color w:val="000000"/>
                <w:szCs w:val="21"/>
                <w:highlight w:val="none"/>
              </w:rPr>
            </w:pPr>
          </w:p>
        </w:tc>
        <w:tc>
          <w:tcPr>
            <w:tcW w:w="853" w:type="dxa"/>
            <w:tcBorders>
              <w:top w:val="single" w:color="auto" w:sz="4" w:space="0"/>
              <w:left w:val="single" w:color="auto" w:sz="4" w:space="0"/>
              <w:bottom w:val="single" w:color="auto" w:sz="4" w:space="0"/>
              <w:right w:val="single" w:color="auto" w:sz="4" w:space="0"/>
            </w:tcBorders>
            <w:vAlign w:val="center"/>
          </w:tcPr>
          <w:p w14:paraId="01C7DF11">
            <w:pPr>
              <w:snapToGrid w:val="0"/>
              <w:spacing w:before="50" w:after="50"/>
              <w:jc w:val="center"/>
              <w:rPr>
                <w:rFonts w:ascii="宋体" w:hAnsi="宋体"/>
                <w:color w:val="000000"/>
                <w:szCs w:val="21"/>
                <w:highlight w:val="none"/>
              </w:rPr>
            </w:pPr>
          </w:p>
        </w:tc>
        <w:tc>
          <w:tcPr>
            <w:tcW w:w="1702" w:type="dxa"/>
            <w:tcBorders>
              <w:top w:val="single" w:color="auto" w:sz="4" w:space="0"/>
              <w:left w:val="single" w:color="auto" w:sz="4" w:space="0"/>
              <w:bottom w:val="single" w:color="auto" w:sz="4" w:space="0"/>
              <w:right w:val="single" w:color="auto" w:sz="4" w:space="0"/>
            </w:tcBorders>
          </w:tcPr>
          <w:p w14:paraId="442FBA67">
            <w:pPr>
              <w:snapToGrid w:val="0"/>
              <w:spacing w:before="50" w:after="50"/>
              <w:jc w:val="center"/>
              <w:rPr>
                <w:rFonts w:ascii="宋体" w:hAnsi="宋体"/>
                <w:color w:val="000000"/>
                <w:szCs w:val="21"/>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14:paraId="436F00BD">
            <w:pPr>
              <w:snapToGrid w:val="0"/>
              <w:spacing w:before="50" w:after="50"/>
              <w:jc w:val="center"/>
              <w:rPr>
                <w:rFonts w:ascii="宋体" w:hAnsi="宋体"/>
                <w:color w:val="000000"/>
                <w:szCs w:val="21"/>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14:paraId="14CD53BC">
            <w:pPr>
              <w:snapToGrid w:val="0"/>
              <w:spacing w:before="50" w:after="50"/>
              <w:jc w:val="center"/>
              <w:rPr>
                <w:rFonts w:ascii="宋体" w:hAnsi="宋体"/>
                <w:color w:val="000000"/>
                <w:szCs w:val="21"/>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0755BF4B">
            <w:pPr>
              <w:snapToGrid w:val="0"/>
              <w:spacing w:before="50" w:after="50"/>
              <w:jc w:val="center"/>
              <w:rPr>
                <w:rFonts w:ascii="宋体" w:hAnsi="宋体"/>
                <w:color w:val="000000"/>
                <w:szCs w:val="21"/>
                <w:highlight w:val="none"/>
              </w:rPr>
            </w:pPr>
          </w:p>
        </w:tc>
      </w:tr>
      <w:tr w14:paraId="11531B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3C59FE">
            <w:pPr>
              <w:snapToGrid w:val="0"/>
              <w:spacing w:before="50" w:after="50"/>
              <w:jc w:val="center"/>
              <w:rPr>
                <w:rFonts w:ascii="宋体" w:hAnsi="宋体"/>
                <w:color w:val="000000"/>
                <w:szCs w:val="21"/>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14:paraId="54709DEB">
            <w:pPr>
              <w:snapToGrid w:val="0"/>
              <w:spacing w:before="50" w:after="50"/>
              <w:jc w:val="center"/>
              <w:rPr>
                <w:rFonts w:ascii="宋体" w:hAnsi="宋体"/>
                <w:color w:val="000000"/>
                <w:szCs w:val="21"/>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14:paraId="56C8A6DD">
            <w:pPr>
              <w:snapToGrid w:val="0"/>
              <w:spacing w:before="50" w:after="50"/>
              <w:jc w:val="center"/>
              <w:rPr>
                <w:rFonts w:ascii="宋体" w:hAnsi="宋体"/>
                <w:color w:val="000000"/>
                <w:szCs w:val="21"/>
                <w:highlight w:val="none"/>
              </w:rPr>
            </w:pPr>
          </w:p>
        </w:tc>
        <w:tc>
          <w:tcPr>
            <w:tcW w:w="853" w:type="dxa"/>
            <w:tcBorders>
              <w:top w:val="single" w:color="auto" w:sz="4" w:space="0"/>
              <w:left w:val="single" w:color="auto" w:sz="4" w:space="0"/>
              <w:bottom w:val="single" w:color="auto" w:sz="4" w:space="0"/>
              <w:right w:val="single" w:color="auto" w:sz="4" w:space="0"/>
            </w:tcBorders>
            <w:vAlign w:val="center"/>
          </w:tcPr>
          <w:p w14:paraId="44958AB4">
            <w:pPr>
              <w:snapToGrid w:val="0"/>
              <w:spacing w:before="50" w:after="50"/>
              <w:jc w:val="center"/>
              <w:rPr>
                <w:rFonts w:ascii="宋体" w:hAnsi="宋体"/>
                <w:color w:val="000000"/>
                <w:szCs w:val="21"/>
                <w:highlight w:val="none"/>
              </w:rPr>
            </w:pPr>
          </w:p>
        </w:tc>
        <w:tc>
          <w:tcPr>
            <w:tcW w:w="1702" w:type="dxa"/>
            <w:tcBorders>
              <w:top w:val="single" w:color="auto" w:sz="4" w:space="0"/>
              <w:left w:val="single" w:color="auto" w:sz="4" w:space="0"/>
              <w:bottom w:val="single" w:color="auto" w:sz="4" w:space="0"/>
              <w:right w:val="single" w:color="auto" w:sz="4" w:space="0"/>
            </w:tcBorders>
          </w:tcPr>
          <w:p w14:paraId="3B14E403">
            <w:pPr>
              <w:snapToGrid w:val="0"/>
              <w:spacing w:before="50" w:after="50"/>
              <w:jc w:val="center"/>
              <w:rPr>
                <w:rFonts w:ascii="宋体" w:hAnsi="宋体"/>
                <w:color w:val="000000"/>
                <w:szCs w:val="21"/>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14:paraId="3C06D399">
            <w:pPr>
              <w:snapToGrid w:val="0"/>
              <w:spacing w:before="50" w:after="50"/>
              <w:jc w:val="center"/>
              <w:rPr>
                <w:rFonts w:ascii="宋体" w:hAnsi="宋体"/>
                <w:color w:val="000000"/>
                <w:szCs w:val="21"/>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14:paraId="2460D354">
            <w:pPr>
              <w:snapToGrid w:val="0"/>
              <w:spacing w:before="50" w:after="50"/>
              <w:jc w:val="center"/>
              <w:rPr>
                <w:rFonts w:ascii="宋体" w:hAnsi="宋体"/>
                <w:color w:val="000000"/>
                <w:szCs w:val="21"/>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79A6966E">
            <w:pPr>
              <w:snapToGrid w:val="0"/>
              <w:spacing w:before="50" w:after="50"/>
              <w:jc w:val="center"/>
              <w:rPr>
                <w:rFonts w:ascii="宋体" w:hAnsi="宋体"/>
                <w:color w:val="000000"/>
                <w:szCs w:val="21"/>
                <w:highlight w:val="none"/>
              </w:rPr>
            </w:pPr>
          </w:p>
        </w:tc>
      </w:tr>
      <w:tr w14:paraId="07F09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86B089B">
            <w:pPr>
              <w:snapToGrid w:val="0"/>
              <w:spacing w:before="50" w:after="50"/>
              <w:jc w:val="center"/>
              <w:rPr>
                <w:rFonts w:ascii="宋体" w:hAnsi="宋体"/>
                <w:color w:val="000000"/>
                <w:szCs w:val="21"/>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14:paraId="2AC6C229">
            <w:pPr>
              <w:snapToGrid w:val="0"/>
              <w:spacing w:before="50" w:after="50"/>
              <w:jc w:val="center"/>
              <w:rPr>
                <w:rFonts w:ascii="宋体" w:hAnsi="宋体"/>
                <w:color w:val="000000"/>
                <w:szCs w:val="21"/>
                <w:highlight w:val="none"/>
              </w:rPr>
            </w:pPr>
          </w:p>
        </w:tc>
        <w:tc>
          <w:tcPr>
            <w:tcW w:w="766" w:type="dxa"/>
            <w:tcBorders>
              <w:top w:val="single" w:color="auto" w:sz="4" w:space="0"/>
              <w:left w:val="single" w:color="auto" w:sz="4" w:space="0"/>
              <w:bottom w:val="single" w:color="auto" w:sz="4" w:space="0"/>
              <w:right w:val="single" w:color="auto" w:sz="4" w:space="0"/>
            </w:tcBorders>
            <w:vAlign w:val="center"/>
          </w:tcPr>
          <w:p w14:paraId="74479676">
            <w:pPr>
              <w:snapToGrid w:val="0"/>
              <w:spacing w:before="50" w:after="50"/>
              <w:jc w:val="center"/>
              <w:rPr>
                <w:rFonts w:ascii="宋体" w:hAnsi="宋体"/>
                <w:color w:val="000000"/>
                <w:szCs w:val="21"/>
                <w:highlight w:val="none"/>
              </w:rPr>
            </w:pPr>
          </w:p>
        </w:tc>
        <w:tc>
          <w:tcPr>
            <w:tcW w:w="853" w:type="dxa"/>
            <w:tcBorders>
              <w:top w:val="single" w:color="auto" w:sz="4" w:space="0"/>
              <w:left w:val="single" w:color="auto" w:sz="4" w:space="0"/>
              <w:bottom w:val="single" w:color="auto" w:sz="4" w:space="0"/>
              <w:right w:val="single" w:color="auto" w:sz="4" w:space="0"/>
            </w:tcBorders>
            <w:vAlign w:val="center"/>
          </w:tcPr>
          <w:p w14:paraId="4FD6B6C0">
            <w:pPr>
              <w:snapToGrid w:val="0"/>
              <w:spacing w:before="50" w:after="50"/>
              <w:jc w:val="center"/>
              <w:rPr>
                <w:rFonts w:ascii="宋体" w:hAnsi="宋体"/>
                <w:color w:val="000000"/>
                <w:szCs w:val="21"/>
                <w:highlight w:val="none"/>
              </w:rPr>
            </w:pPr>
          </w:p>
        </w:tc>
        <w:tc>
          <w:tcPr>
            <w:tcW w:w="1702" w:type="dxa"/>
            <w:tcBorders>
              <w:top w:val="single" w:color="auto" w:sz="4" w:space="0"/>
              <w:left w:val="single" w:color="auto" w:sz="4" w:space="0"/>
              <w:bottom w:val="single" w:color="auto" w:sz="4" w:space="0"/>
              <w:right w:val="single" w:color="auto" w:sz="4" w:space="0"/>
            </w:tcBorders>
          </w:tcPr>
          <w:p w14:paraId="7340D34D">
            <w:pPr>
              <w:snapToGrid w:val="0"/>
              <w:spacing w:before="50" w:after="50"/>
              <w:jc w:val="center"/>
              <w:rPr>
                <w:rFonts w:ascii="宋体" w:hAnsi="宋体"/>
                <w:color w:val="000000"/>
                <w:szCs w:val="21"/>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14:paraId="2184D89B">
            <w:pPr>
              <w:snapToGrid w:val="0"/>
              <w:spacing w:before="50" w:after="50"/>
              <w:jc w:val="center"/>
              <w:rPr>
                <w:rFonts w:ascii="宋体" w:hAnsi="宋体"/>
                <w:color w:val="000000"/>
                <w:szCs w:val="21"/>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14:paraId="7C90ED36">
            <w:pPr>
              <w:snapToGrid w:val="0"/>
              <w:spacing w:before="50" w:after="50"/>
              <w:jc w:val="center"/>
              <w:rPr>
                <w:rFonts w:ascii="宋体" w:hAnsi="宋体"/>
                <w:color w:val="000000"/>
                <w:szCs w:val="21"/>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14:paraId="4D7A1AE0">
            <w:pPr>
              <w:snapToGrid w:val="0"/>
              <w:spacing w:before="50" w:after="50"/>
              <w:jc w:val="center"/>
              <w:rPr>
                <w:rFonts w:ascii="宋体" w:hAnsi="宋体"/>
                <w:color w:val="000000"/>
                <w:szCs w:val="21"/>
                <w:highlight w:val="none"/>
              </w:rPr>
            </w:pPr>
          </w:p>
        </w:tc>
      </w:tr>
    </w:tbl>
    <w:p w14:paraId="7381D323">
      <w:pPr>
        <w:spacing w:line="360" w:lineRule="auto"/>
        <w:contextualSpacing/>
        <w:rPr>
          <w:rFonts w:ascii="宋体" w:hAnsi="宋体"/>
          <w:color w:val="000000"/>
          <w:szCs w:val="21"/>
          <w:highlight w:val="none"/>
        </w:rPr>
      </w:pPr>
      <w:r>
        <w:rPr>
          <w:rFonts w:hint="eastAsia" w:ascii="宋体" w:hAnsi="宋体"/>
          <w:color w:val="000000"/>
          <w:szCs w:val="21"/>
          <w:highlight w:val="none"/>
        </w:rPr>
        <w:t>备注：</w:t>
      </w:r>
    </w:p>
    <w:p w14:paraId="19945873">
      <w:pPr>
        <w:spacing w:line="360" w:lineRule="auto"/>
        <w:ind w:firstLine="420" w:firstLineChars="200"/>
        <w:contextualSpacing/>
        <w:rPr>
          <w:rFonts w:ascii="宋体" w:hAnsi="宋体"/>
          <w:b/>
          <w:color w:val="000000"/>
          <w:szCs w:val="21"/>
          <w:highlight w:val="none"/>
        </w:rPr>
      </w:pPr>
      <w:r>
        <w:rPr>
          <w:rFonts w:hint="eastAsia" w:ascii="宋体" w:hAnsi="宋体"/>
          <w:color w:val="000000"/>
          <w:szCs w:val="21"/>
          <w:highlight w:val="none"/>
        </w:rPr>
        <w:t>以上设备性能配置清单中“标的名称、数量及单位、品牌、规格型号、生产厂家、国别、参数性能、指标及配置”必须如实填写完整，品牌、规格型号没有则填无，填写有缺漏</w:t>
      </w:r>
      <w:r>
        <w:rPr>
          <w:rFonts w:hint="eastAsia" w:ascii="宋体" w:hAnsi="宋体"/>
          <w:bCs/>
          <w:color w:val="000000"/>
          <w:szCs w:val="21"/>
          <w:highlight w:val="none"/>
        </w:rPr>
        <w:t>的，</w:t>
      </w:r>
      <w:r>
        <w:rPr>
          <w:rFonts w:hint="eastAsia" w:ascii="宋体" w:hAnsi="宋体"/>
          <w:b/>
          <w:color w:val="000000"/>
          <w:szCs w:val="21"/>
          <w:highlight w:val="none"/>
        </w:rPr>
        <w:t>作无效投标处理。</w:t>
      </w:r>
      <w:r>
        <w:rPr>
          <w:rFonts w:hint="eastAsia" w:ascii="宋体" w:hAnsi="宋体"/>
          <w:color w:val="000000"/>
          <w:szCs w:val="21"/>
          <w:highlight w:val="none"/>
        </w:rPr>
        <w:t>标的名称、数量及单位、品牌必须与“开标一览表”一致，</w:t>
      </w:r>
      <w:r>
        <w:rPr>
          <w:rFonts w:hint="eastAsia" w:ascii="宋体" w:hAnsi="宋体"/>
          <w:b/>
          <w:color w:val="000000"/>
          <w:szCs w:val="21"/>
          <w:highlight w:val="none"/>
        </w:rPr>
        <w:t>否则按无效投标处理。</w:t>
      </w:r>
    </w:p>
    <w:p w14:paraId="37930D69">
      <w:pPr>
        <w:spacing w:line="360" w:lineRule="auto"/>
        <w:ind w:firstLine="420" w:firstLineChars="200"/>
        <w:contextualSpacing/>
        <w:rPr>
          <w:rFonts w:ascii="宋体" w:hAnsi="宋体"/>
          <w:color w:val="000000"/>
          <w:szCs w:val="21"/>
          <w:highlight w:val="none"/>
        </w:rPr>
      </w:pPr>
    </w:p>
    <w:p w14:paraId="653FDEB4">
      <w:pPr>
        <w:spacing w:line="360" w:lineRule="auto"/>
        <w:contextualSpacing/>
        <w:rPr>
          <w:rFonts w:ascii="宋体" w:hAnsi="宋体"/>
          <w:color w:val="000000"/>
          <w:spacing w:val="20"/>
          <w:szCs w:val="21"/>
          <w:highlight w:val="none"/>
          <w:u w:val="single"/>
        </w:rPr>
      </w:pPr>
      <w:r>
        <w:rPr>
          <w:rFonts w:hint="eastAsia" w:ascii="宋体" w:hAnsi="宋体"/>
          <w:color w:val="000000"/>
          <w:szCs w:val="21"/>
          <w:highlight w:val="none"/>
        </w:rPr>
        <w:t>法定代表人（或负责人）或者委托代理人（签字或电子签名）</w:t>
      </w:r>
      <w:r>
        <w:rPr>
          <w:rFonts w:hint="eastAsia" w:ascii="宋体" w:hAnsi="宋体"/>
          <w:color w:val="000000"/>
          <w:spacing w:val="20"/>
          <w:szCs w:val="21"/>
          <w:highlight w:val="none"/>
        </w:rPr>
        <w:t>：</w:t>
      </w:r>
      <w:r>
        <w:rPr>
          <w:rFonts w:hint="eastAsia" w:ascii="宋体" w:hAnsi="宋体"/>
          <w:color w:val="000000"/>
          <w:spacing w:val="20"/>
          <w:szCs w:val="21"/>
          <w:highlight w:val="none"/>
          <w:u w:val="single"/>
        </w:rPr>
        <w:t xml:space="preserve">        </w:t>
      </w:r>
    </w:p>
    <w:p w14:paraId="288F33F0">
      <w:pPr>
        <w:spacing w:line="360" w:lineRule="auto"/>
        <w:contextualSpacing/>
        <w:rPr>
          <w:rFonts w:ascii="宋体" w:hAnsi="宋体"/>
          <w:color w:val="000000"/>
          <w:spacing w:val="20"/>
          <w:szCs w:val="21"/>
          <w:highlight w:val="none"/>
        </w:rPr>
      </w:pPr>
      <w:r>
        <w:rPr>
          <w:rFonts w:hint="eastAsia" w:ascii="宋体" w:hAnsi="宋体"/>
          <w:color w:val="000000"/>
          <w:spacing w:val="20"/>
          <w:szCs w:val="21"/>
          <w:highlight w:val="none"/>
        </w:rPr>
        <w:t>投标人名称（电子签章）：</w:t>
      </w:r>
      <w:r>
        <w:rPr>
          <w:rFonts w:hint="eastAsia" w:ascii="宋体" w:hAnsi="宋体"/>
          <w:color w:val="000000"/>
          <w:spacing w:val="20"/>
          <w:szCs w:val="21"/>
          <w:highlight w:val="none"/>
          <w:u w:val="single"/>
        </w:rPr>
        <w:t xml:space="preserve">            </w:t>
      </w:r>
      <w:r>
        <w:rPr>
          <w:rFonts w:hint="eastAsia" w:ascii="宋体" w:hAnsi="宋体"/>
          <w:color w:val="000000"/>
          <w:spacing w:val="20"/>
          <w:szCs w:val="21"/>
          <w:highlight w:val="none"/>
        </w:rPr>
        <w:t xml:space="preserve">              </w:t>
      </w:r>
    </w:p>
    <w:p w14:paraId="429E7442">
      <w:pPr>
        <w:spacing w:line="360" w:lineRule="auto"/>
        <w:contextualSpacing/>
        <w:rPr>
          <w:rFonts w:ascii="宋体" w:hAnsi="宋体"/>
          <w:color w:val="000000"/>
          <w:szCs w:val="21"/>
          <w:highlight w:val="none"/>
        </w:rPr>
      </w:pPr>
      <w:r>
        <w:rPr>
          <w:rFonts w:hint="eastAsia" w:ascii="宋体" w:hAnsi="宋体"/>
          <w:color w:val="000000"/>
          <w:spacing w:val="20"/>
          <w:szCs w:val="21"/>
          <w:highlight w:val="none"/>
        </w:rPr>
        <w:t>日  期：</w:t>
      </w:r>
      <w:r>
        <w:rPr>
          <w:rFonts w:hint="eastAsia" w:ascii="宋体" w:hAnsi="宋体"/>
          <w:color w:val="000000"/>
          <w:spacing w:val="20"/>
          <w:szCs w:val="21"/>
          <w:highlight w:val="none"/>
          <w:u w:val="single"/>
        </w:rPr>
        <w:t xml:space="preserve">          </w:t>
      </w:r>
    </w:p>
    <w:p w14:paraId="04F29CC8">
      <w:pPr>
        <w:snapToGrid w:val="0"/>
        <w:spacing w:before="50" w:after="120" w:afterLines="50"/>
        <w:jc w:val="left"/>
        <w:rPr>
          <w:rFonts w:ascii="宋体" w:hAnsi="宋体"/>
          <w:color w:val="000000"/>
          <w:szCs w:val="21"/>
          <w:highlight w:val="none"/>
        </w:rPr>
      </w:pPr>
    </w:p>
    <w:p w14:paraId="62A23082">
      <w:pPr>
        <w:snapToGrid w:val="0"/>
        <w:spacing w:before="50" w:after="120" w:afterLines="50"/>
        <w:jc w:val="left"/>
        <w:rPr>
          <w:rFonts w:ascii="宋体" w:hAnsi="宋体"/>
          <w:color w:val="000000"/>
          <w:sz w:val="24"/>
          <w:szCs w:val="20"/>
          <w:highlight w:val="none"/>
        </w:rPr>
      </w:pPr>
    </w:p>
    <w:p w14:paraId="3739ACAF">
      <w:pPr>
        <w:snapToGrid w:val="0"/>
        <w:spacing w:before="120" w:beforeLines="50" w:after="50"/>
        <w:ind w:left="142"/>
        <w:jc w:val="left"/>
        <w:rPr>
          <w:rFonts w:ascii="宋体" w:hAnsi="宋体"/>
          <w:b/>
          <w:color w:val="000000"/>
          <w:sz w:val="24"/>
          <w:highlight w:val="none"/>
        </w:rPr>
      </w:pPr>
      <w:r>
        <w:rPr>
          <w:rFonts w:ascii="宋体" w:hAnsi="宋体"/>
          <w:b/>
          <w:color w:val="000000"/>
          <w:sz w:val="24"/>
          <w:highlight w:val="none"/>
        </w:rPr>
        <w:br w:type="page"/>
      </w:r>
      <w:r>
        <w:rPr>
          <w:rFonts w:hint="eastAsia" w:ascii="宋体" w:hAnsi="宋体"/>
          <w:b/>
          <w:color w:val="000000"/>
          <w:sz w:val="24"/>
          <w:highlight w:val="none"/>
        </w:rPr>
        <w:t>4. 技术要求偏离表格式</w:t>
      </w:r>
    </w:p>
    <w:p w14:paraId="42329E92">
      <w:pPr>
        <w:snapToGrid w:val="0"/>
        <w:spacing w:before="120" w:beforeLines="50" w:after="50"/>
        <w:ind w:left="142"/>
        <w:jc w:val="left"/>
        <w:rPr>
          <w:rFonts w:ascii="宋体" w:hAnsi="宋体"/>
          <w:b/>
          <w:color w:val="000000"/>
          <w:sz w:val="24"/>
          <w:highlight w:val="none"/>
        </w:rPr>
      </w:pPr>
    </w:p>
    <w:p w14:paraId="3BE54224">
      <w:pPr>
        <w:snapToGrid w:val="0"/>
        <w:spacing w:before="120" w:beforeLines="50" w:after="50"/>
        <w:ind w:left="142"/>
        <w:jc w:val="center"/>
        <w:rPr>
          <w:rFonts w:ascii="宋体" w:hAnsi="宋体"/>
          <w:b/>
          <w:color w:val="000000"/>
          <w:sz w:val="32"/>
          <w:szCs w:val="32"/>
          <w:highlight w:val="none"/>
        </w:rPr>
      </w:pPr>
      <w:r>
        <w:rPr>
          <w:rFonts w:hint="eastAsia" w:ascii="宋体" w:hAnsi="宋体"/>
          <w:b/>
          <w:color w:val="000000"/>
          <w:sz w:val="32"/>
          <w:szCs w:val="32"/>
          <w:highlight w:val="none"/>
        </w:rPr>
        <w:t>技术要求偏离表</w:t>
      </w:r>
    </w:p>
    <w:p w14:paraId="67BBA0E9">
      <w:pPr>
        <w:pStyle w:val="25"/>
        <w:rPr>
          <w:rFonts w:hAnsi="宋体"/>
          <w:color w:val="000000"/>
          <w:sz w:val="21"/>
          <w:highlight w:val="none"/>
        </w:rPr>
      </w:pPr>
      <w:r>
        <w:rPr>
          <w:rFonts w:hint="eastAsia" w:hAnsi="宋体"/>
          <w:color w:val="000000"/>
          <w:sz w:val="21"/>
          <w:highlight w:val="none"/>
        </w:rPr>
        <w:t>所投分标：</w:t>
      </w:r>
      <w:r>
        <w:rPr>
          <w:rFonts w:hint="eastAsia" w:hAnsi="宋体"/>
          <w:color w:val="000000"/>
          <w:sz w:val="21"/>
          <w:highlight w:val="none"/>
          <w:u w:val="single"/>
        </w:rPr>
        <w:t xml:space="preserve">     </w:t>
      </w:r>
      <w:r>
        <w:rPr>
          <w:rFonts w:hint="eastAsia" w:hAnsi="宋体"/>
          <w:color w:val="000000"/>
          <w:sz w:val="21"/>
          <w:highlight w:val="none"/>
        </w:rPr>
        <w:t>分标</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272B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3846E88D">
            <w:pPr>
              <w:pStyle w:val="25"/>
              <w:spacing w:line="400" w:lineRule="exact"/>
              <w:jc w:val="center"/>
              <w:rPr>
                <w:rFonts w:hAnsi="宋体" w:cs="Courier New"/>
                <w:color w:val="000000"/>
                <w:kern w:val="2"/>
                <w:sz w:val="21"/>
                <w:highlight w:val="none"/>
              </w:rPr>
            </w:pPr>
            <w:r>
              <w:rPr>
                <w:rFonts w:hint="eastAsia" w:hAnsi="宋体" w:cs="Courier New"/>
                <w:color w:val="000000"/>
                <w:kern w:val="2"/>
                <w:sz w:val="21"/>
                <w:highlight w:val="none"/>
              </w:rPr>
              <w:t>项号</w:t>
            </w:r>
          </w:p>
        </w:tc>
        <w:tc>
          <w:tcPr>
            <w:tcW w:w="2143" w:type="dxa"/>
            <w:vAlign w:val="center"/>
          </w:tcPr>
          <w:p w14:paraId="2BBDCB93">
            <w:pPr>
              <w:pStyle w:val="25"/>
              <w:spacing w:line="400" w:lineRule="exact"/>
              <w:jc w:val="center"/>
              <w:rPr>
                <w:rFonts w:hAnsi="宋体" w:cs="Courier New"/>
                <w:color w:val="000000"/>
                <w:kern w:val="2"/>
                <w:sz w:val="21"/>
                <w:highlight w:val="none"/>
              </w:rPr>
            </w:pPr>
            <w:r>
              <w:rPr>
                <w:rFonts w:hint="eastAsia" w:hAnsi="宋体" w:cs="Courier New"/>
                <w:color w:val="000000"/>
                <w:kern w:val="2"/>
                <w:sz w:val="21"/>
                <w:highlight w:val="none"/>
              </w:rPr>
              <w:t>标的名称</w:t>
            </w:r>
          </w:p>
        </w:tc>
        <w:tc>
          <w:tcPr>
            <w:tcW w:w="1834" w:type="dxa"/>
            <w:vAlign w:val="center"/>
          </w:tcPr>
          <w:p w14:paraId="703A5861">
            <w:pPr>
              <w:pStyle w:val="25"/>
              <w:spacing w:line="400" w:lineRule="exact"/>
              <w:jc w:val="center"/>
              <w:rPr>
                <w:rFonts w:hAnsi="宋体" w:cs="Courier New"/>
                <w:color w:val="000000"/>
                <w:kern w:val="2"/>
                <w:sz w:val="21"/>
                <w:highlight w:val="none"/>
              </w:rPr>
            </w:pPr>
            <w:r>
              <w:rPr>
                <w:rFonts w:hint="eastAsia" w:hAnsi="宋体" w:cs="Courier New"/>
                <w:color w:val="000000"/>
                <w:kern w:val="2"/>
                <w:sz w:val="21"/>
                <w:highlight w:val="none"/>
              </w:rPr>
              <w:t>技术要求</w:t>
            </w:r>
          </w:p>
        </w:tc>
        <w:tc>
          <w:tcPr>
            <w:tcW w:w="2181" w:type="dxa"/>
            <w:vAlign w:val="center"/>
          </w:tcPr>
          <w:p w14:paraId="05208B92">
            <w:pPr>
              <w:pStyle w:val="25"/>
              <w:spacing w:line="400" w:lineRule="exact"/>
              <w:jc w:val="center"/>
              <w:rPr>
                <w:rFonts w:hAnsi="宋体" w:cs="Courier New"/>
                <w:color w:val="000000"/>
                <w:kern w:val="2"/>
                <w:sz w:val="21"/>
                <w:highlight w:val="none"/>
              </w:rPr>
            </w:pPr>
            <w:r>
              <w:rPr>
                <w:rFonts w:hint="eastAsia" w:hAnsi="宋体" w:cs="Courier New"/>
                <w:color w:val="000000"/>
                <w:kern w:val="2"/>
                <w:sz w:val="21"/>
                <w:highlight w:val="none"/>
              </w:rPr>
              <w:t>投标响应</w:t>
            </w:r>
          </w:p>
        </w:tc>
        <w:tc>
          <w:tcPr>
            <w:tcW w:w="1934" w:type="dxa"/>
            <w:vAlign w:val="center"/>
          </w:tcPr>
          <w:p w14:paraId="7A4BB3B9">
            <w:pPr>
              <w:pStyle w:val="25"/>
              <w:spacing w:line="400" w:lineRule="exact"/>
              <w:jc w:val="center"/>
              <w:rPr>
                <w:rFonts w:hAnsi="宋体" w:cs="Courier New"/>
                <w:color w:val="000000"/>
                <w:kern w:val="2"/>
                <w:sz w:val="21"/>
                <w:highlight w:val="none"/>
              </w:rPr>
            </w:pPr>
            <w:r>
              <w:rPr>
                <w:rFonts w:hint="eastAsia" w:hAnsi="宋体" w:cs="Courier New"/>
                <w:color w:val="000000"/>
                <w:kern w:val="2"/>
                <w:sz w:val="21"/>
                <w:highlight w:val="none"/>
              </w:rPr>
              <w:t>偏离说明</w:t>
            </w:r>
          </w:p>
        </w:tc>
      </w:tr>
      <w:tr w14:paraId="4CC2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D3B911B">
            <w:pPr>
              <w:pStyle w:val="25"/>
              <w:spacing w:line="600" w:lineRule="exact"/>
              <w:jc w:val="center"/>
              <w:rPr>
                <w:rFonts w:hAnsi="宋体" w:cs="Courier New"/>
                <w:color w:val="000000"/>
                <w:kern w:val="2"/>
                <w:sz w:val="21"/>
                <w:highlight w:val="none"/>
              </w:rPr>
            </w:pPr>
          </w:p>
        </w:tc>
        <w:tc>
          <w:tcPr>
            <w:tcW w:w="2143" w:type="dxa"/>
            <w:vAlign w:val="center"/>
          </w:tcPr>
          <w:p w14:paraId="60328C56">
            <w:pPr>
              <w:pStyle w:val="25"/>
              <w:spacing w:line="600" w:lineRule="exact"/>
              <w:jc w:val="center"/>
              <w:rPr>
                <w:rFonts w:hAnsi="宋体" w:cs="Courier New"/>
                <w:color w:val="000000"/>
                <w:kern w:val="2"/>
                <w:sz w:val="21"/>
                <w:highlight w:val="none"/>
              </w:rPr>
            </w:pPr>
          </w:p>
        </w:tc>
        <w:tc>
          <w:tcPr>
            <w:tcW w:w="1834" w:type="dxa"/>
            <w:vAlign w:val="center"/>
          </w:tcPr>
          <w:p w14:paraId="1C664018">
            <w:pPr>
              <w:pStyle w:val="25"/>
              <w:spacing w:line="600" w:lineRule="exact"/>
              <w:jc w:val="center"/>
              <w:rPr>
                <w:rFonts w:hAnsi="宋体" w:cs="Courier New"/>
                <w:color w:val="000000"/>
                <w:kern w:val="2"/>
                <w:sz w:val="21"/>
                <w:highlight w:val="none"/>
              </w:rPr>
            </w:pPr>
          </w:p>
        </w:tc>
        <w:tc>
          <w:tcPr>
            <w:tcW w:w="2181" w:type="dxa"/>
            <w:vAlign w:val="center"/>
          </w:tcPr>
          <w:p w14:paraId="0F5C3E7F">
            <w:pPr>
              <w:pStyle w:val="25"/>
              <w:spacing w:line="600" w:lineRule="exact"/>
              <w:jc w:val="center"/>
              <w:rPr>
                <w:rFonts w:hAnsi="宋体" w:cs="Courier New"/>
                <w:color w:val="000000"/>
                <w:kern w:val="2"/>
                <w:sz w:val="21"/>
                <w:highlight w:val="none"/>
              </w:rPr>
            </w:pPr>
          </w:p>
        </w:tc>
        <w:tc>
          <w:tcPr>
            <w:tcW w:w="1934" w:type="dxa"/>
            <w:vAlign w:val="center"/>
          </w:tcPr>
          <w:p w14:paraId="06AC5498">
            <w:pPr>
              <w:pStyle w:val="25"/>
              <w:spacing w:line="600" w:lineRule="exact"/>
              <w:jc w:val="center"/>
              <w:rPr>
                <w:rFonts w:hAnsi="宋体" w:cs="Courier New"/>
                <w:color w:val="000000"/>
                <w:kern w:val="2"/>
                <w:sz w:val="21"/>
                <w:highlight w:val="none"/>
              </w:rPr>
            </w:pPr>
          </w:p>
        </w:tc>
      </w:tr>
      <w:tr w14:paraId="5FF6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08510EC">
            <w:pPr>
              <w:pStyle w:val="25"/>
              <w:spacing w:line="600" w:lineRule="exact"/>
              <w:rPr>
                <w:rFonts w:hAnsi="宋体" w:cs="Courier New"/>
                <w:color w:val="000000"/>
                <w:kern w:val="2"/>
                <w:sz w:val="21"/>
                <w:highlight w:val="none"/>
              </w:rPr>
            </w:pPr>
          </w:p>
        </w:tc>
        <w:tc>
          <w:tcPr>
            <w:tcW w:w="2143" w:type="dxa"/>
          </w:tcPr>
          <w:p w14:paraId="7C625949">
            <w:pPr>
              <w:pStyle w:val="25"/>
              <w:spacing w:line="600" w:lineRule="exact"/>
              <w:rPr>
                <w:rFonts w:hAnsi="宋体" w:cs="Courier New"/>
                <w:color w:val="000000"/>
                <w:kern w:val="2"/>
                <w:sz w:val="21"/>
                <w:highlight w:val="none"/>
              </w:rPr>
            </w:pPr>
          </w:p>
        </w:tc>
        <w:tc>
          <w:tcPr>
            <w:tcW w:w="1834" w:type="dxa"/>
          </w:tcPr>
          <w:p w14:paraId="1AE51F93">
            <w:pPr>
              <w:pStyle w:val="25"/>
              <w:spacing w:line="600" w:lineRule="exact"/>
              <w:rPr>
                <w:rFonts w:hAnsi="宋体" w:cs="Courier New"/>
                <w:color w:val="000000"/>
                <w:kern w:val="2"/>
                <w:sz w:val="21"/>
                <w:highlight w:val="none"/>
              </w:rPr>
            </w:pPr>
          </w:p>
        </w:tc>
        <w:tc>
          <w:tcPr>
            <w:tcW w:w="2181" w:type="dxa"/>
          </w:tcPr>
          <w:p w14:paraId="2880F0DF">
            <w:pPr>
              <w:pStyle w:val="25"/>
              <w:spacing w:line="600" w:lineRule="exact"/>
              <w:rPr>
                <w:rFonts w:hAnsi="宋体" w:cs="Courier New"/>
                <w:color w:val="000000"/>
                <w:kern w:val="2"/>
                <w:sz w:val="21"/>
                <w:highlight w:val="none"/>
              </w:rPr>
            </w:pPr>
          </w:p>
        </w:tc>
        <w:tc>
          <w:tcPr>
            <w:tcW w:w="1934" w:type="dxa"/>
          </w:tcPr>
          <w:p w14:paraId="4D1AB814">
            <w:pPr>
              <w:pStyle w:val="25"/>
              <w:spacing w:line="600" w:lineRule="exact"/>
              <w:rPr>
                <w:rFonts w:hAnsi="宋体" w:cs="Courier New"/>
                <w:color w:val="000000"/>
                <w:kern w:val="2"/>
                <w:sz w:val="21"/>
                <w:highlight w:val="none"/>
              </w:rPr>
            </w:pPr>
          </w:p>
        </w:tc>
      </w:tr>
      <w:tr w14:paraId="0DE3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D20F318">
            <w:pPr>
              <w:pStyle w:val="25"/>
              <w:spacing w:line="600" w:lineRule="exact"/>
              <w:rPr>
                <w:rFonts w:hAnsi="宋体" w:cs="Courier New"/>
                <w:color w:val="000000"/>
                <w:kern w:val="2"/>
                <w:sz w:val="21"/>
                <w:highlight w:val="none"/>
              </w:rPr>
            </w:pPr>
          </w:p>
        </w:tc>
        <w:tc>
          <w:tcPr>
            <w:tcW w:w="2143" w:type="dxa"/>
          </w:tcPr>
          <w:p w14:paraId="198AF109">
            <w:pPr>
              <w:pStyle w:val="25"/>
              <w:spacing w:line="600" w:lineRule="exact"/>
              <w:rPr>
                <w:rFonts w:hAnsi="宋体" w:cs="Courier New"/>
                <w:color w:val="000000"/>
                <w:kern w:val="2"/>
                <w:sz w:val="21"/>
                <w:highlight w:val="none"/>
              </w:rPr>
            </w:pPr>
          </w:p>
        </w:tc>
        <w:tc>
          <w:tcPr>
            <w:tcW w:w="1834" w:type="dxa"/>
          </w:tcPr>
          <w:p w14:paraId="5A3C1649">
            <w:pPr>
              <w:pStyle w:val="25"/>
              <w:spacing w:line="600" w:lineRule="exact"/>
              <w:rPr>
                <w:rFonts w:hAnsi="宋体" w:cs="Courier New"/>
                <w:color w:val="000000"/>
                <w:kern w:val="2"/>
                <w:sz w:val="21"/>
                <w:highlight w:val="none"/>
              </w:rPr>
            </w:pPr>
          </w:p>
        </w:tc>
        <w:tc>
          <w:tcPr>
            <w:tcW w:w="2181" w:type="dxa"/>
          </w:tcPr>
          <w:p w14:paraId="3AF23E7A">
            <w:pPr>
              <w:pStyle w:val="25"/>
              <w:spacing w:line="600" w:lineRule="exact"/>
              <w:rPr>
                <w:rFonts w:hAnsi="宋体" w:cs="Courier New"/>
                <w:color w:val="000000"/>
                <w:kern w:val="2"/>
                <w:sz w:val="21"/>
                <w:highlight w:val="none"/>
              </w:rPr>
            </w:pPr>
          </w:p>
        </w:tc>
        <w:tc>
          <w:tcPr>
            <w:tcW w:w="1934" w:type="dxa"/>
          </w:tcPr>
          <w:p w14:paraId="593AB877">
            <w:pPr>
              <w:pStyle w:val="25"/>
              <w:spacing w:line="600" w:lineRule="exact"/>
              <w:rPr>
                <w:rFonts w:hAnsi="宋体" w:cs="Courier New"/>
                <w:color w:val="000000"/>
                <w:kern w:val="2"/>
                <w:sz w:val="21"/>
                <w:highlight w:val="none"/>
              </w:rPr>
            </w:pPr>
          </w:p>
        </w:tc>
      </w:tr>
      <w:tr w14:paraId="42C3C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A1FD695">
            <w:pPr>
              <w:pStyle w:val="25"/>
              <w:spacing w:line="600" w:lineRule="exact"/>
              <w:rPr>
                <w:rFonts w:hAnsi="宋体" w:cs="Courier New"/>
                <w:color w:val="000000"/>
                <w:kern w:val="2"/>
                <w:sz w:val="21"/>
                <w:highlight w:val="none"/>
              </w:rPr>
            </w:pPr>
          </w:p>
        </w:tc>
        <w:tc>
          <w:tcPr>
            <w:tcW w:w="2143" w:type="dxa"/>
          </w:tcPr>
          <w:p w14:paraId="4479291C">
            <w:pPr>
              <w:pStyle w:val="25"/>
              <w:spacing w:line="600" w:lineRule="exact"/>
              <w:rPr>
                <w:rFonts w:hAnsi="宋体" w:cs="Courier New"/>
                <w:color w:val="000000"/>
                <w:kern w:val="2"/>
                <w:sz w:val="21"/>
                <w:highlight w:val="none"/>
              </w:rPr>
            </w:pPr>
          </w:p>
        </w:tc>
        <w:tc>
          <w:tcPr>
            <w:tcW w:w="1834" w:type="dxa"/>
          </w:tcPr>
          <w:p w14:paraId="3DF62D93">
            <w:pPr>
              <w:pStyle w:val="25"/>
              <w:spacing w:line="600" w:lineRule="exact"/>
              <w:rPr>
                <w:rFonts w:hAnsi="宋体" w:cs="Courier New"/>
                <w:color w:val="000000"/>
                <w:kern w:val="2"/>
                <w:sz w:val="21"/>
                <w:highlight w:val="none"/>
              </w:rPr>
            </w:pPr>
          </w:p>
        </w:tc>
        <w:tc>
          <w:tcPr>
            <w:tcW w:w="2181" w:type="dxa"/>
          </w:tcPr>
          <w:p w14:paraId="4B5BEFC4">
            <w:pPr>
              <w:pStyle w:val="25"/>
              <w:spacing w:line="600" w:lineRule="exact"/>
              <w:rPr>
                <w:rFonts w:hAnsi="宋体" w:cs="Courier New"/>
                <w:color w:val="000000"/>
                <w:kern w:val="2"/>
                <w:sz w:val="21"/>
                <w:highlight w:val="none"/>
              </w:rPr>
            </w:pPr>
          </w:p>
        </w:tc>
        <w:tc>
          <w:tcPr>
            <w:tcW w:w="1934" w:type="dxa"/>
          </w:tcPr>
          <w:p w14:paraId="16BEDD3D">
            <w:pPr>
              <w:pStyle w:val="25"/>
              <w:spacing w:line="600" w:lineRule="exact"/>
              <w:rPr>
                <w:rFonts w:hAnsi="宋体" w:cs="Courier New"/>
                <w:color w:val="000000"/>
                <w:kern w:val="2"/>
                <w:sz w:val="21"/>
                <w:highlight w:val="none"/>
              </w:rPr>
            </w:pPr>
          </w:p>
        </w:tc>
      </w:tr>
      <w:tr w14:paraId="2167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9AC3E43">
            <w:pPr>
              <w:pStyle w:val="25"/>
              <w:spacing w:line="600" w:lineRule="exact"/>
              <w:rPr>
                <w:rFonts w:hAnsi="宋体" w:cs="Courier New"/>
                <w:color w:val="000000"/>
                <w:kern w:val="2"/>
                <w:sz w:val="21"/>
                <w:highlight w:val="none"/>
              </w:rPr>
            </w:pPr>
          </w:p>
        </w:tc>
        <w:tc>
          <w:tcPr>
            <w:tcW w:w="2143" w:type="dxa"/>
          </w:tcPr>
          <w:p w14:paraId="0E2D0615">
            <w:pPr>
              <w:pStyle w:val="25"/>
              <w:spacing w:line="600" w:lineRule="exact"/>
              <w:rPr>
                <w:rFonts w:hAnsi="宋体" w:cs="Courier New"/>
                <w:color w:val="000000"/>
                <w:kern w:val="2"/>
                <w:sz w:val="21"/>
                <w:highlight w:val="none"/>
              </w:rPr>
            </w:pPr>
          </w:p>
        </w:tc>
        <w:tc>
          <w:tcPr>
            <w:tcW w:w="1834" w:type="dxa"/>
          </w:tcPr>
          <w:p w14:paraId="68C0855B">
            <w:pPr>
              <w:pStyle w:val="25"/>
              <w:spacing w:line="600" w:lineRule="exact"/>
              <w:rPr>
                <w:rFonts w:hAnsi="宋体" w:cs="Courier New"/>
                <w:color w:val="000000"/>
                <w:kern w:val="2"/>
                <w:sz w:val="21"/>
                <w:highlight w:val="none"/>
              </w:rPr>
            </w:pPr>
          </w:p>
        </w:tc>
        <w:tc>
          <w:tcPr>
            <w:tcW w:w="2181" w:type="dxa"/>
          </w:tcPr>
          <w:p w14:paraId="0D60F18F">
            <w:pPr>
              <w:pStyle w:val="25"/>
              <w:spacing w:line="600" w:lineRule="exact"/>
              <w:rPr>
                <w:rFonts w:hAnsi="宋体" w:cs="Courier New"/>
                <w:color w:val="000000"/>
                <w:kern w:val="2"/>
                <w:sz w:val="21"/>
                <w:highlight w:val="none"/>
              </w:rPr>
            </w:pPr>
          </w:p>
        </w:tc>
        <w:tc>
          <w:tcPr>
            <w:tcW w:w="1934" w:type="dxa"/>
          </w:tcPr>
          <w:p w14:paraId="21000842">
            <w:pPr>
              <w:pStyle w:val="25"/>
              <w:spacing w:line="600" w:lineRule="exact"/>
              <w:rPr>
                <w:rFonts w:hAnsi="宋体" w:cs="Courier New"/>
                <w:color w:val="000000"/>
                <w:kern w:val="2"/>
                <w:sz w:val="21"/>
                <w:highlight w:val="none"/>
              </w:rPr>
            </w:pPr>
          </w:p>
        </w:tc>
      </w:tr>
      <w:tr w14:paraId="4D97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FD73144">
            <w:pPr>
              <w:pStyle w:val="25"/>
              <w:spacing w:line="600" w:lineRule="exact"/>
              <w:rPr>
                <w:rFonts w:hAnsi="宋体" w:cs="Courier New"/>
                <w:color w:val="000000"/>
                <w:kern w:val="2"/>
                <w:sz w:val="21"/>
                <w:highlight w:val="none"/>
              </w:rPr>
            </w:pPr>
          </w:p>
        </w:tc>
        <w:tc>
          <w:tcPr>
            <w:tcW w:w="2143" w:type="dxa"/>
          </w:tcPr>
          <w:p w14:paraId="045AAEC5">
            <w:pPr>
              <w:pStyle w:val="25"/>
              <w:spacing w:line="600" w:lineRule="exact"/>
              <w:rPr>
                <w:rFonts w:hAnsi="宋体" w:cs="Courier New"/>
                <w:color w:val="000000"/>
                <w:kern w:val="2"/>
                <w:sz w:val="21"/>
                <w:highlight w:val="none"/>
              </w:rPr>
            </w:pPr>
          </w:p>
        </w:tc>
        <w:tc>
          <w:tcPr>
            <w:tcW w:w="1834" w:type="dxa"/>
          </w:tcPr>
          <w:p w14:paraId="0AFC7734">
            <w:pPr>
              <w:pStyle w:val="25"/>
              <w:spacing w:line="600" w:lineRule="exact"/>
              <w:rPr>
                <w:rFonts w:hAnsi="宋体" w:cs="Courier New"/>
                <w:color w:val="000000"/>
                <w:kern w:val="2"/>
                <w:sz w:val="21"/>
                <w:highlight w:val="none"/>
              </w:rPr>
            </w:pPr>
          </w:p>
        </w:tc>
        <w:tc>
          <w:tcPr>
            <w:tcW w:w="2181" w:type="dxa"/>
          </w:tcPr>
          <w:p w14:paraId="1766F69A">
            <w:pPr>
              <w:pStyle w:val="25"/>
              <w:spacing w:line="600" w:lineRule="exact"/>
              <w:rPr>
                <w:rFonts w:hAnsi="宋体" w:cs="Courier New"/>
                <w:color w:val="000000"/>
                <w:kern w:val="2"/>
                <w:sz w:val="21"/>
                <w:highlight w:val="none"/>
              </w:rPr>
            </w:pPr>
          </w:p>
        </w:tc>
        <w:tc>
          <w:tcPr>
            <w:tcW w:w="1934" w:type="dxa"/>
          </w:tcPr>
          <w:p w14:paraId="13DC7C94">
            <w:pPr>
              <w:pStyle w:val="25"/>
              <w:spacing w:line="600" w:lineRule="exact"/>
              <w:rPr>
                <w:rFonts w:hAnsi="宋体" w:cs="Courier New"/>
                <w:color w:val="000000"/>
                <w:kern w:val="2"/>
                <w:sz w:val="21"/>
                <w:highlight w:val="none"/>
              </w:rPr>
            </w:pPr>
          </w:p>
        </w:tc>
      </w:tr>
    </w:tbl>
    <w:p w14:paraId="6584F772">
      <w:pPr>
        <w:pStyle w:val="18"/>
        <w:rPr>
          <w:rFonts w:ascii="宋体" w:hAnsi="宋体"/>
          <w:color w:val="000000"/>
          <w:sz w:val="21"/>
          <w:szCs w:val="21"/>
          <w:highlight w:val="none"/>
        </w:rPr>
      </w:pPr>
      <w:r>
        <w:rPr>
          <w:rFonts w:hint="eastAsia" w:ascii="宋体" w:hAnsi="宋体"/>
          <w:color w:val="000000"/>
          <w:sz w:val="21"/>
          <w:szCs w:val="21"/>
          <w:highlight w:val="none"/>
        </w:rPr>
        <w:t>注：</w:t>
      </w:r>
    </w:p>
    <w:p w14:paraId="1F2EFC36">
      <w:pPr>
        <w:pStyle w:val="20"/>
        <w:spacing w:line="360" w:lineRule="auto"/>
        <w:ind w:firstLine="0" w:firstLineChars="0"/>
        <w:rPr>
          <w:rFonts w:hAnsi="仿宋_GB2312" w:cs="仿宋_GB2312"/>
          <w:color w:val="000000"/>
          <w:sz w:val="21"/>
          <w:szCs w:val="21"/>
          <w:highlight w:val="none"/>
        </w:rPr>
      </w:pPr>
      <w:r>
        <w:rPr>
          <w:rFonts w:hint="eastAsia" w:ascii="宋体" w:hAnsi="宋体" w:eastAsia="宋体"/>
          <w:color w:val="000000"/>
          <w:sz w:val="21"/>
          <w:szCs w:val="21"/>
          <w:highlight w:val="none"/>
        </w:rPr>
        <w:t>1. 说明：应对照招标文件“第二章 采购需求”中的“技术要求”逐条作明确的投标响应，并作出偏离说明。</w:t>
      </w:r>
    </w:p>
    <w:p w14:paraId="01D7230C">
      <w:pPr>
        <w:pStyle w:val="18"/>
        <w:spacing w:line="360" w:lineRule="auto"/>
        <w:rPr>
          <w:rFonts w:ascii="宋体" w:hAnsi="宋体"/>
          <w:b w:val="0"/>
          <w:bCs w:val="0"/>
          <w:color w:val="000000"/>
          <w:sz w:val="21"/>
          <w:szCs w:val="21"/>
          <w:highlight w:val="none"/>
        </w:rPr>
      </w:pPr>
      <w:r>
        <w:rPr>
          <w:rFonts w:ascii="宋体" w:hAnsi="宋体"/>
          <w:b w:val="0"/>
          <w:bCs w:val="0"/>
          <w:color w:val="000000"/>
          <w:sz w:val="21"/>
          <w:szCs w:val="21"/>
          <w:highlight w:val="none"/>
        </w:rPr>
        <w:t>2.</w:t>
      </w:r>
      <w:r>
        <w:rPr>
          <w:rFonts w:hint="eastAsia" w:ascii="宋体" w:hAnsi="宋体"/>
          <w:b w:val="0"/>
          <w:bCs w:val="0"/>
          <w:color w:val="000000"/>
          <w:sz w:val="21"/>
          <w:szCs w:val="21"/>
          <w:highlight w:val="none"/>
        </w:rPr>
        <w:t>投标人根据投标货物的性能指标，对照招标文件技术要求，在“偏离说明”中注明“</w:t>
      </w:r>
      <w:r>
        <w:rPr>
          <w:rFonts w:hint="eastAsia" w:ascii="宋体" w:hAnsi="宋体"/>
          <w:color w:val="000000"/>
          <w:sz w:val="21"/>
          <w:szCs w:val="21"/>
          <w:highlight w:val="none"/>
        </w:rPr>
        <w:t>正偏离</w:t>
      </w:r>
      <w:r>
        <w:rPr>
          <w:rFonts w:hint="eastAsia" w:ascii="宋体" w:hAnsi="宋体"/>
          <w:b w:val="0"/>
          <w:bCs w:val="0"/>
          <w:color w:val="000000"/>
          <w:sz w:val="21"/>
          <w:szCs w:val="21"/>
          <w:highlight w:val="none"/>
        </w:rPr>
        <w:t>”、“</w:t>
      </w:r>
      <w:r>
        <w:rPr>
          <w:rFonts w:hint="eastAsia" w:ascii="宋体" w:hAnsi="宋体"/>
          <w:color w:val="000000"/>
          <w:sz w:val="21"/>
          <w:szCs w:val="21"/>
          <w:highlight w:val="none"/>
        </w:rPr>
        <w:t>负偏离</w:t>
      </w:r>
      <w:r>
        <w:rPr>
          <w:rFonts w:hint="eastAsia" w:ascii="宋体" w:hAnsi="宋体"/>
          <w:b w:val="0"/>
          <w:bCs w:val="0"/>
          <w:color w:val="000000"/>
          <w:sz w:val="21"/>
          <w:szCs w:val="21"/>
          <w:highlight w:val="none"/>
        </w:rPr>
        <w:t>”或者“</w:t>
      </w:r>
      <w:r>
        <w:rPr>
          <w:rFonts w:hint="eastAsia" w:ascii="宋体" w:hAnsi="宋体"/>
          <w:color w:val="000000"/>
          <w:sz w:val="21"/>
          <w:szCs w:val="21"/>
          <w:highlight w:val="none"/>
        </w:rPr>
        <w:t>无偏离</w:t>
      </w:r>
      <w:r>
        <w:rPr>
          <w:rFonts w:hint="eastAsia" w:ascii="宋体" w:hAnsi="宋体"/>
          <w:b w:val="0"/>
          <w:bCs w:val="0"/>
          <w:color w:val="000000"/>
          <w:sz w:val="21"/>
          <w:szCs w:val="21"/>
          <w:highlight w:val="none"/>
        </w:rPr>
        <w:t>”。既不属于“</w:t>
      </w:r>
      <w:r>
        <w:rPr>
          <w:rFonts w:hint="eastAsia" w:ascii="宋体" w:hAnsi="宋体"/>
          <w:color w:val="000000"/>
          <w:sz w:val="21"/>
          <w:szCs w:val="21"/>
          <w:highlight w:val="none"/>
        </w:rPr>
        <w:t>正偏离</w:t>
      </w:r>
      <w:r>
        <w:rPr>
          <w:rFonts w:hint="eastAsia" w:ascii="宋体" w:hAnsi="宋体"/>
          <w:b w:val="0"/>
          <w:bCs w:val="0"/>
          <w:color w:val="000000"/>
          <w:sz w:val="21"/>
          <w:szCs w:val="21"/>
          <w:highlight w:val="none"/>
        </w:rPr>
        <w:t>”也不属于“</w:t>
      </w:r>
      <w:r>
        <w:rPr>
          <w:rFonts w:hint="eastAsia" w:ascii="宋体" w:hAnsi="宋体"/>
          <w:color w:val="000000"/>
          <w:sz w:val="21"/>
          <w:szCs w:val="21"/>
          <w:highlight w:val="none"/>
        </w:rPr>
        <w:t>负偏离</w:t>
      </w:r>
      <w:r>
        <w:rPr>
          <w:rFonts w:hint="eastAsia" w:ascii="宋体" w:hAnsi="宋体"/>
          <w:b w:val="0"/>
          <w:bCs w:val="0"/>
          <w:color w:val="000000"/>
          <w:sz w:val="21"/>
          <w:szCs w:val="21"/>
          <w:highlight w:val="none"/>
        </w:rPr>
        <w:t>”即为“</w:t>
      </w:r>
      <w:r>
        <w:rPr>
          <w:rFonts w:hint="eastAsia" w:ascii="宋体" w:hAnsi="宋体"/>
          <w:color w:val="000000"/>
          <w:sz w:val="21"/>
          <w:szCs w:val="21"/>
          <w:highlight w:val="none"/>
        </w:rPr>
        <w:t>无偏离</w:t>
      </w:r>
      <w:r>
        <w:rPr>
          <w:rFonts w:hint="eastAsia" w:ascii="宋体" w:hAnsi="宋体"/>
          <w:b w:val="0"/>
          <w:bCs w:val="0"/>
          <w:color w:val="000000"/>
          <w:sz w:val="21"/>
          <w:szCs w:val="21"/>
          <w:highlight w:val="none"/>
        </w:rPr>
        <w:t>”。</w:t>
      </w:r>
    </w:p>
    <w:p w14:paraId="7346FB08">
      <w:pPr>
        <w:pStyle w:val="20"/>
        <w:spacing w:line="360" w:lineRule="auto"/>
        <w:ind w:firstLine="0" w:firstLineChars="0"/>
        <w:rPr>
          <w:rFonts w:ascii="宋体" w:hAnsi="宋体" w:eastAsia="宋体"/>
          <w:color w:val="000000"/>
          <w:sz w:val="21"/>
          <w:szCs w:val="21"/>
          <w:highlight w:val="none"/>
        </w:rPr>
      </w:pPr>
      <w:r>
        <w:rPr>
          <w:rFonts w:hint="eastAsia" w:ascii="宋体" w:hAnsi="宋体" w:eastAsia="宋体"/>
          <w:color w:val="000000"/>
          <w:sz w:val="21"/>
          <w:szCs w:val="21"/>
          <w:highlight w:val="none"/>
        </w:rPr>
        <w:t>3.如技术要求偏离表中的投标响应与佐证材料不一致的，以佐证材料为准。</w:t>
      </w:r>
    </w:p>
    <w:p w14:paraId="23037B6C">
      <w:pPr>
        <w:pStyle w:val="20"/>
        <w:spacing w:line="360" w:lineRule="auto"/>
        <w:ind w:firstLine="0" w:firstLineChars="0"/>
        <w:rPr>
          <w:rFonts w:ascii="宋体" w:hAnsi="宋体" w:eastAsia="宋体"/>
          <w:color w:val="000000"/>
          <w:sz w:val="21"/>
          <w:szCs w:val="21"/>
          <w:highlight w:val="none"/>
        </w:rPr>
      </w:pPr>
      <w:r>
        <w:rPr>
          <w:rFonts w:hint="eastAsia" w:ascii="宋体" w:hAnsi="宋体" w:eastAsia="宋体"/>
          <w:color w:val="000000"/>
          <w:sz w:val="21"/>
          <w:szCs w:val="21"/>
          <w:highlight w:val="none"/>
        </w:rPr>
        <w:t>4.不按照要求填写响应内容的或者仅填写“满足或者响应”的，均按无效投标处理。</w:t>
      </w:r>
    </w:p>
    <w:p w14:paraId="689BC4DD">
      <w:pPr>
        <w:snapToGrid w:val="0"/>
        <w:spacing w:before="50" w:after="50" w:line="360" w:lineRule="auto"/>
        <w:rPr>
          <w:rFonts w:ascii="宋体" w:hAnsi="宋体"/>
          <w:color w:val="000000"/>
          <w:szCs w:val="21"/>
          <w:highlight w:val="none"/>
        </w:rPr>
      </w:pPr>
    </w:p>
    <w:p w14:paraId="7D6DBEAB">
      <w:pPr>
        <w:snapToGrid w:val="0"/>
        <w:spacing w:before="50" w:after="50" w:line="360" w:lineRule="auto"/>
        <w:rPr>
          <w:rFonts w:ascii="宋体" w:hAnsi="宋体"/>
          <w:color w:val="000000"/>
          <w:spacing w:val="20"/>
          <w:szCs w:val="21"/>
          <w:highlight w:val="none"/>
          <w:u w:val="single"/>
        </w:rPr>
      </w:pPr>
      <w:r>
        <w:rPr>
          <w:rFonts w:hint="eastAsia" w:ascii="宋体" w:hAnsi="宋体"/>
          <w:color w:val="000000"/>
          <w:szCs w:val="21"/>
          <w:highlight w:val="none"/>
        </w:rPr>
        <w:t>法定代表人（或负责人）或者委托代理人（签字或电子签名）</w:t>
      </w:r>
      <w:r>
        <w:rPr>
          <w:rFonts w:hint="eastAsia" w:ascii="宋体" w:hAnsi="宋体"/>
          <w:color w:val="000000"/>
          <w:spacing w:val="20"/>
          <w:szCs w:val="21"/>
          <w:highlight w:val="none"/>
        </w:rPr>
        <w:t>：</w:t>
      </w:r>
      <w:r>
        <w:rPr>
          <w:rFonts w:hint="eastAsia" w:ascii="宋体" w:hAnsi="宋体"/>
          <w:color w:val="000000"/>
          <w:spacing w:val="20"/>
          <w:szCs w:val="21"/>
          <w:highlight w:val="none"/>
          <w:u w:val="single"/>
        </w:rPr>
        <w:t xml:space="preserve">        </w:t>
      </w:r>
    </w:p>
    <w:p w14:paraId="3D4738A7">
      <w:pPr>
        <w:snapToGrid w:val="0"/>
        <w:spacing w:before="50" w:after="50" w:line="360" w:lineRule="auto"/>
        <w:rPr>
          <w:rFonts w:ascii="宋体" w:hAnsi="宋体"/>
          <w:color w:val="000000"/>
          <w:spacing w:val="20"/>
          <w:szCs w:val="21"/>
          <w:highlight w:val="none"/>
        </w:rPr>
      </w:pPr>
      <w:r>
        <w:rPr>
          <w:rFonts w:hint="eastAsia" w:ascii="宋体" w:hAnsi="宋体"/>
          <w:color w:val="000000"/>
          <w:spacing w:val="20"/>
          <w:szCs w:val="21"/>
          <w:highlight w:val="none"/>
        </w:rPr>
        <w:t>投标人名称（电子签章）：</w:t>
      </w:r>
      <w:r>
        <w:rPr>
          <w:rFonts w:hint="eastAsia" w:ascii="宋体" w:hAnsi="宋体"/>
          <w:color w:val="000000"/>
          <w:spacing w:val="20"/>
          <w:szCs w:val="21"/>
          <w:highlight w:val="none"/>
          <w:u w:val="single"/>
        </w:rPr>
        <w:t xml:space="preserve">            </w:t>
      </w:r>
      <w:r>
        <w:rPr>
          <w:rFonts w:hint="eastAsia" w:ascii="宋体" w:hAnsi="宋体"/>
          <w:color w:val="000000"/>
          <w:spacing w:val="20"/>
          <w:szCs w:val="21"/>
          <w:highlight w:val="none"/>
        </w:rPr>
        <w:t xml:space="preserve">              </w:t>
      </w:r>
    </w:p>
    <w:p w14:paraId="1E79E759">
      <w:pPr>
        <w:snapToGrid w:val="0"/>
        <w:spacing w:before="50" w:after="50" w:line="360" w:lineRule="auto"/>
        <w:rPr>
          <w:rFonts w:ascii="宋体" w:hAnsi="宋体"/>
          <w:color w:val="000000"/>
          <w:spacing w:val="20"/>
          <w:szCs w:val="21"/>
          <w:highlight w:val="none"/>
          <w:u w:val="single"/>
        </w:rPr>
      </w:pPr>
      <w:r>
        <w:rPr>
          <w:rFonts w:hint="eastAsia" w:ascii="宋体" w:hAnsi="宋体"/>
          <w:color w:val="000000"/>
          <w:spacing w:val="20"/>
          <w:szCs w:val="21"/>
          <w:highlight w:val="none"/>
        </w:rPr>
        <w:t>日 期：</w:t>
      </w:r>
      <w:r>
        <w:rPr>
          <w:rFonts w:hint="eastAsia" w:ascii="宋体" w:hAnsi="宋体"/>
          <w:color w:val="000000"/>
          <w:spacing w:val="20"/>
          <w:szCs w:val="21"/>
          <w:highlight w:val="none"/>
          <w:u w:val="single"/>
        </w:rPr>
        <w:t xml:space="preserve">        </w:t>
      </w:r>
    </w:p>
    <w:p w14:paraId="1C056361">
      <w:pPr>
        <w:snapToGrid w:val="0"/>
        <w:spacing w:before="50" w:after="50" w:line="360" w:lineRule="auto"/>
        <w:rPr>
          <w:rFonts w:ascii="宋体" w:hAnsi="宋体"/>
          <w:color w:val="000000"/>
          <w:sz w:val="24"/>
          <w:szCs w:val="20"/>
          <w:highlight w:val="none"/>
        </w:rPr>
      </w:pPr>
    </w:p>
    <w:p w14:paraId="353D0BF4">
      <w:pPr>
        <w:snapToGrid w:val="0"/>
        <w:spacing w:before="120" w:beforeLines="50" w:after="50"/>
        <w:ind w:left="142"/>
        <w:jc w:val="left"/>
        <w:rPr>
          <w:rFonts w:ascii="宋体" w:hAnsi="宋体"/>
          <w:b/>
          <w:color w:val="000000"/>
          <w:sz w:val="24"/>
          <w:highlight w:val="none"/>
        </w:rPr>
      </w:pPr>
      <w:r>
        <w:rPr>
          <w:rFonts w:ascii="宋体" w:hAnsi="宋体"/>
          <w:b/>
          <w:color w:val="000000"/>
          <w:sz w:val="24"/>
          <w:highlight w:val="none"/>
        </w:rPr>
        <w:br w:type="page"/>
      </w:r>
      <w:r>
        <w:rPr>
          <w:rFonts w:hint="eastAsia" w:ascii="宋体" w:hAnsi="宋体"/>
          <w:b/>
          <w:color w:val="000000"/>
          <w:sz w:val="24"/>
          <w:highlight w:val="none"/>
        </w:rPr>
        <w:t>5. 项目实施人员一览表格式</w:t>
      </w:r>
    </w:p>
    <w:p w14:paraId="40E57B29">
      <w:pPr>
        <w:snapToGrid w:val="0"/>
        <w:spacing w:before="120" w:beforeLines="50" w:after="50"/>
        <w:ind w:left="142"/>
        <w:jc w:val="left"/>
        <w:rPr>
          <w:rFonts w:ascii="宋体" w:hAnsi="宋体"/>
          <w:b/>
          <w:color w:val="000000"/>
          <w:sz w:val="24"/>
          <w:highlight w:val="none"/>
        </w:rPr>
      </w:pPr>
    </w:p>
    <w:p w14:paraId="73F1B7A7">
      <w:pPr>
        <w:snapToGrid w:val="0"/>
        <w:spacing w:before="120" w:beforeLines="50" w:after="50"/>
        <w:ind w:left="142"/>
        <w:jc w:val="center"/>
        <w:rPr>
          <w:rFonts w:ascii="宋体" w:hAnsi="宋体"/>
          <w:b/>
          <w:color w:val="000000"/>
          <w:sz w:val="32"/>
          <w:szCs w:val="32"/>
          <w:highlight w:val="none"/>
        </w:rPr>
      </w:pPr>
      <w:r>
        <w:rPr>
          <w:rFonts w:hint="eastAsia" w:ascii="宋体" w:hAnsi="宋体"/>
          <w:b/>
          <w:color w:val="000000"/>
          <w:sz w:val="32"/>
          <w:szCs w:val="32"/>
          <w:highlight w:val="none"/>
        </w:rPr>
        <w:t>项目实施人员一览表</w:t>
      </w:r>
    </w:p>
    <w:p w14:paraId="2D65B849">
      <w:pPr>
        <w:pStyle w:val="25"/>
        <w:rPr>
          <w:color w:val="000000"/>
          <w:sz w:val="21"/>
          <w:highlight w:val="none"/>
        </w:rPr>
      </w:pPr>
      <w:r>
        <w:rPr>
          <w:rFonts w:hint="eastAsia"/>
          <w:color w:val="000000"/>
          <w:sz w:val="21"/>
          <w:highlight w:val="none"/>
        </w:rPr>
        <w:t>所投分标：</w:t>
      </w:r>
      <w:r>
        <w:rPr>
          <w:rFonts w:hint="eastAsia"/>
          <w:color w:val="000000"/>
          <w:sz w:val="21"/>
          <w:highlight w:val="none"/>
          <w:u w:val="single"/>
        </w:rPr>
        <w:t xml:space="preserve">     </w:t>
      </w:r>
      <w:r>
        <w:rPr>
          <w:rFonts w:hint="eastAsia"/>
          <w:color w:val="000000"/>
          <w:sz w:val="21"/>
          <w:highlight w:val="none"/>
        </w:rPr>
        <w:t>分标</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1C91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6448666">
            <w:pPr>
              <w:snapToGrid w:val="0"/>
              <w:spacing w:before="50" w:after="120" w:afterLines="50"/>
              <w:jc w:val="center"/>
              <w:rPr>
                <w:rFonts w:ascii="宋体" w:hAnsi="宋体"/>
                <w:color w:val="000000"/>
                <w:szCs w:val="21"/>
                <w:highlight w:val="none"/>
              </w:rPr>
            </w:pPr>
            <w:r>
              <w:rPr>
                <w:rFonts w:hint="eastAsia" w:ascii="宋体" w:hAnsi="宋体"/>
                <w:color w:val="000000"/>
                <w:szCs w:val="21"/>
                <w:highlight w:val="none"/>
              </w:rPr>
              <w:t>姓名</w:t>
            </w:r>
          </w:p>
        </w:tc>
        <w:tc>
          <w:tcPr>
            <w:tcW w:w="709" w:type="dxa"/>
            <w:vAlign w:val="center"/>
          </w:tcPr>
          <w:p w14:paraId="20084435">
            <w:pPr>
              <w:snapToGrid w:val="0"/>
              <w:spacing w:before="50" w:after="120" w:afterLines="50"/>
              <w:jc w:val="center"/>
              <w:rPr>
                <w:rFonts w:ascii="宋体" w:hAnsi="宋体"/>
                <w:color w:val="000000"/>
                <w:szCs w:val="21"/>
                <w:highlight w:val="none"/>
              </w:rPr>
            </w:pPr>
            <w:r>
              <w:rPr>
                <w:rFonts w:hint="eastAsia" w:ascii="宋体" w:hAnsi="宋体"/>
                <w:color w:val="000000"/>
                <w:szCs w:val="21"/>
                <w:highlight w:val="none"/>
              </w:rPr>
              <w:t>职务</w:t>
            </w:r>
          </w:p>
        </w:tc>
        <w:tc>
          <w:tcPr>
            <w:tcW w:w="1701" w:type="dxa"/>
            <w:vAlign w:val="center"/>
          </w:tcPr>
          <w:p w14:paraId="57F19509">
            <w:pPr>
              <w:snapToGrid w:val="0"/>
              <w:spacing w:before="50" w:after="120" w:afterLines="50"/>
              <w:jc w:val="center"/>
              <w:rPr>
                <w:rFonts w:ascii="宋体" w:hAnsi="宋体"/>
                <w:color w:val="000000"/>
                <w:szCs w:val="21"/>
                <w:highlight w:val="none"/>
              </w:rPr>
            </w:pPr>
            <w:r>
              <w:rPr>
                <w:rFonts w:hint="eastAsia" w:ascii="宋体" w:hAnsi="宋体"/>
                <w:color w:val="000000"/>
                <w:szCs w:val="21"/>
                <w:highlight w:val="none"/>
              </w:rPr>
              <w:t>专业技术资格（职称）或者职业资格或者执业资格证或者其他证书</w:t>
            </w:r>
          </w:p>
        </w:tc>
        <w:tc>
          <w:tcPr>
            <w:tcW w:w="1420" w:type="dxa"/>
            <w:vAlign w:val="center"/>
          </w:tcPr>
          <w:p w14:paraId="34C3EFD0">
            <w:pPr>
              <w:snapToGrid w:val="0"/>
              <w:spacing w:before="50" w:after="120" w:afterLines="50"/>
              <w:jc w:val="center"/>
              <w:rPr>
                <w:rFonts w:ascii="宋体" w:hAnsi="宋体"/>
                <w:color w:val="000000"/>
                <w:szCs w:val="21"/>
                <w:highlight w:val="none"/>
              </w:rPr>
            </w:pPr>
            <w:r>
              <w:rPr>
                <w:rFonts w:hint="eastAsia" w:ascii="宋体" w:hAnsi="宋体"/>
                <w:color w:val="000000"/>
                <w:szCs w:val="21"/>
                <w:highlight w:val="none"/>
              </w:rPr>
              <w:t>证书编号</w:t>
            </w:r>
          </w:p>
        </w:tc>
        <w:tc>
          <w:tcPr>
            <w:tcW w:w="1698" w:type="dxa"/>
            <w:vAlign w:val="center"/>
          </w:tcPr>
          <w:p w14:paraId="590EA756">
            <w:pPr>
              <w:snapToGrid w:val="0"/>
              <w:spacing w:before="50" w:after="120" w:afterLines="50"/>
              <w:jc w:val="center"/>
              <w:rPr>
                <w:rFonts w:ascii="宋体" w:hAnsi="宋体"/>
                <w:color w:val="000000"/>
                <w:szCs w:val="21"/>
                <w:highlight w:val="none"/>
              </w:rPr>
            </w:pPr>
            <w:r>
              <w:rPr>
                <w:rFonts w:hint="eastAsia" w:ascii="宋体" w:hAnsi="宋体"/>
                <w:color w:val="000000"/>
                <w:szCs w:val="21"/>
                <w:highlight w:val="none"/>
              </w:rPr>
              <w:t>参加本单位</w:t>
            </w:r>
          </w:p>
          <w:p w14:paraId="2B3829BF">
            <w:pPr>
              <w:snapToGrid w:val="0"/>
              <w:spacing w:before="50" w:after="120" w:afterLines="50"/>
              <w:jc w:val="center"/>
              <w:rPr>
                <w:rFonts w:ascii="宋体" w:hAnsi="宋体"/>
                <w:color w:val="000000"/>
                <w:szCs w:val="21"/>
                <w:highlight w:val="none"/>
              </w:rPr>
            </w:pPr>
            <w:r>
              <w:rPr>
                <w:rFonts w:hint="eastAsia" w:ascii="宋体" w:hAnsi="宋体"/>
                <w:color w:val="000000"/>
                <w:szCs w:val="21"/>
                <w:highlight w:val="none"/>
              </w:rPr>
              <w:t>工作时间</w:t>
            </w:r>
          </w:p>
        </w:tc>
        <w:tc>
          <w:tcPr>
            <w:tcW w:w="1843" w:type="dxa"/>
            <w:vAlign w:val="center"/>
          </w:tcPr>
          <w:p w14:paraId="0DD3BAAF">
            <w:pPr>
              <w:snapToGrid w:val="0"/>
              <w:spacing w:before="50" w:after="120" w:afterLines="50"/>
              <w:jc w:val="center"/>
              <w:rPr>
                <w:rFonts w:ascii="宋体" w:hAnsi="宋体"/>
                <w:color w:val="000000"/>
                <w:szCs w:val="21"/>
                <w:highlight w:val="none"/>
              </w:rPr>
            </w:pPr>
            <w:r>
              <w:rPr>
                <w:rFonts w:hint="eastAsia" w:ascii="宋体" w:hAnsi="宋体"/>
                <w:color w:val="000000"/>
                <w:szCs w:val="21"/>
                <w:highlight w:val="none"/>
              </w:rPr>
              <w:t>劳动合同编号</w:t>
            </w:r>
          </w:p>
        </w:tc>
      </w:tr>
      <w:tr w14:paraId="4356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BAC6C5E">
            <w:pPr>
              <w:snapToGrid w:val="0"/>
              <w:spacing w:before="50" w:after="120" w:afterLines="50"/>
              <w:jc w:val="center"/>
              <w:rPr>
                <w:rFonts w:ascii="宋体" w:hAnsi="宋体"/>
                <w:color w:val="000000"/>
                <w:szCs w:val="21"/>
                <w:highlight w:val="none"/>
              </w:rPr>
            </w:pPr>
          </w:p>
        </w:tc>
        <w:tc>
          <w:tcPr>
            <w:tcW w:w="709" w:type="dxa"/>
            <w:vAlign w:val="center"/>
          </w:tcPr>
          <w:p w14:paraId="2BAFBDCF">
            <w:pPr>
              <w:snapToGrid w:val="0"/>
              <w:spacing w:before="50" w:after="120" w:afterLines="50"/>
              <w:jc w:val="center"/>
              <w:rPr>
                <w:rFonts w:ascii="宋体" w:hAnsi="宋体"/>
                <w:color w:val="000000"/>
                <w:szCs w:val="21"/>
                <w:highlight w:val="none"/>
              </w:rPr>
            </w:pPr>
          </w:p>
        </w:tc>
        <w:tc>
          <w:tcPr>
            <w:tcW w:w="1701" w:type="dxa"/>
            <w:vAlign w:val="center"/>
          </w:tcPr>
          <w:p w14:paraId="6FFB63D1">
            <w:pPr>
              <w:snapToGrid w:val="0"/>
              <w:spacing w:before="50" w:after="120" w:afterLines="50"/>
              <w:jc w:val="center"/>
              <w:rPr>
                <w:rFonts w:ascii="宋体" w:hAnsi="宋体"/>
                <w:color w:val="000000"/>
                <w:szCs w:val="21"/>
                <w:highlight w:val="none"/>
              </w:rPr>
            </w:pPr>
          </w:p>
        </w:tc>
        <w:tc>
          <w:tcPr>
            <w:tcW w:w="1420" w:type="dxa"/>
            <w:vAlign w:val="center"/>
          </w:tcPr>
          <w:p w14:paraId="5BDC3DCC">
            <w:pPr>
              <w:snapToGrid w:val="0"/>
              <w:spacing w:before="50" w:after="120" w:afterLines="50"/>
              <w:jc w:val="center"/>
              <w:rPr>
                <w:rFonts w:ascii="宋体" w:hAnsi="宋体"/>
                <w:color w:val="000000"/>
                <w:szCs w:val="21"/>
                <w:highlight w:val="none"/>
              </w:rPr>
            </w:pPr>
          </w:p>
        </w:tc>
        <w:tc>
          <w:tcPr>
            <w:tcW w:w="1698" w:type="dxa"/>
            <w:vAlign w:val="center"/>
          </w:tcPr>
          <w:p w14:paraId="79A36D0D">
            <w:pPr>
              <w:snapToGrid w:val="0"/>
              <w:spacing w:before="50" w:after="120" w:afterLines="50"/>
              <w:jc w:val="center"/>
              <w:rPr>
                <w:rFonts w:ascii="宋体" w:hAnsi="宋体"/>
                <w:color w:val="000000"/>
                <w:szCs w:val="21"/>
                <w:highlight w:val="none"/>
              </w:rPr>
            </w:pPr>
          </w:p>
        </w:tc>
        <w:tc>
          <w:tcPr>
            <w:tcW w:w="1843" w:type="dxa"/>
            <w:vAlign w:val="center"/>
          </w:tcPr>
          <w:p w14:paraId="5C03E191">
            <w:pPr>
              <w:snapToGrid w:val="0"/>
              <w:spacing w:before="50" w:after="120" w:afterLines="50"/>
              <w:jc w:val="center"/>
              <w:rPr>
                <w:rFonts w:ascii="宋体" w:hAnsi="宋体"/>
                <w:color w:val="000000"/>
                <w:szCs w:val="21"/>
                <w:highlight w:val="none"/>
              </w:rPr>
            </w:pPr>
          </w:p>
        </w:tc>
      </w:tr>
      <w:tr w14:paraId="2776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DDE8758">
            <w:pPr>
              <w:snapToGrid w:val="0"/>
              <w:spacing w:before="50" w:after="120" w:afterLines="50"/>
              <w:jc w:val="center"/>
              <w:rPr>
                <w:rFonts w:ascii="宋体" w:hAnsi="宋体"/>
                <w:color w:val="000000"/>
                <w:szCs w:val="21"/>
                <w:highlight w:val="none"/>
              </w:rPr>
            </w:pPr>
          </w:p>
        </w:tc>
        <w:tc>
          <w:tcPr>
            <w:tcW w:w="709" w:type="dxa"/>
            <w:vAlign w:val="center"/>
          </w:tcPr>
          <w:p w14:paraId="7D592D93">
            <w:pPr>
              <w:snapToGrid w:val="0"/>
              <w:spacing w:before="50" w:after="120" w:afterLines="50"/>
              <w:jc w:val="center"/>
              <w:rPr>
                <w:rFonts w:ascii="宋体" w:hAnsi="宋体"/>
                <w:color w:val="000000"/>
                <w:szCs w:val="21"/>
                <w:highlight w:val="none"/>
              </w:rPr>
            </w:pPr>
          </w:p>
        </w:tc>
        <w:tc>
          <w:tcPr>
            <w:tcW w:w="1701" w:type="dxa"/>
            <w:vAlign w:val="center"/>
          </w:tcPr>
          <w:p w14:paraId="201BAE58">
            <w:pPr>
              <w:snapToGrid w:val="0"/>
              <w:spacing w:before="50" w:after="120" w:afterLines="50"/>
              <w:jc w:val="center"/>
              <w:rPr>
                <w:rFonts w:ascii="宋体" w:hAnsi="宋体"/>
                <w:color w:val="000000"/>
                <w:szCs w:val="21"/>
                <w:highlight w:val="none"/>
              </w:rPr>
            </w:pPr>
          </w:p>
        </w:tc>
        <w:tc>
          <w:tcPr>
            <w:tcW w:w="1420" w:type="dxa"/>
            <w:vAlign w:val="center"/>
          </w:tcPr>
          <w:p w14:paraId="0D67F291">
            <w:pPr>
              <w:snapToGrid w:val="0"/>
              <w:spacing w:before="50" w:after="120" w:afterLines="50"/>
              <w:jc w:val="center"/>
              <w:rPr>
                <w:rFonts w:ascii="宋体" w:hAnsi="宋体"/>
                <w:color w:val="000000"/>
                <w:szCs w:val="21"/>
                <w:highlight w:val="none"/>
              </w:rPr>
            </w:pPr>
          </w:p>
        </w:tc>
        <w:tc>
          <w:tcPr>
            <w:tcW w:w="1698" w:type="dxa"/>
            <w:vAlign w:val="center"/>
          </w:tcPr>
          <w:p w14:paraId="38717274">
            <w:pPr>
              <w:snapToGrid w:val="0"/>
              <w:spacing w:before="50" w:after="120" w:afterLines="50"/>
              <w:jc w:val="center"/>
              <w:rPr>
                <w:rFonts w:ascii="宋体" w:hAnsi="宋体"/>
                <w:color w:val="000000"/>
                <w:szCs w:val="21"/>
                <w:highlight w:val="none"/>
              </w:rPr>
            </w:pPr>
          </w:p>
        </w:tc>
        <w:tc>
          <w:tcPr>
            <w:tcW w:w="1843" w:type="dxa"/>
            <w:vAlign w:val="center"/>
          </w:tcPr>
          <w:p w14:paraId="0DFF2728">
            <w:pPr>
              <w:snapToGrid w:val="0"/>
              <w:spacing w:before="50" w:after="120" w:afterLines="50"/>
              <w:jc w:val="center"/>
              <w:rPr>
                <w:rFonts w:ascii="宋体" w:hAnsi="宋体"/>
                <w:color w:val="000000"/>
                <w:szCs w:val="21"/>
                <w:highlight w:val="none"/>
              </w:rPr>
            </w:pPr>
          </w:p>
        </w:tc>
      </w:tr>
      <w:tr w14:paraId="5BBA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8DA6016">
            <w:pPr>
              <w:snapToGrid w:val="0"/>
              <w:spacing w:before="50" w:after="120" w:afterLines="50"/>
              <w:jc w:val="center"/>
              <w:rPr>
                <w:rFonts w:ascii="宋体" w:hAnsi="宋体"/>
                <w:color w:val="000000"/>
                <w:szCs w:val="21"/>
                <w:highlight w:val="none"/>
              </w:rPr>
            </w:pPr>
          </w:p>
        </w:tc>
        <w:tc>
          <w:tcPr>
            <w:tcW w:w="709" w:type="dxa"/>
            <w:vAlign w:val="center"/>
          </w:tcPr>
          <w:p w14:paraId="692E89F1">
            <w:pPr>
              <w:snapToGrid w:val="0"/>
              <w:spacing w:before="50" w:after="120" w:afterLines="50"/>
              <w:jc w:val="center"/>
              <w:rPr>
                <w:rFonts w:ascii="宋体" w:hAnsi="宋体"/>
                <w:color w:val="000000"/>
                <w:szCs w:val="21"/>
                <w:highlight w:val="none"/>
              </w:rPr>
            </w:pPr>
          </w:p>
        </w:tc>
        <w:tc>
          <w:tcPr>
            <w:tcW w:w="1701" w:type="dxa"/>
            <w:vAlign w:val="center"/>
          </w:tcPr>
          <w:p w14:paraId="00BA9BA2">
            <w:pPr>
              <w:snapToGrid w:val="0"/>
              <w:spacing w:before="50" w:after="120" w:afterLines="50"/>
              <w:jc w:val="center"/>
              <w:rPr>
                <w:rFonts w:ascii="宋体" w:hAnsi="宋体"/>
                <w:color w:val="000000"/>
                <w:szCs w:val="21"/>
                <w:highlight w:val="none"/>
              </w:rPr>
            </w:pPr>
          </w:p>
        </w:tc>
        <w:tc>
          <w:tcPr>
            <w:tcW w:w="1420" w:type="dxa"/>
            <w:vAlign w:val="center"/>
          </w:tcPr>
          <w:p w14:paraId="0AA20DCE">
            <w:pPr>
              <w:snapToGrid w:val="0"/>
              <w:spacing w:before="50" w:after="120" w:afterLines="50"/>
              <w:jc w:val="center"/>
              <w:rPr>
                <w:rFonts w:ascii="宋体" w:hAnsi="宋体"/>
                <w:color w:val="000000"/>
                <w:szCs w:val="21"/>
                <w:highlight w:val="none"/>
              </w:rPr>
            </w:pPr>
          </w:p>
        </w:tc>
        <w:tc>
          <w:tcPr>
            <w:tcW w:w="1698" w:type="dxa"/>
            <w:vAlign w:val="center"/>
          </w:tcPr>
          <w:p w14:paraId="6B7F62BF">
            <w:pPr>
              <w:snapToGrid w:val="0"/>
              <w:spacing w:before="50" w:after="120" w:afterLines="50"/>
              <w:jc w:val="center"/>
              <w:rPr>
                <w:rFonts w:ascii="宋体" w:hAnsi="宋体"/>
                <w:color w:val="000000"/>
                <w:szCs w:val="21"/>
                <w:highlight w:val="none"/>
              </w:rPr>
            </w:pPr>
          </w:p>
        </w:tc>
        <w:tc>
          <w:tcPr>
            <w:tcW w:w="1843" w:type="dxa"/>
            <w:vAlign w:val="center"/>
          </w:tcPr>
          <w:p w14:paraId="6E096E26">
            <w:pPr>
              <w:snapToGrid w:val="0"/>
              <w:spacing w:before="50" w:after="120" w:afterLines="50"/>
              <w:jc w:val="center"/>
              <w:rPr>
                <w:rFonts w:ascii="宋体" w:hAnsi="宋体"/>
                <w:color w:val="000000"/>
                <w:szCs w:val="21"/>
                <w:highlight w:val="none"/>
              </w:rPr>
            </w:pPr>
          </w:p>
        </w:tc>
      </w:tr>
    </w:tbl>
    <w:p w14:paraId="6ECB871A">
      <w:pPr>
        <w:snapToGrid w:val="0"/>
        <w:spacing w:before="50" w:after="120" w:afterLines="50"/>
        <w:jc w:val="left"/>
        <w:rPr>
          <w:rFonts w:ascii="宋体" w:hAnsi="宋体"/>
          <w:color w:val="000000"/>
          <w:szCs w:val="21"/>
          <w:highlight w:val="none"/>
        </w:rPr>
      </w:pPr>
    </w:p>
    <w:p w14:paraId="5C8113B5">
      <w:pPr>
        <w:spacing w:line="360" w:lineRule="auto"/>
        <w:contextualSpacing/>
        <w:jc w:val="left"/>
        <w:rPr>
          <w:rFonts w:ascii="宋体" w:hAnsi="宋体"/>
          <w:color w:val="000000"/>
          <w:szCs w:val="21"/>
          <w:highlight w:val="none"/>
        </w:rPr>
      </w:pPr>
      <w:r>
        <w:rPr>
          <w:rFonts w:hint="eastAsia" w:ascii="宋体" w:hAnsi="宋体"/>
          <w:color w:val="000000"/>
          <w:szCs w:val="21"/>
          <w:highlight w:val="none"/>
        </w:rPr>
        <w:t>注：</w:t>
      </w:r>
    </w:p>
    <w:p w14:paraId="51D493EA">
      <w:pPr>
        <w:spacing w:line="360" w:lineRule="auto"/>
        <w:contextualSpacing/>
        <w:jc w:val="left"/>
        <w:rPr>
          <w:rFonts w:ascii="宋体" w:hAnsi="宋体"/>
          <w:color w:val="000000"/>
          <w:szCs w:val="21"/>
          <w:highlight w:val="none"/>
        </w:rPr>
      </w:pPr>
      <w:r>
        <w:rPr>
          <w:rFonts w:hint="eastAsia" w:ascii="宋体" w:hAnsi="宋体"/>
          <w:color w:val="000000"/>
          <w:szCs w:val="21"/>
          <w:highlight w:val="none"/>
        </w:rPr>
        <w:t>1</w:t>
      </w:r>
      <w:r>
        <w:rPr>
          <w:rFonts w:ascii="宋体" w:hAnsi="宋体"/>
          <w:color w:val="000000"/>
          <w:szCs w:val="21"/>
          <w:highlight w:val="none"/>
        </w:rPr>
        <w:t>.</w:t>
      </w:r>
      <w:r>
        <w:rPr>
          <w:rFonts w:hint="eastAsia" w:ascii="宋体" w:hAnsi="宋体"/>
          <w:color w:val="000000"/>
          <w:szCs w:val="21"/>
          <w:highlight w:val="none"/>
        </w:rPr>
        <w:t>在填写时，如本表格不适合投标单位的实际情况，可根据本表格式自行制表填写。</w:t>
      </w:r>
    </w:p>
    <w:p w14:paraId="0C18457A">
      <w:pPr>
        <w:spacing w:line="360" w:lineRule="auto"/>
        <w:contextualSpacing/>
        <w:jc w:val="left"/>
        <w:rPr>
          <w:rFonts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投标人应当附本表所列证书的复印件并加盖投标人公章。</w:t>
      </w:r>
    </w:p>
    <w:p w14:paraId="128C0D48">
      <w:pPr>
        <w:spacing w:line="360" w:lineRule="auto"/>
        <w:contextualSpacing/>
        <w:jc w:val="left"/>
        <w:rPr>
          <w:rFonts w:ascii="宋体" w:hAnsi="宋体"/>
          <w:color w:val="000000"/>
          <w:szCs w:val="21"/>
          <w:highlight w:val="none"/>
        </w:rPr>
      </w:pPr>
    </w:p>
    <w:p w14:paraId="6E12282D">
      <w:pPr>
        <w:spacing w:line="360" w:lineRule="auto"/>
        <w:contextualSpacing/>
        <w:jc w:val="left"/>
        <w:rPr>
          <w:rFonts w:ascii="宋体" w:hAnsi="宋体"/>
          <w:color w:val="000000"/>
          <w:szCs w:val="21"/>
          <w:highlight w:val="none"/>
        </w:rPr>
      </w:pPr>
    </w:p>
    <w:p w14:paraId="42CB1CE5">
      <w:pPr>
        <w:spacing w:line="360" w:lineRule="auto"/>
        <w:contextualSpacing/>
        <w:rPr>
          <w:rFonts w:ascii="宋体" w:hAnsi="宋体"/>
          <w:color w:val="000000"/>
          <w:spacing w:val="20"/>
          <w:szCs w:val="21"/>
          <w:highlight w:val="none"/>
          <w:u w:val="single"/>
        </w:rPr>
      </w:pPr>
      <w:r>
        <w:rPr>
          <w:rFonts w:hint="eastAsia" w:ascii="宋体" w:hAnsi="宋体"/>
          <w:color w:val="000000"/>
          <w:szCs w:val="21"/>
          <w:highlight w:val="none"/>
        </w:rPr>
        <w:t>法定代表人（或负责人）或者委托代理人（签字或电子签名）</w:t>
      </w:r>
      <w:r>
        <w:rPr>
          <w:rFonts w:hint="eastAsia" w:ascii="宋体" w:hAnsi="宋体"/>
          <w:color w:val="000000"/>
          <w:spacing w:val="20"/>
          <w:szCs w:val="21"/>
          <w:highlight w:val="none"/>
        </w:rPr>
        <w:t>：</w:t>
      </w:r>
      <w:r>
        <w:rPr>
          <w:rFonts w:hint="eastAsia" w:ascii="宋体" w:hAnsi="宋体"/>
          <w:color w:val="000000"/>
          <w:spacing w:val="20"/>
          <w:szCs w:val="21"/>
          <w:highlight w:val="none"/>
          <w:u w:val="single"/>
        </w:rPr>
        <w:t xml:space="preserve">        </w:t>
      </w:r>
    </w:p>
    <w:p w14:paraId="2243DDB9">
      <w:pPr>
        <w:spacing w:line="360" w:lineRule="auto"/>
        <w:contextualSpacing/>
        <w:jc w:val="left"/>
        <w:rPr>
          <w:rFonts w:ascii="宋体" w:hAnsi="宋体"/>
          <w:color w:val="000000"/>
          <w:spacing w:val="20"/>
          <w:szCs w:val="21"/>
          <w:highlight w:val="none"/>
        </w:rPr>
      </w:pPr>
      <w:r>
        <w:rPr>
          <w:rFonts w:hint="eastAsia" w:ascii="宋体" w:hAnsi="宋体"/>
          <w:color w:val="000000"/>
          <w:spacing w:val="20"/>
          <w:szCs w:val="21"/>
          <w:highlight w:val="none"/>
        </w:rPr>
        <w:t>投标人名称（电子签章）：</w:t>
      </w:r>
      <w:r>
        <w:rPr>
          <w:rFonts w:hint="eastAsia" w:ascii="宋体" w:hAnsi="宋体"/>
          <w:color w:val="000000"/>
          <w:spacing w:val="20"/>
          <w:szCs w:val="21"/>
          <w:highlight w:val="none"/>
          <w:u w:val="single"/>
        </w:rPr>
        <w:t xml:space="preserve">            </w:t>
      </w:r>
      <w:r>
        <w:rPr>
          <w:rFonts w:hint="eastAsia" w:ascii="宋体" w:hAnsi="宋体"/>
          <w:color w:val="000000"/>
          <w:spacing w:val="20"/>
          <w:szCs w:val="21"/>
          <w:highlight w:val="none"/>
        </w:rPr>
        <w:t xml:space="preserve">              </w:t>
      </w:r>
    </w:p>
    <w:p w14:paraId="20F2D0A4">
      <w:pPr>
        <w:spacing w:line="360" w:lineRule="auto"/>
        <w:contextualSpacing/>
        <w:jc w:val="left"/>
        <w:rPr>
          <w:rFonts w:ascii="宋体" w:hAnsi="宋体"/>
          <w:color w:val="000000"/>
          <w:szCs w:val="21"/>
          <w:highlight w:val="none"/>
        </w:rPr>
      </w:pPr>
      <w:r>
        <w:rPr>
          <w:rFonts w:hint="eastAsia" w:ascii="宋体" w:hAnsi="宋体"/>
          <w:color w:val="000000"/>
          <w:spacing w:val="20"/>
          <w:szCs w:val="21"/>
          <w:highlight w:val="none"/>
        </w:rPr>
        <w:t>日 期：</w:t>
      </w:r>
      <w:r>
        <w:rPr>
          <w:rFonts w:hint="eastAsia" w:ascii="宋体" w:hAnsi="宋体"/>
          <w:color w:val="000000"/>
          <w:spacing w:val="20"/>
          <w:szCs w:val="21"/>
          <w:highlight w:val="none"/>
          <w:u w:val="single"/>
        </w:rPr>
        <w:t xml:space="preserve">         </w:t>
      </w:r>
    </w:p>
    <w:p w14:paraId="64745795">
      <w:pPr>
        <w:snapToGrid w:val="0"/>
        <w:spacing w:before="50" w:after="120" w:afterLines="50"/>
        <w:jc w:val="left"/>
        <w:rPr>
          <w:rFonts w:ascii="宋体" w:hAnsi="宋体"/>
          <w:color w:val="000000"/>
          <w:sz w:val="24"/>
          <w:szCs w:val="20"/>
          <w:highlight w:val="none"/>
        </w:rPr>
      </w:pPr>
    </w:p>
    <w:p w14:paraId="5B8A5D7C">
      <w:pPr>
        <w:snapToGrid w:val="0"/>
        <w:spacing w:before="120" w:beforeLines="50" w:after="50"/>
        <w:ind w:left="142"/>
        <w:jc w:val="left"/>
        <w:rPr>
          <w:rFonts w:ascii="宋体" w:hAnsi="宋体"/>
          <w:b/>
          <w:color w:val="000000"/>
          <w:sz w:val="24"/>
          <w:highlight w:val="none"/>
        </w:rPr>
      </w:pPr>
      <w:r>
        <w:rPr>
          <w:rFonts w:ascii="宋体" w:hAnsi="宋体"/>
          <w:b/>
          <w:color w:val="000000"/>
          <w:sz w:val="24"/>
          <w:highlight w:val="none"/>
        </w:rPr>
        <w:br w:type="page"/>
      </w:r>
      <w:r>
        <w:rPr>
          <w:rFonts w:hint="eastAsia" w:ascii="宋体" w:hAnsi="宋体"/>
          <w:b/>
          <w:color w:val="000000"/>
          <w:sz w:val="24"/>
          <w:highlight w:val="none"/>
        </w:rPr>
        <w:t>6. 选配件、专用耗材、售后服务优惠表格式（注：按项目需求表具体项目修改）</w:t>
      </w:r>
    </w:p>
    <w:p w14:paraId="6702A5C9">
      <w:pPr>
        <w:snapToGrid w:val="0"/>
        <w:spacing w:before="120" w:beforeLines="50" w:after="50"/>
        <w:ind w:left="142"/>
        <w:jc w:val="left"/>
        <w:rPr>
          <w:rFonts w:ascii="宋体" w:hAnsi="宋体"/>
          <w:b/>
          <w:color w:val="000000"/>
          <w:sz w:val="24"/>
          <w:highlight w:val="none"/>
        </w:rPr>
      </w:pPr>
    </w:p>
    <w:p w14:paraId="6E7E90E6">
      <w:pPr>
        <w:snapToGrid w:val="0"/>
        <w:spacing w:before="120" w:beforeLines="50" w:after="50"/>
        <w:ind w:left="142"/>
        <w:jc w:val="center"/>
        <w:rPr>
          <w:rFonts w:ascii="宋体" w:hAnsi="宋体"/>
          <w:b/>
          <w:color w:val="000000"/>
          <w:sz w:val="32"/>
          <w:szCs w:val="32"/>
          <w:highlight w:val="none"/>
        </w:rPr>
      </w:pPr>
      <w:r>
        <w:rPr>
          <w:rFonts w:hint="eastAsia" w:ascii="宋体" w:hAnsi="宋体"/>
          <w:b/>
          <w:color w:val="000000"/>
          <w:sz w:val="32"/>
          <w:szCs w:val="32"/>
          <w:highlight w:val="none"/>
        </w:rPr>
        <w:t>选配件、专用耗材、售后服务优惠表</w:t>
      </w:r>
    </w:p>
    <w:p w14:paraId="236F287A">
      <w:pPr>
        <w:pStyle w:val="25"/>
        <w:rPr>
          <w:color w:val="000000"/>
          <w:sz w:val="21"/>
          <w:highlight w:val="none"/>
        </w:rPr>
      </w:pPr>
      <w:r>
        <w:rPr>
          <w:rFonts w:hint="eastAsia"/>
          <w:color w:val="000000"/>
          <w:sz w:val="21"/>
          <w:highlight w:val="none"/>
        </w:rPr>
        <w:t>所投分标：</w:t>
      </w:r>
      <w:r>
        <w:rPr>
          <w:rFonts w:hint="eastAsia"/>
          <w:color w:val="000000"/>
          <w:sz w:val="21"/>
          <w:highlight w:val="none"/>
          <w:u w:val="single"/>
        </w:rPr>
        <w:t xml:space="preserve">     </w:t>
      </w:r>
      <w:r>
        <w:rPr>
          <w:rFonts w:hint="eastAsia"/>
          <w:color w:val="000000"/>
          <w:sz w:val="21"/>
          <w:highlight w:val="none"/>
        </w:rPr>
        <w:t>分标</w:t>
      </w:r>
    </w:p>
    <w:tbl>
      <w:tblPr>
        <w:tblStyle w:val="4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14A4A2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48BD80D">
            <w:pPr>
              <w:pStyle w:val="25"/>
              <w:snapToGrid w:val="0"/>
              <w:spacing w:before="295" w:after="295"/>
              <w:jc w:val="center"/>
              <w:rPr>
                <w:rFonts w:hAnsi="宋体" w:cs="Courier New"/>
                <w:color w:val="000000"/>
                <w:kern w:val="2"/>
                <w:sz w:val="21"/>
                <w:highlight w:val="none"/>
              </w:rPr>
            </w:pPr>
            <w:r>
              <w:rPr>
                <w:rFonts w:hint="eastAsia" w:hAnsi="宋体" w:cs="Courier New"/>
                <w:color w:val="000000"/>
                <w:kern w:val="2"/>
                <w:sz w:val="21"/>
                <w:highlight w:val="none"/>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1F3684C1">
            <w:pPr>
              <w:pStyle w:val="25"/>
              <w:snapToGrid w:val="0"/>
              <w:spacing w:before="295" w:after="295"/>
              <w:jc w:val="center"/>
              <w:rPr>
                <w:rFonts w:hAnsi="宋体" w:cs="Courier New"/>
                <w:color w:val="000000"/>
                <w:kern w:val="2"/>
                <w:sz w:val="21"/>
                <w:highlight w:val="none"/>
              </w:rPr>
            </w:pPr>
            <w:r>
              <w:rPr>
                <w:rFonts w:hint="eastAsia" w:hAnsi="宋体" w:cs="Courier New"/>
                <w:color w:val="000000"/>
                <w:kern w:val="2"/>
                <w:sz w:val="21"/>
                <w:highlight w:val="none"/>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0B89DFF1">
            <w:pPr>
              <w:pStyle w:val="25"/>
              <w:snapToGrid w:val="0"/>
              <w:spacing w:before="295" w:after="295"/>
              <w:jc w:val="center"/>
              <w:rPr>
                <w:rFonts w:hAnsi="宋体" w:cs="Courier New"/>
                <w:color w:val="000000"/>
                <w:kern w:val="2"/>
                <w:sz w:val="21"/>
                <w:highlight w:val="none"/>
              </w:rPr>
            </w:pPr>
            <w:r>
              <w:rPr>
                <w:rFonts w:hint="eastAsia" w:hAnsi="宋体" w:cs="Courier New"/>
                <w:color w:val="000000"/>
                <w:kern w:val="2"/>
                <w:sz w:val="21"/>
                <w:highlight w:val="none"/>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5A97893C">
            <w:pPr>
              <w:pStyle w:val="25"/>
              <w:snapToGrid w:val="0"/>
              <w:spacing w:before="295" w:after="295"/>
              <w:jc w:val="center"/>
              <w:rPr>
                <w:rFonts w:hAnsi="宋体" w:cs="Courier New"/>
                <w:color w:val="000000"/>
                <w:kern w:val="2"/>
                <w:sz w:val="21"/>
                <w:highlight w:val="none"/>
              </w:rPr>
            </w:pPr>
            <w:r>
              <w:rPr>
                <w:rFonts w:hint="eastAsia" w:hAnsi="宋体" w:cs="Courier New"/>
                <w:color w:val="000000"/>
                <w:kern w:val="2"/>
                <w:sz w:val="21"/>
                <w:highlight w:val="none"/>
              </w:rPr>
              <w:t>单价</w:t>
            </w:r>
          </w:p>
        </w:tc>
        <w:tc>
          <w:tcPr>
            <w:tcW w:w="2340" w:type="dxa"/>
            <w:tcBorders>
              <w:top w:val="single" w:color="auto" w:sz="4" w:space="0"/>
              <w:left w:val="single" w:color="auto" w:sz="4" w:space="0"/>
              <w:bottom w:val="single" w:color="auto" w:sz="2" w:space="0"/>
              <w:right w:val="single" w:color="auto" w:sz="4" w:space="0"/>
            </w:tcBorders>
            <w:vAlign w:val="center"/>
          </w:tcPr>
          <w:p w14:paraId="3E31BB68">
            <w:pPr>
              <w:pStyle w:val="25"/>
              <w:snapToGrid w:val="0"/>
              <w:spacing w:before="295" w:after="295"/>
              <w:jc w:val="center"/>
              <w:rPr>
                <w:rFonts w:hAnsi="宋体" w:cs="Courier New"/>
                <w:color w:val="000000"/>
                <w:kern w:val="2"/>
                <w:sz w:val="21"/>
                <w:highlight w:val="none"/>
              </w:rPr>
            </w:pPr>
            <w:r>
              <w:rPr>
                <w:rFonts w:hint="eastAsia" w:hAnsi="宋体" w:cs="Courier New"/>
                <w:color w:val="000000"/>
                <w:kern w:val="2"/>
                <w:sz w:val="21"/>
                <w:highlight w:val="none"/>
              </w:rPr>
              <w:t>比市场价优惠率</w:t>
            </w:r>
          </w:p>
        </w:tc>
      </w:tr>
      <w:tr w14:paraId="47A75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0804C284">
            <w:pPr>
              <w:pStyle w:val="25"/>
              <w:snapToGrid w:val="0"/>
              <w:spacing w:before="295" w:after="295"/>
              <w:jc w:val="center"/>
              <w:rPr>
                <w:rFonts w:hAnsi="宋体"/>
                <w:color w:val="000000"/>
                <w:kern w:val="2"/>
                <w:sz w:val="21"/>
                <w:highlight w:val="none"/>
              </w:rPr>
            </w:pPr>
            <w:r>
              <w:rPr>
                <w:rFonts w:hint="eastAsia" w:hAnsi="宋体"/>
                <w:color w:val="000000"/>
                <w:kern w:val="2"/>
                <w:sz w:val="21"/>
                <w:highlight w:val="none"/>
              </w:rPr>
              <w:t>1</w:t>
            </w:r>
          </w:p>
        </w:tc>
        <w:tc>
          <w:tcPr>
            <w:tcW w:w="2700" w:type="dxa"/>
            <w:tcBorders>
              <w:top w:val="single" w:color="auto" w:sz="2" w:space="0"/>
              <w:left w:val="single" w:color="auto" w:sz="2" w:space="0"/>
              <w:bottom w:val="single" w:color="auto" w:sz="6" w:space="0"/>
              <w:right w:val="single" w:color="auto" w:sz="4" w:space="0"/>
            </w:tcBorders>
            <w:vAlign w:val="center"/>
          </w:tcPr>
          <w:p w14:paraId="1CC1F94B">
            <w:pPr>
              <w:pStyle w:val="25"/>
              <w:snapToGrid w:val="0"/>
              <w:spacing w:before="295" w:after="295"/>
              <w:jc w:val="center"/>
              <w:rPr>
                <w:rFonts w:hAnsi="宋体"/>
                <w:color w:val="000000"/>
                <w:kern w:val="2"/>
                <w:sz w:val="21"/>
                <w:highlight w:val="none"/>
              </w:rPr>
            </w:pPr>
          </w:p>
        </w:tc>
        <w:tc>
          <w:tcPr>
            <w:tcW w:w="1440" w:type="dxa"/>
            <w:tcBorders>
              <w:top w:val="single" w:color="auto" w:sz="2" w:space="0"/>
              <w:left w:val="single" w:color="auto" w:sz="4" w:space="0"/>
              <w:bottom w:val="single" w:color="auto" w:sz="6" w:space="0"/>
              <w:right w:val="single" w:color="auto" w:sz="6" w:space="0"/>
            </w:tcBorders>
            <w:vAlign w:val="center"/>
          </w:tcPr>
          <w:p w14:paraId="21096820">
            <w:pPr>
              <w:pStyle w:val="25"/>
              <w:snapToGrid w:val="0"/>
              <w:spacing w:before="295" w:after="295"/>
              <w:jc w:val="center"/>
              <w:rPr>
                <w:rFonts w:hAnsi="宋体"/>
                <w:color w:val="000000"/>
                <w:kern w:val="2"/>
                <w:sz w:val="21"/>
                <w:highlight w:val="none"/>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3C4FE8BB">
            <w:pPr>
              <w:pStyle w:val="25"/>
              <w:snapToGrid w:val="0"/>
              <w:spacing w:before="295" w:after="295"/>
              <w:jc w:val="center"/>
              <w:rPr>
                <w:rFonts w:hAnsi="宋体"/>
                <w:color w:val="000000"/>
                <w:kern w:val="2"/>
                <w:sz w:val="21"/>
                <w:highlight w:val="none"/>
              </w:rPr>
            </w:pPr>
          </w:p>
        </w:tc>
        <w:tc>
          <w:tcPr>
            <w:tcW w:w="2340" w:type="dxa"/>
            <w:tcBorders>
              <w:top w:val="single" w:color="auto" w:sz="2" w:space="0"/>
              <w:left w:val="single" w:color="auto" w:sz="6" w:space="0"/>
              <w:bottom w:val="single" w:color="auto" w:sz="6" w:space="0"/>
              <w:right w:val="single" w:color="auto" w:sz="2" w:space="0"/>
            </w:tcBorders>
            <w:vAlign w:val="center"/>
          </w:tcPr>
          <w:p w14:paraId="58036FA1">
            <w:pPr>
              <w:pStyle w:val="25"/>
              <w:snapToGrid w:val="0"/>
              <w:spacing w:before="295" w:after="295"/>
              <w:jc w:val="center"/>
              <w:rPr>
                <w:rFonts w:hAnsi="宋体"/>
                <w:color w:val="000000"/>
                <w:kern w:val="2"/>
                <w:sz w:val="21"/>
                <w:highlight w:val="none"/>
              </w:rPr>
            </w:pPr>
            <w:r>
              <w:rPr>
                <w:rFonts w:hint="eastAsia" w:hAnsi="宋体"/>
                <w:color w:val="000000"/>
                <w:kern w:val="2"/>
                <w:sz w:val="21"/>
                <w:highlight w:val="none"/>
              </w:rPr>
              <w:t xml:space="preserve"> </w:t>
            </w:r>
            <w:r>
              <w:rPr>
                <w:rFonts w:hint="eastAsia" w:hAnsi="宋体"/>
                <w:color w:val="000000"/>
                <w:kern w:val="2"/>
                <w:sz w:val="21"/>
                <w:highlight w:val="none"/>
                <w:u w:val="single"/>
              </w:rPr>
              <w:t xml:space="preserve">           </w:t>
            </w:r>
            <w:r>
              <w:rPr>
                <w:rFonts w:hint="eastAsia" w:hAnsi="宋体"/>
                <w:color w:val="000000"/>
                <w:kern w:val="2"/>
                <w:sz w:val="21"/>
                <w:highlight w:val="none"/>
              </w:rPr>
              <w:t>%</w:t>
            </w:r>
          </w:p>
        </w:tc>
      </w:tr>
      <w:tr w14:paraId="3E3CA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51A7873E">
            <w:pPr>
              <w:pStyle w:val="25"/>
              <w:snapToGrid w:val="0"/>
              <w:spacing w:before="295" w:after="295"/>
              <w:jc w:val="center"/>
              <w:rPr>
                <w:rFonts w:hAnsi="宋体"/>
                <w:color w:val="000000"/>
                <w:kern w:val="2"/>
                <w:sz w:val="21"/>
                <w:highlight w:val="none"/>
              </w:rPr>
            </w:pPr>
            <w:r>
              <w:rPr>
                <w:rFonts w:hint="eastAsia" w:hAnsi="宋体"/>
                <w:color w:val="000000"/>
                <w:kern w:val="2"/>
                <w:sz w:val="21"/>
                <w:highlight w:val="none"/>
              </w:rPr>
              <w:t>2</w:t>
            </w:r>
          </w:p>
        </w:tc>
        <w:tc>
          <w:tcPr>
            <w:tcW w:w="2700" w:type="dxa"/>
            <w:tcBorders>
              <w:top w:val="single" w:color="auto" w:sz="6" w:space="0"/>
              <w:left w:val="single" w:color="auto" w:sz="2" w:space="0"/>
              <w:bottom w:val="single" w:color="auto" w:sz="6" w:space="0"/>
              <w:right w:val="single" w:color="auto" w:sz="4" w:space="0"/>
            </w:tcBorders>
            <w:vAlign w:val="center"/>
          </w:tcPr>
          <w:p w14:paraId="0C688A66">
            <w:pPr>
              <w:pStyle w:val="25"/>
              <w:snapToGrid w:val="0"/>
              <w:spacing w:before="295" w:after="295"/>
              <w:jc w:val="center"/>
              <w:rPr>
                <w:rFonts w:hAnsi="宋体"/>
                <w:color w:val="000000"/>
                <w:kern w:val="2"/>
                <w:sz w:val="21"/>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14:paraId="1874FD85">
            <w:pPr>
              <w:pStyle w:val="25"/>
              <w:snapToGrid w:val="0"/>
              <w:spacing w:before="295" w:after="295"/>
              <w:jc w:val="center"/>
              <w:rPr>
                <w:rFonts w:hAnsi="宋体"/>
                <w:color w:val="000000"/>
                <w:kern w:val="2"/>
                <w:sz w:val="21"/>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267AE5C0">
            <w:pPr>
              <w:pStyle w:val="25"/>
              <w:snapToGrid w:val="0"/>
              <w:spacing w:before="295" w:after="295"/>
              <w:jc w:val="center"/>
              <w:rPr>
                <w:rFonts w:hAnsi="宋体"/>
                <w:color w:val="000000"/>
                <w:kern w:val="2"/>
                <w:sz w:val="21"/>
                <w:highlight w:val="none"/>
              </w:rPr>
            </w:pPr>
          </w:p>
        </w:tc>
        <w:tc>
          <w:tcPr>
            <w:tcW w:w="2340" w:type="dxa"/>
            <w:tcBorders>
              <w:top w:val="single" w:color="auto" w:sz="6" w:space="0"/>
              <w:left w:val="single" w:color="auto" w:sz="6" w:space="0"/>
              <w:bottom w:val="single" w:color="auto" w:sz="6" w:space="0"/>
              <w:right w:val="single" w:color="auto" w:sz="2" w:space="0"/>
            </w:tcBorders>
            <w:vAlign w:val="center"/>
          </w:tcPr>
          <w:p w14:paraId="14E2C91A">
            <w:pPr>
              <w:pStyle w:val="25"/>
              <w:snapToGrid w:val="0"/>
              <w:spacing w:before="295" w:after="295"/>
              <w:jc w:val="center"/>
              <w:rPr>
                <w:rFonts w:hAnsi="宋体"/>
                <w:color w:val="000000"/>
                <w:kern w:val="2"/>
                <w:sz w:val="21"/>
                <w:highlight w:val="none"/>
              </w:rPr>
            </w:pPr>
            <w:r>
              <w:rPr>
                <w:rFonts w:hint="eastAsia" w:hAnsi="宋体"/>
                <w:color w:val="000000"/>
                <w:kern w:val="2"/>
                <w:sz w:val="21"/>
                <w:highlight w:val="none"/>
              </w:rPr>
              <w:t xml:space="preserve"> </w:t>
            </w:r>
            <w:r>
              <w:rPr>
                <w:rFonts w:hint="eastAsia" w:hAnsi="宋体"/>
                <w:color w:val="000000"/>
                <w:kern w:val="2"/>
                <w:sz w:val="21"/>
                <w:highlight w:val="none"/>
                <w:u w:val="single"/>
              </w:rPr>
              <w:t xml:space="preserve">           </w:t>
            </w:r>
            <w:r>
              <w:rPr>
                <w:rFonts w:hint="eastAsia" w:hAnsi="宋体"/>
                <w:color w:val="000000"/>
                <w:kern w:val="2"/>
                <w:sz w:val="21"/>
                <w:highlight w:val="none"/>
              </w:rPr>
              <w:t>%</w:t>
            </w:r>
          </w:p>
        </w:tc>
      </w:tr>
      <w:tr w14:paraId="1A69B5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4904EB1E">
            <w:pPr>
              <w:pStyle w:val="25"/>
              <w:snapToGrid w:val="0"/>
              <w:spacing w:before="295" w:after="295"/>
              <w:jc w:val="center"/>
              <w:rPr>
                <w:rFonts w:hAnsi="宋体"/>
                <w:color w:val="000000"/>
                <w:kern w:val="2"/>
                <w:sz w:val="21"/>
                <w:highlight w:val="none"/>
              </w:rPr>
            </w:pPr>
            <w:r>
              <w:rPr>
                <w:rFonts w:hint="eastAsia" w:hAnsi="宋体"/>
                <w:color w:val="000000"/>
                <w:kern w:val="2"/>
                <w:sz w:val="21"/>
                <w:highlight w:val="none"/>
              </w:rPr>
              <w:t>3</w:t>
            </w:r>
          </w:p>
        </w:tc>
        <w:tc>
          <w:tcPr>
            <w:tcW w:w="2700" w:type="dxa"/>
            <w:tcBorders>
              <w:top w:val="single" w:color="auto" w:sz="6" w:space="0"/>
              <w:left w:val="single" w:color="auto" w:sz="2" w:space="0"/>
              <w:bottom w:val="single" w:color="auto" w:sz="6" w:space="0"/>
              <w:right w:val="single" w:color="auto" w:sz="4" w:space="0"/>
            </w:tcBorders>
            <w:vAlign w:val="center"/>
          </w:tcPr>
          <w:p w14:paraId="05F75584">
            <w:pPr>
              <w:pStyle w:val="25"/>
              <w:snapToGrid w:val="0"/>
              <w:spacing w:before="295" w:after="295"/>
              <w:jc w:val="center"/>
              <w:rPr>
                <w:rFonts w:hAnsi="宋体"/>
                <w:color w:val="000000"/>
                <w:kern w:val="2"/>
                <w:sz w:val="21"/>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14:paraId="6A0F4F34">
            <w:pPr>
              <w:pStyle w:val="25"/>
              <w:snapToGrid w:val="0"/>
              <w:spacing w:before="295" w:after="295"/>
              <w:jc w:val="center"/>
              <w:rPr>
                <w:rFonts w:hAnsi="宋体"/>
                <w:color w:val="000000"/>
                <w:kern w:val="2"/>
                <w:sz w:val="21"/>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5D94BEE2">
            <w:pPr>
              <w:pStyle w:val="25"/>
              <w:snapToGrid w:val="0"/>
              <w:spacing w:before="295" w:after="295"/>
              <w:jc w:val="center"/>
              <w:rPr>
                <w:rFonts w:hAnsi="宋体"/>
                <w:color w:val="000000"/>
                <w:kern w:val="2"/>
                <w:sz w:val="21"/>
                <w:highlight w:val="none"/>
              </w:rPr>
            </w:pPr>
          </w:p>
        </w:tc>
        <w:tc>
          <w:tcPr>
            <w:tcW w:w="2340" w:type="dxa"/>
            <w:tcBorders>
              <w:top w:val="single" w:color="auto" w:sz="6" w:space="0"/>
              <w:left w:val="single" w:color="auto" w:sz="6" w:space="0"/>
              <w:bottom w:val="single" w:color="auto" w:sz="6" w:space="0"/>
              <w:right w:val="single" w:color="auto" w:sz="2" w:space="0"/>
            </w:tcBorders>
            <w:vAlign w:val="center"/>
          </w:tcPr>
          <w:p w14:paraId="0191CABB">
            <w:pPr>
              <w:pStyle w:val="25"/>
              <w:snapToGrid w:val="0"/>
              <w:spacing w:before="295" w:after="295"/>
              <w:jc w:val="center"/>
              <w:rPr>
                <w:rFonts w:hAnsi="宋体"/>
                <w:color w:val="000000"/>
                <w:kern w:val="2"/>
                <w:sz w:val="21"/>
                <w:highlight w:val="none"/>
              </w:rPr>
            </w:pPr>
            <w:r>
              <w:rPr>
                <w:rFonts w:hint="eastAsia" w:hAnsi="宋体"/>
                <w:color w:val="000000"/>
                <w:kern w:val="2"/>
                <w:sz w:val="21"/>
                <w:highlight w:val="none"/>
              </w:rPr>
              <w:t xml:space="preserve"> </w:t>
            </w:r>
            <w:r>
              <w:rPr>
                <w:rFonts w:hint="eastAsia" w:hAnsi="宋体"/>
                <w:color w:val="000000"/>
                <w:kern w:val="2"/>
                <w:sz w:val="21"/>
                <w:highlight w:val="none"/>
                <w:u w:val="single"/>
              </w:rPr>
              <w:t xml:space="preserve">           </w:t>
            </w:r>
            <w:r>
              <w:rPr>
                <w:rFonts w:hint="eastAsia" w:hAnsi="宋体"/>
                <w:color w:val="000000"/>
                <w:kern w:val="2"/>
                <w:sz w:val="21"/>
                <w:highlight w:val="none"/>
              </w:rPr>
              <w:t>%</w:t>
            </w:r>
          </w:p>
        </w:tc>
      </w:tr>
    </w:tbl>
    <w:p w14:paraId="5E8BDA52">
      <w:pPr>
        <w:spacing w:line="360" w:lineRule="auto"/>
        <w:contextualSpacing/>
        <w:rPr>
          <w:rFonts w:ascii="宋体" w:hAnsi="宋体"/>
          <w:color w:val="000000"/>
          <w:szCs w:val="21"/>
          <w:highlight w:val="none"/>
        </w:rPr>
      </w:pPr>
    </w:p>
    <w:p w14:paraId="0BEE96E7">
      <w:pPr>
        <w:spacing w:line="360" w:lineRule="auto"/>
        <w:contextualSpacing/>
        <w:rPr>
          <w:rFonts w:ascii="宋体" w:hAnsi="宋体"/>
          <w:color w:val="000000"/>
          <w:spacing w:val="20"/>
          <w:szCs w:val="21"/>
          <w:highlight w:val="none"/>
          <w:u w:val="single"/>
        </w:rPr>
      </w:pPr>
      <w:r>
        <w:rPr>
          <w:rFonts w:hint="eastAsia" w:ascii="宋体" w:hAnsi="宋体"/>
          <w:color w:val="000000"/>
          <w:szCs w:val="21"/>
          <w:highlight w:val="none"/>
        </w:rPr>
        <w:t>法定代表人（或负责人）或者委托代理人（签字或电子签名）</w:t>
      </w:r>
      <w:r>
        <w:rPr>
          <w:rFonts w:hint="eastAsia" w:ascii="宋体" w:hAnsi="宋体"/>
          <w:color w:val="000000"/>
          <w:spacing w:val="20"/>
          <w:szCs w:val="21"/>
          <w:highlight w:val="none"/>
        </w:rPr>
        <w:t>：</w:t>
      </w:r>
      <w:r>
        <w:rPr>
          <w:rFonts w:hint="eastAsia" w:ascii="宋体" w:hAnsi="宋体"/>
          <w:color w:val="000000"/>
          <w:spacing w:val="20"/>
          <w:szCs w:val="21"/>
          <w:highlight w:val="none"/>
          <w:u w:val="single"/>
        </w:rPr>
        <w:t xml:space="preserve">        </w:t>
      </w:r>
    </w:p>
    <w:p w14:paraId="3C6C9F42">
      <w:pPr>
        <w:spacing w:line="360" w:lineRule="auto"/>
        <w:contextualSpacing/>
        <w:jc w:val="left"/>
        <w:rPr>
          <w:rFonts w:ascii="宋体" w:hAnsi="宋体"/>
          <w:color w:val="000000"/>
          <w:spacing w:val="20"/>
          <w:szCs w:val="21"/>
          <w:highlight w:val="none"/>
        </w:rPr>
      </w:pPr>
      <w:r>
        <w:rPr>
          <w:rFonts w:hint="eastAsia" w:ascii="宋体" w:hAnsi="宋体"/>
          <w:color w:val="000000"/>
          <w:spacing w:val="20"/>
          <w:szCs w:val="21"/>
          <w:highlight w:val="none"/>
        </w:rPr>
        <w:t>投标人名称（电子签章）：</w:t>
      </w:r>
      <w:r>
        <w:rPr>
          <w:rFonts w:hint="eastAsia" w:ascii="宋体" w:hAnsi="宋体"/>
          <w:color w:val="000000"/>
          <w:spacing w:val="20"/>
          <w:szCs w:val="21"/>
          <w:highlight w:val="none"/>
          <w:u w:val="single"/>
        </w:rPr>
        <w:t xml:space="preserve">            </w:t>
      </w:r>
      <w:r>
        <w:rPr>
          <w:rFonts w:hint="eastAsia" w:ascii="宋体" w:hAnsi="宋体"/>
          <w:color w:val="000000"/>
          <w:spacing w:val="20"/>
          <w:szCs w:val="21"/>
          <w:highlight w:val="none"/>
        </w:rPr>
        <w:t xml:space="preserve">              </w:t>
      </w:r>
    </w:p>
    <w:p w14:paraId="3295CE43">
      <w:pPr>
        <w:spacing w:line="360" w:lineRule="auto"/>
        <w:contextualSpacing/>
        <w:jc w:val="left"/>
        <w:rPr>
          <w:rFonts w:ascii="宋体" w:hAnsi="宋体"/>
          <w:color w:val="000000"/>
          <w:szCs w:val="21"/>
          <w:highlight w:val="none"/>
        </w:rPr>
      </w:pPr>
      <w:r>
        <w:rPr>
          <w:rFonts w:hint="eastAsia" w:ascii="宋体" w:hAnsi="宋体"/>
          <w:color w:val="000000"/>
          <w:spacing w:val="20"/>
          <w:szCs w:val="21"/>
          <w:highlight w:val="none"/>
        </w:rPr>
        <w:t>日 期：</w:t>
      </w:r>
      <w:r>
        <w:rPr>
          <w:rFonts w:hint="eastAsia" w:ascii="宋体" w:hAnsi="宋体"/>
          <w:color w:val="000000"/>
          <w:spacing w:val="20"/>
          <w:szCs w:val="21"/>
          <w:highlight w:val="none"/>
          <w:u w:val="single"/>
        </w:rPr>
        <w:t xml:space="preserve">            </w:t>
      </w:r>
    </w:p>
    <w:p w14:paraId="6BB6B68E">
      <w:pPr>
        <w:snapToGrid w:val="0"/>
        <w:spacing w:before="50" w:after="120" w:afterLines="50"/>
        <w:jc w:val="left"/>
        <w:rPr>
          <w:rFonts w:ascii="宋体" w:hAnsi="宋体"/>
          <w:color w:val="000000"/>
          <w:sz w:val="24"/>
          <w:szCs w:val="20"/>
          <w:highlight w:val="none"/>
        </w:rPr>
      </w:pPr>
    </w:p>
    <w:p w14:paraId="26BE96C6">
      <w:pPr>
        <w:rPr>
          <w:b/>
          <w:color w:val="000000"/>
          <w:sz w:val="28"/>
          <w:szCs w:val="28"/>
          <w:highlight w:val="none"/>
        </w:rPr>
      </w:pPr>
      <w:r>
        <w:rPr>
          <w:rFonts w:ascii="宋体" w:hAnsi="宋体"/>
          <w:b/>
          <w:bCs/>
          <w:color w:val="000000"/>
          <w:sz w:val="24"/>
          <w:highlight w:val="none"/>
        </w:rPr>
        <w:br w:type="page"/>
      </w:r>
      <w:r>
        <w:rPr>
          <w:rFonts w:hint="eastAsia"/>
          <w:b/>
          <w:color w:val="000000"/>
          <w:sz w:val="28"/>
          <w:szCs w:val="28"/>
          <w:highlight w:val="none"/>
        </w:rPr>
        <w:t>五、其他文书、文件格式</w:t>
      </w:r>
    </w:p>
    <w:p w14:paraId="0D0B6064">
      <w:pPr>
        <w:snapToGrid w:val="0"/>
        <w:spacing w:before="120" w:beforeLines="50" w:after="50"/>
        <w:jc w:val="left"/>
        <w:rPr>
          <w:color w:val="000000"/>
          <w:highlight w:val="none"/>
        </w:rPr>
      </w:pPr>
      <w:r>
        <w:rPr>
          <w:rFonts w:hint="eastAsia" w:ascii="宋体" w:hAnsi="宋体"/>
          <w:b/>
          <w:color w:val="000000"/>
          <w:sz w:val="24"/>
          <w:highlight w:val="none"/>
        </w:rPr>
        <w:t>1.中小企业声明函格式</w:t>
      </w:r>
    </w:p>
    <w:p w14:paraId="274AFD7F">
      <w:pPr>
        <w:rPr>
          <w:color w:val="000000"/>
          <w:highlight w:val="none"/>
        </w:rPr>
      </w:pPr>
    </w:p>
    <w:p w14:paraId="660A7DC8">
      <w:pPr>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中小企业声明函（货物）</w:t>
      </w:r>
    </w:p>
    <w:p w14:paraId="7B317863">
      <w:pPr>
        <w:spacing w:before="2" w:line="500" w:lineRule="exact"/>
        <w:rPr>
          <w:rFonts w:ascii="宋体" w:hAnsi="宋体" w:cs="宋体"/>
          <w:b/>
          <w:bCs/>
          <w:color w:val="000000"/>
          <w:sz w:val="27"/>
          <w:szCs w:val="27"/>
          <w:highlight w:val="none"/>
        </w:rPr>
      </w:pPr>
    </w:p>
    <w:p w14:paraId="37D1DFBC">
      <w:pPr>
        <w:pStyle w:val="19"/>
        <w:spacing w:line="360" w:lineRule="auto"/>
        <w:ind w:left="-426" w:leftChars="-203" w:right="142" w:firstLine="420" w:firstLineChars="200"/>
        <w:contextualSpacing/>
        <w:rPr>
          <w:rFonts w:ascii="宋体" w:hAnsi="宋体"/>
          <w:color w:val="000000"/>
          <w:kern w:val="24"/>
          <w:sz w:val="21"/>
          <w:szCs w:val="21"/>
          <w:highlight w:val="none"/>
        </w:rPr>
      </w:pPr>
      <w:r>
        <w:rPr>
          <w:rFonts w:ascii="宋体" w:hAnsi="宋体"/>
          <w:color w:val="000000"/>
          <w:kern w:val="24"/>
          <w:sz w:val="21"/>
          <w:szCs w:val="21"/>
          <w:highlight w:val="none"/>
        </w:rPr>
        <w:t>本公司（联合体）郑重声明，根据《政府采购促进中小企业发展管理办法》（财库﹝2020﹞46号）的规定，本公司（联合体）参加</w:t>
      </w:r>
      <w:r>
        <w:rPr>
          <w:rFonts w:ascii="宋体" w:hAnsi="宋体"/>
          <w:color w:val="000000"/>
          <w:kern w:val="24"/>
          <w:sz w:val="21"/>
          <w:szCs w:val="21"/>
          <w:highlight w:val="none"/>
          <w:u w:val="single"/>
        </w:rPr>
        <w:t>（单位名称）</w:t>
      </w:r>
      <w:r>
        <w:rPr>
          <w:rFonts w:ascii="宋体" w:hAnsi="宋体"/>
          <w:color w:val="000000"/>
          <w:kern w:val="24"/>
          <w:sz w:val="21"/>
          <w:szCs w:val="21"/>
          <w:highlight w:val="none"/>
        </w:rPr>
        <w:t>的</w:t>
      </w:r>
      <w:r>
        <w:rPr>
          <w:rFonts w:ascii="宋体" w:hAnsi="宋体"/>
          <w:color w:val="000000"/>
          <w:kern w:val="24"/>
          <w:sz w:val="21"/>
          <w:szCs w:val="21"/>
          <w:highlight w:val="none"/>
          <w:u w:val="single"/>
        </w:rPr>
        <w:t>（项目名称）</w:t>
      </w:r>
      <w:r>
        <w:rPr>
          <w:rFonts w:ascii="宋体" w:hAnsi="宋体"/>
          <w:color w:val="000000"/>
          <w:kern w:val="24"/>
          <w:sz w:val="21"/>
          <w:szCs w:val="21"/>
          <w:highlight w:val="none"/>
        </w:rPr>
        <w:t>采购活动，提供的货物全部由符合政策要求的中小企业制造。相关企业（含联合体中的中小企业、签订分包意向协议的中小企业）的具体情况如下：</w:t>
      </w:r>
    </w:p>
    <w:p w14:paraId="1318F74B">
      <w:pPr>
        <w:tabs>
          <w:tab w:val="left" w:pos="1384"/>
          <w:tab w:val="left" w:pos="4562"/>
          <w:tab w:val="left" w:pos="6803"/>
        </w:tabs>
        <w:spacing w:line="360" w:lineRule="auto"/>
        <w:ind w:left="-426" w:right="-58" w:firstLine="655"/>
        <w:contextualSpacing/>
        <w:rPr>
          <w:rFonts w:ascii="宋体" w:hAnsi="宋体"/>
          <w:color w:val="000000"/>
          <w:kern w:val="24"/>
          <w:szCs w:val="21"/>
          <w:highlight w:val="none"/>
        </w:rPr>
      </w:pPr>
      <w:r>
        <w:rPr>
          <w:rFonts w:ascii="宋体" w:hAnsi="宋体"/>
          <w:color w:val="000000"/>
          <w:kern w:val="24"/>
          <w:szCs w:val="21"/>
          <w:highlight w:val="none"/>
        </w:rPr>
        <w:t>1.</w:t>
      </w:r>
      <w:r>
        <w:rPr>
          <w:rFonts w:ascii="宋体" w:hAnsi="宋体"/>
          <w:color w:val="000000"/>
          <w:kern w:val="24"/>
          <w:szCs w:val="21"/>
          <w:highlight w:val="none"/>
          <w:u w:val="single"/>
        </w:rPr>
        <w:t>（标的名称）</w:t>
      </w:r>
      <w:r>
        <w:rPr>
          <w:rFonts w:ascii="宋体" w:hAnsi="宋体"/>
          <w:color w:val="000000"/>
          <w:kern w:val="24"/>
          <w:szCs w:val="21"/>
          <w:highlight w:val="none"/>
        </w:rPr>
        <w:t>，属于</w:t>
      </w:r>
      <w:r>
        <w:rPr>
          <w:rFonts w:ascii="宋体" w:hAnsi="宋体"/>
          <w:color w:val="000000"/>
          <w:kern w:val="24"/>
          <w:szCs w:val="21"/>
          <w:highlight w:val="none"/>
          <w:u w:val="single"/>
        </w:rPr>
        <w:t>（采购文件中明确的所属行业）</w:t>
      </w:r>
      <w:r>
        <w:rPr>
          <w:rFonts w:ascii="宋体" w:hAnsi="宋体"/>
          <w:color w:val="000000"/>
          <w:kern w:val="24"/>
          <w:szCs w:val="21"/>
          <w:highlight w:val="none"/>
        </w:rPr>
        <w:t>行业；制造商为</w:t>
      </w:r>
      <w:r>
        <w:rPr>
          <w:rFonts w:ascii="宋体" w:hAnsi="宋体"/>
          <w:color w:val="000000"/>
          <w:kern w:val="24"/>
          <w:szCs w:val="21"/>
          <w:highlight w:val="none"/>
          <w:u w:val="single"/>
        </w:rPr>
        <w:t>（企业名称）</w:t>
      </w:r>
      <w:r>
        <w:rPr>
          <w:rFonts w:ascii="宋体" w:hAnsi="宋体"/>
          <w:color w:val="000000"/>
          <w:kern w:val="24"/>
          <w:szCs w:val="21"/>
          <w:highlight w:val="none"/>
        </w:rPr>
        <w:t>，从业人员</w:t>
      </w:r>
      <w:r>
        <w:rPr>
          <w:rFonts w:hint="eastAsia" w:ascii="宋体" w:hAnsi="宋体"/>
          <w:color w:val="000000"/>
          <w:kern w:val="24"/>
          <w:szCs w:val="21"/>
          <w:highlight w:val="none"/>
          <w:u w:val="single"/>
        </w:rPr>
        <w:t xml:space="preserve"> </w:t>
      </w:r>
      <w:r>
        <w:rPr>
          <w:rFonts w:ascii="宋体" w:hAnsi="宋体"/>
          <w:color w:val="000000"/>
          <w:kern w:val="24"/>
          <w:szCs w:val="21"/>
          <w:highlight w:val="none"/>
          <w:u w:val="single"/>
        </w:rPr>
        <w:t xml:space="preserve">     </w:t>
      </w:r>
      <w:r>
        <w:rPr>
          <w:rFonts w:ascii="宋体" w:hAnsi="宋体"/>
          <w:color w:val="000000"/>
          <w:kern w:val="24"/>
          <w:szCs w:val="21"/>
          <w:highlight w:val="none"/>
        </w:rPr>
        <w:t>人，营业收入为</w:t>
      </w:r>
      <w:r>
        <w:rPr>
          <w:rFonts w:hint="eastAsia" w:ascii="宋体" w:hAnsi="宋体"/>
          <w:color w:val="000000"/>
          <w:kern w:val="24"/>
          <w:szCs w:val="21"/>
          <w:highlight w:val="none"/>
          <w:u w:val="single"/>
        </w:rPr>
        <w:t xml:space="preserve"> </w:t>
      </w:r>
      <w:r>
        <w:rPr>
          <w:rFonts w:ascii="宋体" w:hAnsi="宋体"/>
          <w:color w:val="000000"/>
          <w:kern w:val="24"/>
          <w:szCs w:val="21"/>
          <w:highlight w:val="none"/>
          <w:u w:val="single"/>
        </w:rPr>
        <w:t xml:space="preserve">     </w:t>
      </w:r>
      <w:r>
        <w:rPr>
          <w:rFonts w:ascii="宋体" w:hAnsi="宋体"/>
          <w:color w:val="000000"/>
          <w:kern w:val="24"/>
          <w:szCs w:val="21"/>
          <w:highlight w:val="none"/>
        </w:rPr>
        <w:t>万元，资产总额为</w:t>
      </w:r>
      <w:r>
        <w:rPr>
          <w:rFonts w:hint="eastAsia" w:ascii="宋体" w:hAnsi="宋体"/>
          <w:color w:val="000000"/>
          <w:kern w:val="24"/>
          <w:szCs w:val="21"/>
          <w:highlight w:val="none"/>
          <w:u w:val="single"/>
        </w:rPr>
        <w:t xml:space="preserve"> </w:t>
      </w:r>
      <w:r>
        <w:rPr>
          <w:rFonts w:ascii="宋体" w:hAnsi="宋体"/>
          <w:color w:val="000000"/>
          <w:kern w:val="24"/>
          <w:szCs w:val="21"/>
          <w:highlight w:val="none"/>
          <w:u w:val="single"/>
        </w:rPr>
        <w:t xml:space="preserve">     </w:t>
      </w:r>
      <w:r>
        <w:rPr>
          <w:rFonts w:ascii="宋体" w:hAnsi="宋体"/>
          <w:color w:val="000000"/>
          <w:kern w:val="24"/>
          <w:szCs w:val="21"/>
          <w:highlight w:val="none"/>
        </w:rPr>
        <w:t>万元，属于</w:t>
      </w:r>
      <w:r>
        <w:rPr>
          <w:rFonts w:ascii="宋体" w:hAnsi="宋体"/>
          <w:color w:val="000000"/>
          <w:kern w:val="24"/>
          <w:szCs w:val="21"/>
          <w:highlight w:val="none"/>
          <w:u w:val="single"/>
        </w:rPr>
        <w:t>（中型企业、小型企业、微型企业）</w:t>
      </w:r>
      <w:r>
        <w:rPr>
          <w:rFonts w:ascii="宋体" w:hAnsi="宋体"/>
          <w:color w:val="000000"/>
          <w:kern w:val="24"/>
          <w:szCs w:val="21"/>
          <w:highlight w:val="none"/>
        </w:rPr>
        <w:t>；</w:t>
      </w:r>
    </w:p>
    <w:p w14:paraId="59D68944">
      <w:pPr>
        <w:tabs>
          <w:tab w:val="left" w:pos="1065"/>
          <w:tab w:val="left" w:pos="6477"/>
        </w:tabs>
        <w:spacing w:line="360" w:lineRule="auto"/>
        <w:ind w:left="-426" w:right="-58" w:firstLine="655"/>
        <w:contextualSpacing/>
        <w:rPr>
          <w:rFonts w:ascii="宋体" w:hAnsi="宋体"/>
          <w:color w:val="000000"/>
          <w:kern w:val="24"/>
          <w:szCs w:val="21"/>
          <w:highlight w:val="none"/>
        </w:rPr>
      </w:pPr>
      <w:r>
        <w:rPr>
          <w:rFonts w:ascii="宋体" w:hAnsi="宋体"/>
          <w:color w:val="000000"/>
          <w:kern w:val="24"/>
          <w:szCs w:val="21"/>
          <w:highlight w:val="none"/>
        </w:rPr>
        <w:t>2.</w:t>
      </w:r>
      <w:r>
        <w:rPr>
          <w:rFonts w:ascii="宋体" w:hAnsi="宋体"/>
          <w:color w:val="000000"/>
          <w:kern w:val="24"/>
          <w:szCs w:val="21"/>
          <w:highlight w:val="none"/>
          <w:u w:val="single"/>
        </w:rPr>
        <w:t>（标的名称）</w:t>
      </w:r>
      <w:r>
        <w:rPr>
          <w:rFonts w:ascii="宋体" w:hAnsi="宋体"/>
          <w:color w:val="000000"/>
          <w:kern w:val="24"/>
          <w:szCs w:val="21"/>
          <w:highlight w:val="none"/>
        </w:rPr>
        <w:t>，属于</w:t>
      </w:r>
      <w:r>
        <w:rPr>
          <w:rFonts w:ascii="宋体" w:hAnsi="宋体"/>
          <w:color w:val="000000"/>
          <w:kern w:val="24"/>
          <w:szCs w:val="21"/>
          <w:highlight w:val="none"/>
          <w:u w:val="single"/>
        </w:rPr>
        <w:t>（采购文件中明确的所属行业）</w:t>
      </w:r>
      <w:r>
        <w:rPr>
          <w:rFonts w:ascii="宋体" w:hAnsi="宋体"/>
          <w:color w:val="000000"/>
          <w:kern w:val="24"/>
          <w:szCs w:val="21"/>
          <w:highlight w:val="none"/>
        </w:rPr>
        <w:t>行业；制造商为</w:t>
      </w:r>
      <w:r>
        <w:rPr>
          <w:rFonts w:ascii="宋体" w:hAnsi="宋体"/>
          <w:color w:val="000000"/>
          <w:kern w:val="24"/>
          <w:szCs w:val="21"/>
          <w:highlight w:val="none"/>
          <w:u w:val="single"/>
        </w:rPr>
        <w:t>（企业名称）</w:t>
      </w:r>
      <w:r>
        <w:rPr>
          <w:rFonts w:ascii="宋体" w:hAnsi="宋体"/>
          <w:color w:val="000000"/>
          <w:kern w:val="24"/>
          <w:szCs w:val="21"/>
          <w:highlight w:val="none"/>
        </w:rPr>
        <w:t>，从业人员</w:t>
      </w:r>
      <w:r>
        <w:rPr>
          <w:rFonts w:hint="eastAsia" w:ascii="宋体" w:hAnsi="宋体"/>
          <w:color w:val="000000"/>
          <w:kern w:val="24"/>
          <w:szCs w:val="21"/>
          <w:highlight w:val="none"/>
          <w:u w:val="single"/>
        </w:rPr>
        <w:t xml:space="preserve"> </w:t>
      </w:r>
      <w:r>
        <w:rPr>
          <w:rFonts w:ascii="宋体" w:hAnsi="宋体"/>
          <w:color w:val="000000"/>
          <w:kern w:val="24"/>
          <w:szCs w:val="21"/>
          <w:highlight w:val="none"/>
          <w:u w:val="single"/>
        </w:rPr>
        <w:t xml:space="preserve">     </w:t>
      </w:r>
      <w:r>
        <w:rPr>
          <w:rFonts w:ascii="宋体" w:hAnsi="宋体"/>
          <w:color w:val="000000"/>
          <w:kern w:val="24"/>
          <w:szCs w:val="21"/>
          <w:highlight w:val="none"/>
        </w:rPr>
        <w:t>人，营业收入为</w:t>
      </w:r>
      <w:r>
        <w:rPr>
          <w:rFonts w:hint="eastAsia" w:ascii="宋体" w:hAnsi="宋体"/>
          <w:color w:val="000000"/>
          <w:kern w:val="24"/>
          <w:szCs w:val="21"/>
          <w:highlight w:val="none"/>
          <w:u w:val="single"/>
        </w:rPr>
        <w:t xml:space="preserve"> </w:t>
      </w:r>
      <w:r>
        <w:rPr>
          <w:rFonts w:ascii="宋体" w:hAnsi="宋体"/>
          <w:color w:val="000000"/>
          <w:kern w:val="24"/>
          <w:szCs w:val="21"/>
          <w:highlight w:val="none"/>
          <w:u w:val="single"/>
        </w:rPr>
        <w:t xml:space="preserve">     </w:t>
      </w:r>
      <w:r>
        <w:rPr>
          <w:rFonts w:ascii="宋体" w:hAnsi="宋体"/>
          <w:color w:val="000000"/>
          <w:kern w:val="24"/>
          <w:szCs w:val="21"/>
          <w:highlight w:val="none"/>
        </w:rPr>
        <w:t>万元，资产总额为</w:t>
      </w:r>
      <w:r>
        <w:rPr>
          <w:rFonts w:hint="eastAsia" w:ascii="宋体" w:hAnsi="宋体"/>
          <w:color w:val="000000"/>
          <w:kern w:val="24"/>
          <w:szCs w:val="21"/>
          <w:highlight w:val="none"/>
          <w:u w:val="single"/>
        </w:rPr>
        <w:t xml:space="preserve"> </w:t>
      </w:r>
      <w:r>
        <w:rPr>
          <w:rFonts w:ascii="宋体" w:hAnsi="宋体"/>
          <w:color w:val="000000"/>
          <w:kern w:val="24"/>
          <w:szCs w:val="21"/>
          <w:highlight w:val="none"/>
          <w:u w:val="single"/>
        </w:rPr>
        <w:t xml:space="preserve">     </w:t>
      </w:r>
      <w:r>
        <w:rPr>
          <w:rFonts w:ascii="宋体" w:hAnsi="宋体"/>
          <w:color w:val="000000"/>
          <w:kern w:val="24"/>
          <w:szCs w:val="21"/>
          <w:highlight w:val="none"/>
        </w:rPr>
        <w:t>万元，属于</w:t>
      </w:r>
      <w:r>
        <w:rPr>
          <w:rFonts w:ascii="宋体" w:hAnsi="宋体"/>
          <w:color w:val="000000"/>
          <w:kern w:val="24"/>
          <w:szCs w:val="21"/>
          <w:highlight w:val="none"/>
          <w:u w:val="single"/>
        </w:rPr>
        <w:t>（中型企业、小型企业、微型企业）</w:t>
      </w:r>
      <w:r>
        <w:rPr>
          <w:rFonts w:ascii="宋体" w:hAnsi="宋体"/>
          <w:color w:val="000000"/>
          <w:kern w:val="24"/>
          <w:szCs w:val="21"/>
          <w:highlight w:val="none"/>
        </w:rPr>
        <w:t>；</w:t>
      </w:r>
    </w:p>
    <w:p w14:paraId="3C93BE05">
      <w:pPr>
        <w:pStyle w:val="19"/>
        <w:spacing w:line="360" w:lineRule="auto"/>
        <w:ind w:left="142" w:right="142"/>
        <w:contextualSpacing/>
        <w:rPr>
          <w:rFonts w:ascii="宋体" w:hAnsi="宋体"/>
          <w:color w:val="000000"/>
          <w:kern w:val="24"/>
          <w:sz w:val="21"/>
          <w:szCs w:val="21"/>
          <w:highlight w:val="none"/>
        </w:rPr>
      </w:pPr>
      <w:r>
        <w:rPr>
          <w:rFonts w:ascii="宋体" w:hAnsi="宋体"/>
          <w:color w:val="000000"/>
          <w:kern w:val="24"/>
          <w:sz w:val="21"/>
          <w:szCs w:val="21"/>
          <w:highlight w:val="none"/>
        </w:rPr>
        <w:t xml:space="preserve">…… </w:t>
      </w:r>
    </w:p>
    <w:p w14:paraId="4652F5E3">
      <w:pPr>
        <w:pStyle w:val="19"/>
        <w:spacing w:line="360" w:lineRule="auto"/>
        <w:ind w:left="-405" w:leftChars="-193" w:right="142" w:firstLine="396" w:firstLineChars="189"/>
        <w:contextualSpacing/>
        <w:rPr>
          <w:rFonts w:ascii="宋体" w:hAnsi="宋体"/>
          <w:color w:val="000000"/>
          <w:kern w:val="24"/>
          <w:sz w:val="21"/>
          <w:szCs w:val="21"/>
          <w:highlight w:val="none"/>
        </w:rPr>
      </w:pPr>
      <w:r>
        <w:rPr>
          <w:rFonts w:ascii="宋体" w:hAnsi="宋体"/>
          <w:color w:val="000000"/>
          <w:kern w:val="24"/>
          <w:sz w:val="21"/>
          <w:szCs w:val="21"/>
          <w:highlight w:val="none"/>
        </w:rPr>
        <w:t>以上企业，不属于大企业的分支机构，不存在控股股东为大企业的情形，也不存在与大企业的负责人为同一人的情形。</w:t>
      </w:r>
    </w:p>
    <w:p w14:paraId="19A1B7B2">
      <w:pPr>
        <w:pStyle w:val="19"/>
        <w:spacing w:line="360" w:lineRule="auto"/>
        <w:ind w:left="-426" w:right="142" w:firstLine="567"/>
        <w:contextualSpacing/>
        <w:rPr>
          <w:rFonts w:ascii="宋体" w:hAnsi="宋体"/>
          <w:color w:val="000000"/>
          <w:kern w:val="24"/>
          <w:sz w:val="21"/>
          <w:szCs w:val="21"/>
          <w:highlight w:val="none"/>
        </w:rPr>
      </w:pPr>
      <w:r>
        <w:rPr>
          <w:rFonts w:ascii="宋体" w:hAnsi="宋体"/>
          <w:color w:val="000000"/>
          <w:kern w:val="24"/>
          <w:sz w:val="21"/>
          <w:szCs w:val="21"/>
          <w:highlight w:val="none"/>
        </w:rPr>
        <w:t>本企业对上述声明内容的真实性负责。如有虚假，将依法承担相应责任。</w:t>
      </w:r>
    </w:p>
    <w:p w14:paraId="419ED93C">
      <w:pPr>
        <w:pStyle w:val="19"/>
        <w:spacing w:line="360" w:lineRule="auto"/>
        <w:ind w:left="3960" w:right="1808"/>
        <w:contextualSpacing/>
        <w:rPr>
          <w:rFonts w:ascii="宋体" w:hAnsi="宋体"/>
          <w:color w:val="000000"/>
          <w:kern w:val="24"/>
          <w:sz w:val="21"/>
          <w:szCs w:val="21"/>
          <w:highlight w:val="none"/>
        </w:rPr>
      </w:pPr>
    </w:p>
    <w:p w14:paraId="3AC5F70E">
      <w:pPr>
        <w:pStyle w:val="19"/>
        <w:spacing w:line="360" w:lineRule="auto"/>
        <w:ind w:left="3960" w:right="1808"/>
        <w:contextualSpacing/>
        <w:rPr>
          <w:rFonts w:ascii="宋体" w:hAnsi="宋体"/>
          <w:color w:val="000000"/>
          <w:kern w:val="24"/>
          <w:sz w:val="21"/>
          <w:szCs w:val="21"/>
          <w:highlight w:val="none"/>
        </w:rPr>
      </w:pPr>
      <w:r>
        <w:rPr>
          <w:rFonts w:ascii="宋体" w:hAnsi="宋体"/>
          <w:color w:val="000000"/>
          <w:kern w:val="24"/>
          <w:sz w:val="21"/>
          <w:szCs w:val="21"/>
          <w:highlight w:val="none"/>
        </w:rPr>
        <w:t>企业名称（</w:t>
      </w:r>
      <w:r>
        <w:rPr>
          <w:rFonts w:hint="eastAsia" w:ascii="宋体" w:hAnsi="宋体"/>
          <w:color w:val="000000"/>
          <w:kern w:val="24"/>
          <w:sz w:val="21"/>
          <w:szCs w:val="21"/>
          <w:highlight w:val="none"/>
        </w:rPr>
        <w:t>电子签章</w:t>
      </w:r>
      <w:r>
        <w:rPr>
          <w:rFonts w:ascii="宋体" w:hAnsi="宋体"/>
          <w:color w:val="000000"/>
          <w:kern w:val="24"/>
          <w:sz w:val="21"/>
          <w:szCs w:val="21"/>
          <w:highlight w:val="none"/>
        </w:rPr>
        <w:t xml:space="preserve">）： </w:t>
      </w:r>
    </w:p>
    <w:p w14:paraId="5012A497">
      <w:pPr>
        <w:pStyle w:val="19"/>
        <w:spacing w:line="360" w:lineRule="auto"/>
        <w:ind w:left="3960" w:right="1808"/>
        <w:contextualSpacing/>
        <w:rPr>
          <w:rFonts w:ascii="宋体" w:hAnsi="宋体"/>
          <w:color w:val="000000"/>
          <w:kern w:val="24"/>
          <w:sz w:val="21"/>
          <w:szCs w:val="21"/>
          <w:highlight w:val="none"/>
        </w:rPr>
      </w:pPr>
      <w:r>
        <w:rPr>
          <w:rFonts w:ascii="宋体" w:hAnsi="宋体"/>
          <w:color w:val="000000"/>
          <w:kern w:val="24"/>
          <w:sz w:val="21"/>
          <w:szCs w:val="21"/>
          <w:highlight w:val="none"/>
        </w:rPr>
        <w:t>日</w:t>
      </w:r>
      <w:r>
        <w:rPr>
          <w:rFonts w:hint="eastAsia" w:ascii="宋体" w:hAnsi="宋体"/>
          <w:color w:val="000000"/>
          <w:kern w:val="24"/>
          <w:sz w:val="21"/>
          <w:szCs w:val="21"/>
          <w:highlight w:val="none"/>
        </w:rPr>
        <w:t xml:space="preserve"> </w:t>
      </w:r>
      <w:r>
        <w:rPr>
          <w:rFonts w:ascii="宋体" w:hAnsi="宋体"/>
          <w:color w:val="000000"/>
          <w:kern w:val="24"/>
          <w:sz w:val="21"/>
          <w:szCs w:val="21"/>
          <w:highlight w:val="none"/>
        </w:rPr>
        <w:t>期：</w:t>
      </w:r>
    </w:p>
    <w:p w14:paraId="1E62CE36">
      <w:pPr>
        <w:pStyle w:val="19"/>
        <w:spacing w:line="360" w:lineRule="auto"/>
        <w:ind w:left="3960" w:right="1808"/>
        <w:contextualSpacing/>
        <w:rPr>
          <w:rFonts w:ascii="宋体" w:hAnsi="宋体"/>
          <w:color w:val="000000"/>
          <w:kern w:val="24"/>
          <w:sz w:val="21"/>
          <w:szCs w:val="21"/>
          <w:highlight w:val="none"/>
        </w:rPr>
      </w:pPr>
    </w:p>
    <w:p w14:paraId="6A1860A9">
      <w:pPr>
        <w:pStyle w:val="19"/>
        <w:spacing w:line="360" w:lineRule="auto"/>
        <w:ind w:left="3960" w:right="1808"/>
        <w:contextualSpacing/>
        <w:rPr>
          <w:rFonts w:ascii="宋体" w:hAnsi="宋体"/>
          <w:color w:val="000000"/>
          <w:kern w:val="24"/>
          <w:sz w:val="21"/>
          <w:szCs w:val="21"/>
          <w:highlight w:val="none"/>
        </w:rPr>
      </w:pPr>
    </w:p>
    <w:p w14:paraId="616647AC">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5DF74015">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（2）中小企业声明函中的“标的名称”“所属行业”按招标文件第二章采购需求“采 </w:t>
      </w:r>
    </w:p>
    <w:p w14:paraId="2AFE1EC2">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购标的对应的中小企业划分标准所属行业”对应的内容填报。如单个分包内含多个不同货物的，应分别填写制造商情况。 </w:t>
      </w:r>
    </w:p>
    <w:p w14:paraId="4A2E5472">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（3）如供应商为联合体或分包的，声明函中“项目名称”应填写联合体中小微企业承 </w:t>
      </w:r>
    </w:p>
    <w:p w14:paraId="4A8AD172">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担的具体内容或者小微企业具体分包内容。 </w:t>
      </w:r>
    </w:p>
    <w:p w14:paraId="3993B668">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（4）根据工业和信息化部对“从业人员”定义的答复，《民法典》《公司法》等法律 </w:t>
      </w:r>
    </w:p>
    <w:p w14:paraId="6A2D10D3">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规定，分公司不具有法人资格，其民事责任由总公司承担。企业划型时，应将分公司的从业人员、营业收入、资产总额等指标数据纳入合并计算。 </w:t>
      </w:r>
    </w:p>
    <w:p w14:paraId="2015B681">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（5）根据国家统计局《劳动工资统计报表制度》，从业人员数是指本单位工作，并取 </w:t>
      </w:r>
    </w:p>
    <w:p w14:paraId="27848349">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得工资或其他形式劳动报酬的人员数，是在岗职工、劳务派遣人员及其他从业人员之和。</w:t>
      </w:r>
    </w:p>
    <w:p w14:paraId="7ABE1C0C">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（6）上述企业属于大企业的分支机构或控股股东为大企业或与大企业的负责人为同一 </w:t>
      </w:r>
    </w:p>
    <w:p w14:paraId="03BFDB17">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人的，不得享受价格扣除优惠政策。接受分包的小微企业与分包企业之间存在直接控股、管理关系的，不得享受价格扣除优惠政策。</w:t>
      </w:r>
    </w:p>
    <w:p w14:paraId="1060541D">
      <w:pPr>
        <w:keepNext w:val="0"/>
        <w:keepLines w:val="0"/>
        <w:pageBreakBefore w:val="0"/>
        <w:widowControl w:val="0"/>
        <w:kinsoku/>
        <w:wordWrap/>
        <w:overflowPunct/>
        <w:topLinePunct w:val="0"/>
        <w:autoSpaceDE/>
        <w:autoSpaceDN/>
        <w:bidi w:val="0"/>
        <w:adjustRightInd/>
        <w:snapToGrid w:val="0"/>
        <w:spacing w:line="420" w:lineRule="exact"/>
        <w:ind w:left="142"/>
        <w:jc w:val="left"/>
        <w:textAlignment w:val="auto"/>
        <w:rPr>
          <w:rFonts w:hint="eastAsia" w:ascii="宋体" w:hAnsi="宋体" w:eastAsia="宋体" w:cs="宋体"/>
          <w:color w:val="000000"/>
          <w:kern w:val="24"/>
          <w:sz w:val="21"/>
          <w:szCs w:val="21"/>
          <w:highlight w:val="none"/>
          <w:lang w:val="en-US" w:eastAsia="zh-CN" w:bidi="ar-SA"/>
        </w:rPr>
      </w:pPr>
    </w:p>
    <w:p w14:paraId="3CB0A4A1">
      <w:pPr>
        <w:snapToGrid w:val="0"/>
        <w:spacing w:before="120" w:beforeLines="50" w:after="50"/>
        <w:ind w:left="142"/>
        <w:jc w:val="left"/>
        <w:rPr>
          <w:rFonts w:ascii="宋体" w:hAnsi="宋体"/>
          <w:b/>
          <w:color w:val="000000"/>
          <w:szCs w:val="21"/>
          <w:highlight w:val="none"/>
        </w:rPr>
        <w:sectPr>
          <w:footerReference r:id="rId12" w:type="first"/>
          <w:headerReference r:id="rId9" w:type="default"/>
          <w:footerReference r:id="rId10" w:type="default"/>
          <w:footerReference r:id="rId11" w:type="even"/>
          <w:pgSz w:w="11906" w:h="16838"/>
          <w:pgMar w:top="1440" w:right="1797" w:bottom="1440" w:left="1797" w:header="851" w:footer="992" w:gutter="0"/>
          <w:cols w:space="720" w:num="1"/>
          <w:docGrid w:linePitch="312" w:charSpace="0"/>
        </w:sectPr>
      </w:pPr>
    </w:p>
    <w:p w14:paraId="57D84E5C">
      <w:pPr>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中小企业声明函（服务）</w:t>
      </w:r>
    </w:p>
    <w:p w14:paraId="5A4C9D1F">
      <w:pPr>
        <w:spacing w:line="480" w:lineRule="exact"/>
        <w:rPr>
          <w:rFonts w:hint="eastAsia" w:ascii="宋体" w:hAnsi="宋体" w:eastAsia="宋体" w:cs="宋体"/>
          <w:b/>
          <w:bCs/>
          <w:color w:val="auto"/>
          <w:sz w:val="21"/>
          <w:szCs w:val="21"/>
          <w:highlight w:val="none"/>
        </w:rPr>
      </w:pPr>
    </w:p>
    <w:p w14:paraId="7D1CE98B">
      <w:pPr>
        <w:pStyle w:val="19"/>
        <w:spacing w:line="480" w:lineRule="exact"/>
        <w:ind w:right="14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本公司（联合体）郑重声明，根据《政府采购促进中小企业发展管理办法》（财库﹝2020﹞46号）的规定，本公司（联合体）参加</w:t>
      </w:r>
      <w:r>
        <w:rPr>
          <w:rFonts w:hint="eastAsia" w:ascii="宋体" w:hAnsi="宋体" w:eastAsia="宋体" w:cs="宋体"/>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采购活动，服务全部由符合政策要求的中小企业承接。相关企业（含联合体中的中小企业、签订分包意向协议的中小企业）的具体情况如下：</w:t>
      </w:r>
    </w:p>
    <w:p w14:paraId="0F2421EB">
      <w:pPr>
        <w:tabs>
          <w:tab w:val="left" w:pos="1384"/>
          <w:tab w:val="left" w:pos="4562"/>
          <w:tab w:val="left" w:pos="6803"/>
        </w:tabs>
        <w:spacing w:line="480" w:lineRule="exact"/>
        <w:ind w:right="142" w:firstLine="600" w:firstLineChars="28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6CD16B7B">
      <w:pPr>
        <w:tabs>
          <w:tab w:val="left" w:pos="1065"/>
          <w:tab w:val="left" w:pos="4262"/>
          <w:tab w:val="left" w:pos="6477"/>
        </w:tabs>
        <w:spacing w:line="480" w:lineRule="exact"/>
        <w:ind w:right="84" w:firstLine="600" w:firstLineChars="28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05820D35">
      <w:pPr>
        <w:pStyle w:val="19"/>
        <w:spacing w:line="480" w:lineRule="exact"/>
        <w:ind w:left="765" w:right="142" w:hanging="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7CAD0397">
      <w:pPr>
        <w:pStyle w:val="19"/>
        <w:spacing w:line="480" w:lineRule="exact"/>
        <w:ind w:right="14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4DCB4B2E">
      <w:pPr>
        <w:pStyle w:val="19"/>
        <w:spacing w:line="480" w:lineRule="exact"/>
        <w:ind w:right="14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0A7E3DE1">
      <w:pPr>
        <w:pStyle w:val="19"/>
        <w:spacing w:line="480" w:lineRule="exact"/>
        <w:ind w:left="3960" w:right="1808"/>
        <w:rPr>
          <w:rFonts w:hint="eastAsia" w:ascii="宋体" w:hAnsi="宋体" w:eastAsia="宋体" w:cs="宋体"/>
          <w:color w:val="auto"/>
          <w:sz w:val="21"/>
          <w:szCs w:val="21"/>
          <w:highlight w:val="none"/>
        </w:rPr>
      </w:pPr>
      <w:r>
        <w:rPr>
          <w:rFonts w:hint="eastAsia" w:ascii="宋体" w:hAnsi="宋体" w:eastAsia="宋体" w:cs="宋体"/>
          <w:color w:val="auto"/>
          <w:kern w:val="24"/>
          <w:sz w:val="21"/>
          <w:szCs w:val="21"/>
          <w:highlight w:val="none"/>
        </w:rPr>
        <w:t>企业名称（电子签章）：</w:t>
      </w:r>
      <w:r>
        <w:rPr>
          <w:rFonts w:hint="eastAsia" w:ascii="宋体" w:hAnsi="宋体" w:eastAsia="宋体" w:cs="宋体"/>
          <w:color w:val="auto"/>
          <w:sz w:val="21"/>
          <w:szCs w:val="21"/>
          <w:highlight w:val="none"/>
        </w:rPr>
        <w:t xml:space="preserve"> </w:t>
      </w:r>
    </w:p>
    <w:p w14:paraId="48B37D38">
      <w:pPr>
        <w:pStyle w:val="19"/>
        <w:spacing w:line="480" w:lineRule="exact"/>
        <w:ind w:left="3960" w:right="180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5985AEC9">
      <w:pPr>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 </w:t>
      </w:r>
    </w:p>
    <w:p w14:paraId="331C80B5">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4900C187">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（2）中小企业声明函中的“标的名称”“所属行业”按招标文件第二章采购需求“采 </w:t>
      </w:r>
    </w:p>
    <w:p w14:paraId="78AADEEC">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购标的对应的中小企业划分标准所属行业”对应的内容填报。如单个分包内含多个不同货物的，应分别填写制造商情况。 </w:t>
      </w:r>
    </w:p>
    <w:p w14:paraId="16E2367B">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（3）如供应商为联合体或分包的，声明函中“项目名称”应填写联合体中小微企业承 </w:t>
      </w:r>
    </w:p>
    <w:p w14:paraId="7C2CAAE6">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担的具体内容或者小微企业具体分包内容。 </w:t>
      </w:r>
    </w:p>
    <w:p w14:paraId="42CE37F6">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（4）根据工业和信息化部对“从业人员”定义的答复，《民法典》《公司法》等法律 </w:t>
      </w:r>
    </w:p>
    <w:p w14:paraId="0798BBB1">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规定，分公司不具有法人资格，其民事责任由总公司承担。企业划型时，应将分公司的从业人员、营业收入、资产总额等指标数据纳入合并计算。 </w:t>
      </w:r>
    </w:p>
    <w:p w14:paraId="723839CF">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（5）根据国家统计局《劳动工资统计报表制度》，从业人员数是指本单位工作，并取 </w:t>
      </w:r>
    </w:p>
    <w:p w14:paraId="1AB635B0">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得工资或其他形式劳动报酬的人员数，是在岗职工、劳务派遣人员及其他从业人员之和。</w:t>
      </w:r>
    </w:p>
    <w:p w14:paraId="7DDD55BD">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（6）上述企业属于大企业的分支机构或控股股东为大企业或与大企业的负责人为同一 </w:t>
      </w:r>
    </w:p>
    <w:p w14:paraId="3BE06318">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人的，不得享受价格扣除优惠政策。接受分包的小微企业与分包企业之间存在直接控股、管理关系的，不得享受价格扣除优惠政策。</w:t>
      </w:r>
    </w:p>
    <w:p w14:paraId="5B3DEFCA">
      <w:pPr>
        <w:snapToGrid w:val="0"/>
        <w:spacing w:before="120" w:beforeLines="50" w:after="50"/>
        <w:ind w:left="142"/>
        <w:jc w:val="left"/>
        <w:rPr>
          <w:rFonts w:ascii="宋体" w:hAnsi="宋体"/>
          <w:b/>
          <w:color w:val="000000"/>
          <w:sz w:val="24"/>
          <w:highlight w:val="none"/>
        </w:rPr>
      </w:pPr>
      <w:r>
        <w:rPr>
          <w:rFonts w:hint="eastAsia" w:ascii="宋体" w:hAnsi="宋体" w:eastAsia="宋体" w:cs="宋体"/>
          <w:color w:val="auto"/>
          <w:sz w:val="21"/>
          <w:szCs w:val="21"/>
          <w:highlight w:val="none"/>
        </w:rPr>
        <w:br w:type="page"/>
      </w:r>
      <w:r>
        <w:rPr>
          <w:rFonts w:hint="eastAsia" w:ascii="宋体" w:hAnsi="宋体"/>
          <w:b/>
          <w:color w:val="000000"/>
          <w:sz w:val="24"/>
          <w:highlight w:val="none"/>
        </w:rPr>
        <w:t>2.残疾人福利性单位声明函格式</w:t>
      </w:r>
    </w:p>
    <w:p w14:paraId="5B076428">
      <w:pPr>
        <w:spacing w:line="588" w:lineRule="exact"/>
        <w:jc w:val="center"/>
        <w:rPr>
          <w:rFonts w:ascii="仿宋_GB2312" w:eastAsia="仿宋_GB2312"/>
          <w:b/>
          <w:color w:val="000000"/>
          <w:spacing w:val="6"/>
          <w:sz w:val="32"/>
          <w:szCs w:val="32"/>
          <w:highlight w:val="none"/>
        </w:rPr>
      </w:pPr>
    </w:p>
    <w:p w14:paraId="3875A1FF">
      <w:pPr>
        <w:spacing w:line="588" w:lineRule="exact"/>
        <w:jc w:val="center"/>
        <w:rPr>
          <w:rFonts w:hint="eastAsia" w:ascii="宋体" w:hAnsi="宋体" w:eastAsia="宋体" w:cs="宋体"/>
          <w:bCs/>
          <w:color w:val="000000"/>
          <w:spacing w:val="6"/>
          <w:sz w:val="44"/>
          <w:szCs w:val="44"/>
          <w:highlight w:val="none"/>
        </w:rPr>
      </w:pPr>
      <w:r>
        <w:rPr>
          <w:rFonts w:hint="eastAsia" w:ascii="宋体" w:hAnsi="宋体" w:eastAsia="宋体" w:cs="宋体"/>
          <w:bCs/>
          <w:color w:val="000000"/>
          <w:spacing w:val="6"/>
          <w:sz w:val="44"/>
          <w:szCs w:val="44"/>
          <w:highlight w:val="none"/>
        </w:rPr>
        <w:t>残疾人福利性单位声明函</w:t>
      </w:r>
    </w:p>
    <w:p w14:paraId="73F0D61E">
      <w:pPr>
        <w:spacing w:line="360" w:lineRule="auto"/>
        <w:contextualSpacing/>
        <w:rPr>
          <w:rFonts w:ascii="仿宋_GB2312" w:eastAsia="仿宋_GB2312"/>
          <w:bCs/>
          <w:color w:val="000000"/>
          <w:spacing w:val="6"/>
          <w:sz w:val="30"/>
          <w:szCs w:val="30"/>
          <w:highlight w:val="none"/>
        </w:rPr>
      </w:pPr>
    </w:p>
    <w:p w14:paraId="5CAF909B">
      <w:pPr>
        <w:spacing w:line="360" w:lineRule="auto"/>
        <w:ind w:firstLine="444" w:firstLineChars="200"/>
        <w:contextualSpacing/>
        <w:rPr>
          <w:rFonts w:ascii="宋体" w:hAnsi="宋体"/>
          <w:color w:val="000000"/>
          <w:spacing w:val="6"/>
          <w:szCs w:val="21"/>
          <w:highlight w:val="none"/>
        </w:rPr>
      </w:pPr>
      <w:r>
        <w:rPr>
          <w:rFonts w:hint="eastAsia" w:ascii="宋体" w:hAnsi="宋体"/>
          <w:color w:val="000000"/>
          <w:spacing w:val="6"/>
          <w:szCs w:val="21"/>
          <w:highlight w:val="none"/>
        </w:rPr>
        <w:t>本单位郑重声明，根据《财政部 民政部 中国残疾人联合会关于促进残疾人就业政府采购政策的通知》（财库</w:t>
      </w:r>
      <w:r>
        <w:rPr>
          <w:rFonts w:hint="eastAsia" w:ascii="宋体" w:hAnsi="宋体"/>
          <w:color w:val="000000"/>
          <w:szCs w:val="21"/>
          <w:highlight w:val="none"/>
        </w:rPr>
        <w:t>〔2017〕 141</w:t>
      </w:r>
      <w:r>
        <w:rPr>
          <w:rFonts w:hint="eastAsia" w:ascii="宋体" w:hAnsi="宋体"/>
          <w:color w:val="000000"/>
          <w:spacing w:val="6"/>
          <w:szCs w:val="21"/>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spacing w:val="-6"/>
          <w:szCs w:val="21"/>
          <w:highlight w:val="none"/>
        </w:rPr>
        <w:t>疾人福利性单位制造的货物（不包括使用非残疾人福利性单位注册商标的货物）。</w:t>
      </w:r>
    </w:p>
    <w:p w14:paraId="03F062CC">
      <w:pPr>
        <w:spacing w:line="360" w:lineRule="auto"/>
        <w:ind w:firstLine="444" w:firstLineChars="200"/>
        <w:contextualSpacing/>
        <w:rPr>
          <w:rFonts w:ascii="宋体" w:hAnsi="宋体"/>
          <w:color w:val="000000"/>
          <w:spacing w:val="6"/>
          <w:szCs w:val="21"/>
          <w:highlight w:val="none"/>
        </w:rPr>
      </w:pPr>
      <w:r>
        <w:rPr>
          <w:rFonts w:hint="eastAsia" w:ascii="宋体" w:hAnsi="宋体"/>
          <w:color w:val="000000"/>
          <w:spacing w:val="6"/>
          <w:szCs w:val="21"/>
          <w:highlight w:val="none"/>
        </w:rPr>
        <w:t>本单位对上述声明的真实性负责。如有虚假，将依法承担相应责任。</w:t>
      </w:r>
    </w:p>
    <w:p w14:paraId="4168BBC4">
      <w:pPr>
        <w:spacing w:line="360" w:lineRule="auto"/>
        <w:ind w:firstLine="444" w:firstLineChars="200"/>
        <w:contextualSpacing/>
        <w:rPr>
          <w:rFonts w:ascii="宋体" w:hAnsi="宋体"/>
          <w:color w:val="000000"/>
          <w:spacing w:val="6"/>
          <w:szCs w:val="21"/>
          <w:highlight w:val="none"/>
        </w:rPr>
      </w:pPr>
    </w:p>
    <w:p w14:paraId="39849A53">
      <w:pPr>
        <w:spacing w:line="360" w:lineRule="auto"/>
        <w:ind w:firstLine="444" w:firstLineChars="200"/>
        <w:contextualSpacing/>
        <w:rPr>
          <w:rFonts w:ascii="宋体" w:hAnsi="宋体"/>
          <w:color w:val="000000"/>
          <w:spacing w:val="6"/>
          <w:szCs w:val="21"/>
          <w:highlight w:val="none"/>
        </w:rPr>
      </w:pPr>
    </w:p>
    <w:p w14:paraId="5FABAF4C">
      <w:pPr>
        <w:tabs>
          <w:tab w:val="left" w:pos="4860"/>
        </w:tabs>
        <w:spacing w:line="360" w:lineRule="auto"/>
        <w:ind w:right="1560" w:firstLine="444" w:firstLineChars="200"/>
        <w:contextualSpacing/>
        <w:jc w:val="center"/>
        <w:rPr>
          <w:rFonts w:ascii="宋体" w:hAnsi="宋体"/>
          <w:color w:val="000000"/>
          <w:spacing w:val="6"/>
          <w:szCs w:val="21"/>
          <w:highlight w:val="none"/>
        </w:rPr>
      </w:pPr>
      <w:r>
        <w:rPr>
          <w:rFonts w:hint="eastAsia" w:ascii="宋体" w:hAnsi="宋体"/>
          <w:color w:val="000000"/>
          <w:spacing w:val="6"/>
          <w:szCs w:val="21"/>
          <w:highlight w:val="none"/>
        </w:rPr>
        <w:t>单位名称（电子签章）：</w:t>
      </w:r>
    </w:p>
    <w:p w14:paraId="141587BF">
      <w:pPr>
        <w:tabs>
          <w:tab w:val="left" w:pos="4860"/>
        </w:tabs>
        <w:spacing w:line="360" w:lineRule="auto"/>
        <w:ind w:right="1560" w:firstLine="444" w:firstLineChars="200"/>
        <w:contextualSpacing/>
        <w:jc w:val="center"/>
        <w:rPr>
          <w:rFonts w:ascii="宋体" w:hAnsi="宋体"/>
          <w:color w:val="000000"/>
          <w:spacing w:val="6"/>
          <w:szCs w:val="21"/>
          <w:highlight w:val="none"/>
        </w:rPr>
      </w:pPr>
      <w:r>
        <w:rPr>
          <w:rFonts w:hint="eastAsia" w:ascii="宋体" w:hAnsi="宋体"/>
          <w:color w:val="000000"/>
          <w:spacing w:val="6"/>
          <w:szCs w:val="21"/>
          <w:highlight w:val="none"/>
        </w:rPr>
        <w:t>日  期：</w:t>
      </w:r>
    </w:p>
    <w:p w14:paraId="0C10D9D0">
      <w:pPr>
        <w:spacing w:line="360" w:lineRule="auto"/>
        <w:contextualSpacing/>
        <w:rPr>
          <w:rFonts w:ascii="宋体" w:hAnsi="宋体"/>
          <w:color w:val="000000"/>
          <w:szCs w:val="21"/>
          <w:highlight w:val="none"/>
        </w:rPr>
      </w:pPr>
    </w:p>
    <w:p w14:paraId="2FAC1CC8">
      <w:pPr>
        <w:spacing w:line="360" w:lineRule="auto"/>
        <w:contextualSpacing/>
        <w:rPr>
          <w:rFonts w:ascii="宋体" w:hAnsi="宋体"/>
          <w:color w:val="000000"/>
          <w:sz w:val="24"/>
          <w:highlight w:val="none"/>
        </w:rPr>
      </w:pPr>
    </w:p>
    <w:p w14:paraId="260FE9A1">
      <w:pPr>
        <w:spacing w:line="360" w:lineRule="auto"/>
        <w:contextualSpacing/>
        <w:rPr>
          <w:rFonts w:ascii="宋体" w:hAnsi="宋体"/>
          <w:color w:val="000000"/>
          <w:sz w:val="24"/>
          <w:highlight w:val="none"/>
        </w:rPr>
      </w:pPr>
    </w:p>
    <w:p w14:paraId="5E2EA414">
      <w:pPr>
        <w:spacing w:line="360" w:lineRule="auto"/>
        <w:contextualSpacing/>
        <w:rPr>
          <w:rFonts w:ascii="宋体" w:hAnsi="宋体"/>
          <w:color w:val="000000"/>
          <w:szCs w:val="21"/>
          <w:highlight w:val="none"/>
        </w:rPr>
      </w:pPr>
      <w:r>
        <w:rPr>
          <w:rFonts w:hint="eastAsia" w:ascii="宋体" w:hAnsi="宋体"/>
          <w:color w:val="000000"/>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D3812B5">
      <w:pPr>
        <w:rPr>
          <w:rFonts w:ascii="宋体" w:hAnsi="宋体"/>
          <w:color w:val="000000"/>
          <w:sz w:val="24"/>
          <w:highlight w:val="none"/>
        </w:rPr>
      </w:pPr>
      <w:r>
        <w:rPr>
          <w:rFonts w:ascii="宋体" w:hAnsi="宋体"/>
          <w:color w:val="000000"/>
          <w:sz w:val="24"/>
          <w:highlight w:val="none"/>
        </w:rPr>
        <w:br w:type="page"/>
      </w:r>
    </w:p>
    <w:p w14:paraId="568C7A73">
      <w:pPr>
        <w:pStyle w:val="136"/>
        <w:spacing w:line="360" w:lineRule="auto"/>
        <w:jc w:val="both"/>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：《关于符合本国产品标准的声明函》和《</w:t>
      </w:r>
      <w:r>
        <w:rPr>
          <w:b/>
          <w:sz w:val="24"/>
          <w:highlight w:val="none"/>
        </w:rPr>
        <w:t>关于本国产品比例的承诺函</w:t>
      </w:r>
      <w:r>
        <w:rPr>
          <w:rFonts w:hint="eastAsia" w:ascii="宋体" w:hAnsi="宋体" w:eastAsia="宋体" w:cs="宋体"/>
          <w:b/>
          <w:bCs/>
          <w:sz w:val="24"/>
          <w:szCs w:val="24"/>
          <w:highlight w:val="none"/>
        </w:rPr>
        <w:t>》格式</w:t>
      </w:r>
      <w:r>
        <w:rPr>
          <w:rFonts w:hint="eastAsia" w:ascii="宋体" w:hAnsi="宋体" w:eastAsia="宋体" w:cs="宋体"/>
          <w:b/>
          <w:bCs/>
          <w:sz w:val="24"/>
          <w:szCs w:val="24"/>
          <w:highlight w:val="none"/>
          <w:lang w:eastAsia="zh-CN"/>
        </w:rPr>
        <w:t>（适用于</w:t>
      </w:r>
      <w:r>
        <w:rPr>
          <w:rFonts w:hint="eastAsia" w:ascii="宋体" w:hAnsi="宋体" w:eastAsia="宋体" w:cs="宋体"/>
          <w:b/>
          <w:bCs/>
          <w:sz w:val="24"/>
          <w:szCs w:val="24"/>
          <w:highlight w:val="none"/>
          <w:lang w:val="en-US" w:eastAsia="zh-CN"/>
        </w:rPr>
        <w:t>分标1/分标2</w:t>
      </w:r>
      <w:r>
        <w:rPr>
          <w:rFonts w:hint="eastAsia" w:ascii="宋体" w:hAnsi="宋体" w:eastAsia="宋体" w:cs="宋体"/>
          <w:b/>
          <w:bCs/>
          <w:sz w:val="24"/>
          <w:szCs w:val="24"/>
          <w:highlight w:val="none"/>
          <w:lang w:eastAsia="zh-CN"/>
        </w:rPr>
        <w:t>）</w:t>
      </w:r>
    </w:p>
    <w:p w14:paraId="34AB3629">
      <w:pPr>
        <w:pStyle w:val="136"/>
        <w:spacing w:line="360" w:lineRule="auto"/>
        <w:jc w:val="center"/>
        <w:rPr>
          <w:rFonts w:hint="eastAsia" w:ascii="宋体" w:hAnsi="宋体" w:eastAsia="宋体" w:cs="宋体"/>
          <w:sz w:val="24"/>
          <w:szCs w:val="24"/>
          <w:highlight w:val="none"/>
        </w:rPr>
      </w:pPr>
      <w:r>
        <w:rPr>
          <w:rFonts w:hint="eastAsia" w:ascii="宋体" w:hAnsi="宋体" w:eastAsia="宋体" w:cs="宋体"/>
          <w:b/>
          <w:color w:val="000000"/>
          <w:sz w:val="24"/>
          <w:szCs w:val="24"/>
          <w:highlight w:val="none"/>
        </w:rPr>
        <w:t>关于符合本国产品标准的声明函</w:t>
      </w:r>
    </w:p>
    <w:p w14:paraId="59D23398">
      <w:pPr>
        <w:pStyle w:val="136"/>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本公司（单位）郑重声明，根据《国务院办公厅关于在政府采购中实施本国产品标准及相关政策的通知》（国办发〔2025〕34号）的规定，本公司（单位）提供的以下产品属于本国产品。具体情况如下：</w:t>
      </w:r>
    </w:p>
    <w:p w14:paraId="63DF69E7">
      <w:pPr>
        <w:pStyle w:val="136"/>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1.</w:t>
      </w:r>
      <w:r>
        <w:rPr>
          <w:rFonts w:hint="eastAsia" w:ascii="宋体" w:hAnsi="宋体" w:eastAsia="宋体" w:cs="宋体"/>
          <w:color w:val="000000"/>
          <w:sz w:val="24"/>
          <w:szCs w:val="24"/>
          <w:highlight w:val="none"/>
          <w:u w:val="single"/>
          <w:shd w:val="clear" w:fill="FFFFFF"/>
        </w:rPr>
        <w:t>（产品名称1）</w:t>
      </w:r>
      <w:r>
        <w:rPr>
          <w:rFonts w:hint="eastAsia" w:ascii="宋体" w:hAnsi="宋体" w:eastAsia="宋体" w:cs="宋体"/>
          <w:color w:val="000000"/>
          <w:sz w:val="24"/>
          <w:szCs w:val="24"/>
          <w:highlight w:val="none"/>
          <w:shd w:val="clear" w:fill="FFFFFF"/>
          <w:vertAlign w:val="superscript"/>
        </w:rPr>
        <w:t>1</w:t>
      </w:r>
      <w:r>
        <w:rPr>
          <w:rFonts w:hint="eastAsia" w:ascii="宋体" w:hAnsi="宋体" w:eastAsia="宋体" w:cs="宋体"/>
          <w:color w:val="000000"/>
          <w:sz w:val="24"/>
          <w:szCs w:val="24"/>
          <w:highlight w:val="none"/>
          <w:shd w:val="clear" w:fill="FFFFFF"/>
        </w:rPr>
        <w:t>，生产厂为</w:t>
      </w:r>
      <w:r>
        <w:rPr>
          <w:rFonts w:hint="eastAsia" w:ascii="宋体" w:hAnsi="宋体" w:eastAsia="宋体" w:cs="宋体"/>
          <w:color w:val="000000"/>
          <w:sz w:val="24"/>
          <w:szCs w:val="24"/>
          <w:highlight w:val="none"/>
          <w:u w:val="single"/>
          <w:shd w:val="clear" w:fill="FFFFFF"/>
        </w:rPr>
        <w:t>（厂名）</w:t>
      </w:r>
      <w:r>
        <w:rPr>
          <w:rFonts w:hint="eastAsia" w:ascii="宋体" w:hAnsi="宋体" w:eastAsia="宋体" w:cs="宋体"/>
          <w:color w:val="000000"/>
          <w:sz w:val="24"/>
          <w:szCs w:val="24"/>
          <w:highlight w:val="none"/>
          <w:shd w:val="clear" w:fill="FFFFFF"/>
          <w:vertAlign w:val="superscript"/>
        </w:rPr>
        <w:t>2</w:t>
      </w:r>
      <w:r>
        <w:rPr>
          <w:rFonts w:hint="eastAsia" w:ascii="宋体" w:hAnsi="宋体" w:eastAsia="宋体" w:cs="宋体"/>
          <w:color w:val="000000"/>
          <w:sz w:val="24"/>
          <w:szCs w:val="24"/>
          <w:highlight w:val="none"/>
          <w:shd w:val="clear" w:fill="FFFFFF"/>
        </w:rPr>
        <w:t>，厂址为</w:t>
      </w:r>
      <w:r>
        <w:rPr>
          <w:rFonts w:hint="eastAsia" w:ascii="宋体" w:hAnsi="宋体" w:eastAsia="宋体" w:cs="宋体"/>
          <w:color w:val="000000"/>
          <w:sz w:val="24"/>
          <w:szCs w:val="24"/>
          <w:highlight w:val="none"/>
          <w:u w:val="single"/>
          <w:shd w:val="clear" w:fill="FFFFFF"/>
        </w:rPr>
        <w:t>（生产厂址）</w:t>
      </w:r>
      <w:r>
        <w:rPr>
          <w:rFonts w:hint="eastAsia" w:ascii="宋体" w:hAnsi="宋体" w:eastAsia="宋体" w:cs="宋体"/>
          <w:color w:val="000000"/>
          <w:sz w:val="24"/>
          <w:szCs w:val="24"/>
          <w:highlight w:val="none"/>
          <w:shd w:val="clear" w:fill="FFFFFF"/>
        </w:rPr>
        <w:t>。</w:t>
      </w:r>
      <w:r>
        <w:rPr>
          <w:rFonts w:hint="eastAsia" w:ascii="宋体" w:hAnsi="宋体" w:eastAsia="宋体" w:cs="宋体"/>
          <w:color w:val="000000"/>
          <w:sz w:val="24"/>
          <w:szCs w:val="24"/>
          <w:highlight w:val="none"/>
          <w:u w:val="single"/>
          <w:shd w:val="clear" w:fill="FFFFFF"/>
        </w:rPr>
        <w:t>（产品名称1）</w:t>
      </w:r>
      <w:r>
        <w:rPr>
          <w:rFonts w:hint="eastAsia" w:ascii="宋体" w:hAnsi="宋体" w:eastAsia="宋体" w:cs="宋体"/>
          <w:color w:val="000000"/>
          <w:sz w:val="24"/>
          <w:szCs w:val="24"/>
          <w:highlight w:val="none"/>
          <w:shd w:val="clear" w:fill="FFFFFF"/>
        </w:rPr>
        <w:t>的中国境内生产的组件成本占比≥</w:t>
      </w:r>
      <w:r>
        <w:rPr>
          <w:rFonts w:hint="eastAsia" w:ascii="宋体" w:hAnsi="宋体" w:eastAsia="宋体" w:cs="宋体"/>
          <w:color w:val="000000"/>
          <w:sz w:val="24"/>
          <w:szCs w:val="24"/>
          <w:highlight w:val="none"/>
          <w:u w:val="single"/>
          <w:shd w:val="clear" w:fill="FFFFFF"/>
        </w:rPr>
        <w:t>（规定比例）</w:t>
      </w:r>
      <w:r>
        <w:rPr>
          <w:rFonts w:hint="eastAsia" w:ascii="宋体" w:hAnsi="宋体" w:eastAsia="宋体" w:cs="宋体"/>
          <w:color w:val="000000"/>
          <w:sz w:val="24"/>
          <w:szCs w:val="24"/>
          <w:highlight w:val="none"/>
          <w:shd w:val="clear" w:fill="FFFFFF"/>
          <w:vertAlign w:val="superscript"/>
        </w:rPr>
        <w:t>3</w:t>
      </w:r>
      <w:r>
        <w:rPr>
          <w:rFonts w:hint="eastAsia" w:ascii="宋体" w:hAnsi="宋体" w:eastAsia="宋体" w:cs="宋体"/>
          <w:color w:val="000000"/>
          <w:sz w:val="24"/>
          <w:szCs w:val="24"/>
          <w:highlight w:val="none"/>
          <w:shd w:val="clear" w:fill="FFFFFF"/>
        </w:rPr>
        <w:t>。</w:t>
      </w:r>
      <w:r>
        <w:rPr>
          <w:rFonts w:hint="eastAsia" w:ascii="宋体" w:hAnsi="宋体" w:eastAsia="宋体" w:cs="宋体"/>
          <w:color w:val="000000"/>
          <w:sz w:val="24"/>
          <w:szCs w:val="24"/>
          <w:highlight w:val="none"/>
          <w:u w:val="single"/>
          <w:shd w:val="clear" w:fill="FFFFFF"/>
        </w:rPr>
        <w:t>（产品名称1）</w:t>
      </w:r>
      <w:r>
        <w:rPr>
          <w:rFonts w:hint="eastAsia" w:ascii="宋体" w:hAnsi="宋体" w:eastAsia="宋体" w:cs="宋体"/>
          <w:color w:val="000000"/>
          <w:sz w:val="24"/>
          <w:szCs w:val="24"/>
          <w:highlight w:val="none"/>
          <w:shd w:val="clear" w:fill="FFFFFF"/>
        </w:rPr>
        <w:t>的</w:t>
      </w:r>
      <w:r>
        <w:rPr>
          <w:rFonts w:hint="eastAsia" w:ascii="宋体" w:hAnsi="宋体" w:eastAsia="宋体" w:cs="宋体"/>
          <w:color w:val="000000"/>
          <w:sz w:val="24"/>
          <w:szCs w:val="24"/>
          <w:highlight w:val="none"/>
          <w:u w:val="single"/>
          <w:shd w:val="clear" w:fill="FFFFFF"/>
        </w:rPr>
        <w:t>（关键组件）</w:t>
      </w:r>
      <w:r>
        <w:rPr>
          <w:rFonts w:hint="eastAsia" w:ascii="宋体" w:hAnsi="宋体" w:eastAsia="宋体" w:cs="宋体"/>
          <w:color w:val="000000"/>
          <w:sz w:val="24"/>
          <w:szCs w:val="24"/>
          <w:highlight w:val="none"/>
          <w:shd w:val="clear" w:fill="FFFFFF"/>
          <w:vertAlign w:val="superscript"/>
        </w:rPr>
        <w:t>4</w:t>
      </w:r>
      <w:r>
        <w:rPr>
          <w:rFonts w:hint="eastAsia" w:ascii="宋体" w:hAnsi="宋体" w:eastAsia="宋体" w:cs="宋体"/>
          <w:color w:val="000000"/>
          <w:sz w:val="24"/>
          <w:szCs w:val="24"/>
          <w:highlight w:val="none"/>
          <w:shd w:val="clear" w:fill="FFFFFF"/>
        </w:rPr>
        <w:t>在中国境内生产。</w:t>
      </w:r>
      <w:r>
        <w:rPr>
          <w:rFonts w:hint="eastAsia" w:ascii="宋体" w:hAnsi="宋体" w:eastAsia="宋体" w:cs="宋体"/>
          <w:color w:val="000000"/>
          <w:sz w:val="24"/>
          <w:szCs w:val="24"/>
          <w:highlight w:val="none"/>
          <w:u w:val="single"/>
          <w:shd w:val="clear" w:fill="FFFFFF"/>
        </w:rPr>
        <w:t>（产品名称1）</w:t>
      </w:r>
      <w:r>
        <w:rPr>
          <w:rFonts w:hint="eastAsia" w:ascii="宋体" w:hAnsi="宋体" w:eastAsia="宋体" w:cs="宋体"/>
          <w:color w:val="000000"/>
          <w:sz w:val="24"/>
          <w:szCs w:val="24"/>
          <w:highlight w:val="none"/>
          <w:shd w:val="clear" w:fill="FFFFFF"/>
        </w:rPr>
        <w:t>的</w:t>
      </w:r>
      <w:r>
        <w:rPr>
          <w:rFonts w:hint="eastAsia" w:ascii="宋体" w:hAnsi="宋体" w:eastAsia="宋体" w:cs="宋体"/>
          <w:color w:val="000000"/>
          <w:sz w:val="24"/>
          <w:szCs w:val="24"/>
          <w:highlight w:val="none"/>
          <w:u w:val="single"/>
          <w:shd w:val="clear" w:fill="FFFFFF"/>
        </w:rPr>
        <w:t>（关键工序）</w:t>
      </w:r>
      <w:r>
        <w:rPr>
          <w:rFonts w:hint="eastAsia" w:ascii="宋体" w:hAnsi="宋体" w:eastAsia="宋体" w:cs="宋体"/>
          <w:color w:val="000000"/>
          <w:sz w:val="24"/>
          <w:szCs w:val="24"/>
          <w:highlight w:val="none"/>
          <w:shd w:val="clear" w:fill="FFFFFF"/>
          <w:vertAlign w:val="superscript"/>
        </w:rPr>
        <w:t>5</w:t>
      </w:r>
      <w:r>
        <w:rPr>
          <w:rFonts w:hint="eastAsia" w:ascii="宋体" w:hAnsi="宋体" w:eastAsia="宋体" w:cs="宋体"/>
          <w:color w:val="000000"/>
          <w:sz w:val="24"/>
          <w:szCs w:val="24"/>
          <w:highlight w:val="none"/>
          <w:shd w:val="clear" w:fill="FFFFFF"/>
        </w:rPr>
        <w:t>在中国境内完成。</w:t>
      </w:r>
    </w:p>
    <w:p w14:paraId="0F469DB4">
      <w:pPr>
        <w:pStyle w:val="136"/>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2.</w:t>
      </w:r>
      <w:r>
        <w:rPr>
          <w:rFonts w:hint="eastAsia" w:ascii="宋体" w:hAnsi="宋体" w:eastAsia="宋体" w:cs="宋体"/>
          <w:color w:val="000000"/>
          <w:sz w:val="24"/>
          <w:szCs w:val="24"/>
          <w:highlight w:val="none"/>
          <w:u w:val="single"/>
          <w:shd w:val="clear" w:fill="FFFFFF"/>
        </w:rPr>
        <w:t>（产品名称2）</w:t>
      </w:r>
      <w:r>
        <w:rPr>
          <w:rFonts w:hint="eastAsia" w:ascii="宋体" w:hAnsi="宋体" w:eastAsia="宋体" w:cs="宋体"/>
          <w:color w:val="000000"/>
          <w:sz w:val="24"/>
          <w:szCs w:val="24"/>
          <w:highlight w:val="none"/>
          <w:shd w:val="clear" w:fill="FFFFFF"/>
        </w:rPr>
        <w:t>，生产厂为</w:t>
      </w:r>
      <w:r>
        <w:rPr>
          <w:rFonts w:hint="eastAsia" w:ascii="宋体" w:hAnsi="宋体" w:eastAsia="宋体" w:cs="宋体"/>
          <w:color w:val="000000"/>
          <w:sz w:val="24"/>
          <w:szCs w:val="24"/>
          <w:highlight w:val="none"/>
          <w:u w:val="single"/>
          <w:shd w:val="clear" w:fill="FFFFFF"/>
        </w:rPr>
        <w:t>（厂名）</w:t>
      </w:r>
      <w:r>
        <w:rPr>
          <w:rFonts w:hint="eastAsia" w:ascii="宋体" w:hAnsi="宋体" w:eastAsia="宋体" w:cs="宋体"/>
          <w:color w:val="000000"/>
          <w:sz w:val="24"/>
          <w:szCs w:val="24"/>
          <w:highlight w:val="none"/>
          <w:shd w:val="clear" w:fill="FFFFFF"/>
        </w:rPr>
        <w:t>，厂址为</w:t>
      </w:r>
      <w:r>
        <w:rPr>
          <w:rFonts w:hint="eastAsia" w:ascii="宋体" w:hAnsi="宋体" w:eastAsia="宋体" w:cs="宋体"/>
          <w:color w:val="000000"/>
          <w:sz w:val="24"/>
          <w:szCs w:val="24"/>
          <w:highlight w:val="none"/>
          <w:u w:val="single"/>
          <w:shd w:val="clear" w:fill="FFFFFF"/>
        </w:rPr>
        <w:t>（生产厂址）</w:t>
      </w:r>
      <w:r>
        <w:rPr>
          <w:rFonts w:hint="eastAsia" w:ascii="宋体" w:hAnsi="宋体" w:eastAsia="宋体" w:cs="宋体"/>
          <w:color w:val="000000"/>
          <w:sz w:val="24"/>
          <w:szCs w:val="24"/>
          <w:highlight w:val="none"/>
          <w:shd w:val="clear" w:fill="FFFFFF"/>
        </w:rPr>
        <w:t>。</w:t>
      </w:r>
      <w:r>
        <w:rPr>
          <w:rFonts w:hint="eastAsia" w:ascii="宋体" w:hAnsi="宋体" w:eastAsia="宋体" w:cs="宋体"/>
          <w:color w:val="000000"/>
          <w:sz w:val="24"/>
          <w:szCs w:val="24"/>
          <w:highlight w:val="none"/>
          <w:u w:val="single"/>
          <w:shd w:val="clear" w:fill="FFFFFF"/>
        </w:rPr>
        <w:t>（产品名称2）</w:t>
      </w:r>
      <w:r>
        <w:rPr>
          <w:rFonts w:hint="eastAsia" w:ascii="宋体" w:hAnsi="宋体" w:eastAsia="宋体" w:cs="宋体"/>
          <w:color w:val="000000"/>
          <w:sz w:val="24"/>
          <w:szCs w:val="24"/>
          <w:highlight w:val="none"/>
          <w:shd w:val="clear" w:fill="FFFFFF"/>
        </w:rPr>
        <w:t>的中国境内生产的组件成本占比≥</w:t>
      </w:r>
      <w:r>
        <w:rPr>
          <w:rFonts w:hint="eastAsia" w:ascii="宋体" w:hAnsi="宋体" w:eastAsia="宋体" w:cs="宋体"/>
          <w:color w:val="000000"/>
          <w:sz w:val="24"/>
          <w:szCs w:val="24"/>
          <w:highlight w:val="none"/>
          <w:u w:val="single"/>
          <w:shd w:val="clear" w:fill="FFFFFF"/>
        </w:rPr>
        <w:t>（规定比例）</w:t>
      </w:r>
      <w:r>
        <w:rPr>
          <w:rFonts w:hint="eastAsia" w:ascii="宋体" w:hAnsi="宋体" w:eastAsia="宋体" w:cs="宋体"/>
          <w:color w:val="000000"/>
          <w:sz w:val="24"/>
          <w:szCs w:val="24"/>
          <w:highlight w:val="none"/>
          <w:shd w:val="clear" w:fill="FFFFFF"/>
        </w:rPr>
        <w:t>。</w:t>
      </w:r>
      <w:r>
        <w:rPr>
          <w:rFonts w:hint="eastAsia" w:ascii="宋体" w:hAnsi="宋体" w:eastAsia="宋体" w:cs="宋体"/>
          <w:color w:val="000000"/>
          <w:sz w:val="24"/>
          <w:szCs w:val="24"/>
          <w:highlight w:val="none"/>
          <w:u w:val="single"/>
          <w:shd w:val="clear" w:fill="FFFFFF"/>
        </w:rPr>
        <w:t>（产品名称2）</w:t>
      </w:r>
      <w:r>
        <w:rPr>
          <w:rFonts w:hint="eastAsia" w:ascii="宋体" w:hAnsi="宋体" w:eastAsia="宋体" w:cs="宋体"/>
          <w:color w:val="000000"/>
          <w:sz w:val="24"/>
          <w:szCs w:val="24"/>
          <w:highlight w:val="none"/>
          <w:shd w:val="clear" w:fill="FFFFFF"/>
        </w:rPr>
        <w:t>的</w:t>
      </w:r>
      <w:r>
        <w:rPr>
          <w:rFonts w:hint="eastAsia" w:ascii="宋体" w:hAnsi="宋体" w:eastAsia="宋体" w:cs="宋体"/>
          <w:color w:val="000000"/>
          <w:sz w:val="24"/>
          <w:szCs w:val="24"/>
          <w:highlight w:val="none"/>
          <w:u w:val="single"/>
          <w:shd w:val="clear" w:fill="FFFFFF"/>
        </w:rPr>
        <w:t>（关键组件）</w:t>
      </w:r>
      <w:r>
        <w:rPr>
          <w:rFonts w:hint="eastAsia" w:ascii="宋体" w:hAnsi="宋体" w:eastAsia="宋体" w:cs="宋体"/>
          <w:color w:val="000000"/>
          <w:sz w:val="24"/>
          <w:szCs w:val="24"/>
          <w:highlight w:val="none"/>
          <w:shd w:val="clear" w:fill="FFFFFF"/>
        </w:rPr>
        <w:t>在中国境内生产。</w:t>
      </w:r>
      <w:r>
        <w:rPr>
          <w:rFonts w:hint="eastAsia" w:ascii="宋体" w:hAnsi="宋体" w:eastAsia="宋体" w:cs="宋体"/>
          <w:color w:val="000000"/>
          <w:sz w:val="24"/>
          <w:szCs w:val="24"/>
          <w:highlight w:val="none"/>
          <w:u w:val="single"/>
          <w:shd w:val="clear" w:fill="FFFFFF"/>
        </w:rPr>
        <w:t>（产品名称2）</w:t>
      </w:r>
      <w:r>
        <w:rPr>
          <w:rFonts w:hint="eastAsia" w:ascii="宋体" w:hAnsi="宋体" w:eastAsia="宋体" w:cs="宋体"/>
          <w:color w:val="000000"/>
          <w:sz w:val="24"/>
          <w:szCs w:val="24"/>
          <w:highlight w:val="none"/>
          <w:shd w:val="clear" w:fill="FFFFFF"/>
        </w:rPr>
        <w:t>的</w:t>
      </w:r>
      <w:r>
        <w:rPr>
          <w:rFonts w:hint="eastAsia" w:ascii="宋体" w:hAnsi="宋体" w:eastAsia="宋体" w:cs="宋体"/>
          <w:color w:val="000000"/>
          <w:sz w:val="24"/>
          <w:szCs w:val="24"/>
          <w:highlight w:val="none"/>
          <w:u w:val="single"/>
          <w:shd w:val="clear" w:fill="FFFFFF"/>
        </w:rPr>
        <w:t>（关键工序）</w:t>
      </w:r>
      <w:r>
        <w:rPr>
          <w:rFonts w:hint="eastAsia" w:ascii="宋体" w:hAnsi="宋体" w:eastAsia="宋体" w:cs="宋体"/>
          <w:color w:val="000000"/>
          <w:sz w:val="24"/>
          <w:szCs w:val="24"/>
          <w:highlight w:val="none"/>
          <w:shd w:val="clear" w:fill="FFFFFF"/>
        </w:rPr>
        <w:t>在中国境内完成。</w:t>
      </w:r>
    </w:p>
    <w:p w14:paraId="7F79798B">
      <w:pPr>
        <w:pStyle w:val="136"/>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w:t>
      </w:r>
    </w:p>
    <w:p w14:paraId="1A91CEDA">
      <w:pPr>
        <w:pStyle w:val="136"/>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本公司（单位）对上述声明内容的真实性负责。如有虚假，愿承担相应法律责任。</w:t>
      </w:r>
    </w:p>
    <w:p w14:paraId="687ACB97">
      <w:pPr>
        <w:pStyle w:val="136"/>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 xml:space="preserve"> </w:t>
      </w:r>
    </w:p>
    <w:p w14:paraId="6A8DA2E0">
      <w:pPr>
        <w:pStyle w:val="136"/>
        <w:spacing w:line="360" w:lineRule="auto"/>
        <w:jc w:val="righ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 xml:space="preserve">公司（单位）名称（盖章）：        </w:t>
      </w:r>
    </w:p>
    <w:p w14:paraId="46CD71BB">
      <w:pPr>
        <w:pStyle w:val="136"/>
        <w:spacing w:line="360" w:lineRule="auto"/>
        <w:jc w:val="righ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日期：      年    月    日</w:t>
      </w:r>
    </w:p>
    <w:p w14:paraId="1D26ED16">
      <w:pPr>
        <w:pStyle w:val="136"/>
        <w:spacing w:before="30" w:after="30" w:line="360" w:lineRule="auto"/>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__________________</w:t>
      </w:r>
    </w:p>
    <w:p w14:paraId="5369E2E7">
      <w:pPr>
        <w:pStyle w:val="136"/>
        <w:spacing w:line="360" w:lineRule="auto"/>
        <w:ind w:firstLine="482"/>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1.产品如有型号，请在“产品名称”栏一并填写。</w:t>
      </w:r>
    </w:p>
    <w:p w14:paraId="2D2DCB14">
      <w:pPr>
        <w:pStyle w:val="136"/>
        <w:spacing w:line="360" w:lineRule="auto"/>
        <w:ind w:firstLine="482"/>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2.生产厂名与厂址应与生产厂营业执照载明的相关信息保持一致。</w:t>
      </w:r>
    </w:p>
    <w:p w14:paraId="6841F0D6">
      <w:pPr>
        <w:pStyle w:val="136"/>
        <w:spacing w:line="360" w:lineRule="auto"/>
        <w:ind w:firstLine="482"/>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3.该产品的中国境内生产的组件成本占比相关要求实施前，“规定比例”栏可不填，下同。</w:t>
      </w:r>
    </w:p>
    <w:p w14:paraId="742FFF29">
      <w:pPr>
        <w:pStyle w:val="136"/>
        <w:spacing w:line="360" w:lineRule="auto"/>
        <w:ind w:firstLine="482"/>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4.该产品的关键组件要求实施前，“关键组件”栏可不填，下同。</w:t>
      </w:r>
    </w:p>
    <w:p w14:paraId="5DFB77C4">
      <w:pPr>
        <w:pStyle w:val="136"/>
        <w:spacing w:line="360" w:lineRule="auto"/>
        <w:ind w:firstLine="482"/>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fill="FFFFFF"/>
        </w:rPr>
        <w:t>5.该产品的关键工序要求实施前，“关键工序”栏可不填，下同。</w:t>
      </w:r>
    </w:p>
    <w:p w14:paraId="3C4340E0">
      <w:pPr>
        <w:pStyle w:val="136"/>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p>
    <w:p w14:paraId="555503E2">
      <w:pPr>
        <w:pStyle w:val="136"/>
        <w:spacing w:line="360" w:lineRule="auto"/>
        <w:jc w:val="center"/>
        <w:rPr>
          <w:rFonts w:hint="eastAsia" w:ascii="宋体" w:hAnsi="宋体" w:eastAsia="宋体" w:cs="宋体"/>
          <w:color w:val="000000"/>
          <w:sz w:val="24"/>
          <w:szCs w:val="24"/>
          <w:highlight w:val="none"/>
        </w:rPr>
      </w:pPr>
    </w:p>
    <w:p w14:paraId="440281A5">
      <w:pPr>
        <w:pStyle w:val="136"/>
        <w:spacing w:line="360" w:lineRule="auto"/>
        <w:jc w:val="center"/>
        <w:rPr>
          <w:rFonts w:hint="eastAsia" w:ascii="宋体" w:hAnsi="宋体" w:eastAsia="宋体" w:cs="宋体"/>
          <w:color w:val="000000"/>
          <w:sz w:val="24"/>
          <w:szCs w:val="24"/>
          <w:highlight w:val="none"/>
        </w:rPr>
      </w:pPr>
    </w:p>
    <w:p w14:paraId="06575142">
      <w:pPr>
        <w:pStyle w:val="136"/>
        <w:spacing w:line="360" w:lineRule="auto"/>
        <w:jc w:val="center"/>
        <w:rPr>
          <w:rFonts w:hint="eastAsia" w:ascii="宋体" w:hAnsi="宋体" w:eastAsia="宋体" w:cs="宋体"/>
          <w:color w:val="000000"/>
          <w:sz w:val="24"/>
          <w:szCs w:val="24"/>
          <w:highlight w:val="none"/>
        </w:rPr>
      </w:pPr>
    </w:p>
    <w:p w14:paraId="4B9EDB41">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br w:type="page"/>
      </w:r>
    </w:p>
    <w:p w14:paraId="4828D7B2">
      <w:pPr>
        <w:pStyle w:val="136"/>
        <w:spacing w:before="120" w:after="240"/>
        <w:jc w:val="center"/>
        <w:outlineLvl w:val="3"/>
        <w:rPr>
          <w:highlight w:val="none"/>
        </w:rPr>
      </w:pPr>
      <w:r>
        <w:rPr>
          <w:b/>
          <w:sz w:val="24"/>
          <w:highlight w:val="none"/>
        </w:rPr>
        <w:t>关于本国产品比例的承诺函</w:t>
      </w:r>
    </w:p>
    <w:p w14:paraId="208B4766">
      <w:pPr>
        <w:pStyle w:val="136"/>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59FC2FF4">
      <w:pPr>
        <w:pStyle w:val="136"/>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本公司（单位）对上述承诺内容的真实性负责。如有虚假，愿承担相应法律责任。</w:t>
      </w:r>
    </w:p>
    <w:p w14:paraId="100A703A">
      <w:pPr>
        <w:pStyle w:val="136"/>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sz w:val="24"/>
          <w:szCs w:val="24"/>
          <w:highlight w:val="none"/>
        </w:rPr>
      </w:pPr>
    </w:p>
    <w:p w14:paraId="0DEBF76B">
      <w:pPr>
        <w:pStyle w:val="136"/>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sz w:val="24"/>
          <w:szCs w:val="24"/>
          <w:highlight w:val="none"/>
        </w:rPr>
      </w:pPr>
    </w:p>
    <w:p w14:paraId="40B2A2A1">
      <w:pPr>
        <w:pStyle w:val="136"/>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rPr>
        <w:t>公司（单位）名称（盖章）：</w:t>
      </w:r>
      <w:r>
        <w:rPr>
          <w:rFonts w:hint="eastAsia" w:ascii="宋体" w:hAnsi="宋体" w:eastAsia="宋体" w:cs="宋体"/>
          <w:sz w:val="24"/>
          <w:szCs w:val="24"/>
          <w:highlight w:val="none"/>
        </w:rPr>
        <w:t>__________________</w:t>
      </w:r>
    </w:p>
    <w:p w14:paraId="64B5409A">
      <w:pPr>
        <w:pStyle w:val="136"/>
        <w:keepNext w:val="0"/>
        <w:keepLines w:val="0"/>
        <w:pageBreakBefore w:val="0"/>
        <w:kinsoku/>
        <w:wordWrap/>
        <w:overflowPunct/>
        <w:topLinePunct w:val="0"/>
        <w:autoSpaceDE/>
        <w:autoSpaceDN/>
        <w:bidi w:val="0"/>
        <w:adjustRightInd/>
        <w:snapToGrid/>
        <w:spacing w:line="360" w:lineRule="auto"/>
        <w:ind w:left="360" w:firstLine="3614" w:firstLineChars="1500"/>
        <w:jc w:val="left"/>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rPr>
        <w:t>日期：</w:t>
      </w:r>
      <w:r>
        <w:rPr>
          <w:rFonts w:hint="eastAsia" w:ascii="宋体" w:hAnsi="宋体" w:eastAsia="宋体" w:cs="宋体"/>
          <w:sz w:val="24"/>
          <w:szCs w:val="24"/>
          <w:highlight w:val="none"/>
        </w:rPr>
        <w:t>______ 年 ______ 月 ______ 日</w:t>
      </w:r>
    </w:p>
    <w:p w14:paraId="1F275917">
      <w:pPr>
        <w:pStyle w:val="136"/>
        <w:keepNext w:val="0"/>
        <w:keepLines w:val="0"/>
        <w:pageBreakBefore w:val="0"/>
        <w:kinsoku/>
        <w:wordWrap/>
        <w:overflowPunct/>
        <w:topLinePunct w:val="0"/>
        <w:autoSpaceDE/>
        <w:autoSpaceDN/>
        <w:bidi w:val="0"/>
        <w:adjustRightInd/>
        <w:snapToGrid/>
        <w:spacing w:line="360" w:lineRule="auto"/>
        <w:ind w:left="360" w:firstLine="3600" w:firstLineChars="1500"/>
        <w:jc w:val="left"/>
        <w:textAlignment w:val="auto"/>
        <w:rPr>
          <w:rFonts w:hint="eastAsia" w:ascii="宋体" w:hAnsi="宋体" w:eastAsia="宋体" w:cs="宋体"/>
          <w:sz w:val="24"/>
          <w:szCs w:val="24"/>
          <w:highlight w:val="none"/>
        </w:rPr>
      </w:pPr>
    </w:p>
    <w:p w14:paraId="33ED5EC1">
      <w:pPr>
        <w:pStyle w:val="136"/>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p>
    <w:p w14:paraId="51F94949">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olor w:val="000000"/>
          <w:sz w:val="24"/>
          <w:highlight w:val="none"/>
        </w:rPr>
      </w:pPr>
      <w:r>
        <w:rPr>
          <w:rFonts w:hint="eastAsia" w:ascii="宋体" w:hAnsi="宋体" w:eastAsia="宋体" w:cs="宋体"/>
          <w:color w:val="000000"/>
          <w:sz w:val="24"/>
          <w:szCs w:val="24"/>
          <w:highlight w:val="none"/>
        </w:rPr>
        <w:br w:type="page"/>
      </w:r>
      <w:r>
        <w:rPr>
          <w:rFonts w:hint="eastAsia" w:ascii="宋体" w:hAnsi="宋体"/>
          <w:b/>
          <w:color w:val="000000"/>
          <w:sz w:val="24"/>
          <w:highlight w:val="none"/>
        </w:rPr>
        <w:t>3.质疑函（格式）</w:t>
      </w:r>
    </w:p>
    <w:p w14:paraId="1C300CE2">
      <w:pPr>
        <w:spacing w:line="360" w:lineRule="auto"/>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质疑函（格式）</w:t>
      </w:r>
    </w:p>
    <w:p w14:paraId="68C26701">
      <w:pPr>
        <w:pStyle w:val="25"/>
        <w:snapToGrid w:val="0"/>
        <w:spacing w:line="360" w:lineRule="exact"/>
        <w:ind w:firstLine="422" w:firstLineChars="200"/>
        <w:rPr>
          <w:rFonts w:hAnsi="宋体"/>
          <w:b/>
          <w:bCs/>
          <w:color w:val="000000"/>
          <w:sz w:val="21"/>
          <w:highlight w:val="none"/>
        </w:rPr>
      </w:pPr>
      <w:r>
        <w:rPr>
          <w:rFonts w:hint="eastAsia" w:hAnsi="宋体"/>
          <w:b/>
          <w:bCs/>
          <w:color w:val="000000"/>
          <w:sz w:val="21"/>
          <w:highlight w:val="none"/>
        </w:rPr>
        <w:t>一、质疑供应商基本信息：</w:t>
      </w:r>
    </w:p>
    <w:p w14:paraId="626534AA">
      <w:pPr>
        <w:pStyle w:val="25"/>
        <w:snapToGrid w:val="0"/>
        <w:spacing w:line="360" w:lineRule="exact"/>
        <w:ind w:firstLine="420" w:firstLineChars="200"/>
        <w:rPr>
          <w:rFonts w:hAnsi="宋体"/>
          <w:bCs/>
          <w:color w:val="000000"/>
          <w:sz w:val="21"/>
          <w:highlight w:val="none"/>
          <w:u w:val="single"/>
        </w:rPr>
      </w:pPr>
      <w:r>
        <w:rPr>
          <w:rFonts w:hint="eastAsia" w:hAnsi="宋体"/>
          <w:bCs/>
          <w:color w:val="000000"/>
          <w:sz w:val="21"/>
          <w:highlight w:val="none"/>
        </w:rPr>
        <w:t>质疑供应商：</w:t>
      </w:r>
      <w:r>
        <w:rPr>
          <w:rFonts w:hint="eastAsia" w:hAnsi="宋体"/>
          <w:bCs/>
          <w:color w:val="000000"/>
          <w:sz w:val="21"/>
          <w:highlight w:val="none"/>
          <w:u w:val="single"/>
        </w:rPr>
        <w:t xml:space="preserve">                                       </w:t>
      </w:r>
      <w:r>
        <w:rPr>
          <w:rFonts w:hint="eastAsia" w:hAnsi="宋体"/>
          <w:bCs/>
          <w:color w:val="000000"/>
          <w:sz w:val="21"/>
          <w:highlight w:val="none"/>
        </w:rPr>
        <w:t xml:space="preserve">                 </w:t>
      </w:r>
    </w:p>
    <w:p w14:paraId="2C493AD0">
      <w:pPr>
        <w:pStyle w:val="25"/>
        <w:snapToGrid w:val="0"/>
        <w:spacing w:line="360" w:lineRule="exact"/>
        <w:ind w:firstLine="420" w:firstLineChars="200"/>
        <w:rPr>
          <w:rFonts w:hAnsi="宋体"/>
          <w:bCs/>
          <w:color w:val="000000"/>
          <w:sz w:val="21"/>
          <w:highlight w:val="none"/>
        </w:rPr>
      </w:pPr>
      <w:r>
        <w:rPr>
          <w:rFonts w:hAnsi="宋体"/>
          <w:bCs/>
          <w:color w:val="000000"/>
          <w:sz w:val="21"/>
          <w:highlight w:val="none"/>
        </w:rPr>
        <w:t>地址</w:t>
      </w:r>
      <w:r>
        <w:rPr>
          <w:rFonts w:hint="eastAsia" w:hAnsi="宋体"/>
          <w:bCs/>
          <w:color w:val="000000"/>
          <w:sz w:val="21"/>
          <w:highlight w:val="none"/>
        </w:rPr>
        <w:t>：</w:t>
      </w:r>
      <w:r>
        <w:rPr>
          <w:rFonts w:hint="eastAsia" w:hAnsi="宋体"/>
          <w:bCs/>
          <w:color w:val="000000"/>
          <w:sz w:val="21"/>
          <w:highlight w:val="none"/>
          <w:u w:val="single"/>
        </w:rPr>
        <w:t xml:space="preserve">                                          </w:t>
      </w:r>
      <w:r>
        <w:rPr>
          <w:rFonts w:hAnsi="宋体"/>
          <w:bCs/>
          <w:color w:val="000000"/>
          <w:sz w:val="21"/>
          <w:highlight w:val="none"/>
        </w:rPr>
        <w:t>邮编</w:t>
      </w:r>
      <w:r>
        <w:rPr>
          <w:rFonts w:hint="eastAsia" w:hAnsi="宋体"/>
          <w:bCs/>
          <w:color w:val="000000"/>
          <w:sz w:val="21"/>
          <w:highlight w:val="none"/>
        </w:rPr>
        <w:t>：</w:t>
      </w:r>
      <w:r>
        <w:rPr>
          <w:rFonts w:hint="eastAsia" w:hAnsi="宋体"/>
          <w:bCs/>
          <w:color w:val="000000"/>
          <w:sz w:val="21"/>
          <w:highlight w:val="none"/>
          <w:u w:val="single"/>
        </w:rPr>
        <w:t xml:space="preserve">                  </w:t>
      </w:r>
      <w:r>
        <w:rPr>
          <w:rFonts w:hint="eastAsia" w:hAnsi="宋体"/>
          <w:bCs/>
          <w:color w:val="000000"/>
          <w:sz w:val="21"/>
          <w:highlight w:val="none"/>
        </w:rPr>
        <w:t xml:space="preserve">                 </w:t>
      </w:r>
    </w:p>
    <w:p w14:paraId="0328A7C6">
      <w:pPr>
        <w:pStyle w:val="25"/>
        <w:snapToGrid w:val="0"/>
        <w:spacing w:line="360" w:lineRule="exact"/>
        <w:ind w:firstLine="420" w:firstLineChars="200"/>
        <w:rPr>
          <w:rFonts w:hAnsi="宋体"/>
          <w:bCs/>
          <w:color w:val="000000"/>
          <w:sz w:val="21"/>
          <w:highlight w:val="none"/>
        </w:rPr>
      </w:pPr>
      <w:r>
        <w:rPr>
          <w:rFonts w:hAnsi="宋体"/>
          <w:bCs/>
          <w:color w:val="000000"/>
          <w:sz w:val="21"/>
          <w:highlight w:val="none"/>
        </w:rPr>
        <w:t>联系人</w:t>
      </w:r>
      <w:r>
        <w:rPr>
          <w:rFonts w:hint="eastAsia" w:hAnsi="宋体"/>
          <w:bCs/>
          <w:color w:val="000000"/>
          <w:sz w:val="21"/>
          <w:highlight w:val="none"/>
        </w:rPr>
        <w:t>：</w:t>
      </w:r>
      <w:r>
        <w:rPr>
          <w:rFonts w:hint="eastAsia" w:hAnsi="宋体"/>
          <w:bCs/>
          <w:color w:val="000000"/>
          <w:sz w:val="21"/>
          <w:highlight w:val="none"/>
          <w:u w:val="single"/>
        </w:rPr>
        <w:t xml:space="preserve">                     </w:t>
      </w:r>
      <w:r>
        <w:rPr>
          <w:rFonts w:hAnsi="宋体"/>
          <w:bCs/>
          <w:color w:val="000000"/>
          <w:sz w:val="21"/>
          <w:highlight w:val="none"/>
        </w:rPr>
        <w:t>联系电话</w:t>
      </w:r>
      <w:r>
        <w:rPr>
          <w:rFonts w:hint="eastAsia" w:hAnsi="宋体"/>
          <w:bCs/>
          <w:color w:val="000000"/>
          <w:sz w:val="21"/>
          <w:highlight w:val="none"/>
        </w:rPr>
        <w:t>：</w:t>
      </w:r>
      <w:r>
        <w:rPr>
          <w:rFonts w:hint="eastAsia" w:hAnsi="宋体"/>
          <w:bCs/>
          <w:color w:val="000000"/>
          <w:sz w:val="21"/>
          <w:highlight w:val="none"/>
          <w:u w:val="single"/>
        </w:rPr>
        <w:t xml:space="preserve">                 </w:t>
      </w:r>
    </w:p>
    <w:p w14:paraId="1546D9B5">
      <w:pPr>
        <w:pStyle w:val="25"/>
        <w:snapToGrid w:val="0"/>
        <w:spacing w:line="360" w:lineRule="exact"/>
        <w:ind w:firstLine="420" w:firstLineChars="200"/>
        <w:rPr>
          <w:rFonts w:hAnsi="宋体"/>
          <w:bCs/>
          <w:color w:val="000000"/>
          <w:sz w:val="21"/>
          <w:highlight w:val="none"/>
        </w:rPr>
      </w:pPr>
      <w:r>
        <w:rPr>
          <w:rFonts w:hint="eastAsia" w:hAnsi="宋体"/>
          <w:bCs/>
          <w:color w:val="000000"/>
          <w:sz w:val="21"/>
          <w:highlight w:val="none"/>
        </w:rPr>
        <w:t>授权代表：</w:t>
      </w:r>
      <w:r>
        <w:rPr>
          <w:rFonts w:hint="eastAsia" w:hAnsi="宋体"/>
          <w:bCs/>
          <w:color w:val="000000"/>
          <w:sz w:val="21"/>
          <w:highlight w:val="none"/>
          <w:u w:val="single"/>
        </w:rPr>
        <w:t xml:space="preserve">                      </w:t>
      </w:r>
    </w:p>
    <w:p w14:paraId="74FF6352">
      <w:pPr>
        <w:pStyle w:val="25"/>
        <w:snapToGrid w:val="0"/>
        <w:spacing w:line="360" w:lineRule="exact"/>
        <w:ind w:firstLine="420" w:firstLineChars="200"/>
        <w:rPr>
          <w:rFonts w:hAnsi="宋体"/>
          <w:bCs/>
          <w:color w:val="000000"/>
          <w:sz w:val="21"/>
          <w:highlight w:val="none"/>
          <w:u w:val="single"/>
        </w:rPr>
      </w:pPr>
      <w:r>
        <w:rPr>
          <w:rFonts w:hAnsi="宋体"/>
          <w:bCs/>
          <w:color w:val="000000"/>
          <w:sz w:val="21"/>
          <w:highlight w:val="none"/>
        </w:rPr>
        <w:t>联系</w:t>
      </w:r>
      <w:r>
        <w:rPr>
          <w:rFonts w:hint="eastAsia" w:hAnsi="宋体"/>
          <w:bCs/>
          <w:color w:val="000000"/>
          <w:sz w:val="21"/>
          <w:highlight w:val="none"/>
        </w:rPr>
        <w:t>电话：</w:t>
      </w:r>
      <w:r>
        <w:rPr>
          <w:rFonts w:hint="eastAsia" w:hAnsi="宋体"/>
          <w:bCs/>
          <w:color w:val="000000"/>
          <w:sz w:val="21"/>
          <w:highlight w:val="none"/>
          <w:u w:val="single"/>
        </w:rPr>
        <w:t xml:space="preserve">                      </w:t>
      </w:r>
    </w:p>
    <w:p w14:paraId="723F622D">
      <w:pPr>
        <w:pStyle w:val="25"/>
        <w:snapToGrid w:val="0"/>
        <w:spacing w:line="360" w:lineRule="exact"/>
        <w:ind w:firstLine="420" w:firstLineChars="200"/>
        <w:rPr>
          <w:rFonts w:hAnsi="宋体"/>
          <w:bCs/>
          <w:color w:val="000000"/>
          <w:sz w:val="21"/>
          <w:highlight w:val="none"/>
        </w:rPr>
      </w:pPr>
      <w:r>
        <w:rPr>
          <w:rFonts w:hAnsi="宋体"/>
          <w:bCs/>
          <w:color w:val="000000"/>
          <w:sz w:val="21"/>
          <w:highlight w:val="none"/>
        </w:rPr>
        <w:t>地址</w:t>
      </w:r>
      <w:r>
        <w:rPr>
          <w:rFonts w:hint="eastAsia" w:hAnsi="宋体"/>
          <w:bCs/>
          <w:color w:val="000000"/>
          <w:sz w:val="21"/>
          <w:highlight w:val="none"/>
        </w:rPr>
        <w:t>：</w:t>
      </w:r>
      <w:r>
        <w:rPr>
          <w:rFonts w:hint="eastAsia" w:hAnsi="宋体"/>
          <w:bCs/>
          <w:color w:val="000000"/>
          <w:sz w:val="21"/>
          <w:highlight w:val="none"/>
          <w:u w:val="single"/>
        </w:rPr>
        <w:t xml:space="preserve">                 </w:t>
      </w:r>
      <w:r>
        <w:rPr>
          <w:rFonts w:hAnsi="宋体"/>
          <w:bCs/>
          <w:color w:val="000000"/>
          <w:sz w:val="21"/>
          <w:highlight w:val="none"/>
        </w:rPr>
        <w:t>邮编</w:t>
      </w:r>
      <w:r>
        <w:rPr>
          <w:rFonts w:hint="eastAsia" w:hAnsi="宋体"/>
          <w:bCs/>
          <w:color w:val="000000"/>
          <w:sz w:val="21"/>
          <w:highlight w:val="none"/>
        </w:rPr>
        <w:t>：</w:t>
      </w:r>
      <w:r>
        <w:rPr>
          <w:rFonts w:hint="eastAsia" w:hAnsi="宋体"/>
          <w:bCs/>
          <w:color w:val="000000"/>
          <w:sz w:val="21"/>
          <w:highlight w:val="none"/>
          <w:u w:val="single"/>
        </w:rPr>
        <w:t xml:space="preserve">                  </w:t>
      </w:r>
      <w:r>
        <w:rPr>
          <w:rFonts w:hint="eastAsia" w:hAnsi="宋体"/>
          <w:bCs/>
          <w:color w:val="000000"/>
          <w:sz w:val="21"/>
          <w:highlight w:val="none"/>
        </w:rPr>
        <w:t xml:space="preserve">     </w:t>
      </w:r>
    </w:p>
    <w:p w14:paraId="3765171B">
      <w:pPr>
        <w:pStyle w:val="25"/>
        <w:snapToGrid w:val="0"/>
        <w:spacing w:line="360" w:lineRule="exact"/>
        <w:ind w:firstLine="422" w:firstLineChars="200"/>
        <w:rPr>
          <w:rFonts w:hAnsi="宋体"/>
          <w:b/>
          <w:bCs/>
          <w:color w:val="000000"/>
          <w:sz w:val="21"/>
          <w:highlight w:val="none"/>
        </w:rPr>
      </w:pPr>
      <w:r>
        <w:rPr>
          <w:rFonts w:hint="eastAsia" w:hAnsi="宋体"/>
          <w:b/>
          <w:bCs/>
          <w:color w:val="000000"/>
          <w:sz w:val="21"/>
          <w:highlight w:val="none"/>
        </w:rPr>
        <w:t>二、质疑项目基本情况：</w:t>
      </w:r>
    </w:p>
    <w:p w14:paraId="636FD84D">
      <w:pPr>
        <w:pStyle w:val="25"/>
        <w:spacing w:line="360" w:lineRule="exact"/>
        <w:ind w:firstLine="413" w:firstLineChars="197"/>
        <w:rPr>
          <w:rFonts w:hAnsi="宋体"/>
          <w:color w:val="000000"/>
          <w:sz w:val="21"/>
          <w:highlight w:val="none"/>
        </w:rPr>
      </w:pPr>
      <w:r>
        <w:rPr>
          <w:rFonts w:hint="eastAsia" w:hAnsi="宋体"/>
          <w:bCs/>
          <w:color w:val="000000"/>
          <w:sz w:val="21"/>
          <w:highlight w:val="none"/>
        </w:rPr>
        <w:t>质疑</w:t>
      </w:r>
      <w:r>
        <w:rPr>
          <w:rFonts w:hint="eastAsia" w:hAnsi="宋体"/>
          <w:color w:val="000000"/>
          <w:sz w:val="21"/>
          <w:highlight w:val="none"/>
        </w:rPr>
        <w:t>项目的名称：</w:t>
      </w:r>
      <w:r>
        <w:rPr>
          <w:rFonts w:hint="eastAsia" w:hAnsi="宋体"/>
          <w:bCs/>
          <w:color w:val="000000"/>
          <w:sz w:val="21"/>
          <w:highlight w:val="none"/>
          <w:u w:val="single"/>
        </w:rPr>
        <w:t xml:space="preserve">                                     </w:t>
      </w:r>
    </w:p>
    <w:p w14:paraId="42041895">
      <w:pPr>
        <w:pStyle w:val="25"/>
        <w:spacing w:line="360" w:lineRule="exact"/>
        <w:ind w:firstLine="413" w:firstLineChars="197"/>
        <w:rPr>
          <w:rFonts w:hAnsi="宋体"/>
          <w:color w:val="000000"/>
          <w:sz w:val="21"/>
          <w:highlight w:val="none"/>
        </w:rPr>
      </w:pPr>
      <w:r>
        <w:rPr>
          <w:rFonts w:hint="eastAsia" w:hAnsi="宋体"/>
          <w:bCs/>
          <w:color w:val="000000"/>
          <w:sz w:val="21"/>
          <w:highlight w:val="none"/>
        </w:rPr>
        <w:t>质疑</w:t>
      </w:r>
      <w:r>
        <w:rPr>
          <w:rFonts w:hint="eastAsia" w:hAnsi="宋体"/>
          <w:color w:val="000000"/>
          <w:sz w:val="21"/>
          <w:highlight w:val="none"/>
        </w:rPr>
        <w:t>项目的编号：</w:t>
      </w:r>
      <w:r>
        <w:rPr>
          <w:rFonts w:hint="eastAsia" w:hAnsi="宋体"/>
          <w:bCs/>
          <w:color w:val="000000"/>
          <w:sz w:val="21"/>
          <w:highlight w:val="none"/>
          <w:u w:val="single"/>
        </w:rPr>
        <w:t xml:space="preserve">                                     </w:t>
      </w:r>
    </w:p>
    <w:p w14:paraId="697915BC">
      <w:pPr>
        <w:pStyle w:val="25"/>
        <w:spacing w:line="360" w:lineRule="exact"/>
        <w:ind w:firstLine="413" w:firstLineChars="197"/>
        <w:rPr>
          <w:rFonts w:hAnsi="宋体"/>
          <w:color w:val="000000"/>
          <w:sz w:val="21"/>
          <w:highlight w:val="none"/>
        </w:rPr>
      </w:pPr>
      <w:r>
        <w:rPr>
          <w:rFonts w:hint="eastAsia" w:hAnsi="宋体"/>
          <w:color w:val="000000"/>
          <w:sz w:val="21"/>
          <w:highlight w:val="none"/>
        </w:rPr>
        <w:t>采购人名称：</w:t>
      </w:r>
      <w:r>
        <w:rPr>
          <w:rFonts w:hint="eastAsia" w:hAnsi="宋体"/>
          <w:bCs/>
          <w:color w:val="000000"/>
          <w:sz w:val="21"/>
          <w:highlight w:val="none"/>
          <w:u w:val="single"/>
        </w:rPr>
        <w:t xml:space="preserve">                                         </w:t>
      </w:r>
    </w:p>
    <w:p w14:paraId="466348EE">
      <w:pPr>
        <w:pStyle w:val="25"/>
        <w:spacing w:line="360" w:lineRule="exact"/>
        <w:ind w:firstLine="413" w:firstLineChars="197"/>
        <w:rPr>
          <w:rFonts w:hAnsi="宋体"/>
          <w:color w:val="000000"/>
          <w:sz w:val="21"/>
          <w:highlight w:val="none"/>
        </w:rPr>
      </w:pPr>
      <w:r>
        <w:rPr>
          <w:rFonts w:hint="eastAsia" w:hAnsi="宋体"/>
          <w:color w:val="000000"/>
          <w:sz w:val="21"/>
          <w:highlight w:val="none"/>
        </w:rPr>
        <w:t>质疑事项：</w:t>
      </w:r>
    </w:p>
    <w:p w14:paraId="36F09EE0">
      <w:pPr>
        <w:pStyle w:val="25"/>
        <w:spacing w:line="360" w:lineRule="exact"/>
        <w:ind w:firstLine="308" w:firstLineChars="147"/>
        <w:rPr>
          <w:rFonts w:hAnsi="宋体"/>
          <w:color w:val="000000"/>
          <w:sz w:val="21"/>
          <w:highlight w:val="none"/>
        </w:rPr>
      </w:pPr>
      <w:r>
        <w:rPr>
          <w:rFonts w:hint="eastAsia" w:hAnsi="宋体"/>
          <w:color w:val="000000"/>
          <w:sz w:val="21"/>
          <w:highlight w:val="none"/>
        </w:rPr>
        <w:t>□采购文件   采购文件获取日期：</w:t>
      </w:r>
      <w:r>
        <w:rPr>
          <w:rFonts w:hint="eastAsia" w:hAnsi="宋体"/>
          <w:bCs/>
          <w:color w:val="000000"/>
          <w:sz w:val="21"/>
          <w:highlight w:val="none"/>
          <w:u w:val="single"/>
        </w:rPr>
        <w:t xml:space="preserve">                                   </w:t>
      </w:r>
    </w:p>
    <w:p w14:paraId="77644013">
      <w:pPr>
        <w:pStyle w:val="25"/>
        <w:spacing w:line="360" w:lineRule="exact"/>
        <w:ind w:firstLine="308" w:firstLineChars="147"/>
        <w:rPr>
          <w:rFonts w:hAnsi="宋体"/>
          <w:color w:val="000000"/>
          <w:sz w:val="21"/>
          <w:highlight w:val="none"/>
        </w:rPr>
      </w:pPr>
      <w:r>
        <w:rPr>
          <w:rFonts w:hint="eastAsia" w:hAnsi="宋体"/>
          <w:color w:val="000000"/>
          <w:sz w:val="21"/>
          <w:highlight w:val="none"/>
        </w:rPr>
        <w:t xml:space="preserve">□采购过程   </w:t>
      </w:r>
    </w:p>
    <w:p w14:paraId="1C3FD621">
      <w:pPr>
        <w:pStyle w:val="25"/>
        <w:spacing w:line="360" w:lineRule="exact"/>
        <w:ind w:firstLine="308" w:firstLineChars="147"/>
        <w:rPr>
          <w:rFonts w:hAnsi="宋体"/>
          <w:bCs/>
          <w:color w:val="000000"/>
          <w:sz w:val="21"/>
          <w:highlight w:val="none"/>
          <w:u w:val="single"/>
        </w:rPr>
      </w:pPr>
      <w:r>
        <w:rPr>
          <w:rFonts w:hint="eastAsia" w:hAnsi="宋体"/>
          <w:color w:val="000000"/>
          <w:sz w:val="21"/>
          <w:highlight w:val="none"/>
        </w:rPr>
        <w:t xml:space="preserve">□采购结果   </w:t>
      </w:r>
    </w:p>
    <w:p w14:paraId="7D3FB65B">
      <w:pPr>
        <w:pStyle w:val="25"/>
        <w:spacing w:line="360" w:lineRule="exact"/>
        <w:ind w:firstLine="413" w:firstLineChars="196"/>
        <w:rPr>
          <w:rFonts w:hAnsi="宋体"/>
          <w:b/>
          <w:color w:val="000000"/>
          <w:sz w:val="21"/>
          <w:highlight w:val="none"/>
        </w:rPr>
      </w:pPr>
      <w:r>
        <w:rPr>
          <w:rFonts w:hint="eastAsia" w:hAnsi="宋体"/>
          <w:b/>
          <w:color w:val="000000"/>
          <w:sz w:val="21"/>
          <w:highlight w:val="none"/>
        </w:rPr>
        <w:t>三、质疑事项具体内容</w:t>
      </w:r>
    </w:p>
    <w:p w14:paraId="26AAB946">
      <w:pPr>
        <w:pStyle w:val="25"/>
        <w:spacing w:line="360" w:lineRule="exact"/>
        <w:ind w:firstLine="413" w:firstLineChars="197"/>
        <w:rPr>
          <w:rFonts w:hAnsi="宋体"/>
          <w:color w:val="000000"/>
          <w:sz w:val="21"/>
          <w:highlight w:val="none"/>
        </w:rPr>
      </w:pPr>
      <w:r>
        <w:rPr>
          <w:rFonts w:hint="eastAsia" w:hAnsi="宋体"/>
          <w:color w:val="000000"/>
          <w:sz w:val="21"/>
          <w:highlight w:val="none"/>
        </w:rPr>
        <w:t>质疑事项1：</w:t>
      </w:r>
      <w:r>
        <w:rPr>
          <w:rFonts w:hint="eastAsia" w:hAnsi="宋体"/>
          <w:bCs/>
          <w:color w:val="000000"/>
          <w:sz w:val="21"/>
          <w:highlight w:val="none"/>
          <w:u w:val="single"/>
        </w:rPr>
        <w:t xml:space="preserve">                                                                    </w:t>
      </w:r>
    </w:p>
    <w:p w14:paraId="49F7ED46">
      <w:pPr>
        <w:pStyle w:val="25"/>
        <w:spacing w:line="360" w:lineRule="exact"/>
        <w:ind w:firstLine="413" w:firstLineChars="197"/>
        <w:rPr>
          <w:rFonts w:hAnsi="宋体"/>
          <w:color w:val="000000"/>
          <w:sz w:val="21"/>
          <w:highlight w:val="none"/>
        </w:rPr>
      </w:pPr>
      <w:r>
        <w:rPr>
          <w:rFonts w:hint="eastAsia" w:hAnsi="宋体"/>
          <w:color w:val="000000"/>
          <w:sz w:val="21"/>
          <w:highlight w:val="none"/>
        </w:rPr>
        <w:t>事实依据：</w:t>
      </w:r>
      <w:r>
        <w:rPr>
          <w:rFonts w:hint="eastAsia" w:hAnsi="宋体"/>
          <w:bCs/>
          <w:color w:val="000000"/>
          <w:sz w:val="21"/>
          <w:highlight w:val="none"/>
          <w:u w:val="single"/>
        </w:rPr>
        <w:t xml:space="preserve">                                                                      </w:t>
      </w:r>
    </w:p>
    <w:p w14:paraId="2AE41727">
      <w:pPr>
        <w:pStyle w:val="25"/>
        <w:spacing w:line="360" w:lineRule="exact"/>
        <w:ind w:firstLine="413" w:firstLineChars="197"/>
        <w:rPr>
          <w:rFonts w:hAnsi="宋体"/>
          <w:color w:val="000000"/>
          <w:sz w:val="21"/>
          <w:highlight w:val="none"/>
        </w:rPr>
      </w:pPr>
      <w:r>
        <w:rPr>
          <w:rFonts w:hint="eastAsia" w:hAnsi="宋体"/>
          <w:color w:val="000000"/>
          <w:sz w:val="21"/>
          <w:highlight w:val="none"/>
        </w:rPr>
        <w:t>法律依据：</w:t>
      </w:r>
      <w:r>
        <w:rPr>
          <w:rFonts w:hint="eastAsia" w:hAnsi="宋体"/>
          <w:color w:val="000000"/>
          <w:sz w:val="21"/>
          <w:highlight w:val="none"/>
          <w:u w:val="single"/>
        </w:rPr>
        <w:t xml:space="preserve">                                                        </w:t>
      </w:r>
      <w:r>
        <w:rPr>
          <w:rFonts w:hint="eastAsia" w:hAnsi="宋体"/>
          <w:bCs/>
          <w:color w:val="000000"/>
          <w:sz w:val="21"/>
          <w:highlight w:val="none"/>
          <w:u w:val="single"/>
        </w:rPr>
        <w:t xml:space="preserve">               </w:t>
      </w:r>
    </w:p>
    <w:p w14:paraId="46D7D73F">
      <w:pPr>
        <w:pStyle w:val="25"/>
        <w:spacing w:line="360" w:lineRule="exact"/>
        <w:ind w:firstLine="413" w:firstLineChars="197"/>
        <w:rPr>
          <w:rFonts w:hAnsi="宋体"/>
          <w:color w:val="000000"/>
          <w:sz w:val="21"/>
          <w:highlight w:val="none"/>
        </w:rPr>
      </w:pPr>
      <w:r>
        <w:rPr>
          <w:rFonts w:hint="eastAsia" w:hAnsi="宋体"/>
          <w:color w:val="000000"/>
          <w:sz w:val="21"/>
          <w:highlight w:val="none"/>
        </w:rPr>
        <w:t>质疑事项2</w:t>
      </w:r>
    </w:p>
    <w:p w14:paraId="359A14A7">
      <w:pPr>
        <w:pStyle w:val="25"/>
        <w:spacing w:line="360" w:lineRule="exact"/>
        <w:ind w:firstLine="413" w:firstLineChars="197"/>
        <w:rPr>
          <w:rFonts w:hAnsi="宋体"/>
          <w:color w:val="000000"/>
          <w:sz w:val="21"/>
          <w:highlight w:val="none"/>
        </w:rPr>
      </w:pPr>
      <w:r>
        <w:rPr>
          <w:rFonts w:hAnsi="宋体"/>
          <w:color w:val="000000"/>
          <w:sz w:val="21"/>
          <w:highlight w:val="none"/>
        </w:rPr>
        <w:t>……</w:t>
      </w:r>
    </w:p>
    <w:p w14:paraId="4A17AEB6">
      <w:pPr>
        <w:pStyle w:val="25"/>
        <w:spacing w:line="360" w:lineRule="exact"/>
        <w:ind w:firstLine="413" w:firstLineChars="197"/>
        <w:rPr>
          <w:rFonts w:hAnsi="宋体"/>
          <w:color w:val="000000"/>
          <w:sz w:val="21"/>
          <w:highlight w:val="none"/>
        </w:rPr>
      </w:pPr>
      <w:r>
        <w:rPr>
          <w:rFonts w:hint="eastAsia" w:hAnsi="宋体"/>
          <w:color w:val="000000"/>
          <w:sz w:val="21"/>
          <w:highlight w:val="none"/>
        </w:rPr>
        <w:t>四、与质疑事项相关的质疑请求：</w:t>
      </w:r>
    </w:p>
    <w:p w14:paraId="7F60B110">
      <w:pPr>
        <w:pStyle w:val="25"/>
        <w:spacing w:line="360" w:lineRule="exact"/>
        <w:ind w:firstLine="413" w:firstLineChars="197"/>
        <w:rPr>
          <w:rFonts w:hAnsi="宋体"/>
          <w:color w:val="000000"/>
          <w:sz w:val="21"/>
          <w:highlight w:val="none"/>
        </w:rPr>
      </w:pPr>
      <w:r>
        <w:rPr>
          <w:rFonts w:hint="eastAsia" w:hAnsi="宋体"/>
          <w:color w:val="000000"/>
          <w:sz w:val="21"/>
          <w:highlight w:val="none"/>
        </w:rPr>
        <w:t>请求：</w:t>
      </w:r>
      <w:r>
        <w:rPr>
          <w:rFonts w:hint="eastAsia" w:hAnsi="宋体"/>
          <w:bCs/>
          <w:color w:val="000000"/>
          <w:sz w:val="21"/>
          <w:highlight w:val="none"/>
          <w:u w:val="single"/>
        </w:rPr>
        <w:t xml:space="preserve">                                                                </w:t>
      </w:r>
    </w:p>
    <w:p w14:paraId="1EE32C84">
      <w:pPr>
        <w:pStyle w:val="25"/>
        <w:spacing w:line="360" w:lineRule="exact"/>
        <w:ind w:firstLine="413" w:firstLineChars="197"/>
        <w:rPr>
          <w:rFonts w:hAnsi="宋体"/>
          <w:color w:val="000000"/>
          <w:sz w:val="21"/>
          <w:highlight w:val="none"/>
        </w:rPr>
      </w:pPr>
      <w:r>
        <w:rPr>
          <w:rFonts w:hint="eastAsia" w:hAnsi="宋体"/>
          <w:color w:val="000000"/>
          <w:sz w:val="21"/>
          <w:highlight w:val="none"/>
        </w:rPr>
        <w:t>签字（签章）：                                       公章：</w:t>
      </w:r>
    </w:p>
    <w:p w14:paraId="23CEC1DF">
      <w:pPr>
        <w:pStyle w:val="25"/>
        <w:spacing w:line="360" w:lineRule="exact"/>
        <w:ind w:firstLine="413" w:firstLineChars="197"/>
        <w:rPr>
          <w:rFonts w:hAnsi="宋体"/>
          <w:b/>
          <w:color w:val="000000"/>
          <w:sz w:val="21"/>
          <w:highlight w:val="none"/>
        </w:rPr>
      </w:pPr>
      <w:r>
        <w:rPr>
          <w:rFonts w:hint="eastAsia" w:hAnsi="宋体"/>
          <w:color w:val="000000"/>
          <w:sz w:val="21"/>
          <w:highlight w:val="none"/>
        </w:rPr>
        <w:t>日期：</w:t>
      </w:r>
    </w:p>
    <w:p w14:paraId="6533C419">
      <w:pPr>
        <w:pStyle w:val="25"/>
        <w:snapToGrid w:val="0"/>
        <w:spacing w:line="360" w:lineRule="exact"/>
        <w:rPr>
          <w:rFonts w:hAnsi="宋体"/>
          <w:b/>
          <w:color w:val="000000"/>
          <w:sz w:val="21"/>
          <w:highlight w:val="none"/>
        </w:rPr>
      </w:pPr>
      <w:r>
        <w:rPr>
          <w:rFonts w:hint="eastAsia" w:hAnsi="宋体"/>
          <w:b/>
          <w:color w:val="000000"/>
          <w:sz w:val="21"/>
          <w:highlight w:val="none"/>
        </w:rPr>
        <w:t>说明：</w:t>
      </w:r>
    </w:p>
    <w:p w14:paraId="4CDDB848">
      <w:pPr>
        <w:pStyle w:val="25"/>
        <w:spacing w:line="360" w:lineRule="exact"/>
        <w:ind w:firstLine="310" w:firstLineChars="147"/>
        <w:rPr>
          <w:rFonts w:hAnsi="宋体"/>
          <w:b/>
          <w:bCs/>
          <w:color w:val="000000"/>
          <w:sz w:val="21"/>
          <w:highlight w:val="none"/>
        </w:rPr>
      </w:pPr>
      <w:r>
        <w:rPr>
          <w:rFonts w:hint="eastAsia" w:hAnsi="宋体"/>
          <w:b/>
          <w:color w:val="000000"/>
          <w:sz w:val="21"/>
          <w:highlight w:val="none"/>
        </w:rPr>
        <w:t>1.供应商提出质疑时，应提交质疑函和必要的证明材料</w:t>
      </w:r>
      <w:r>
        <w:rPr>
          <w:rFonts w:hint="eastAsia" w:hAnsi="宋体"/>
          <w:b/>
          <w:bCs/>
          <w:color w:val="000000"/>
          <w:sz w:val="21"/>
          <w:highlight w:val="none"/>
        </w:rPr>
        <w:t>。</w:t>
      </w:r>
    </w:p>
    <w:p w14:paraId="21EA2969">
      <w:pPr>
        <w:pStyle w:val="25"/>
        <w:spacing w:line="360" w:lineRule="exact"/>
        <w:ind w:firstLine="310" w:firstLineChars="147"/>
        <w:rPr>
          <w:rFonts w:hAnsi="宋体"/>
          <w:b/>
          <w:color w:val="000000"/>
          <w:sz w:val="21"/>
          <w:highlight w:val="none"/>
        </w:rPr>
      </w:pPr>
      <w:r>
        <w:rPr>
          <w:rFonts w:hint="eastAsia" w:hAnsi="宋体"/>
          <w:b/>
          <w:color w:val="000000"/>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6C9BD2F">
      <w:pPr>
        <w:pStyle w:val="25"/>
        <w:spacing w:line="360" w:lineRule="exact"/>
        <w:ind w:firstLine="310" w:firstLineChars="147"/>
        <w:rPr>
          <w:rFonts w:hAnsi="宋体"/>
          <w:b/>
          <w:color w:val="000000"/>
          <w:sz w:val="21"/>
          <w:highlight w:val="none"/>
        </w:rPr>
      </w:pPr>
      <w:r>
        <w:rPr>
          <w:rFonts w:hint="eastAsia" w:hAnsi="宋体"/>
          <w:b/>
          <w:color w:val="000000"/>
          <w:sz w:val="21"/>
          <w:highlight w:val="none"/>
        </w:rPr>
        <w:t>3.质疑函的质疑事项应具体、明确，并有必要的事实依据和法律依据。</w:t>
      </w:r>
    </w:p>
    <w:p w14:paraId="3F8930AB">
      <w:pPr>
        <w:pStyle w:val="25"/>
        <w:spacing w:line="360" w:lineRule="exact"/>
        <w:ind w:firstLine="310" w:firstLineChars="147"/>
        <w:rPr>
          <w:rFonts w:hAnsi="宋体"/>
          <w:b/>
          <w:color w:val="000000"/>
          <w:sz w:val="21"/>
          <w:highlight w:val="none"/>
        </w:rPr>
      </w:pPr>
      <w:r>
        <w:rPr>
          <w:rFonts w:hint="eastAsia" w:hAnsi="宋体"/>
          <w:b/>
          <w:color w:val="000000"/>
          <w:sz w:val="21"/>
          <w:highlight w:val="none"/>
        </w:rPr>
        <w:t>4.质疑函的质疑请求应与质疑事项相关。</w:t>
      </w:r>
    </w:p>
    <w:p w14:paraId="2CB79A12">
      <w:pPr>
        <w:pStyle w:val="25"/>
        <w:spacing w:line="360" w:lineRule="exact"/>
        <w:ind w:firstLine="310" w:firstLineChars="147"/>
        <w:rPr>
          <w:rFonts w:hAnsi="宋体"/>
          <w:b/>
          <w:color w:val="000000"/>
          <w:sz w:val="21"/>
          <w:highlight w:val="none"/>
        </w:rPr>
      </w:pPr>
      <w:r>
        <w:rPr>
          <w:rFonts w:hint="eastAsia" w:hAnsi="宋体"/>
          <w:b/>
          <w:color w:val="000000"/>
          <w:sz w:val="21"/>
          <w:highlight w:val="none"/>
        </w:rPr>
        <w:t>5.质疑供应商为法人或者其他组织的，质疑函应由法定代表人（或负责人）、主要负责人，或者其授权代表签字或者盖章，并加盖公章。</w:t>
      </w: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461CFAD-5263-435B-8F5B-8913AAB5D711}"/>
  </w:font>
  <w:font w:name="黑体">
    <w:panose1 w:val="02010609060101010101"/>
    <w:charset w:val="86"/>
    <w:family w:val="auto"/>
    <w:pitch w:val="default"/>
    <w:sig w:usb0="800002BF" w:usb1="38CF7CFA" w:usb2="00000016" w:usb3="00000000" w:csb0="00040001" w:csb1="00000000"/>
    <w:embedRegular r:id="rId2" w:fontKey="{0334E576-DA86-4467-9ED7-EFC7507868A7}"/>
  </w:font>
  <w:font w:name="Courier New">
    <w:panose1 w:val="02070309020205020404"/>
    <w:charset w:val="01"/>
    <w:family w:val="modern"/>
    <w:pitch w:val="default"/>
    <w:sig w:usb0="E0002AFF" w:usb1="C0007843" w:usb2="00000009" w:usb3="00000000" w:csb0="400001FF" w:csb1="FFFF0000"/>
    <w:embedRegular r:id="rId3" w:fontKey="{08973F0D-34F2-4029-A7C5-BD88B36BC74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C8CD363A-6E76-45C2-8FEF-9B6446001DE7}"/>
  </w:font>
  <w:font w:name="Cambria">
    <w:panose1 w:val="02040503050406030204"/>
    <w:charset w:val="00"/>
    <w:family w:val="roman"/>
    <w:pitch w:val="default"/>
    <w:sig w:usb0="E00002FF" w:usb1="400004FF" w:usb2="00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Century">
    <w:altName w:val="Bookman Old Style"/>
    <w:panose1 w:val="02040604050505020304"/>
    <w:charset w:val="00"/>
    <w:family w:val="roman"/>
    <w:pitch w:val="default"/>
    <w:sig w:usb0="00000000" w:usb1="00000000" w:usb2="00000000" w:usb3="00000000" w:csb0="2000009F" w:csb1="DFD70000"/>
  </w:font>
  <w:font w:name="Bookman Old Style">
    <w:panose1 w:val="02050604050505020204"/>
    <w:charset w:val="00"/>
    <w:family w:val="auto"/>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embedRegular r:id="rId5" w:fontKey="{0B4E70E7-25BB-4303-91A5-403D5A05565B}"/>
  </w:font>
  <w:font w:name="方正小标宋_GBK">
    <w:panose1 w:val="03000509000000000000"/>
    <w:charset w:val="86"/>
    <w:family w:val="auto"/>
    <w:pitch w:val="default"/>
    <w:sig w:usb0="00000001" w:usb1="080E0000" w:usb2="00000000" w:usb3="00000000" w:csb0="00040000" w:csb1="00000000"/>
    <w:embedRegular r:id="rId6" w:fontKey="{07AC7904-49C8-4F58-80C1-36B18AACABDF}"/>
  </w:font>
  <w:font w:name="微软雅黑">
    <w:panose1 w:val="020B0503020204020204"/>
    <w:charset w:val="86"/>
    <w:family w:val="swiss"/>
    <w:pitch w:val="default"/>
    <w:sig w:usb0="80000287" w:usb1="280F3C52" w:usb2="00000016" w:usb3="00000000" w:csb0="0004001F" w:csb1="00000000"/>
    <w:embedRegular r:id="rId7" w:fontKey="{C15C0691-2954-40E8-8CA5-555B41B2697C}"/>
  </w:font>
  <w:font w:name="Segoe UI Symbol">
    <w:panose1 w:val="020B0502040204020203"/>
    <w:charset w:val="00"/>
    <w:family w:val="swiss"/>
    <w:pitch w:val="default"/>
    <w:sig w:usb0="8000006F" w:usb1="1200FBEF" w:usb2="0064C000" w:usb3="00000002" w:csb0="00000001" w:csb1="40000000"/>
    <w:embedRegular r:id="rId8" w:fontKey="{953BC28A-47E1-43E1-9B35-A9BB97311396}"/>
  </w:font>
  <w:font w:name="Wingdings 2">
    <w:panose1 w:val="05020102010507070707"/>
    <w:charset w:val="02"/>
    <w:family w:val="roman"/>
    <w:pitch w:val="default"/>
    <w:sig w:usb0="00000000" w:usb1="00000000" w:usb2="00000000" w:usb3="00000000" w:csb0="80000000" w:csb1="00000000"/>
    <w:embedRegular r:id="rId9" w:fontKey="{AF1AAFA5-F992-4DD7-817A-25CD65B3A86B}"/>
  </w:font>
  <w:font w:name="Helvetica">
    <w:altName w:val="Arial"/>
    <w:panose1 w:val="020B0604020202020204"/>
    <w:charset w:val="00"/>
    <w:family w:val="swiss"/>
    <w:pitch w:val="default"/>
    <w:sig w:usb0="00000000" w:usb1="00000000" w:usb2="00000009" w:usb3="00000000" w:csb0="000001FF" w:csb1="00000000"/>
    <w:embedRegular r:id="rId10" w:fontKey="{E99C227F-C64B-4D5A-8D5A-6CBB29DCA16E}"/>
  </w:font>
  <w:font w:name="仿宋">
    <w:panose1 w:val="02010609060101010101"/>
    <w:charset w:val="86"/>
    <w:family w:val="auto"/>
    <w:pitch w:val="default"/>
    <w:sig w:usb0="800002BF" w:usb1="38CF7CFA" w:usb2="00000016" w:usb3="00000000" w:csb0="00040001" w:csb1="00000000"/>
    <w:embedRegular r:id="rId11" w:fontKey="{0D6FBF1D-39CC-4322-AC7A-532DBCA35B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70EBE">
    <w:pPr>
      <w:pStyle w:val="31"/>
      <w:framePr w:wrap="around" w:vAnchor="text" w:hAnchor="margin" w:xAlign="center" w:y="1"/>
      <w:rPr>
        <w:rStyle w:val="53"/>
      </w:rPr>
    </w:pPr>
    <w:r>
      <w:fldChar w:fldCharType="begin"/>
    </w:r>
    <w:r>
      <w:rPr>
        <w:rStyle w:val="53"/>
      </w:rPr>
      <w:instrText xml:space="preserve">PAGE  </w:instrText>
    </w:r>
    <w:r>
      <w:fldChar w:fldCharType="end"/>
    </w:r>
  </w:p>
  <w:p w14:paraId="3B821E93">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066DB">
    <w:pPr>
      <w:pStyle w:val="31"/>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A7789">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3A482">
    <w:pPr>
      <w:pStyle w:val="31"/>
      <w:jc w:val="center"/>
    </w:pPr>
    <w:r>
      <w:fldChar w:fldCharType="begin"/>
    </w:r>
    <w:r>
      <w:instrText xml:space="preserve">PAGE   \* MERGEFORMAT</w:instrText>
    </w:r>
    <w:r>
      <w:fldChar w:fldCharType="separate"/>
    </w:r>
    <w:r>
      <w:rPr>
        <w:lang w:val="zh-CN"/>
      </w:rPr>
      <w:t>2</w:t>
    </w:r>
    <w:r>
      <w:fldChar w:fldCharType="end"/>
    </w:r>
  </w:p>
  <w:p w14:paraId="52417306">
    <w:pPr>
      <w:pStyle w:val="31"/>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8F278">
    <w:pPr>
      <w:pStyle w:val="31"/>
      <w:jc w:val="center"/>
    </w:pPr>
    <w:r>
      <w:fldChar w:fldCharType="begin"/>
    </w:r>
    <w:r>
      <w:instrText xml:space="preserve"> PAGE   \* MERGEFORMAT </w:instrText>
    </w:r>
    <w:r>
      <w:fldChar w:fldCharType="separate"/>
    </w:r>
    <w:r>
      <w:rPr>
        <w:lang w:val="zh-CN"/>
      </w:rPr>
      <w:t>6</w:t>
    </w:r>
    <w:r>
      <w:fldChar w:fldCharType="end"/>
    </w:r>
  </w:p>
  <w:p w14:paraId="49F2F0E9">
    <w:pPr>
      <w:pStyle w:val="3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96906">
    <w:pPr>
      <w:pStyle w:val="31"/>
      <w:jc w:val="center"/>
    </w:pPr>
    <w:r>
      <w:fldChar w:fldCharType="begin"/>
    </w:r>
    <w:r>
      <w:instrText xml:space="preserve"> PAGE   \* MERGEFORMAT </w:instrText>
    </w:r>
    <w:r>
      <w:fldChar w:fldCharType="separate"/>
    </w:r>
    <w:r>
      <w:rPr>
        <w:lang w:val="zh-CN"/>
      </w:rPr>
      <w:t>177</w:t>
    </w:r>
    <w:r>
      <w:fldChar w:fldCharType="end"/>
    </w:r>
  </w:p>
  <w:p w14:paraId="524B0950">
    <w:pPr>
      <w:pStyle w:val="3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0E227">
    <w:pPr>
      <w:pStyle w:val="31"/>
      <w:framePr w:wrap="around" w:vAnchor="text" w:hAnchor="margin" w:xAlign="center" w:y="1"/>
      <w:rPr>
        <w:rStyle w:val="53"/>
      </w:rPr>
    </w:pPr>
    <w:r>
      <w:fldChar w:fldCharType="begin"/>
    </w:r>
    <w:r>
      <w:rPr>
        <w:rStyle w:val="53"/>
      </w:rPr>
      <w:instrText xml:space="preserve">PAGE  </w:instrText>
    </w:r>
    <w:r>
      <w:fldChar w:fldCharType="end"/>
    </w:r>
  </w:p>
  <w:p w14:paraId="438547D0">
    <w:pPr>
      <w:pStyle w:val="3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E975B">
    <w:pPr>
      <w:pStyle w:val="31"/>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2926E">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D8E3E">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14C06"/>
    <w:multiLevelType w:val="singleLevel"/>
    <w:tmpl w:val="94814C06"/>
    <w:lvl w:ilvl="0" w:tentative="0">
      <w:start w:val="1"/>
      <w:numFmt w:val="decimal"/>
      <w:lvlText w:val="%1."/>
      <w:lvlJc w:val="left"/>
      <w:pPr>
        <w:tabs>
          <w:tab w:val="left" w:pos="312"/>
        </w:tabs>
      </w:pPr>
    </w:lvl>
  </w:abstractNum>
  <w:abstractNum w:abstractNumId="1">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2">
    <w:nsid w:val="116DD0DB"/>
    <w:multiLevelType w:val="singleLevel"/>
    <w:tmpl w:val="116DD0DB"/>
    <w:lvl w:ilvl="0" w:tentative="0">
      <w:start w:val="1"/>
      <w:numFmt w:val="decimal"/>
      <w:lvlText w:val="%1."/>
      <w:lvlJc w:val="left"/>
      <w:pPr>
        <w:tabs>
          <w:tab w:val="left" w:pos="312"/>
        </w:tabs>
      </w:pPr>
    </w:lvl>
  </w:abstractNum>
  <w:abstractNum w:abstractNumId="3">
    <w:nsid w:val="17A3F6B7"/>
    <w:multiLevelType w:val="singleLevel"/>
    <w:tmpl w:val="17A3F6B7"/>
    <w:lvl w:ilvl="0" w:tentative="0">
      <w:start w:val="1"/>
      <w:numFmt w:val="chineseCounting"/>
      <w:suff w:val="nothing"/>
      <w:lvlText w:val="（%1）"/>
      <w:lvlJc w:val="left"/>
      <w:rPr>
        <w:rFonts w:hint="eastAsia"/>
      </w:rPr>
    </w:lvl>
  </w:abstractNum>
  <w:abstractNum w:abstractNumId="4">
    <w:nsid w:val="2CB5AFC1"/>
    <w:multiLevelType w:val="singleLevel"/>
    <w:tmpl w:val="2CB5AFC1"/>
    <w:lvl w:ilvl="0" w:tentative="0">
      <w:start w:val="1"/>
      <w:numFmt w:val="chineseCounting"/>
      <w:suff w:val="nothing"/>
      <w:lvlText w:val="（%1）"/>
      <w:lvlJc w:val="left"/>
      <w:rPr>
        <w:rFonts w:hint="eastAsia"/>
      </w:rPr>
    </w:lvl>
  </w:abstractNum>
  <w:abstractNum w:abstractNumId="5">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6">
    <w:nsid w:val="39BAA070"/>
    <w:multiLevelType w:val="singleLevel"/>
    <w:tmpl w:val="39BAA070"/>
    <w:lvl w:ilvl="0" w:tentative="0">
      <w:start w:val="1"/>
      <w:numFmt w:val="chineseCounting"/>
      <w:suff w:val="nothing"/>
      <w:lvlText w:val="（%1）"/>
      <w:lvlJc w:val="left"/>
      <w:rPr>
        <w:rFonts w:hint="eastAsia"/>
        <w:color w:val="auto"/>
      </w:rPr>
    </w:lvl>
  </w:abstractNum>
  <w:abstractNum w:abstractNumId="7">
    <w:nsid w:val="4C601917"/>
    <w:multiLevelType w:val="singleLevel"/>
    <w:tmpl w:val="4C601917"/>
    <w:lvl w:ilvl="0" w:tentative="0">
      <w:start w:val="1"/>
      <w:numFmt w:val="decimal"/>
      <w:suff w:val="nothing"/>
      <w:lvlText w:val="（%1）"/>
      <w:lvlJc w:val="left"/>
      <w:pPr>
        <w:ind w:left="-2"/>
      </w:pPr>
    </w:lvl>
  </w:abstractNum>
  <w:abstractNum w:abstractNumId="8">
    <w:nsid w:val="53C8E603"/>
    <w:multiLevelType w:val="singleLevel"/>
    <w:tmpl w:val="53C8E603"/>
    <w:lvl w:ilvl="0" w:tentative="0">
      <w:start w:val="1"/>
      <w:numFmt w:val="chineseCounting"/>
      <w:suff w:val="nothing"/>
      <w:lvlText w:val="（%1）"/>
      <w:lvlJc w:val="left"/>
      <w:rPr>
        <w:rFonts w:hint="eastAsia"/>
      </w:rPr>
    </w:lvl>
  </w:abstractNum>
  <w:abstractNum w:abstractNumId="9">
    <w:nsid w:val="5FABD14B"/>
    <w:multiLevelType w:val="singleLevel"/>
    <w:tmpl w:val="5FABD14B"/>
    <w:lvl w:ilvl="0" w:tentative="0">
      <w:start w:val="1"/>
      <w:numFmt w:val="decimal"/>
      <w:suff w:val="nothing"/>
      <w:lvlText w:val="（%1）"/>
      <w:lvlJc w:val="left"/>
    </w:lvl>
  </w:abstractNum>
  <w:abstractNum w:abstractNumId="10">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5"/>
  </w:num>
  <w:num w:numId="2">
    <w:abstractNumId w:val="1"/>
  </w:num>
  <w:num w:numId="3">
    <w:abstractNumId w:val="0"/>
  </w:num>
  <w:num w:numId="4">
    <w:abstractNumId w:val="2"/>
  </w:num>
  <w:num w:numId="5">
    <w:abstractNumId w:val="8"/>
  </w:num>
  <w:num w:numId="6">
    <w:abstractNumId w:val="4"/>
  </w:num>
  <w:num w:numId="7">
    <w:abstractNumId w:val="3"/>
  </w:num>
  <w:num w:numId="8">
    <w:abstractNumId w:val="6"/>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wZTQxYjgzMDhjODgzM2MxNDAyM2ZlNzI0Y2Y4NDgifQ=="/>
    <w:docVar w:name="KSO_WPS_MARK_KEY" w:val="e814579a-5265-4428-ae59-e5318e80cd07"/>
  </w:docVars>
  <w:rsids>
    <w:rsidRoot w:val="00F9008B"/>
    <w:rsid w:val="0000010C"/>
    <w:rsid w:val="00000266"/>
    <w:rsid w:val="000004FE"/>
    <w:rsid w:val="00000FE0"/>
    <w:rsid w:val="00001068"/>
    <w:rsid w:val="0000114A"/>
    <w:rsid w:val="000011FA"/>
    <w:rsid w:val="00001731"/>
    <w:rsid w:val="00001C2D"/>
    <w:rsid w:val="00001C55"/>
    <w:rsid w:val="00001CA8"/>
    <w:rsid w:val="00001FAE"/>
    <w:rsid w:val="00002291"/>
    <w:rsid w:val="0000257D"/>
    <w:rsid w:val="00002DBF"/>
    <w:rsid w:val="00002EC0"/>
    <w:rsid w:val="00003224"/>
    <w:rsid w:val="000033F5"/>
    <w:rsid w:val="0000358C"/>
    <w:rsid w:val="00003BEF"/>
    <w:rsid w:val="00003D90"/>
    <w:rsid w:val="00004130"/>
    <w:rsid w:val="0000431F"/>
    <w:rsid w:val="00004634"/>
    <w:rsid w:val="0000494E"/>
    <w:rsid w:val="00004D8B"/>
    <w:rsid w:val="000059E2"/>
    <w:rsid w:val="000061EA"/>
    <w:rsid w:val="00006AE7"/>
    <w:rsid w:val="00006B9B"/>
    <w:rsid w:val="00006BCA"/>
    <w:rsid w:val="00006C35"/>
    <w:rsid w:val="000072B1"/>
    <w:rsid w:val="00007329"/>
    <w:rsid w:val="00007E28"/>
    <w:rsid w:val="00007E84"/>
    <w:rsid w:val="00010401"/>
    <w:rsid w:val="000105A1"/>
    <w:rsid w:val="000107AD"/>
    <w:rsid w:val="00010835"/>
    <w:rsid w:val="000117D5"/>
    <w:rsid w:val="00011842"/>
    <w:rsid w:val="00012137"/>
    <w:rsid w:val="000121FF"/>
    <w:rsid w:val="00012456"/>
    <w:rsid w:val="000125B8"/>
    <w:rsid w:val="00012692"/>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814"/>
    <w:rsid w:val="00016BF7"/>
    <w:rsid w:val="000170A9"/>
    <w:rsid w:val="0001720C"/>
    <w:rsid w:val="0001767E"/>
    <w:rsid w:val="0001776D"/>
    <w:rsid w:val="00017F31"/>
    <w:rsid w:val="00020607"/>
    <w:rsid w:val="0002103A"/>
    <w:rsid w:val="000217E4"/>
    <w:rsid w:val="00021852"/>
    <w:rsid w:val="00021A12"/>
    <w:rsid w:val="00022524"/>
    <w:rsid w:val="00022622"/>
    <w:rsid w:val="0002316F"/>
    <w:rsid w:val="00023363"/>
    <w:rsid w:val="000235F3"/>
    <w:rsid w:val="00023644"/>
    <w:rsid w:val="00023712"/>
    <w:rsid w:val="00024E3C"/>
    <w:rsid w:val="00024EB0"/>
    <w:rsid w:val="0002646A"/>
    <w:rsid w:val="0002651D"/>
    <w:rsid w:val="00026CFD"/>
    <w:rsid w:val="00027C8B"/>
    <w:rsid w:val="00027CD9"/>
    <w:rsid w:val="00030242"/>
    <w:rsid w:val="00030B06"/>
    <w:rsid w:val="0003183A"/>
    <w:rsid w:val="00031CDC"/>
    <w:rsid w:val="000323D8"/>
    <w:rsid w:val="00032461"/>
    <w:rsid w:val="0003263B"/>
    <w:rsid w:val="0003282C"/>
    <w:rsid w:val="00032F6D"/>
    <w:rsid w:val="0003304A"/>
    <w:rsid w:val="0003317E"/>
    <w:rsid w:val="00033413"/>
    <w:rsid w:val="000337F3"/>
    <w:rsid w:val="00034B24"/>
    <w:rsid w:val="00034B74"/>
    <w:rsid w:val="00034C27"/>
    <w:rsid w:val="00034E2A"/>
    <w:rsid w:val="0003577F"/>
    <w:rsid w:val="00036466"/>
    <w:rsid w:val="0003675E"/>
    <w:rsid w:val="00037F87"/>
    <w:rsid w:val="00037FA2"/>
    <w:rsid w:val="000400D0"/>
    <w:rsid w:val="00040343"/>
    <w:rsid w:val="000425AC"/>
    <w:rsid w:val="00042F4A"/>
    <w:rsid w:val="00043AC8"/>
    <w:rsid w:val="00043BE5"/>
    <w:rsid w:val="00044003"/>
    <w:rsid w:val="00044527"/>
    <w:rsid w:val="00044897"/>
    <w:rsid w:val="00044ACF"/>
    <w:rsid w:val="00044FD5"/>
    <w:rsid w:val="000454F4"/>
    <w:rsid w:val="00045D1E"/>
    <w:rsid w:val="00045E69"/>
    <w:rsid w:val="00045EF4"/>
    <w:rsid w:val="00046547"/>
    <w:rsid w:val="000466D7"/>
    <w:rsid w:val="00046753"/>
    <w:rsid w:val="00047254"/>
    <w:rsid w:val="00047E41"/>
    <w:rsid w:val="0005022B"/>
    <w:rsid w:val="00050771"/>
    <w:rsid w:val="000509BA"/>
    <w:rsid w:val="000513F3"/>
    <w:rsid w:val="00052287"/>
    <w:rsid w:val="000522E0"/>
    <w:rsid w:val="000532F4"/>
    <w:rsid w:val="000535A9"/>
    <w:rsid w:val="000536AE"/>
    <w:rsid w:val="00053963"/>
    <w:rsid w:val="00054CD5"/>
    <w:rsid w:val="00054D03"/>
    <w:rsid w:val="000550AC"/>
    <w:rsid w:val="0005584D"/>
    <w:rsid w:val="00055CC3"/>
    <w:rsid w:val="00055CD8"/>
    <w:rsid w:val="00055CEE"/>
    <w:rsid w:val="00055FB7"/>
    <w:rsid w:val="000566FA"/>
    <w:rsid w:val="00056A2B"/>
    <w:rsid w:val="00056DA8"/>
    <w:rsid w:val="00056E37"/>
    <w:rsid w:val="00056EE2"/>
    <w:rsid w:val="00056FE2"/>
    <w:rsid w:val="000570FB"/>
    <w:rsid w:val="000575B8"/>
    <w:rsid w:val="00060131"/>
    <w:rsid w:val="0006026B"/>
    <w:rsid w:val="00060293"/>
    <w:rsid w:val="00061341"/>
    <w:rsid w:val="00061BD3"/>
    <w:rsid w:val="00061BDA"/>
    <w:rsid w:val="000621FE"/>
    <w:rsid w:val="00062B90"/>
    <w:rsid w:val="00062C70"/>
    <w:rsid w:val="00062DD0"/>
    <w:rsid w:val="00062E6F"/>
    <w:rsid w:val="000630C7"/>
    <w:rsid w:val="0006400F"/>
    <w:rsid w:val="000645DD"/>
    <w:rsid w:val="00064D7E"/>
    <w:rsid w:val="00064E35"/>
    <w:rsid w:val="00064F65"/>
    <w:rsid w:val="00064FD0"/>
    <w:rsid w:val="0006534A"/>
    <w:rsid w:val="00065A5D"/>
    <w:rsid w:val="00065BA2"/>
    <w:rsid w:val="000661CA"/>
    <w:rsid w:val="0006668D"/>
    <w:rsid w:val="00066896"/>
    <w:rsid w:val="00066FE3"/>
    <w:rsid w:val="00067002"/>
    <w:rsid w:val="00067993"/>
    <w:rsid w:val="00067B1C"/>
    <w:rsid w:val="00067CED"/>
    <w:rsid w:val="00067F66"/>
    <w:rsid w:val="0007041A"/>
    <w:rsid w:val="00070634"/>
    <w:rsid w:val="00070883"/>
    <w:rsid w:val="000708D1"/>
    <w:rsid w:val="00070C3F"/>
    <w:rsid w:val="0007102C"/>
    <w:rsid w:val="00071D68"/>
    <w:rsid w:val="00071FCE"/>
    <w:rsid w:val="00072661"/>
    <w:rsid w:val="00072CCC"/>
    <w:rsid w:val="00072E97"/>
    <w:rsid w:val="0007315D"/>
    <w:rsid w:val="00073549"/>
    <w:rsid w:val="0007483E"/>
    <w:rsid w:val="000751DB"/>
    <w:rsid w:val="0007542D"/>
    <w:rsid w:val="0007578F"/>
    <w:rsid w:val="00075E43"/>
    <w:rsid w:val="00077706"/>
    <w:rsid w:val="00077878"/>
    <w:rsid w:val="000804EF"/>
    <w:rsid w:val="000804FB"/>
    <w:rsid w:val="00080558"/>
    <w:rsid w:val="00080998"/>
    <w:rsid w:val="00081230"/>
    <w:rsid w:val="000814E2"/>
    <w:rsid w:val="000818C9"/>
    <w:rsid w:val="00081CBB"/>
    <w:rsid w:val="00081D42"/>
    <w:rsid w:val="000822EF"/>
    <w:rsid w:val="0008241E"/>
    <w:rsid w:val="000826F5"/>
    <w:rsid w:val="000829B1"/>
    <w:rsid w:val="00082AAB"/>
    <w:rsid w:val="0008307D"/>
    <w:rsid w:val="000831E9"/>
    <w:rsid w:val="000833BB"/>
    <w:rsid w:val="00084483"/>
    <w:rsid w:val="0008452D"/>
    <w:rsid w:val="0008467B"/>
    <w:rsid w:val="000850FA"/>
    <w:rsid w:val="000857A6"/>
    <w:rsid w:val="0008599A"/>
    <w:rsid w:val="00085C12"/>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411E"/>
    <w:rsid w:val="000951E7"/>
    <w:rsid w:val="000954F5"/>
    <w:rsid w:val="00095B82"/>
    <w:rsid w:val="00096098"/>
    <w:rsid w:val="000961B2"/>
    <w:rsid w:val="000969D9"/>
    <w:rsid w:val="000969ED"/>
    <w:rsid w:val="00096F37"/>
    <w:rsid w:val="00097FE5"/>
    <w:rsid w:val="000A0354"/>
    <w:rsid w:val="000A091F"/>
    <w:rsid w:val="000A0958"/>
    <w:rsid w:val="000A0A8E"/>
    <w:rsid w:val="000A0FCC"/>
    <w:rsid w:val="000A1033"/>
    <w:rsid w:val="000A2712"/>
    <w:rsid w:val="000A2877"/>
    <w:rsid w:val="000A3145"/>
    <w:rsid w:val="000A355D"/>
    <w:rsid w:val="000A35DA"/>
    <w:rsid w:val="000A371E"/>
    <w:rsid w:val="000A3DE5"/>
    <w:rsid w:val="000A4011"/>
    <w:rsid w:val="000A45D5"/>
    <w:rsid w:val="000A490E"/>
    <w:rsid w:val="000A529E"/>
    <w:rsid w:val="000A5B49"/>
    <w:rsid w:val="000A5FE5"/>
    <w:rsid w:val="000A6684"/>
    <w:rsid w:val="000A6F21"/>
    <w:rsid w:val="000A7194"/>
    <w:rsid w:val="000A7218"/>
    <w:rsid w:val="000A740A"/>
    <w:rsid w:val="000A7446"/>
    <w:rsid w:val="000A7E7F"/>
    <w:rsid w:val="000A7ECD"/>
    <w:rsid w:val="000B01AB"/>
    <w:rsid w:val="000B04DD"/>
    <w:rsid w:val="000B0F01"/>
    <w:rsid w:val="000B1346"/>
    <w:rsid w:val="000B1914"/>
    <w:rsid w:val="000B19DC"/>
    <w:rsid w:val="000B1CA2"/>
    <w:rsid w:val="000B202E"/>
    <w:rsid w:val="000B2293"/>
    <w:rsid w:val="000B24A4"/>
    <w:rsid w:val="000B255C"/>
    <w:rsid w:val="000B395E"/>
    <w:rsid w:val="000B39C3"/>
    <w:rsid w:val="000B3A00"/>
    <w:rsid w:val="000B4840"/>
    <w:rsid w:val="000B4D79"/>
    <w:rsid w:val="000B5272"/>
    <w:rsid w:val="000B5627"/>
    <w:rsid w:val="000B5671"/>
    <w:rsid w:val="000B6BF0"/>
    <w:rsid w:val="000B6CE8"/>
    <w:rsid w:val="000B7DAF"/>
    <w:rsid w:val="000C0091"/>
    <w:rsid w:val="000C0136"/>
    <w:rsid w:val="000C071C"/>
    <w:rsid w:val="000C0BB4"/>
    <w:rsid w:val="000C0BEE"/>
    <w:rsid w:val="000C0ED0"/>
    <w:rsid w:val="000C1CB9"/>
    <w:rsid w:val="000C1DFC"/>
    <w:rsid w:val="000C2159"/>
    <w:rsid w:val="000C21BB"/>
    <w:rsid w:val="000C289B"/>
    <w:rsid w:val="000C352F"/>
    <w:rsid w:val="000C36AB"/>
    <w:rsid w:val="000C3805"/>
    <w:rsid w:val="000C3F01"/>
    <w:rsid w:val="000C410D"/>
    <w:rsid w:val="000C420D"/>
    <w:rsid w:val="000C4773"/>
    <w:rsid w:val="000C4944"/>
    <w:rsid w:val="000C4E24"/>
    <w:rsid w:val="000C5C4A"/>
    <w:rsid w:val="000C5F01"/>
    <w:rsid w:val="000C5F95"/>
    <w:rsid w:val="000C63C4"/>
    <w:rsid w:val="000C66C1"/>
    <w:rsid w:val="000C6F0B"/>
    <w:rsid w:val="000C6F32"/>
    <w:rsid w:val="000C6FEF"/>
    <w:rsid w:val="000C778C"/>
    <w:rsid w:val="000C7833"/>
    <w:rsid w:val="000C7D9B"/>
    <w:rsid w:val="000C7E1B"/>
    <w:rsid w:val="000C7E73"/>
    <w:rsid w:val="000D001B"/>
    <w:rsid w:val="000D032C"/>
    <w:rsid w:val="000D0A45"/>
    <w:rsid w:val="000D136E"/>
    <w:rsid w:val="000D14AC"/>
    <w:rsid w:val="000D15BA"/>
    <w:rsid w:val="000D15BE"/>
    <w:rsid w:val="000D2BCC"/>
    <w:rsid w:val="000D2C9B"/>
    <w:rsid w:val="000D32CC"/>
    <w:rsid w:val="000D35FD"/>
    <w:rsid w:val="000D3D2D"/>
    <w:rsid w:val="000D3D99"/>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266"/>
    <w:rsid w:val="000E2A50"/>
    <w:rsid w:val="000E30F2"/>
    <w:rsid w:val="000E316B"/>
    <w:rsid w:val="000E3D08"/>
    <w:rsid w:val="000E4728"/>
    <w:rsid w:val="000E4D1F"/>
    <w:rsid w:val="000E5658"/>
    <w:rsid w:val="000E5698"/>
    <w:rsid w:val="000E5723"/>
    <w:rsid w:val="000E581B"/>
    <w:rsid w:val="000E64B2"/>
    <w:rsid w:val="000E65D2"/>
    <w:rsid w:val="000E6919"/>
    <w:rsid w:val="000E6B1B"/>
    <w:rsid w:val="000E6F0C"/>
    <w:rsid w:val="000E732D"/>
    <w:rsid w:val="000E7FA8"/>
    <w:rsid w:val="000F07ED"/>
    <w:rsid w:val="000F0CF2"/>
    <w:rsid w:val="000F1401"/>
    <w:rsid w:val="000F1A32"/>
    <w:rsid w:val="000F1CC2"/>
    <w:rsid w:val="000F1D15"/>
    <w:rsid w:val="000F270A"/>
    <w:rsid w:val="000F34C8"/>
    <w:rsid w:val="000F38BC"/>
    <w:rsid w:val="000F3E2A"/>
    <w:rsid w:val="000F4D26"/>
    <w:rsid w:val="000F5639"/>
    <w:rsid w:val="000F58A4"/>
    <w:rsid w:val="000F5F99"/>
    <w:rsid w:val="000F6833"/>
    <w:rsid w:val="000F6A24"/>
    <w:rsid w:val="000F7616"/>
    <w:rsid w:val="000F7DE9"/>
    <w:rsid w:val="000F7F7A"/>
    <w:rsid w:val="001002F4"/>
    <w:rsid w:val="001011FC"/>
    <w:rsid w:val="0010165F"/>
    <w:rsid w:val="00101E7C"/>
    <w:rsid w:val="001023DC"/>
    <w:rsid w:val="00102572"/>
    <w:rsid w:val="00102946"/>
    <w:rsid w:val="00102FBF"/>
    <w:rsid w:val="0010333D"/>
    <w:rsid w:val="0010372A"/>
    <w:rsid w:val="00103F41"/>
    <w:rsid w:val="00104662"/>
    <w:rsid w:val="00104F34"/>
    <w:rsid w:val="001053C5"/>
    <w:rsid w:val="001055AD"/>
    <w:rsid w:val="00105B3E"/>
    <w:rsid w:val="00105C14"/>
    <w:rsid w:val="001065A3"/>
    <w:rsid w:val="00106610"/>
    <w:rsid w:val="00106831"/>
    <w:rsid w:val="0010683E"/>
    <w:rsid w:val="0010691D"/>
    <w:rsid w:val="00106B33"/>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16C"/>
    <w:rsid w:val="001153EF"/>
    <w:rsid w:val="00115D55"/>
    <w:rsid w:val="00115E45"/>
    <w:rsid w:val="00115F85"/>
    <w:rsid w:val="0011688E"/>
    <w:rsid w:val="00116ACD"/>
    <w:rsid w:val="0011718F"/>
    <w:rsid w:val="00117B7D"/>
    <w:rsid w:val="00117EFC"/>
    <w:rsid w:val="001205A8"/>
    <w:rsid w:val="00121766"/>
    <w:rsid w:val="00122A64"/>
    <w:rsid w:val="00123694"/>
    <w:rsid w:val="0012388A"/>
    <w:rsid w:val="0012388C"/>
    <w:rsid w:val="00123AFA"/>
    <w:rsid w:val="00123C8C"/>
    <w:rsid w:val="00123E8B"/>
    <w:rsid w:val="00124B43"/>
    <w:rsid w:val="00124DF8"/>
    <w:rsid w:val="001253EA"/>
    <w:rsid w:val="00125B99"/>
    <w:rsid w:val="00126160"/>
    <w:rsid w:val="00126DB5"/>
    <w:rsid w:val="00127178"/>
    <w:rsid w:val="00127F09"/>
    <w:rsid w:val="0013002A"/>
    <w:rsid w:val="0013085D"/>
    <w:rsid w:val="0013089C"/>
    <w:rsid w:val="00130A2D"/>
    <w:rsid w:val="00130F54"/>
    <w:rsid w:val="001310EE"/>
    <w:rsid w:val="00131888"/>
    <w:rsid w:val="00131F17"/>
    <w:rsid w:val="0013212F"/>
    <w:rsid w:val="001323F9"/>
    <w:rsid w:val="0013251F"/>
    <w:rsid w:val="00133088"/>
    <w:rsid w:val="0013321E"/>
    <w:rsid w:val="00133346"/>
    <w:rsid w:val="001335B1"/>
    <w:rsid w:val="00133B4E"/>
    <w:rsid w:val="0013410F"/>
    <w:rsid w:val="001346AF"/>
    <w:rsid w:val="00134990"/>
    <w:rsid w:val="00134FB4"/>
    <w:rsid w:val="001354D1"/>
    <w:rsid w:val="00135840"/>
    <w:rsid w:val="00135A0A"/>
    <w:rsid w:val="00135BB9"/>
    <w:rsid w:val="0013621D"/>
    <w:rsid w:val="00136354"/>
    <w:rsid w:val="00136674"/>
    <w:rsid w:val="00136B0E"/>
    <w:rsid w:val="00136C3B"/>
    <w:rsid w:val="001376AB"/>
    <w:rsid w:val="0013777C"/>
    <w:rsid w:val="00137D5F"/>
    <w:rsid w:val="00140082"/>
    <w:rsid w:val="00140175"/>
    <w:rsid w:val="00140757"/>
    <w:rsid w:val="00140D07"/>
    <w:rsid w:val="00141A3A"/>
    <w:rsid w:val="001423FA"/>
    <w:rsid w:val="001427B5"/>
    <w:rsid w:val="001428CF"/>
    <w:rsid w:val="00142D0C"/>
    <w:rsid w:val="00142E3C"/>
    <w:rsid w:val="00143387"/>
    <w:rsid w:val="00144013"/>
    <w:rsid w:val="001455C3"/>
    <w:rsid w:val="00145A17"/>
    <w:rsid w:val="00145BBE"/>
    <w:rsid w:val="001460B5"/>
    <w:rsid w:val="0014641F"/>
    <w:rsid w:val="001464A8"/>
    <w:rsid w:val="001467BB"/>
    <w:rsid w:val="00146CA8"/>
    <w:rsid w:val="0014723E"/>
    <w:rsid w:val="00147884"/>
    <w:rsid w:val="00150664"/>
    <w:rsid w:val="00150827"/>
    <w:rsid w:val="00150B0D"/>
    <w:rsid w:val="00150E10"/>
    <w:rsid w:val="00151A32"/>
    <w:rsid w:val="00151BDE"/>
    <w:rsid w:val="00151E31"/>
    <w:rsid w:val="00151F9B"/>
    <w:rsid w:val="00152289"/>
    <w:rsid w:val="00152425"/>
    <w:rsid w:val="00152BAD"/>
    <w:rsid w:val="00152CE3"/>
    <w:rsid w:val="00153652"/>
    <w:rsid w:val="00153697"/>
    <w:rsid w:val="00153956"/>
    <w:rsid w:val="00153B95"/>
    <w:rsid w:val="00154146"/>
    <w:rsid w:val="00154190"/>
    <w:rsid w:val="001545EA"/>
    <w:rsid w:val="001549BA"/>
    <w:rsid w:val="00154BBF"/>
    <w:rsid w:val="00155099"/>
    <w:rsid w:val="00155C85"/>
    <w:rsid w:val="00156A6C"/>
    <w:rsid w:val="00156B10"/>
    <w:rsid w:val="00157673"/>
    <w:rsid w:val="001576FE"/>
    <w:rsid w:val="00157823"/>
    <w:rsid w:val="0015790D"/>
    <w:rsid w:val="00157C5E"/>
    <w:rsid w:val="00157DD3"/>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BA1"/>
    <w:rsid w:val="00163DDF"/>
    <w:rsid w:val="00163F22"/>
    <w:rsid w:val="0016417B"/>
    <w:rsid w:val="0016470E"/>
    <w:rsid w:val="001649D3"/>
    <w:rsid w:val="00164E0A"/>
    <w:rsid w:val="001652D7"/>
    <w:rsid w:val="00165816"/>
    <w:rsid w:val="00165A5F"/>
    <w:rsid w:val="001661D0"/>
    <w:rsid w:val="00166223"/>
    <w:rsid w:val="0016793E"/>
    <w:rsid w:val="00167D4D"/>
    <w:rsid w:val="0017054C"/>
    <w:rsid w:val="00170635"/>
    <w:rsid w:val="0017070D"/>
    <w:rsid w:val="00170837"/>
    <w:rsid w:val="00171035"/>
    <w:rsid w:val="001713B7"/>
    <w:rsid w:val="00171ADB"/>
    <w:rsid w:val="00171E2C"/>
    <w:rsid w:val="00172029"/>
    <w:rsid w:val="001733A4"/>
    <w:rsid w:val="001735D4"/>
    <w:rsid w:val="00173AB9"/>
    <w:rsid w:val="00173EED"/>
    <w:rsid w:val="00174368"/>
    <w:rsid w:val="001744EA"/>
    <w:rsid w:val="00174D3A"/>
    <w:rsid w:val="00174D82"/>
    <w:rsid w:val="00174E44"/>
    <w:rsid w:val="00175053"/>
    <w:rsid w:val="001753B7"/>
    <w:rsid w:val="001757E7"/>
    <w:rsid w:val="00175873"/>
    <w:rsid w:val="00175C59"/>
    <w:rsid w:val="001760BC"/>
    <w:rsid w:val="0017627C"/>
    <w:rsid w:val="00176674"/>
    <w:rsid w:val="00176818"/>
    <w:rsid w:val="00176B82"/>
    <w:rsid w:val="00176E3B"/>
    <w:rsid w:val="00176ECB"/>
    <w:rsid w:val="0017752D"/>
    <w:rsid w:val="0017759F"/>
    <w:rsid w:val="00177832"/>
    <w:rsid w:val="0018057A"/>
    <w:rsid w:val="0018094E"/>
    <w:rsid w:val="00181178"/>
    <w:rsid w:val="0018119E"/>
    <w:rsid w:val="0018152C"/>
    <w:rsid w:val="00181A74"/>
    <w:rsid w:val="00181DBA"/>
    <w:rsid w:val="00181EEF"/>
    <w:rsid w:val="00181F3E"/>
    <w:rsid w:val="00182FE0"/>
    <w:rsid w:val="00183911"/>
    <w:rsid w:val="001845FB"/>
    <w:rsid w:val="00184FB1"/>
    <w:rsid w:val="001857FB"/>
    <w:rsid w:val="00185DA6"/>
    <w:rsid w:val="00185DB2"/>
    <w:rsid w:val="00185F64"/>
    <w:rsid w:val="00186096"/>
    <w:rsid w:val="001862FE"/>
    <w:rsid w:val="001866F1"/>
    <w:rsid w:val="00186E20"/>
    <w:rsid w:val="0018772E"/>
    <w:rsid w:val="00187A94"/>
    <w:rsid w:val="0019029E"/>
    <w:rsid w:val="00190804"/>
    <w:rsid w:val="0019088F"/>
    <w:rsid w:val="00190C51"/>
    <w:rsid w:val="0019170B"/>
    <w:rsid w:val="00193ACC"/>
    <w:rsid w:val="00193BFE"/>
    <w:rsid w:val="00195322"/>
    <w:rsid w:val="0019560E"/>
    <w:rsid w:val="001958E3"/>
    <w:rsid w:val="0019601B"/>
    <w:rsid w:val="00196048"/>
    <w:rsid w:val="00196A82"/>
    <w:rsid w:val="0019769B"/>
    <w:rsid w:val="001979B2"/>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89C"/>
    <w:rsid w:val="001A3B75"/>
    <w:rsid w:val="001A4027"/>
    <w:rsid w:val="001A46FB"/>
    <w:rsid w:val="001A4EA6"/>
    <w:rsid w:val="001A4EC9"/>
    <w:rsid w:val="001A5944"/>
    <w:rsid w:val="001A5FB1"/>
    <w:rsid w:val="001A698A"/>
    <w:rsid w:val="001A6CCC"/>
    <w:rsid w:val="001A6E3B"/>
    <w:rsid w:val="001A70C8"/>
    <w:rsid w:val="001A71C9"/>
    <w:rsid w:val="001A7429"/>
    <w:rsid w:val="001A75F7"/>
    <w:rsid w:val="001A760C"/>
    <w:rsid w:val="001A770F"/>
    <w:rsid w:val="001A7977"/>
    <w:rsid w:val="001A799B"/>
    <w:rsid w:val="001A7AC7"/>
    <w:rsid w:val="001A7C38"/>
    <w:rsid w:val="001B00C5"/>
    <w:rsid w:val="001B02F8"/>
    <w:rsid w:val="001B1CEF"/>
    <w:rsid w:val="001B2104"/>
    <w:rsid w:val="001B2279"/>
    <w:rsid w:val="001B2729"/>
    <w:rsid w:val="001B2866"/>
    <w:rsid w:val="001B2881"/>
    <w:rsid w:val="001B2B73"/>
    <w:rsid w:val="001B3675"/>
    <w:rsid w:val="001B37C8"/>
    <w:rsid w:val="001B48BA"/>
    <w:rsid w:val="001B4B2C"/>
    <w:rsid w:val="001B4F10"/>
    <w:rsid w:val="001B5154"/>
    <w:rsid w:val="001B54BF"/>
    <w:rsid w:val="001B614D"/>
    <w:rsid w:val="001B6E30"/>
    <w:rsid w:val="001B7C83"/>
    <w:rsid w:val="001B7D67"/>
    <w:rsid w:val="001B7F9E"/>
    <w:rsid w:val="001C0206"/>
    <w:rsid w:val="001C0246"/>
    <w:rsid w:val="001C04D4"/>
    <w:rsid w:val="001C0B34"/>
    <w:rsid w:val="001C12A3"/>
    <w:rsid w:val="001C17BB"/>
    <w:rsid w:val="001C187E"/>
    <w:rsid w:val="001C1A37"/>
    <w:rsid w:val="001C1B4B"/>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B5C"/>
    <w:rsid w:val="001C7155"/>
    <w:rsid w:val="001C7E48"/>
    <w:rsid w:val="001D039B"/>
    <w:rsid w:val="001D0849"/>
    <w:rsid w:val="001D1258"/>
    <w:rsid w:val="001D1AB8"/>
    <w:rsid w:val="001D2150"/>
    <w:rsid w:val="001D286F"/>
    <w:rsid w:val="001D2C94"/>
    <w:rsid w:val="001D33D9"/>
    <w:rsid w:val="001D36F6"/>
    <w:rsid w:val="001D3BEF"/>
    <w:rsid w:val="001D3DAD"/>
    <w:rsid w:val="001D4303"/>
    <w:rsid w:val="001D45E5"/>
    <w:rsid w:val="001D461A"/>
    <w:rsid w:val="001D4A9D"/>
    <w:rsid w:val="001D4AAD"/>
    <w:rsid w:val="001D5AFA"/>
    <w:rsid w:val="001D652D"/>
    <w:rsid w:val="001D686F"/>
    <w:rsid w:val="001D784A"/>
    <w:rsid w:val="001E04A4"/>
    <w:rsid w:val="001E07C5"/>
    <w:rsid w:val="001E176D"/>
    <w:rsid w:val="001E1BCE"/>
    <w:rsid w:val="001E1E05"/>
    <w:rsid w:val="001E2086"/>
    <w:rsid w:val="001E339F"/>
    <w:rsid w:val="001E3629"/>
    <w:rsid w:val="001E3E7D"/>
    <w:rsid w:val="001E40F0"/>
    <w:rsid w:val="001E4172"/>
    <w:rsid w:val="001E4F08"/>
    <w:rsid w:val="001E5490"/>
    <w:rsid w:val="001E5730"/>
    <w:rsid w:val="001E5E2E"/>
    <w:rsid w:val="001E6352"/>
    <w:rsid w:val="001E6ADE"/>
    <w:rsid w:val="001E70AD"/>
    <w:rsid w:val="001E7237"/>
    <w:rsid w:val="001E7AD1"/>
    <w:rsid w:val="001E7AF6"/>
    <w:rsid w:val="001F01B8"/>
    <w:rsid w:val="001F0FC3"/>
    <w:rsid w:val="001F1188"/>
    <w:rsid w:val="001F1B8D"/>
    <w:rsid w:val="001F2353"/>
    <w:rsid w:val="001F274F"/>
    <w:rsid w:val="001F289C"/>
    <w:rsid w:val="001F2BF9"/>
    <w:rsid w:val="001F3AF2"/>
    <w:rsid w:val="001F6008"/>
    <w:rsid w:val="001F604B"/>
    <w:rsid w:val="001F641B"/>
    <w:rsid w:val="001F6D4D"/>
    <w:rsid w:val="00200D69"/>
    <w:rsid w:val="0020130D"/>
    <w:rsid w:val="00201916"/>
    <w:rsid w:val="00201D06"/>
    <w:rsid w:val="00201E9F"/>
    <w:rsid w:val="00201EDF"/>
    <w:rsid w:val="0020217D"/>
    <w:rsid w:val="00202F25"/>
    <w:rsid w:val="002035B3"/>
    <w:rsid w:val="00203929"/>
    <w:rsid w:val="00203CD6"/>
    <w:rsid w:val="00203D01"/>
    <w:rsid w:val="00204460"/>
    <w:rsid w:val="002051EA"/>
    <w:rsid w:val="00205CBC"/>
    <w:rsid w:val="00206259"/>
    <w:rsid w:val="002074B7"/>
    <w:rsid w:val="0020758D"/>
    <w:rsid w:val="00207C7B"/>
    <w:rsid w:val="00211470"/>
    <w:rsid w:val="00211922"/>
    <w:rsid w:val="0021213A"/>
    <w:rsid w:val="002121B4"/>
    <w:rsid w:val="0021265F"/>
    <w:rsid w:val="00213232"/>
    <w:rsid w:val="00213817"/>
    <w:rsid w:val="00214428"/>
    <w:rsid w:val="002145EB"/>
    <w:rsid w:val="00214F82"/>
    <w:rsid w:val="00215033"/>
    <w:rsid w:val="00215834"/>
    <w:rsid w:val="00215A2A"/>
    <w:rsid w:val="00215CC2"/>
    <w:rsid w:val="00215ED8"/>
    <w:rsid w:val="00215FAF"/>
    <w:rsid w:val="00217700"/>
    <w:rsid w:val="002177E2"/>
    <w:rsid w:val="0021783B"/>
    <w:rsid w:val="002205F3"/>
    <w:rsid w:val="0022085B"/>
    <w:rsid w:val="00220E53"/>
    <w:rsid w:val="0022176C"/>
    <w:rsid w:val="002225D1"/>
    <w:rsid w:val="002230FA"/>
    <w:rsid w:val="00223DF2"/>
    <w:rsid w:val="002249A2"/>
    <w:rsid w:val="00224C0C"/>
    <w:rsid w:val="002256C2"/>
    <w:rsid w:val="002256D0"/>
    <w:rsid w:val="00225C8E"/>
    <w:rsid w:val="00226428"/>
    <w:rsid w:val="002265A9"/>
    <w:rsid w:val="002266CB"/>
    <w:rsid w:val="00227052"/>
    <w:rsid w:val="002272D5"/>
    <w:rsid w:val="0022738E"/>
    <w:rsid w:val="00227906"/>
    <w:rsid w:val="00227934"/>
    <w:rsid w:val="00227E21"/>
    <w:rsid w:val="00231D05"/>
    <w:rsid w:val="0023241A"/>
    <w:rsid w:val="002336E2"/>
    <w:rsid w:val="00233AC2"/>
    <w:rsid w:val="00233BAF"/>
    <w:rsid w:val="00233E3A"/>
    <w:rsid w:val="00233F80"/>
    <w:rsid w:val="00235420"/>
    <w:rsid w:val="00235700"/>
    <w:rsid w:val="002374CA"/>
    <w:rsid w:val="0024065B"/>
    <w:rsid w:val="002409A6"/>
    <w:rsid w:val="00240C63"/>
    <w:rsid w:val="00240D91"/>
    <w:rsid w:val="00240EA5"/>
    <w:rsid w:val="00241132"/>
    <w:rsid w:val="00241205"/>
    <w:rsid w:val="002418C5"/>
    <w:rsid w:val="002421FD"/>
    <w:rsid w:val="0024261D"/>
    <w:rsid w:val="00242712"/>
    <w:rsid w:val="00242DFB"/>
    <w:rsid w:val="00243807"/>
    <w:rsid w:val="002440AC"/>
    <w:rsid w:val="00244365"/>
    <w:rsid w:val="0024459A"/>
    <w:rsid w:val="002446A3"/>
    <w:rsid w:val="00244771"/>
    <w:rsid w:val="00244903"/>
    <w:rsid w:val="00244AFB"/>
    <w:rsid w:val="002453DF"/>
    <w:rsid w:val="00245A81"/>
    <w:rsid w:val="002462A5"/>
    <w:rsid w:val="00246B86"/>
    <w:rsid w:val="00247335"/>
    <w:rsid w:val="002473EF"/>
    <w:rsid w:val="002477B9"/>
    <w:rsid w:val="00247B69"/>
    <w:rsid w:val="00247CBE"/>
    <w:rsid w:val="00250A1F"/>
    <w:rsid w:val="00250ADA"/>
    <w:rsid w:val="00250F1D"/>
    <w:rsid w:val="00251FF1"/>
    <w:rsid w:val="002520BA"/>
    <w:rsid w:val="00252234"/>
    <w:rsid w:val="002528E3"/>
    <w:rsid w:val="00252944"/>
    <w:rsid w:val="00252D55"/>
    <w:rsid w:val="00252D82"/>
    <w:rsid w:val="00253006"/>
    <w:rsid w:val="002533F5"/>
    <w:rsid w:val="002536B3"/>
    <w:rsid w:val="00253C60"/>
    <w:rsid w:val="00253F21"/>
    <w:rsid w:val="0025429D"/>
    <w:rsid w:val="00254476"/>
    <w:rsid w:val="002549E9"/>
    <w:rsid w:val="00254FF6"/>
    <w:rsid w:val="00255099"/>
    <w:rsid w:val="002555C6"/>
    <w:rsid w:val="00255E14"/>
    <w:rsid w:val="00255FF9"/>
    <w:rsid w:val="002566DB"/>
    <w:rsid w:val="00257059"/>
    <w:rsid w:val="0025712F"/>
    <w:rsid w:val="00257395"/>
    <w:rsid w:val="00257857"/>
    <w:rsid w:val="002578DA"/>
    <w:rsid w:val="00257CBC"/>
    <w:rsid w:val="002602C2"/>
    <w:rsid w:val="002602DA"/>
    <w:rsid w:val="0026040B"/>
    <w:rsid w:val="002604F2"/>
    <w:rsid w:val="00260802"/>
    <w:rsid w:val="002609E3"/>
    <w:rsid w:val="00261223"/>
    <w:rsid w:val="002617AB"/>
    <w:rsid w:val="00261D08"/>
    <w:rsid w:val="00261DCC"/>
    <w:rsid w:val="002624D0"/>
    <w:rsid w:val="00263EC7"/>
    <w:rsid w:val="0026491B"/>
    <w:rsid w:val="00264A36"/>
    <w:rsid w:val="00264B06"/>
    <w:rsid w:val="00264C1B"/>
    <w:rsid w:val="00264E10"/>
    <w:rsid w:val="00265D10"/>
    <w:rsid w:val="00265E2E"/>
    <w:rsid w:val="00265F23"/>
    <w:rsid w:val="002661AB"/>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2C"/>
    <w:rsid w:val="00272E48"/>
    <w:rsid w:val="00272FBF"/>
    <w:rsid w:val="0027352A"/>
    <w:rsid w:val="002739B5"/>
    <w:rsid w:val="00273A10"/>
    <w:rsid w:val="00273A58"/>
    <w:rsid w:val="00274CAB"/>
    <w:rsid w:val="00274E8A"/>
    <w:rsid w:val="0027532A"/>
    <w:rsid w:val="00275A53"/>
    <w:rsid w:val="00275FCE"/>
    <w:rsid w:val="002766B8"/>
    <w:rsid w:val="0027680F"/>
    <w:rsid w:val="002777C0"/>
    <w:rsid w:val="00281006"/>
    <w:rsid w:val="002815B1"/>
    <w:rsid w:val="00281893"/>
    <w:rsid w:val="00281C1F"/>
    <w:rsid w:val="00281EEA"/>
    <w:rsid w:val="00281F88"/>
    <w:rsid w:val="0028288D"/>
    <w:rsid w:val="002829B7"/>
    <w:rsid w:val="00282B82"/>
    <w:rsid w:val="00282C74"/>
    <w:rsid w:val="00282E5B"/>
    <w:rsid w:val="00283995"/>
    <w:rsid w:val="00283B11"/>
    <w:rsid w:val="002841A9"/>
    <w:rsid w:val="00284313"/>
    <w:rsid w:val="00284554"/>
    <w:rsid w:val="002848AD"/>
    <w:rsid w:val="00284DE4"/>
    <w:rsid w:val="00285154"/>
    <w:rsid w:val="00285BF2"/>
    <w:rsid w:val="00285C78"/>
    <w:rsid w:val="00285DF8"/>
    <w:rsid w:val="00285E54"/>
    <w:rsid w:val="002863CE"/>
    <w:rsid w:val="00287E20"/>
    <w:rsid w:val="00290721"/>
    <w:rsid w:val="0029110F"/>
    <w:rsid w:val="00291492"/>
    <w:rsid w:val="00291527"/>
    <w:rsid w:val="0029199A"/>
    <w:rsid w:val="00291BBE"/>
    <w:rsid w:val="00291BE0"/>
    <w:rsid w:val="00291FEB"/>
    <w:rsid w:val="00293146"/>
    <w:rsid w:val="002931B5"/>
    <w:rsid w:val="0029361E"/>
    <w:rsid w:val="002939F4"/>
    <w:rsid w:val="00293D68"/>
    <w:rsid w:val="0029408A"/>
    <w:rsid w:val="00294352"/>
    <w:rsid w:val="002944A0"/>
    <w:rsid w:val="002946E4"/>
    <w:rsid w:val="0029495C"/>
    <w:rsid w:val="002957D9"/>
    <w:rsid w:val="00295B52"/>
    <w:rsid w:val="00296024"/>
    <w:rsid w:val="00296293"/>
    <w:rsid w:val="00296AF7"/>
    <w:rsid w:val="002972F9"/>
    <w:rsid w:val="00297612"/>
    <w:rsid w:val="002977CA"/>
    <w:rsid w:val="00297ED7"/>
    <w:rsid w:val="002A0007"/>
    <w:rsid w:val="002A03AA"/>
    <w:rsid w:val="002A056D"/>
    <w:rsid w:val="002A07FE"/>
    <w:rsid w:val="002A094D"/>
    <w:rsid w:val="002A0CAF"/>
    <w:rsid w:val="002A0DDB"/>
    <w:rsid w:val="002A1565"/>
    <w:rsid w:val="002A16A9"/>
    <w:rsid w:val="002A1D40"/>
    <w:rsid w:val="002A2941"/>
    <w:rsid w:val="002A2DC4"/>
    <w:rsid w:val="002A33DB"/>
    <w:rsid w:val="002A3E69"/>
    <w:rsid w:val="002A44F9"/>
    <w:rsid w:val="002A49EF"/>
    <w:rsid w:val="002A4B8B"/>
    <w:rsid w:val="002A5107"/>
    <w:rsid w:val="002A535E"/>
    <w:rsid w:val="002A5DBD"/>
    <w:rsid w:val="002A6406"/>
    <w:rsid w:val="002A6432"/>
    <w:rsid w:val="002A6CF0"/>
    <w:rsid w:val="002A6FFC"/>
    <w:rsid w:val="002A7010"/>
    <w:rsid w:val="002A70BA"/>
    <w:rsid w:val="002A7A57"/>
    <w:rsid w:val="002A7BB2"/>
    <w:rsid w:val="002A7DCB"/>
    <w:rsid w:val="002B0685"/>
    <w:rsid w:val="002B0B53"/>
    <w:rsid w:val="002B1144"/>
    <w:rsid w:val="002B1617"/>
    <w:rsid w:val="002B1A90"/>
    <w:rsid w:val="002B1D11"/>
    <w:rsid w:val="002B2519"/>
    <w:rsid w:val="002B273B"/>
    <w:rsid w:val="002B29AA"/>
    <w:rsid w:val="002B2A7E"/>
    <w:rsid w:val="002B2F1B"/>
    <w:rsid w:val="002B3332"/>
    <w:rsid w:val="002B34C7"/>
    <w:rsid w:val="002B3C17"/>
    <w:rsid w:val="002B5269"/>
    <w:rsid w:val="002B5AFB"/>
    <w:rsid w:val="002B6320"/>
    <w:rsid w:val="002B6499"/>
    <w:rsid w:val="002B66AC"/>
    <w:rsid w:val="002B6852"/>
    <w:rsid w:val="002B77E1"/>
    <w:rsid w:val="002B77EA"/>
    <w:rsid w:val="002B7B20"/>
    <w:rsid w:val="002C0656"/>
    <w:rsid w:val="002C0714"/>
    <w:rsid w:val="002C0A96"/>
    <w:rsid w:val="002C1422"/>
    <w:rsid w:val="002C1697"/>
    <w:rsid w:val="002C1BF4"/>
    <w:rsid w:val="002C1E0D"/>
    <w:rsid w:val="002C2266"/>
    <w:rsid w:val="002C22BB"/>
    <w:rsid w:val="002C2356"/>
    <w:rsid w:val="002C28EB"/>
    <w:rsid w:val="002C316C"/>
    <w:rsid w:val="002C3265"/>
    <w:rsid w:val="002C3AED"/>
    <w:rsid w:val="002C3E56"/>
    <w:rsid w:val="002C414C"/>
    <w:rsid w:val="002C4696"/>
    <w:rsid w:val="002C49F8"/>
    <w:rsid w:val="002C4C2F"/>
    <w:rsid w:val="002C5776"/>
    <w:rsid w:val="002C5EED"/>
    <w:rsid w:val="002C66DE"/>
    <w:rsid w:val="002C7193"/>
    <w:rsid w:val="002C7699"/>
    <w:rsid w:val="002C7A49"/>
    <w:rsid w:val="002D0128"/>
    <w:rsid w:val="002D0638"/>
    <w:rsid w:val="002D0E85"/>
    <w:rsid w:val="002D0FA7"/>
    <w:rsid w:val="002D122D"/>
    <w:rsid w:val="002D12FB"/>
    <w:rsid w:val="002D19D1"/>
    <w:rsid w:val="002D1F35"/>
    <w:rsid w:val="002D1FA3"/>
    <w:rsid w:val="002D20CD"/>
    <w:rsid w:val="002D23C6"/>
    <w:rsid w:val="002D24F0"/>
    <w:rsid w:val="002D25EB"/>
    <w:rsid w:val="002D29F3"/>
    <w:rsid w:val="002D3126"/>
    <w:rsid w:val="002D3203"/>
    <w:rsid w:val="002D3529"/>
    <w:rsid w:val="002D3D0A"/>
    <w:rsid w:val="002D3EF0"/>
    <w:rsid w:val="002D478E"/>
    <w:rsid w:val="002D47AE"/>
    <w:rsid w:val="002D4A94"/>
    <w:rsid w:val="002D52B6"/>
    <w:rsid w:val="002D65FF"/>
    <w:rsid w:val="002D6D10"/>
    <w:rsid w:val="002D71E2"/>
    <w:rsid w:val="002D7B6A"/>
    <w:rsid w:val="002E0026"/>
    <w:rsid w:val="002E08E8"/>
    <w:rsid w:val="002E0918"/>
    <w:rsid w:val="002E0BAA"/>
    <w:rsid w:val="002E0D96"/>
    <w:rsid w:val="002E0EA5"/>
    <w:rsid w:val="002E0F1C"/>
    <w:rsid w:val="002E1E19"/>
    <w:rsid w:val="002E1FAC"/>
    <w:rsid w:val="002E27CE"/>
    <w:rsid w:val="002E283F"/>
    <w:rsid w:val="002E2854"/>
    <w:rsid w:val="002E2E69"/>
    <w:rsid w:val="002E2E74"/>
    <w:rsid w:val="002E32D2"/>
    <w:rsid w:val="002E361B"/>
    <w:rsid w:val="002E37AB"/>
    <w:rsid w:val="002E3A80"/>
    <w:rsid w:val="002E3FB9"/>
    <w:rsid w:val="002E41C7"/>
    <w:rsid w:val="002E51DF"/>
    <w:rsid w:val="002E57B9"/>
    <w:rsid w:val="002E6127"/>
    <w:rsid w:val="002E6885"/>
    <w:rsid w:val="002E72E4"/>
    <w:rsid w:val="002E739D"/>
    <w:rsid w:val="002F0F36"/>
    <w:rsid w:val="002F1276"/>
    <w:rsid w:val="002F175B"/>
    <w:rsid w:val="002F1986"/>
    <w:rsid w:val="002F1E5F"/>
    <w:rsid w:val="002F2A49"/>
    <w:rsid w:val="002F3550"/>
    <w:rsid w:val="002F3A4F"/>
    <w:rsid w:val="002F3B63"/>
    <w:rsid w:val="002F3C56"/>
    <w:rsid w:val="002F46B0"/>
    <w:rsid w:val="002F4B17"/>
    <w:rsid w:val="002F5150"/>
    <w:rsid w:val="002F5463"/>
    <w:rsid w:val="002F58C2"/>
    <w:rsid w:val="002F5932"/>
    <w:rsid w:val="002F5C85"/>
    <w:rsid w:val="002F603B"/>
    <w:rsid w:val="002F6201"/>
    <w:rsid w:val="002F6493"/>
    <w:rsid w:val="002F724B"/>
    <w:rsid w:val="002F72BA"/>
    <w:rsid w:val="00300267"/>
    <w:rsid w:val="003004D2"/>
    <w:rsid w:val="00300D6B"/>
    <w:rsid w:val="00301380"/>
    <w:rsid w:val="00301E89"/>
    <w:rsid w:val="00302052"/>
    <w:rsid w:val="00302142"/>
    <w:rsid w:val="00302169"/>
    <w:rsid w:val="00302612"/>
    <w:rsid w:val="00303254"/>
    <w:rsid w:val="003032D8"/>
    <w:rsid w:val="003044D9"/>
    <w:rsid w:val="00304D8A"/>
    <w:rsid w:val="00305216"/>
    <w:rsid w:val="0030555B"/>
    <w:rsid w:val="003061F5"/>
    <w:rsid w:val="00306A49"/>
    <w:rsid w:val="00306D27"/>
    <w:rsid w:val="0030722F"/>
    <w:rsid w:val="0030739C"/>
    <w:rsid w:val="00307A2C"/>
    <w:rsid w:val="00310D51"/>
    <w:rsid w:val="00311B36"/>
    <w:rsid w:val="00311C92"/>
    <w:rsid w:val="00313321"/>
    <w:rsid w:val="003133AE"/>
    <w:rsid w:val="0031371B"/>
    <w:rsid w:val="00314156"/>
    <w:rsid w:val="00314CF8"/>
    <w:rsid w:val="0031535B"/>
    <w:rsid w:val="003154DD"/>
    <w:rsid w:val="00315FEA"/>
    <w:rsid w:val="00316EEC"/>
    <w:rsid w:val="00316F76"/>
    <w:rsid w:val="003170F4"/>
    <w:rsid w:val="0032005E"/>
    <w:rsid w:val="0032035D"/>
    <w:rsid w:val="003205E9"/>
    <w:rsid w:val="00320B28"/>
    <w:rsid w:val="0032123E"/>
    <w:rsid w:val="003216D5"/>
    <w:rsid w:val="003216FF"/>
    <w:rsid w:val="00321866"/>
    <w:rsid w:val="00321A83"/>
    <w:rsid w:val="00321C1A"/>
    <w:rsid w:val="00321F6B"/>
    <w:rsid w:val="00322389"/>
    <w:rsid w:val="003223CA"/>
    <w:rsid w:val="00322BE5"/>
    <w:rsid w:val="00322E87"/>
    <w:rsid w:val="0032312D"/>
    <w:rsid w:val="0032342F"/>
    <w:rsid w:val="00323AA5"/>
    <w:rsid w:val="003242E4"/>
    <w:rsid w:val="0032468D"/>
    <w:rsid w:val="00324926"/>
    <w:rsid w:val="00324B25"/>
    <w:rsid w:val="0032522F"/>
    <w:rsid w:val="003253C4"/>
    <w:rsid w:val="0032550F"/>
    <w:rsid w:val="00325992"/>
    <w:rsid w:val="00325B74"/>
    <w:rsid w:val="0032638F"/>
    <w:rsid w:val="00326B59"/>
    <w:rsid w:val="00326BD4"/>
    <w:rsid w:val="00326E49"/>
    <w:rsid w:val="003272C6"/>
    <w:rsid w:val="00327752"/>
    <w:rsid w:val="00327C7C"/>
    <w:rsid w:val="00330009"/>
    <w:rsid w:val="003301E6"/>
    <w:rsid w:val="003310AB"/>
    <w:rsid w:val="003314D2"/>
    <w:rsid w:val="003315A9"/>
    <w:rsid w:val="00331712"/>
    <w:rsid w:val="00331A3F"/>
    <w:rsid w:val="00332191"/>
    <w:rsid w:val="00332720"/>
    <w:rsid w:val="00332EED"/>
    <w:rsid w:val="00332F1F"/>
    <w:rsid w:val="003334A7"/>
    <w:rsid w:val="003337E8"/>
    <w:rsid w:val="00333A14"/>
    <w:rsid w:val="00333B2A"/>
    <w:rsid w:val="00333FD5"/>
    <w:rsid w:val="003350E9"/>
    <w:rsid w:val="003351BA"/>
    <w:rsid w:val="0033520F"/>
    <w:rsid w:val="0033596B"/>
    <w:rsid w:val="00335A93"/>
    <w:rsid w:val="0033650E"/>
    <w:rsid w:val="00336907"/>
    <w:rsid w:val="003369DF"/>
    <w:rsid w:val="00336AD1"/>
    <w:rsid w:val="00336C71"/>
    <w:rsid w:val="00336D96"/>
    <w:rsid w:val="00336DFC"/>
    <w:rsid w:val="00337230"/>
    <w:rsid w:val="003377D0"/>
    <w:rsid w:val="00337D75"/>
    <w:rsid w:val="00340020"/>
    <w:rsid w:val="00340AFD"/>
    <w:rsid w:val="00341162"/>
    <w:rsid w:val="00341866"/>
    <w:rsid w:val="00341DAF"/>
    <w:rsid w:val="00342181"/>
    <w:rsid w:val="00342B37"/>
    <w:rsid w:val="00343560"/>
    <w:rsid w:val="00343A20"/>
    <w:rsid w:val="0034402B"/>
    <w:rsid w:val="0034449E"/>
    <w:rsid w:val="00344D46"/>
    <w:rsid w:val="003451F0"/>
    <w:rsid w:val="003465A5"/>
    <w:rsid w:val="00346817"/>
    <w:rsid w:val="00347440"/>
    <w:rsid w:val="003475EA"/>
    <w:rsid w:val="00347A27"/>
    <w:rsid w:val="00347CD4"/>
    <w:rsid w:val="00347E2E"/>
    <w:rsid w:val="00350A55"/>
    <w:rsid w:val="00350DF8"/>
    <w:rsid w:val="00351A8A"/>
    <w:rsid w:val="0035266A"/>
    <w:rsid w:val="0035279C"/>
    <w:rsid w:val="003535D2"/>
    <w:rsid w:val="0035384D"/>
    <w:rsid w:val="00353C0B"/>
    <w:rsid w:val="00354AE4"/>
    <w:rsid w:val="00354B0A"/>
    <w:rsid w:val="00355264"/>
    <w:rsid w:val="0035551B"/>
    <w:rsid w:val="003555ED"/>
    <w:rsid w:val="00355911"/>
    <w:rsid w:val="00355BFC"/>
    <w:rsid w:val="0035636B"/>
    <w:rsid w:val="00356433"/>
    <w:rsid w:val="00357424"/>
    <w:rsid w:val="00357BE9"/>
    <w:rsid w:val="003601A2"/>
    <w:rsid w:val="003605DB"/>
    <w:rsid w:val="00361327"/>
    <w:rsid w:val="00361789"/>
    <w:rsid w:val="0036196D"/>
    <w:rsid w:val="00361A59"/>
    <w:rsid w:val="00362136"/>
    <w:rsid w:val="0036261F"/>
    <w:rsid w:val="003627BD"/>
    <w:rsid w:val="00362997"/>
    <w:rsid w:val="00362BBC"/>
    <w:rsid w:val="00362C59"/>
    <w:rsid w:val="00363040"/>
    <w:rsid w:val="003630B7"/>
    <w:rsid w:val="00363786"/>
    <w:rsid w:val="003638A4"/>
    <w:rsid w:val="003639BF"/>
    <w:rsid w:val="00363E41"/>
    <w:rsid w:val="00363FD2"/>
    <w:rsid w:val="0036447A"/>
    <w:rsid w:val="0036572E"/>
    <w:rsid w:val="00366168"/>
    <w:rsid w:val="003663D9"/>
    <w:rsid w:val="003666BF"/>
    <w:rsid w:val="00366707"/>
    <w:rsid w:val="00366FA9"/>
    <w:rsid w:val="00367B19"/>
    <w:rsid w:val="00367E49"/>
    <w:rsid w:val="003700E6"/>
    <w:rsid w:val="0037017C"/>
    <w:rsid w:val="00370490"/>
    <w:rsid w:val="00370633"/>
    <w:rsid w:val="003719D9"/>
    <w:rsid w:val="00371C86"/>
    <w:rsid w:val="0037236C"/>
    <w:rsid w:val="003729DE"/>
    <w:rsid w:val="00372BBF"/>
    <w:rsid w:val="003735D3"/>
    <w:rsid w:val="0037386D"/>
    <w:rsid w:val="00373956"/>
    <w:rsid w:val="003739A4"/>
    <w:rsid w:val="00374153"/>
    <w:rsid w:val="00374671"/>
    <w:rsid w:val="003750E0"/>
    <w:rsid w:val="00375AF1"/>
    <w:rsid w:val="00375C2F"/>
    <w:rsid w:val="00375FC5"/>
    <w:rsid w:val="00376943"/>
    <w:rsid w:val="003769BA"/>
    <w:rsid w:val="00377871"/>
    <w:rsid w:val="003778AA"/>
    <w:rsid w:val="003778B2"/>
    <w:rsid w:val="00377D0E"/>
    <w:rsid w:val="00377E58"/>
    <w:rsid w:val="003804EE"/>
    <w:rsid w:val="003805E3"/>
    <w:rsid w:val="00380618"/>
    <w:rsid w:val="0038062E"/>
    <w:rsid w:val="003806D7"/>
    <w:rsid w:val="003807F7"/>
    <w:rsid w:val="00381610"/>
    <w:rsid w:val="00382106"/>
    <w:rsid w:val="00382657"/>
    <w:rsid w:val="00382708"/>
    <w:rsid w:val="00382B82"/>
    <w:rsid w:val="003834CE"/>
    <w:rsid w:val="003844BF"/>
    <w:rsid w:val="00384F87"/>
    <w:rsid w:val="0038518F"/>
    <w:rsid w:val="003854D5"/>
    <w:rsid w:val="0038552A"/>
    <w:rsid w:val="003856F1"/>
    <w:rsid w:val="003859EA"/>
    <w:rsid w:val="0038709E"/>
    <w:rsid w:val="00387D30"/>
    <w:rsid w:val="00391753"/>
    <w:rsid w:val="00391C7F"/>
    <w:rsid w:val="00392454"/>
    <w:rsid w:val="00392C85"/>
    <w:rsid w:val="00392FD8"/>
    <w:rsid w:val="00393E11"/>
    <w:rsid w:val="00394475"/>
    <w:rsid w:val="0039517A"/>
    <w:rsid w:val="003958B9"/>
    <w:rsid w:val="00395B51"/>
    <w:rsid w:val="00396796"/>
    <w:rsid w:val="00396EC6"/>
    <w:rsid w:val="003970BA"/>
    <w:rsid w:val="0039746C"/>
    <w:rsid w:val="003978CA"/>
    <w:rsid w:val="00397DC6"/>
    <w:rsid w:val="003A0E82"/>
    <w:rsid w:val="003A0FAC"/>
    <w:rsid w:val="003A184D"/>
    <w:rsid w:val="003A1F68"/>
    <w:rsid w:val="003A1FB7"/>
    <w:rsid w:val="003A371E"/>
    <w:rsid w:val="003A3957"/>
    <w:rsid w:val="003A462A"/>
    <w:rsid w:val="003A595F"/>
    <w:rsid w:val="003A5EEC"/>
    <w:rsid w:val="003A6B7A"/>
    <w:rsid w:val="003A79AE"/>
    <w:rsid w:val="003A7CA3"/>
    <w:rsid w:val="003B00B6"/>
    <w:rsid w:val="003B01C4"/>
    <w:rsid w:val="003B04D0"/>
    <w:rsid w:val="003B09D5"/>
    <w:rsid w:val="003B0BB0"/>
    <w:rsid w:val="003B11EE"/>
    <w:rsid w:val="003B15F8"/>
    <w:rsid w:val="003B1B60"/>
    <w:rsid w:val="003B230B"/>
    <w:rsid w:val="003B23BC"/>
    <w:rsid w:val="003B28BA"/>
    <w:rsid w:val="003B28F6"/>
    <w:rsid w:val="003B2DB5"/>
    <w:rsid w:val="003B2F05"/>
    <w:rsid w:val="003B3966"/>
    <w:rsid w:val="003B39B7"/>
    <w:rsid w:val="003B463A"/>
    <w:rsid w:val="003B4754"/>
    <w:rsid w:val="003B4EB0"/>
    <w:rsid w:val="003B5094"/>
    <w:rsid w:val="003B518A"/>
    <w:rsid w:val="003B5F6A"/>
    <w:rsid w:val="003B6B7F"/>
    <w:rsid w:val="003B7820"/>
    <w:rsid w:val="003C01A4"/>
    <w:rsid w:val="003C0219"/>
    <w:rsid w:val="003C0C12"/>
    <w:rsid w:val="003C16EE"/>
    <w:rsid w:val="003C1C87"/>
    <w:rsid w:val="003C2C85"/>
    <w:rsid w:val="003C2F61"/>
    <w:rsid w:val="003C345E"/>
    <w:rsid w:val="003C4409"/>
    <w:rsid w:val="003C4997"/>
    <w:rsid w:val="003C4DA5"/>
    <w:rsid w:val="003C502A"/>
    <w:rsid w:val="003C540F"/>
    <w:rsid w:val="003C5666"/>
    <w:rsid w:val="003C60CC"/>
    <w:rsid w:val="003C64F4"/>
    <w:rsid w:val="003C6D4E"/>
    <w:rsid w:val="003C724B"/>
    <w:rsid w:val="003C73DB"/>
    <w:rsid w:val="003D0185"/>
    <w:rsid w:val="003D02CB"/>
    <w:rsid w:val="003D0382"/>
    <w:rsid w:val="003D069C"/>
    <w:rsid w:val="003D18F6"/>
    <w:rsid w:val="003D191E"/>
    <w:rsid w:val="003D1A19"/>
    <w:rsid w:val="003D2027"/>
    <w:rsid w:val="003D22A5"/>
    <w:rsid w:val="003D23A4"/>
    <w:rsid w:val="003D3414"/>
    <w:rsid w:val="003D3426"/>
    <w:rsid w:val="003D3654"/>
    <w:rsid w:val="003D3721"/>
    <w:rsid w:val="003D413A"/>
    <w:rsid w:val="003D4A9F"/>
    <w:rsid w:val="003D6722"/>
    <w:rsid w:val="003D7428"/>
    <w:rsid w:val="003D7627"/>
    <w:rsid w:val="003D77F2"/>
    <w:rsid w:val="003D78CC"/>
    <w:rsid w:val="003D7D01"/>
    <w:rsid w:val="003D7D25"/>
    <w:rsid w:val="003D7ED8"/>
    <w:rsid w:val="003E0003"/>
    <w:rsid w:val="003E0099"/>
    <w:rsid w:val="003E08C7"/>
    <w:rsid w:val="003E1427"/>
    <w:rsid w:val="003E1A72"/>
    <w:rsid w:val="003E1C35"/>
    <w:rsid w:val="003E2582"/>
    <w:rsid w:val="003E2880"/>
    <w:rsid w:val="003E28FB"/>
    <w:rsid w:val="003E2A00"/>
    <w:rsid w:val="003E382C"/>
    <w:rsid w:val="003E3D00"/>
    <w:rsid w:val="003E3D4C"/>
    <w:rsid w:val="003E4531"/>
    <w:rsid w:val="003E4771"/>
    <w:rsid w:val="003E54A8"/>
    <w:rsid w:val="003E5833"/>
    <w:rsid w:val="003E5DA8"/>
    <w:rsid w:val="003E7109"/>
    <w:rsid w:val="003E77DC"/>
    <w:rsid w:val="003E7BC1"/>
    <w:rsid w:val="003F0453"/>
    <w:rsid w:val="003F0C9F"/>
    <w:rsid w:val="003F144A"/>
    <w:rsid w:val="003F18FB"/>
    <w:rsid w:val="003F1B02"/>
    <w:rsid w:val="003F1EFE"/>
    <w:rsid w:val="003F2240"/>
    <w:rsid w:val="003F2460"/>
    <w:rsid w:val="003F2E7B"/>
    <w:rsid w:val="003F3CD5"/>
    <w:rsid w:val="003F4473"/>
    <w:rsid w:val="003F4CF5"/>
    <w:rsid w:val="003F4E31"/>
    <w:rsid w:val="003F51EE"/>
    <w:rsid w:val="003F574E"/>
    <w:rsid w:val="003F60D6"/>
    <w:rsid w:val="003F68E9"/>
    <w:rsid w:val="003F728C"/>
    <w:rsid w:val="003F73DE"/>
    <w:rsid w:val="003F7E15"/>
    <w:rsid w:val="003F7FDA"/>
    <w:rsid w:val="00400E65"/>
    <w:rsid w:val="00401296"/>
    <w:rsid w:val="004013AD"/>
    <w:rsid w:val="00401E20"/>
    <w:rsid w:val="004021C0"/>
    <w:rsid w:val="004024F9"/>
    <w:rsid w:val="004028CE"/>
    <w:rsid w:val="0040313D"/>
    <w:rsid w:val="004043FA"/>
    <w:rsid w:val="00404970"/>
    <w:rsid w:val="00405181"/>
    <w:rsid w:val="0040567F"/>
    <w:rsid w:val="00405873"/>
    <w:rsid w:val="00405F09"/>
    <w:rsid w:val="00405F3A"/>
    <w:rsid w:val="004066F4"/>
    <w:rsid w:val="00406A32"/>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4D7"/>
    <w:rsid w:val="00414BB4"/>
    <w:rsid w:val="00414D68"/>
    <w:rsid w:val="00414FD9"/>
    <w:rsid w:val="00415773"/>
    <w:rsid w:val="00415CAE"/>
    <w:rsid w:val="00415EE7"/>
    <w:rsid w:val="004160FA"/>
    <w:rsid w:val="0041669E"/>
    <w:rsid w:val="00416ACA"/>
    <w:rsid w:val="00416C56"/>
    <w:rsid w:val="00417294"/>
    <w:rsid w:val="004176B8"/>
    <w:rsid w:val="00417B99"/>
    <w:rsid w:val="00417CE0"/>
    <w:rsid w:val="004209D5"/>
    <w:rsid w:val="00420FAF"/>
    <w:rsid w:val="00421184"/>
    <w:rsid w:val="004212C1"/>
    <w:rsid w:val="004214B7"/>
    <w:rsid w:val="00421510"/>
    <w:rsid w:val="004217CC"/>
    <w:rsid w:val="00421FB5"/>
    <w:rsid w:val="004226ED"/>
    <w:rsid w:val="00422AF4"/>
    <w:rsid w:val="004235F4"/>
    <w:rsid w:val="004236C9"/>
    <w:rsid w:val="00423CF3"/>
    <w:rsid w:val="00423E18"/>
    <w:rsid w:val="004245E4"/>
    <w:rsid w:val="00424B7C"/>
    <w:rsid w:val="0042500C"/>
    <w:rsid w:val="00425514"/>
    <w:rsid w:val="004256BD"/>
    <w:rsid w:val="00425863"/>
    <w:rsid w:val="00425D02"/>
    <w:rsid w:val="00425EDC"/>
    <w:rsid w:val="00426C3E"/>
    <w:rsid w:val="004275CD"/>
    <w:rsid w:val="00427E74"/>
    <w:rsid w:val="00427FEB"/>
    <w:rsid w:val="00427FF2"/>
    <w:rsid w:val="004305C0"/>
    <w:rsid w:val="00430B20"/>
    <w:rsid w:val="00430B6C"/>
    <w:rsid w:val="0043227C"/>
    <w:rsid w:val="004335C0"/>
    <w:rsid w:val="004345E1"/>
    <w:rsid w:val="00435121"/>
    <w:rsid w:val="00435715"/>
    <w:rsid w:val="0043571B"/>
    <w:rsid w:val="00435EE0"/>
    <w:rsid w:val="00435F29"/>
    <w:rsid w:val="0043610C"/>
    <w:rsid w:val="004366FF"/>
    <w:rsid w:val="00437D83"/>
    <w:rsid w:val="004401DD"/>
    <w:rsid w:val="00440344"/>
    <w:rsid w:val="00441264"/>
    <w:rsid w:val="00441B0F"/>
    <w:rsid w:val="004425C6"/>
    <w:rsid w:val="00443D5D"/>
    <w:rsid w:val="00445CBA"/>
    <w:rsid w:val="004463CB"/>
    <w:rsid w:val="004466F7"/>
    <w:rsid w:val="00446858"/>
    <w:rsid w:val="00446BD4"/>
    <w:rsid w:val="00446C99"/>
    <w:rsid w:val="00447304"/>
    <w:rsid w:val="004476F6"/>
    <w:rsid w:val="00447CDD"/>
    <w:rsid w:val="00450127"/>
    <w:rsid w:val="0045075F"/>
    <w:rsid w:val="004516AD"/>
    <w:rsid w:val="00451E84"/>
    <w:rsid w:val="00451EA3"/>
    <w:rsid w:val="00451F01"/>
    <w:rsid w:val="00454145"/>
    <w:rsid w:val="00454660"/>
    <w:rsid w:val="004546A7"/>
    <w:rsid w:val="00454831"/>
    <w:rsid w:val="004548DF"/>
    <w:rsid w:val="00456CC0"/>
    <w:rsid w:val="00457933"/>
    <w:rsid w:val="00457C78"/>
    <w:rsid w:val="00460735"/>
    <w:rsid w:val="00460AD5"/>
    <w:rsid w:val="00460EB8"/>
    <w:rsid w:val="00461090"/>
    <w:rsid w:val="00461172"/>
    <w:rsid w:val="00461991"/>
    <w:rsid w:val="00461ACB"/>
    <w:rsid w:val="00461C43"/>
    <w:rsid w:val="00462125"/>
    <w:rsid w:val="00463216"/>
    <w:rsid w:val="0046334D"/>
    <w:rsid w:val="00463725"/>
    <w:rsid w:val="00463911"/>
    <w:rsid w:val="00463C95"/>
    <w:rsid w:val="00463E1C"/>
    <w:rsid w:val="00464052"/>
    <w:rsid w:val="00464236"/>
    <w:rsid w:val="00465153"/>
    <w:rsid w:val="00465602"/>
    <w:rsid w:val="004656A4"/>
    <w:rsid w:val="0046599C"/>
    <w:rsid w:val="00465F01"/>
    <w:rsid w:val="00466A4A"/>
    <w:rsid w:val="00466AFD"/>
    <w:rsid w:val="00470696"/>
    <w:rsid w:val="004713A5"/>
    <w:rsid w:val="004718E1"/>
    <w:rsid w:val="00471FEC"/>
    <w:rsid w:val="00472177"/>
    <w:rsid w:val="00472234"/>
    <w:rsid w:val="004724C9"/>
    <w:rsid w:val="00472585"/>
    <w:rsid w:val="0047278F"/>
    <w:rsid w:val="00473B5E"/>
    <w:rsid w:val="00474130"/>
    <w:rsid w:val="00474EDD"/>
    <w:rsid w:val="00475A6C"/>
    <w:rsid w:val="004764AF"/>
    <w:rsid w:val="00476D04"/>
    <w:rsid w:val="00476F58"/>
    <w:rsid w:val="0047775E"/>
    <w:rsid w:val="00477AAE"/>
    <w:rsid w:val="00477AF6"/>
    <w:rsid w:val="00477B3B"/>
    <w:rsid w:val="00477BCB"/>
    <w:rsid w:val="004801A7"/>
    <w:rsid w:val="00480E47"/>
    <w:rsid w:val="00481666"/>
    <w:rsid w:val="0048181B"/>
    <w:rsid w:val="00481B2B"/>
    <w:rsid w:val="00481F2B"/>
    <w:rsid w:val="004820C5"/>
    <w:rsid w:val="00482198"/>
    <w:rsid w:val="004823D8"/>
    <w:rsid w:val="00482F20"/>
    <w:rsid w:val="00483196"/>
    <w:rsid w:val="0048340F"/>
    <w:rsid w:val="00483E99"/>
    <w:rsid w:val="0048423C"/>
    <w:rsid w:val="00484449"/>
    <w:rsid w:val="004852CE"/>
    <w:rsid w:val="0048540C"/>
    <w:rsid w:val="00485F92"/>
    <w:rsid w:val="004860BD"/>
    <w:rsid w:val="004866E1"/>
    <w:rsid w:val="00486C72"/>
    <w:rsid w:val="00487D3A"/>
    <w:rsid w:val="00490951"/>
    <w:rsid w:val="00490954"/>
    <w:rsid w:val="0049102F"/>
    <w:rsid w:val="00491602"/>
    <w:rsid w:val="0049277A"/>
    <w:rsid w:val="00492B38"/>
    <w:rsid w:val="00492FE4"/>
    <w:rsid w:val="00493035"/>
    <w:rsid w:val="00493321"/>
    <w:rsid w:val="004936DE"/>
    <w:rsid w:val="004949B0"/>
    <w:rsid w:val="0049544E"/>
    <w:rsid w:val="00495670"/>
    <w:rsid w:val="0049567B"/>
    <w:rsid w:val="0049604B"/>
    <w:rsid w:val="00496666"/>
    <w:rsid w:val="00496AC9"/>
    <w:rsid w:val="004A040E"/>
    <w:rsid w:val="004A042D"/>
    <w:rsid w:val="004A09A8"/>
    <w:rsid w:val="004A11E0"/>
    <w:rsid w:val="004A1953"/>
    <w:rsid w:val="004A1F11"/>
    <w:rsid w:val="004A1FC5"/>
    <w:rsid w:val="004A2158"/>
    <w:rsid w:val="004A2497"/>
    <w:rsid w:val="004A29A5"/>
    <w:rsid w:val="004A3225"/>
    <w:rsid w:val="004A34A7"/>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F21"/>
    <w:rsid w:val="004B07C6"/>
    <w:rsid w:val="004B08DB"/>
    <w:rsid w:val="004B1422"/>
    <w:rsid w:val="004B1DF2"/>
    <w:rsid w:val="004B24EB"/>
    <w:rsid w:val="004B29AC"/>
    <w:rsid w:val="004B3C8B"/>
    <w:rsid w:val="004B44A9"/>
    <w:rsid w:val="004B4509"/>
    <w:rsid w:val="004B452A"/>
    <w:rsid w:val="004B4871"/>
    <w:rsid w:val="004B4ADF"/>
    <w:rsid w:val="004B4C00"/>
    <w:rsid w:val="004B4E06"/>
    <w:rsid w:val="004B5493"/>
    <w:rsid w:val="004B5914"/>
    <w:rsid w:val="004B60F3"/>
    <w:rsid w:val="004B6C77"/>
    <w:rsid w:val="004B6D0A"/>
    <w:rsid w:val="004B6DA4"/>
    <w:rsid w:val="004B794C"/>
    <w:rsid w:val="004B7995"/>
    <w:rsid w:val="004C02B3"/>
    <w:rsid w:val="004C04B1"/>
    <w:rsid w:val="004C098E"/>
    <w:rsid w:val="004C0BBE"/>
    <w:rsid w:val="004C0E2F"/>
    <w:rsid w:val="004C1531"/>
    <w:rsid w:val="004C1705"/>
    <w:rsid w:val="004C222E"/>
    <w:rsid w:val="004C2561"/>
    <w:rsid w:val="004C25B4"/>
    <w:rsid w:val="004C2806"/>
    <w:rsid w:val="004C29BD"/>
    <w:rsid w:val="004C3A7A"/>
    <w:rsid w:val="004C3ADD"/>
    <w:rsid w:val="004C3C00"/>
    <w:rsid w:val="004C428E"/>
    <w:rsid w:val="004C441A"/>
    <w:rsid w:val="004C4775"/>
    <w:rsid w:val="004C483D"/>
    <w:rsid w:val="004C48A9"/>
    <w:rsid w:val="004C4D05"/>
    <w:rsid w:val="004C590B"/>
    <w:rsid w:val="004C5E9D"/>
    <w:rsid w:val="004C6017"/>
    <w:rsid w:val="004C63C7"/>
    <w:rsid w:val="004C6D39"/>
    <w:rsid w:val="004C6D98"/>
    <w:rsid w:val="004C7217"/>
    <w:rsid w:val="004C7567"/>
    <w:rsid w:val="004C7743"/>
    <w:rsid w:val="004C77A7"/>
    <w:rsid w:val="004C7B38"/>
    <w:rsid w:val="004C7FD0"/>
    <w:rsid w:val="004D039E"/>
    <w:rsid w:val="004D04A3"/>
    <w:rsid w:val="004D0C9F"/>
    <w:rsid w:val="004D159B"/>
    <w:rsid w:val="004D15FD"/>
    <w:rsid w:val="004D1A0A"/>
    <w:rsid w:val="004D2369"/>
    <w:rsid w:val="004D2485"/>
    <w:rsid w:val="004D347F"/>
    <w:rsid w:val="004D3A57"/>
    <w:rsid w:val="004D47FF"/>
    <w:rsid w:val="004D4D35"/>
    <w:rsid w:val="004D518F"/>
    <w:rsid w:val="004D5394"/>
    <w:rsid w:val="004D54D7"/>
    <w:rsid w:val="004D5BB7"/>
    <w:rsid w:val="004D6053"/>
    <w:rsid w:val="004D6FA4"/>
    <w:rsid w:val="004D7C23"/>
    <w:rsid w:val="004E01C6"/>
    <w:rsid w:val="004E0212"/>
    <w:rsid w:val="004E0386"/>
    <w:rsid w:val="004E0ADC"/>
    <w:rsid w:val="004E0FB1"/>
    <w:rsid w:val="004E1043"/>
    <w:rsid w:val="004E19DB"/>
    <w:rsid w:val="004E1DCA"/>
    <w:rsid w:val="004E21B4"/>
    <w:rsid w:val="004E252B"/>
    <w:rsid w:val="004E2861"/>
    <w:rsid w:val="004E2A85"/>
    <w:rsid w:val="004E3F72"/>
    <w:rsid w:val="004E47D5"/>
    <w:rsid w:val="004E4A5C"/>
    <w:rsid w:val="004E4A78"/>
    <w:rsid w:val="004E551E"/>
    <w:rsid w:val="004E584D"/>
    <w:rsid w:val="004E58F6"/>
    <w:rsid w:val="004E5E37"/>
    <w:rsid w:val="004E5E4C"/>
    <w:rsid w:val="004E5F79"/>
    <w:rsid w:val="004E623E"/>
    <w:rsid w:val="004E6589"/>
    <w:rsid w:val="004E6CF9"/>
    <w:rsid w:val="004E7152"/>
    <w:rsid w:val="004E734E"/>
    <w:rsid w:val="004E7EC0"/>
    <w:rsid w:val="004E7F48"/>
    <w:rsid w:val="004F014E"/>
    <w:rsid w:val="004F023B"/>
    <w:rsid w:val="004F0BC6"/>
    <w:rsid w:val="004F1123"/>
    <w:rsid w:val="004F1633"/>
    <w:rsid w:val="004F1715"/>
    <w:rsid w:val="004F17DA"/>
    <w:rsid w:val="004F355B"/>
    <w:rsid w:val="004F3BD2"/>
    <w:rsid w:val="004F3CBF"/>
    <w:rsid w:val="004F4372"/>
    <w:rsid w:val="004F43E0"/>
    <w:rsid w:val="004F45EB"/>
    <w:rsid w:val="004F5079"/>
    <w:rsid w:val="004F521B"/>
    <w:rsid w:val="004F52BB"/>
    <w:rsid w:val="004F5582"/>
    <w:rsid w:val="004F59B8"/>
    <w:rsid w:val="004F6172"/>
    <w:rsid w:val="004F62A7"/>
    <w:rsid w:val="004F62F9"/>
    <w:rsid w:val="004F66B3"/>
    <w:rsid w:val="004F6FA7"/>
    <w:rsid w:val="004F7352"/>
    <w:rsid w:val="004F7889"/>
    <w:rsid w:val="0050015C"/>
    <w:rsid w:val="00500418"/>
    <w:rsid w:val="00500969"/>
    <w:rsid w:val="00500B8A"/>
    <w:rsid w:val="00500CCF"/>
    <w:rsid w:val="00500E62"/>
    <w:rsid w:val="005010DE"/>
    <w:rsid w:val="005011FD"/>
    <w:rsid w:val="0050164B"/>
    <w:rsid w:val="00501A86"/>
    <w:rsid w:val="00501AA5"/>
    <w:rsid w:val="00502958"/>
    <w:rsid w:val="00502BD2"/>
    <w:rsid w:val="00502DA4"/>
    <w:rsid w:val="00503484"/>
    <w:rsid w:val="00503F83"/>
    <w:rsid w:val="0050421C"/>
    <w:rsid w:val="00504A9B"/>
    <w:rsid w:val="00504E9A"/>
    <w:rsid w:val="00504F83"/>
    <w:rsid w:val="005059B9"/>
    <w:rsid w:val="00505F64"/>
    <w:rsid w:val="00506DCD"/>
    <w:rsid w:val="00507325"/>
    <w:rsid w:val="00507583"/>
    <w:rsid w:val="00507C36"/>
    <w:rsid w:val="00507C56"/>
    <w:rsid w:val="00507F13"/>
    <w:rsid w:val="005109D4"/>
    <w:rsid w:val="00510CF4"/>
    <w:rsid w:val="0051160A"/>
    <w:rsid w:val="005118BA"/>
    <w:rsid w:val="00512D87"/>
    <w:rsid w:val="005130DA"/>
    <w:rsid w:val="0051354B"/>
    <w:rsid w:val="00513DDA"/>
    <w:rsid w:val="00513E19"/>
    <w:rsid w:val="005148B4"/>
    <w:rsid w:val="00514B29"/>
    <w:rsid w:val="00514E8C"/>
    <w:rsid w:val="005152B1"/>
    <w:rsid w:val="005152F0"/>
    <w:rsid w:val="0051532D"/>
    <w:rsid w:val="00515856"/>
    <w:rsid w:val="00515F50"/>
    <w:rsid w:val="005163E6"/>
    <w:rsid w:val="005172EC"/>
    <w:rsid w:val="0051740D"/>
    <w:rsid w:val="00517535"/>
    <w:rsid w:val="005178CE"/>
    <w:rsid w:val="005205FF"/>
    <w:rsid w:val="00521356"/>
    <w:rsid w:val="00521CAB"/>
    <w:rsid w:val="00521DFB"/>
    <w:rsid w:val="005224EF"/>
    <w:rsid w:val="00522654"/>
    <w:rsid w:val="00522835"/>
    <w:rsid w:val="0052293D"/>
    <w:rsid w:val="00522AF4"/>
    <w:rsid w:val="0052348B"/>
    <w:rsid w:val="00523499"/>
    <w:rsid w:val="0052373F"/>
    <w:rsid w:val="00523BC7"/>
    <w:rsid w:val="00523C08"/>
    <w:rsid w:val="00523C10"/>
    <w:rsid w:val="00523E23"/>
    <w:rsid w:val="005245D5"/>
    <w:rsid w:val="005247FE"/>
    <w:rsid w:val="00524889"/>
    <w:rsid w:val="0052575D"/>
    <w:rsid w:val="005259FC"/>
    <w:rsid w:val="00525A53"/>
    <w:rsid w:val="005260C7"/>
    <w:rsid w:val="005260F1"/>
    <w:rsid w:val="00526569"/>
    <w:rsid w:val="00526726"/>
    <w:rsid w:val="00526F91"/>
    <w:rsid w:val="00527256"/>
    <w:rsid w:val="00527934"/>
    <w:rsid w:val="00527AC0"/>
    <w:rsid w:val="00527B57"/>
    <w:rsid w:val="00527C8D"/>
    <w:rsid w:val="00527C9C"/>
    <w:rsid w:val="00530034"/>
    <w:rsid w:val="00530AC4"/>
    <w:rsid w:val="00531F7B"/>
    <w:rsid w:val="00532064"/>
    <w:rsid w:val="0053268A"/>
    <w:rsid w:val="0053309E"/>
    <w:rsid w:val="00533169"/>
    <w:rsid w:val="00533194"/>
    <w:rsid w:val="005332C8"/>
    <w:rsid w:val="00534021"/>
    <w:rsid w:val="0053464E"/>
    <w:rsid w:val="00534CBD"/>
    <w:rsid w:val="005352C8"/>
    <w:rsid w:val="005354C1"/>
    <w:rsid w:val="00535875"/>
    <w:rsid w:val="00535AEA"/>
    <w:rsid w:val="00535F99"/>
    <w:rsid w:val="00536356"/>
    <w:rsid w:val="00536BBB"/>
    <w:rsid w:val="00536CBB"/>
    <w:rsid w:val="00536DDD"/>
    <w:rsid w:val="00537033"/>
    <w:rsid w:val="00537F04"/>
    <w:rsid w:val="00540036"/>
    <w:rsid w:val="00540A37"/>
    <w:rsid w:val="00540B49"/>
    <w:rsid w:val="005410CF"/>
    <w:rsid w:val="00541415"/>
    <w:rsid w:val="005418DB"/>
    <w:rsid w:val="00541B51"/>
    <w:rsid w:val="005434EA"/>
    <w:rsid w:val="005436B8"/>
    <w:rsid w:val="00545D55"/>
    <w:rsid w:val="00546054"/>
    <w:rsid w:val="005461AB"/>
    <w:rsid w:val="00546C6A"/>
    <w:rsid w:val="00546FBA"/>
    <w:rsid w:val="00547F04"/>
    <w:rsid w:val="00550924"/>
    <w:rsid w:val="00550D63"/>
    <w:rsid w:val="00550EF1"/>
    <w:rsid w:val="00550FC4"/>
    <w:rsid w:val="00551075"/>
    <w:rsid w:val="005513C8"/>
    <w:rsid w:val="00552204"/>
    <w:rsid w:val="0055236E"/>
    <w:rsid w:val="0055352C"/>
    <w:rsid w:val="005538A6"/>
    <w:rsid w:val="00554F94"/>
    <w:rsid w:val="00555161"/>
    <w:rsid w:val="00555A59"/>
    <w:rsid w:val="00555BB7"/>
    <w:rsid w:val="00555DE6"/>
    <w:rsid w:val="00555EB3"/>
    <w:rsid w:val="005567F6"/>
    <w:rsid w:val="0055695F"/>
    <w:rsid w:val="00556E29"/>
    <w:rsid w:val="00557474"/>
    <w:rsid w:val="00557DAA"/>
    <w:rsid w:val="00557DAD"/>
    <w:rsid w:val="00561138"/>
    <w:rsid w:val="00561572"/>
    <w:rsid w:val="00561699"/>
    <w:rsid w:val="0056194F"/>
    <w:rsid w:val="005619E1"/>
    <w:rsid w:val="00561EEE"/>
    <w:rsid w:val="00562629"/>
    <w:rsid w:val="005628FE"/>
    <w:rsid w:val="0056364B"/>
    <w:rsid w:val="00563D49"/>
    <w:rsid w:val="00564191"/>
    <w:rsid w:val="00564557"/>
    <w:rsid w:val="0056458C"/>
    <w:rsid w:val="00564628"/>
    <w:rsid w:val="005648B9"/>
    <w:rsid w:val="00564A3C"/>
    <w:rsid w:val="00564C5F"/>
    <w:rsid w:val="00564F82"/>
    <w:rsid w:val="005653AF"/>
    <w:rsid w:val="00565501"/>
    <w:rsid w:val="00565755"/>
    <w:rsid w:val="0056601E"/>
    <w:rsid w:val="00566406"/>
    <w:rsid w:val="005664A6"/>
    <w:rsid w:val="00566538"/>
    <w:rsid w:val="0056663C"/>
    <w:rsid w:val="0056725A"/>
    <w:rsid w:val="0056741F"/>
    <w:rsid w:val="00567647"/>
    <w:rsid w:val="0056781B"/>
    <w:rsid w:val="00567822"/>
    <w:rsid w:val="00567BE2"/>
    <w:rsid w:val="00570102"/>
    <w:rsid w:val="00570505"/>
    <w:rsid w:val="00570FDD"/>
    <w:rsid w:val="005712E6"/>
    <w:rsid w:val="0057153C"/>
    <w:rsid w:val="00572942"/>
    <w:rsid w:val="005730DB"/>
    <w:rsid w:val="00573251"/>
    <w:rsid w:val="005733A8"/>
    <w:rsid w:val="005736D0"/>
    <w:rsid w:val="00573B5B"/>
    <w:rsid w:val="00573F55"/>
    <w:rsid w:val="00574070"/>
    <w:rsid w:val="00575148"/>
    <w:rsid w:val="0057540E"/>
    <w:rsid w:val="005757B6"/>
    <w:rsid w:val="005761E2"/>
    <w:rsid w:val="0058000F"/>
    <w:rsid w:val="00580557"/>
    <w:rsid w:val="0058074F"/>
    <w:rsid w:val="00580A76"/>
    <w:rsid w:val="00581042"/>
    <w:rsid w:val="00581703"/>
    <w:rsid w:val="00581B15"/>
    <w:rsid w:val="005821DD"/>
    <w:rsid w:val="00583908"/>
    <w:rsid w:val="00584757"/>
    <w:rsid w:val="00584E21"/>
    <w:rsid w:val="00585E41"/>
    <w:rsid w:val="00586075"/>
    <w:rsid w:val="0058608B"/>
    <w:rsid w:val="005863C1"/>
    <w:rsid w:val="0058654D"/>
    <w:rsid w:val="00586786"/>
    <w:rsid w:val="00587729"/>
    <w:rsid w:val="00587886"/>
    <w:rsid w:val="00587A66"/>
    <w:rsid w:val="00590147"/>
    <w:rsid w:val="0059028F"/>
    <w:rsid w:val="00590BD1"/>
    <w:rsid w:val="00590D26"/>
    <w:rsid w:val="00591276"/>
    <w:rsid w:val="00591490"/>
    <w:rsid w:val="0059151A"/>
    <w:rsid w:val="005916C9"/>
    <w:rsid w:val="00591C7E"/>
    <w:rsid w:val="00591D27"/>
    <w:rsid w:val="00591DCF"/>
    <w:rsid w:val="005929B4"/>
    <w:rsid w:val="00592A3C"/>
    <w:rsid w:val="0059367F"/>
    <w:rsid w:val="00593720"/>
    <w:rsid w:val="00593909"/>
    <w:rsid w:val="00593A71"/>
    <w:rsid w:val="0059411B"/>
    <w:rsid w:val="005941E1"/>
    <w:rsid w:val="005943E2"/>
    <w:rsid w:val="00594B8A"/>
    <w:rsid w:val="00595009"/>
    <w:rsid w:val="005954B7"/>
    <w:rsid w:val="005958B6"/>
    <w:rsid w:val="00595A05"/>
    <w:rsid w:val="00595F17"/>
    <w:rsid w:val="00595F3D"/>
    <w:rsid w:val="00595F89"/>
    <w:rsid w:val="00596873"/>
    <w:rsid w:val="00596BB3"/>
    <w:rsid w:val="00596BD4"/>
    <w:rsid w:val="00596FA8"/>
    <w:rsid w:val="005971A7"/>
    <w:rsid w:val="00597310"/>
    <w:rsid w:val="005977AB"/>
    <w:rsid w:val="00597953"/>
    <w:rsid w:val="005A01C5"/>
    <w:rsid w:val="005A0532"/>
    <w:rsid w:val="005A07E7"/>
    <w:rsid w:val="005A0A57"/>
    <w:rsid w:val="005A0B9F"/>
    <w:rsid w:val="005A0DBB"/>
    <w:rsid w:val="005A0EBD"/>
    <w:rsid w:val="005A1270"/>
    <w:rsid w:val="005A1295"/>
    <w:rsid w:val="005A1FBF"/>
    <w:rsid w:val="005A29B1"/>
    <w:rsid w:val="005A2E8F"/>
    <w:rsid w:val="005A2EBF"/>
    <w:rsid w:val="005A380B"/>
    <w:rsid w:val="005A4890"/>
    <w:rsid w:val="005A49D4"/>
    <w:rsid w:val="005A4D7C"/>
    <w:rsid w:val="005A51C9"/>
    <w:rsid w:val="005A581E"/>
    <w:rsid w:val="005A5A96"/>
    <w:rsid w:val="005A5D7F"/>
    <w:rsid w:val="005A5DC0"/>
    <w:rsid w:val="005A610E"/>
    <w:rsid w:val="005A6B6D"/>
    <w:rsid w:val="005A6ED5"/>
    <w:rsid w:val="005A6F0E"/>
    <w:rsid w:val="005A6F57"/>
    <w:rsid w:val="005A7235"/>
    <w:rsid w:val="005A795B"/>
    <w:rsid w:val="005A7B45"/>
    <w:rsid w:val="005A7BAF"/>
    <w:rsid w:val="005B05FA"/>
    <w:rsid w:val="005B0652"/>
    <w:rsid w:val="005B1213"/>
    <w:rsid w:val="005B1B55"/>
    <w:rsid w:val="005B1C52"/>
    <w:rsid w:val="005B1DBD"/>
    <w:rsid w:val="005B26B0"/>
    <w:rsid w:val="005B3EBD"/>
    <w:rsid w:val="005B3F0C"/>
    <w:rsid w:val="005B48E8"/>
    <w:rsid w:val="005B564F"/>
    <w:rsid w:val="005B56D9"/>
    <w:rsid w:val="005B5BA3"/>
    <w:rsid w:val="005B5E62"/>
    <w:rsid w:val="005B7230"/>
    <w:rsid w:val="005B7E97"/>
    <w:rsid w:val="005B7F46"/>
    <w:rsid w:val="005C07D2"/>
    <w:rsid w:val="005C09A7"/>
    <w:rsid w:val="005C102D"/>
    <w:rsid w:val="005C132C"/>
    <w:rsid w:val="005C17FB"/>
    <w:rsid w:val="005C1833"/>
    <w:rsid w:val="005C1838"/>
    <w:rsid w:val="005C18C2"/>
    <w:rsid w:val="005C1ACE"/>
    <w:rsid w:val="005C2063"/>
    <w:rsid w:val="005C244F"/>
    <w:rsid w:val="005C2767"/>
    <w:rsid w:val="005C2922"/>
    <w:rsid w:val="005C2C01"/>
    <w:rsid w:val="005C2F60"/>
    <w:rsid w:val="005C30A7"/>
    <w:rsid w:val="005C323D"/>
    <w:rsid w:val="005C3772"/>
    <w:rsid w:val="005C39C3"/>
    <w:rsid w:val="005C4229"/>
    <w:rsid w:val="005C4580"/>
    <w:rsid w:val="005C5065"/>
    <w:rsid w:val="005C52F3"/>
    <w:rsid w:val="005C564C"/>
    <w:rsid w:val="005C56EA"/>
    <w:rsid w:val="005C6234"/>
    <w:rsid w:val="005C64DC"/>
    <w:rsid w:val="005C6605"/>
    <w:rsid w:val="005C71A0"/>
    <w:rsid w:val="005C7802"/>
    <w:rsid w:val="005C7B50"/>
    <w:rsid w:val="005D029E"/>
    <w:rsid w:val="005D0427"/>
    <w:rsid w:val="005D0776"/>
    <w:rsid w:val="005D07AE"/>
    <w:rsid w:val="005D0A0B"/>
    <w:rsid w:val="005D0C83"/>
    <w:rsid w:val="005D113B"/>
    <w:rsid w:val="005D1732"/>
    <w:rsid w:val="005D2D9A"/>
    <w:rsid w:val="005D3A6E"/>
    <w:rsid w:val="005D3B21"/>
    <w:rsid w:val="005D4019"/>
    <w:rsid w:val="005D41DC"/>
    <w:rsid w:val="005D460F"/>
    <w:rsid w:val="005D4DC5"/>
    <w:rsid w:val="005D5442"/>
    <w:rsid w:val="005D5C22"/>
    <w:rsid w:val="005D5E6C"/>
    <w:rsid w:val="005D63A9"/>
    <w:rsid w:val="005D65D5"/>
    <w:rsid w:val="005D6C56"/>
    <w:rsid w:val="005D6F49"/>
    <w:rsid w:val="005D7E8A"/>
    <w:rsid w:val="005E06FA"/>
    <w:rsid w:val="005E11A5"/>
    <w:rsid w:val="005E13D4"/>
    <w:rsid w:val="005E1435"/>
    <w:rsid w:val="005E21F3"/>
    <w:rsid w:val="005E235C"/>
    <w:rsid w:val="005E3078"/>
    <w:rsid w:val="005E34C0"/>
    <w:rsid w:val="005E4565"/>
    <w:rsid w:val="005E45F3"/>
    <w:rsid w:val="005E48EA"/>
    <w:rsid w:val="005E49CA"/>
    <w:rsid w:val="005E5384"/>
    <w:rsid w:val="005E5427"/>
    <w:rsid w:val="005E5428"/>
    <w:rsid w:val="005E5A7C"/>
    <w:rsid w:val="005E5C33"/>
    <w:rsid w:val="005E6976"/>
    <w:rsid w:val="005E703B"/>
    <w:rsid w:val="005E721A"/>
    <w:rsid w:val="005E74EC"/>
    <w:rsid w:val="005E7917"/>
    <w:rsid w:val="005E7AB6"/>
    <w:rsid w:val="005E7B1E"/>
    <w:rsid w:val="005E7CBC"/>
    <w:rsid w:val="005F0854"/>
    <w:rsid w:val="005F0A62"/>
    <w:rsid w:val="005F0FA8"/>
    <w:rsid w:val="005F1C5D"/>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31"/>
    <w:rsid w:val="005F704C"/>
    <w:rsid w:val="005F7A22"/>
    <w:rsid w:val="005F7B9D"/>
    <w:rsid w:val="005F7CF0"/>
    <w:rsid w:val="00600501"/>
    <w:rsid w:val="00600B0C"/>
    <w:rsid w:val="00600D1A"/>
    <w:rsid w:val="00601038"/>
    <w:rsid w:val="00602DFA"/>
    <w:rsid w:val="006031D1"/>
    <w:rsid w:val="006033BF"/>
    <w:rsid w:val="00603702"/>
    <w:rsid w:val="00603B4B"/>
    <w:rsid w:val="00603F20"/>
    <w:rsid w:val="00604F37"/>
    <w:rsid w:val="0060508A"/>
    <w:rsid w:val="006055AF"/>
    <w:rsid w:val="00605942"/>
    <w:rsid w:val="00605C9F"/>
    <w:rsid w:val="006068E8"/>
    <w:rsid w:val="00606ADB"/>
    <w:rsid w:val="00606C07"/>
    <w:rsid w:val="006072DE"/>
    <w:rsid w:val="006075F4"/>
    <w:rsid w:val="006078A8"/>
    <w:rsid w:val="00607BAD"/>
    <w:rsid w:val="00607EC7"/>
    <w:rsid w:val="0061024F"/>
    <w:rsid w:val="0061048A"/>
    <w:rsid w:val="00610959"/>
    <w:rsid w:val="00610AE7"/>
    <w:rsid w:val="00611178"/>
    <w:rsid w:val="0061148D"/>
    <w:rsid w:val="00611D01"/>
    <w:rsid w:val="006122EC"/>
    <w:rsid w:val="006124B3"/>
    <w:rsid w:val="00612611"/>
    <w:rsid w:val="0061279A"/>
    <w:rsid w:val="00612C60"/>
    <w:rsid w:val="00613009"/>
    <w:rsid w:val="006132EA"/>
    <w:rsid w:val="00613CA5"/>
    <w:rsid w:val="0061401C"/>
    <w:rsid w:val="0061420B"/>
    <w:rsid w:val="00614BD4"/>
    <w:rsid w:val="00614D33"/>
    <w:rsid w:val="0061537D"/>
    <w:rsid w:val="0061537F"/>
    <w:rsid w:val="006156D7"/>
    <w:rsid w:val="00615CF1"/>
    <w:rsid w:val="00615DEA"/>
    <w:rsid w:val="00616A60"/>
    <w:rsid w:val="00616C17"/>
    <w:rsid w:val="00616D0C"/>
    <w:rsid w:val="00616EE6"/>
    <w:rsid w:val="006171FB"/>
    <w:rsid w:val="00617283"/>
    <w:rsid w:val="00617A2A"/>
    <w:rsid w:val="006207F4"/>
    <w:rsid w:val="00620C67"/>
    <w:rsid w:val="00621479"/>
    <w:rsid w:val="00621646"/>
    <w:rsid w:val="00621803"/>
    <w:rsid w:val="00621A34"/>
    <w:rsid w:val="006220F1"/>
    <w:rsid w:val="00623E46"/>
    <w:rsid w:val="00624604"/>
    <w:rsid w:val="00624D2C"/>
    <w:rsid w:val="00624F7F"/>
    <w:rsid w:val="00625145"/>
    <w:rsid w:val="00626768"/>
    <w:rsid w:val="00627402"/>
    <w:rsid w:val="00627474"/>
    <w:rsid w:val="00627CEA"/>
    <w:rsid w:val="00627E37"/>
    <w:rsid w:val="00630480"/>
    <w:rsid w:val="0063058E"/>
    <w:rsid w:val="006305F8"/>
    <w:rsid w:val="0063197B"/>
    <w:rsid w:val="00631DA7"/>
    <w:rsid w:val="006327BB"/>
    <w:rsid w:val="00632B9C"/>
    <w:rsid w:val="00632F18"/>
    <w:rsid w:val="006332D7"/>
    <w:rsid w:val="0063333D"/>
    <w:rsid w:val="00634225"/>
    <w:rsid w:val="00635003"/>
    <w:rsid w:val="006351CE"/>
    <w:rsid w:val="006352FD"/>
    <w:rsid w:val="00635B15"/>
    <w:rsid w:val="00636037"/>
    <w:rsid w:val="006362E1"/>
    <w:rsid w:val="006367DA"/>
    <w:rsid w:val="006370E1"/>
    <w:rsid w:val="00637382"/>
    <w:rsid w:val="006375B2"/>
    <w:rsid w:val="006375BB"/>
    <w:rsid w:val="006409EE"/>
    <w:rsid w:val="00640BF7"/>
    <w:rsid w:val="00640FFF"/>
    <w:rsid w:val="00641436"/>
    <w:rsid w:val="00641761"/>
    <w:rsid w:val="00642076"/>
    <w:rsid w:val="006425FC"/>
    <w:rsid w:val="00642631"/>
    <w:rsid w:val="0064289D"/>
    <w:rsid w:val="00642DF5"/>
    <w:rsid w:val="0064304A"/>
    <w:rsid w:val="0064380B"/>
    <w:rsid w:val="00643A4F"/>
    <w:rsid w:val="00643FF5"/>
    <w:rsid w:val="006441FD"/>
    <w:rsid w:val="00644E5A"/>
    <w:rsid w:val="00644F2C"/>
    <w:rsid w:val="00644F8F"/>
    <w:rsid w:val="006450DD"/>
    <w:rsid w:val="00645141"/>
    <w:rsid w:val="00645349"/>
    <w:rsid w:val="00645AEE"/>
    <w:rsid w:val="00646428"/>
    <w:rsid w:val="00646AFD"/>
    <w:rsid w:val="0064707F"/>
    <w:rsid w:val="006471E8"/>
    <w:rsid w:val="00647E90"/>
    <w:rsid w:val="00647FA3"/>
    <w:rsid w:val="00650067"/>
    <w:rsid w:val="006500F7"/>
    <w:rsid w:val="00650769"/>
    <w:rsid w:val="006516B7"/>
    <w:rsid w:val="006518E4"/>
    <w:rsid w:val="00651FB8"/>
    <w:rsid w:val="006520D5"/>
    <w:rsid w:val="0065239B"/>
    <w:rsid w:val="00652BA0"/>
    <w:rsid w:val="00653045"/>
    <w:rsid w:val="00653A25"/>
    <w:rsid w:val="00653D93"/>
    <w:rsid w:val="00653FDA"/>
    <w:rsid w:val="006541A0"/>
    <w:rsid w:val="00654E99"/>
    <w:rsid w:val="00655104"/>
    <w:rsid w:val="0065548F"/>
    <w:rsid w:val="00655633"/>
    <w:rsid w:val="006559BB"/>
    <w:rsid w:val="00655D93"/>
    <w:rsid w:val="00655E86"/>
    <w:rsid w:val="0065618F"/>
    <w:rsid w:val="00656614"/>
    <w:rsid w:val="00656C4D"/>
    <w:rsid w:val="006577CD"/>
    <w:rsid w:val="00657CCC"/>
    <w:rsid w:val="00660162"/>
    <w:rsid w:val="0066036D"/>
    <w:rsid w:val="006604FA"/>
    <w:rsid w:val="00660879"/>
    <w:rsid w:val="00660B3F"/>
    <w:rsid w:val="006610B1"/>
    <w:rsid w:val="00661639"/>
    <w:rsid w:val="00661655"/>
    <w:rsid w:val="0066174D"/>
    <w:rsid w:val="00661E36"/>
    <w:rsid w:val="006624C3"/>
    <w:rsid w:val="0066318A"/>
    <w:rsid w:val="006631D3"/>
    <w:rsid w:val="00663D0F"/>
    <w:rsid w:val="00664525"/>
    <w:rsid w:val="0066465B"/>
    <w:rsid w:val="00664C81"/>
    <w:rsid w:val="0066500E"/>
    <w:rsid w:val="0066521A"/>
    <w:rsid w:val="0066540C"/>
    <w:rsid w:val="00665EAE"/>
    <w:rsid w:val="006661EA"/>
    <w:rsid w:val="00666749"/>
    <w:rsid w:val="00666909"/>
    <w:rsid w:val="00666EBC"/>
    <w:rsid w:val="00667189"/>
    <w:rsid w:val="0066749E"/>
    <w:rsid w:val="00667CCB"/>
    <w:rsid w:val="00667EFD"/>
    <w:rsid w:val="00670475"/>
    <w:rsid w:val="00670B8C"/>
    <w:rsid w:val="00670C4A"/>
    <w:rsid w:val="00671F3E"/>
    <w:rsid w:val="00672482"/>
    <w:rsid w:val="00672A18"/>
    <w:rsid w:val="0067322C"/>
    <w:rsid w:val="006735D0"/>
    <w:rsid w:val="006739E9"/>
    <w:rsid w:val="00674D52"/>
    <w:rsid w:val="00674F93"/>
    <w:rsid w:val="0067546F"/>
    <w:rsid w:val="00676287"/>
    <w:rsid w:val="00676CE4"/>
    <w:rsid w:val="00676EC2"/>
    <w:rsid w:val="00676F61"/>
    <w:rsid w:val="00676FA5"/>
    <w:rsid w:val="006771A4"/>
    <w:rsid w:val="006771AD"/>
    <w:rsid w:val="006774A8"/>
    <w:rsid w:val="00677572"/>
    <w:rsid w:val="00677E92"/>
    <w:rsid w:val="00680064"/>
    <w:rsid w:val="00681229"/>
    <w:rsid w:val="00681514"/>
    <w:rsid w:val="0068185E"/>
    <w:rsid w:val="00681BE5"/>
    <w:rsid w:val="00681E30"/>
    <w:rsid w:val="0068379B"/>
    <w:rsid w:val="00683D98"/>
    <w:rsid w:val="00683D99"/>
    <w:rsid w:val="00684079"/>
    <w:rsid w:val="0068484C"/>
    <w:rsid w:val="006848EE"/>
    <w:rsid w:val="006856AA"/>
    <w:rsid w:val="0068629B"/>
    <w:rsid w:val="00686425"/>
    <w:rsid w:val="00686C12"/>
    <w:rsid w:val="00686D75"/>
    <w:rsid w:val="0068736A"/>
    <w:rsid w:val="00687D17"/>
    <w:rsid w:val="00690024"/>
    <w:rsid w:val="006903A4"/>
    <w:rsid w:val="00690CAA"/>
    <w:rsid w:val="00690EFB"/>
    <w:rsid w:val="0069137B"/>
    <w:rsid w:val="006913EC"/>
    <w:rsid w:val="006914B7"/>
    <w:rsid w:val="00691742"/>
    <w:rsid w:val="00691DEE"/>
    <w:rsid w:val="00692242"/>
    <w:rsid w:val="0069236E"/>
    <w:rsid w:val="00692704"/>
    <w:rsid w:val="00692E67"/>
    <w:rsid w:val="00693ACF"/>
    <w:rsid w:val="00693EE5"/>
    <w:rsid w:val="006944C5"/>
    <w:rsid w:val="00694B8D"/>
    <w:rsid w:val="0069561C"/>
    <w:rsid w:val="00695634"/>
    <w:rsid w:val="0069600D"/>
    <w:rsid w:val="006963AE"/>
    <w:rsid w:val="00697053"/>
    <w:rsid w:val="006A02DC"/>
    <w:rsid w:val="006A066A"/>
    <w:rsid w:val="006A06CA"/>
    <w:rsid w:val="006A083E"/>
    <w:rsid w:val="006A0FFD"/>
    <w:rsid w:val="006A1170"/>
    <w:rsid w:val="006A14A3"/>
    <w:rsid w:val="006A159D"/>
    <w:rsid w:val="006A18BF"/>
    <w:rsid w:val="006A1F58"/>
    <w:rsid w:val="006A242E"/>
    <w:rsid w:val="006A26AB"/>
    <w:rsid w:val="006A298D"/>
    <w:rsid w:val="006A2BB4"/>
    <w:rsid w:val="006A2F80"/>
    <w:rsid w:val="006A3FD6"/>
    <w:rsid w:val="006A4076"/>
    <w:rsid w:val="006A436F"/>
    <w:rsid w:val="006A4E5B"/>
    <w:rsid w:val="006A59D8"/>
    <w:rsid w:val="006A5A5D"/>
    <w:rsid w:val="006A6B7B"/>
    <w:rsid w:val="006A78F8"/>
    <w:rsid w:val="006A7C26"/>
    <w:rsid w:val="006A7E27"/>
    <w:rsid w:val="006B010E"/>
    <w:rsid w:val="006B03CA"/>
    <w:rsid w:val="006B091F"/>
    <w:rsid w:val="006B0B1E"/>
    <w:rsid w:val="006B0CAF"/>
    <w:rsid w:val="006B0ED0"/>
    <w:rsid w:val="006B0EED"/>
    <w:rsid w:val="006B147E"/>
    <w:rsid w:val="006B1C83"/>
    <w:rsid w:val="006B1DF6"/>
    <w:rsid w:val="006B233F"/>
    <w:rsid w:val="006B275E"/>
    <w:rsid w:val="006B28EA"/>
    <w:rsid w:val="006B2DA3"/>
    <w:rsid w:val="006B2FBB"/>
    <w:rsid w:val="006B378A"/>
    <w:rsid w:val="006B3BD5"/>
    <w:rsid w:val="006B4185"/>
    <w:rsid w:val="006B4224"/>
    <w:rsid w:val="006B4493"/>
    <w:rsid w:val="006B453E"/>
    <w:rsid w:val="006B4B62"/>
    <w:rsid w:val="006B53DC"/>
    <w:rsid w:val="006B5423"/>
    <w:rsid w:val="006B5855"/>
    <w:rsid w:val="006B5AB2"/>
    <w:rsid w:val="006B5C67"/>
    <w:rsid w:val="006B6B5D"/>
    <w:rsid w:val="006B6BF6"/>
    <w:rsid w:val="006B6C0D"/>
    <w:rsid w:val="006B7A88"/>
    <w:rsid w:val="006C166D"/>
    <w:rsid w:val="006C1818"/>
    <w:rsid w:val="006C1F8B"/>
    <w:rsid w:val="006C2721"/>
    <w:rsid w:val="006C2BE5"/>
    <w:rsid w:val="006C316A"/>
    <w:rsid w:val="006C3868"/>
    <w:rsid w:val="006C38FF"/>
    <w:rsid w:val="006C3E6E"/>
    <w:rsid w:val="006C3EEA"/>
    <w:rsid w:val="006C3F92"/>
    <w:rsid w:val="006C4023"/>
    <w:rsid w:val="006C42FA"/>
    <w:rsid w:val="006C43A6"/>
    <w:rsid w:val="006C4A4A"/>
    <w:rsid w:val="006C4E89"/>
    <w:rsid w:val="006C53EB"/>
    <w:rsid w:val="006C5434"/>
    <w:rsid w:val="006C5D29"/>
    <w:rsid w:val="006C650D"/>
    <w:rsid w:val="006C69A5"/>
    <w:rsid w:val="006C7740"/>
    <w:rsid w:val="006D0389"/>
    <w:rsid w:val="006D0848"/>
    <w:rsid w:val="006D0BA5"/>
    <w:rsid w:val="006D0C15"/>
    <w:rsid w:val="006D0D8B"/>
    <w:rsid w:val="006D0FBF"/>
    <w:rsid w:val="006D10DC"/>
    <w:rsid w:val="006D1586"/>
    <w:rsid w:val="006D19C1"/>
    <w:rsid w:val="006D2827"/>
    <w:rsid w:val="006D2848"/>
    <w:rsid w:val="006D2B19"/>
    <w:rsid w:val="006D2EC9"/>
    <w:rsid w:val="006D3592"/>
    <w:rsid w:val="006D3A05"/>
    <w:rsid w:val="006D3B62"/>
    <w:rsid w:val="006D3FDF"/>
    <w:rsid w:val="006D4527"/>
    <w:rsid w:val="006D4B05"/>
    <w:rsid w:val="006D4F86"/>
    <w:rsid w:val="006D5F98"/>
    <w:rsid w:val="006D6665"/>
    <w:rsid w:val="006D7098"/>
    <w:rsid w:val="006D740E"/>
    <w:rsid w:val="006D7F72"/>
    <w:rsid w:val="006E00B7"/>
    <w:rsid w:val="006E0E5B"/>
    <w:rsid w:val="006E10B4"/>
    <w:rsid w:val="006E3023"/>
    <w:rsid w:val="006E3369"/>
    <w:rsid w:val="006E3D12"/>
    <w:rsid w:val="006E449C"/>
    <w:rsid w:val="006E4726"/>
    <w:rsid w:val="006E4E72"/>
    <w:rsid w:val="006E50D0"/>
    <w:rsid w:val="006E5F41"/>
    <w:rsid w:val="006E64BD"/>
    <w:rsid w:val="006E663E"/>
    <w:rsid w:val="006E6EDF"/>
    <w:rsid w:val="006E7BA5"/>
    <w:rsid w:val="006F01E8"/>
    <w:rsid w:val="006F02D7"/>
    <w:rsid w:val="006F0EBB"/>
    <w:rsid w:val="006F1E96"/>
    <w:rsid w:val="006F2706"/>
    <w:rsid w:val="006F2D24"/>
    <w:rsid w:val="006F352A"/>
    <w:rsid w:val="006F37F7"/>
    <w:rsid w:val="006F3909"/>
    <w:rsid w:val="006F4036"/>
    <w:rsid w:val="006F428E"/>
    <w:rsid w:val="006F48E1"/>
    <w:rsid w:val="006F4FA0"/>
    <w:rsid w:val="006F5096"/>
    <w:rsid w:val="006F5160"/>
    <w:rsid w:val="006F5374"/>
    <w:rsid w:val="006F60DF"/>
    <w:rsid w:val="006F64DE"/>
    <w:rsid w:val="006F66FC"/>
    <w:rsid w:val="006F6766"/>
    <w:rsid w:val="006F68C1"/>
    <w:rsid w:val="006F6CE2"/>
    <w:rsid w:val="006F6E10"/>
    <w:rsid w:val="00700F57"/>
    <w:rsid w:val="00701111"/>
    <w:rsid w:val="007014F8"/>
    <w:rsid w:val="0070150D"/>
    <w:rsid w:val="007016D2"/>
    <w:rsid w:val="007018D8"/>
    <w:rsid w:val="00701979"/>
    <w:rsid w:val="00701C6E"/>
    <w:rsid w:val="007029E8"/>
    <w:rsid w:val="00703107"/>
    <w:rsid w:val="00703138"/>
    <w:rsid w:val="00703277"/>
    <w:rsid w:val="0070356D"/>
    <w:rsid w:val="00703981"/>
    <w:rsid w:val="00703CDF"/>
    <w:rsid w:val="00703D7E"/>
    <w:rsid w:val="0070495F"/>
    <w:rsid w:val="00704A08"/>
    <w:rsid w:val="00704B6E"/>
    <w:rsid w:val="00704F10"/>
    <w:rsid w:val="00704F73"/>
    <w:rsid w:val="0070508D"/>
    <w:rsid w:val="0070542E"/>
    <w:rsid w:val="00705849"/>
    <w:rsid w:val="0070604A"/>
    <w:rsid w:val="007060D4"/>
    <w:rsid w:val="0070624C"/>
    <w:rsid w:val="00706451"/>
    <w:rsid w:val="00707412"/>
    <w:rsid w:val="00707E0F"/>
    <w:rsid w:val="0071068A"/>
    <w:rsid w:val="00710E19"/>
    <w:rsid w:val="00710E52"/>
    <w:rsid w:val="0071154B"/>
    <w:rsid w:val="0071174F"/>
    <w:rsid w:val="0071196A"/>
    <w:rsid w:val="007130CA"/>
    <w:rsid w:val="007131CF"/>
    <w:rsid w:val="007133C0"/>
    <w:rsid w:val="00713613"/>
    <w:rsid w:val="007137C6"/>
    <w:rsid w:val="007138FC"/>
    <w:rsid w:val="0071393D"/>
    <w:rsid w:val="00713E79"/>
    <w:rsid w:val="00714073"/>
    <w:rsid w:val="00714245"/>
    <w:rsid w:val="00715441"/>
    <w:rsid w:val="00715739"/>
    <w:rsid w:val="0071576C"/>
    <w:rsid w:val="00715C94"/>
    <w:rsid w:val="007165F0"/>
    <w:rsid w:val="00716A09"/>
    <w:rsid w:val="007170DB"/>
    <w:rsid w:val="00717880"/>
    <w:rsid w:val="00717CA8"/>
    <w:rsid w:val="007205E7"/>
    <w:rsid w:val="007209C4"/>
    <w:rsid w:val="00721E9E"/>
    <w:rsid w:val="007227FE"/>
    <w:rsid w:val="007233C3"/>
    <w:rsid w:val="007238D7"/>
    <w:rsid w:val="00723C95"/>
    <w:rsid w:val="007244E7"/>
    <w:rsid w:val="0072505F"/>
    <w:rsid w:val="00725B00"/>
    <w:rsid w:val="0072680C"/>
    <w:rsid w:val="00726B3D"/>
    <w:rsid w:val="00726C64"/>
    <w:rsid w:val="007302C6"/>
    <w:rsid w:val="007310B7"/>
    <w:rsid w:val="00731237"/>
    <w:rsid w:val="00731A22"/>
    <w:rsid w:val="0073207E"/>
    <w:rsid w:val="00732523"/>
    <w:rsid w:val="00732664"/>
    <w:rsid w:val="00732BA7"/>
    <w:rsid w:val="007333EA"/>
    <w:rsid w:val="00733601"/>
    <w:rsid w:val="00733A57"/>
    <w:rsid w:val="00733F36"/>
    <w:rsid w:val="007340CE"/>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7DB"/>
    <w:rsid w:val="00740BFC"/>
    <w:rsid w:val="00740F76"/>
    <w:rsid w:val="00741037"/>
    <w:rsid w:val="007422B3"/>
    <w:rsid w:val="007424BF"/>
    <w:rsid w:val="007435F1"/>
    <w:rsid w:val="00743DDD"/>
    <w:rsid w:val="00744625"/>
    <w:rsid w:val="007446BB"/>
    <w:rsid w:val="00744AF1"/>
    <w:rsid w:val="00745882"/>
    <w:rsid w:val="00745A04"/>
    <w:rsid w:val="00745A0F"/>
    <w:rsid w:val="00745DFD"/>
    <w:rsid w:val="00746197"/>
    <w:rsid w:val="0074689C"/>
    <w:rsid w:val="00746B3F"/>
    <w:rsid w:val="00747117"/>
    <w:rsid w:val="007479C2"/>
    <w:rsid w:val="00747B0D"/>
    <w:rsid w:val="007503EA"/>
    <w:rsid w:val="00751452"/>
    <w:rsid w:val="007521A5"/>
    <w:rsid w:val="00752488"/>
    <w:rsid w:val="00753959"/>
    <w:rsid w:val="00753DD6"/>
    <w:rsid w:val="00754A4A"/>
    <w:rsid w:val="007566FB"/>
    <w:rsid w:val="007567A8"/>
    <w:rsid w:val="00756D6A"/>
    <w:rsid w:val="0076043F"/>
    <w:rsid w:val="00760D17"/>
    <w:rsid w:val="00760F66"/>
    <w:rsid w:val="007611F8"/>
    <w:rsid w:val="00761200"/>
    <w:rsid w:val="00761931"/>
    <w:rsid w:val="00761A6F"/>
    <w:rsid w:val="00761BD1"/>
    <w:rsid w:val="0076218E"/>
    <w:rsid w:val="007627BA"/>
    <w:rsid w:val="0076291E"/>
    <w:rsid w:val="00762C76"/>
    <w:rsid w:val="00762D81"/>
    <w:rsid w:val="0076317B"/>
    <w:rsid w:val="007643D5"/>
    <w:rsid w:val="00764B38"/>
    <w:rsid w:val="00764F40"/>
    <w:rsid w:val="00765366"/>
    <w:rsid w:val="00765914"/>
    <w:rsid w:val="0076614D"/>
    <w:rsid w:val="0076624C"/>
    <w:rsid w:val="0076627D"/>
    <w:rsid w:val="00766304"/>
    <w:rsid w:val="00767A28"/>
    <w:rsid w:val="00767DD2"/>
    <w:rsid w:val="00770264"/>
    <w:rsid w:val="0077082B"/>
    <w:rsid w:val="00770E60"/>
    <w:rsid w:val="00771C8F"/>
    <w:rsid w:val="0077266E"/>
    <w:rsid w:val="0077292E"/>
    <w:rsid w:val="00772A5F"/>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E7E"/>
    <w:rsid w:val="00777EFA"/>
    <w:rsid w:val="007804DD"/>
    <w:rsid w:val="00780EC1"/>
    <w:rsid w:val="00780F3B"/>
    <w:rsid w:val="0078115B"/>
    <w:rsid w:val="007816EE"/>
    <w:rsid w:val="00782071"/>
    <w:rsid w:val="00782783"/>
    <w:rsid w:val="00782946"/>
    <w:rsid w:val="00782ECD"/>
    <w:rsid w:val="0078363B"/>
    <w:rsid w:val="00783CCF"/>
    <w:rsid w:val="00783F5B"/>
    <w:rsid w:val="00784609"/>
    <w:rsid w:val="00784720"/>
    <w:rsid w:val="0078481D"/>
    <w:rsid w:val="00784D91"/>
    <w:rsid w:val="007859FC"/>
    <w:rsid w:val="00785CE6"/>
    <w:rsid w:val="00785F1E"/>
    <w:rsid w:val="00785F4C"/>
    <w:rsid w:val="0078609C"/>
    <w:rsid w:val="00786355"/>
    <w:rsid w:val="00787370"/>
    <w:rsid w:val="007874AE"/>
    <w:rsid w:val="0078750B"/>
    <w:rsid w:val="00787F5E"/>
    <w:rsid w:val="0079024D"/>
    <w:rsid w:val="00790C87"/>
    <w:rsid w:val="00790E75"/>
    <w:rsid w:val="00791069"/>
    <w:rsid w:val="007911B8"/>
    <w:rsid w:val="00791DAE"/>
    <w:rsid w:val="007930E8"/>
    <w:rsid w:val="00793A57"/>
    <w:rsid w:val="00793A9C"/>
    <w:rsid w:val="00793F28"/>
    <w:rsid w:val="007944D2"/>
    <w:rsid w:val="00794B19"/>
    <w:rsid w:val="00794FFA"/>
    <w:rsid w:val="00795B8D"/>
    <w:rsid w:val="00795E34"/>
    <w:rsid w:val="00795F0E"/>
    <w:rsid w:val="00797D8F"/>
    <w:rsid w:val="007A0C00"/>
    <w:rsid w:val="007A0E15"/>
    <w:rsid w:val="007A176E"/>
    <w:rsid w:val="007A19BF"/>
    <w:rsid w:val="007A2A69"/>
    <w:rsid w:val="007A2CF1"/>
    <w:rsid w:val="007A384E"/>
    <w:rsid w:val="007A3EDF"/>
    <w:rsid w:val="007A41B5"/>
    <w:rsid w:val="007A4486"/>
    <w:rsid w:val="007A4682"/>
    <w:rsid w:val="007A47EA"/>
    <w:rsid w:val="007A5879"/>
    <w:rsid w:val="007A58A8"/>
    <w:rsid w:val="007A5B11"/>
    <w:rsid w:val="007A5BDC"/>
    <w:rsid w:val="007A629D"/>
    <w:rsid w:val="007A6610"/>
    <w:rsid w:val="007A6D51"/>
    <w:rsid w:val="007A6DD3"/>
    <w:rsid w:val="007A6FF3"/>
    <w:rsid w:val="007A7169"/>
    <w:rsid w:val="007A71DC"/>
    <w:rsid w:val="007A7A04"/>
    <w:rsid w:val="007A7E1F"/>
    <w:rsid w:val="007B04FF"/>
    <w:rsid w:val="007B0976"/>
    <w:rsid w:val="007B0CAC"/>
    <w:rsid w:val="007B15F3"/>
    <w:rsid w:val="007B1701"/>
    <w:rsid w:val="007B1C32"/>
    <w:rsid w:val="007B1DBB"/>
    <w:rsid w:val="007B1E0F"/>
    <w:rsid w:val="007B2319"/>
    <w:rsid w:val="007B2FBF"/>
    <w:rsid w:val="007B3E13"/>
    <w:rsid w:val="007B4044"/>
    <w:rsid w:val="007B4046"/>
    <w:rsid w:val="007B4300"/>
    <w:rsid w:val="007B565C"/>
    <w:rsid w:val="007B595F"/>
    <w:rsid w:val="007B5D75"/>
    <w:rsid w:val="007B6D5E"/>
    <w:rsid w:val="007B7115"/>
    <w:rsid w:val="007B736B"/>
    <w:rsid w:val="007C012E"/>
    <w:rsid w:val="007C055A"/>
    <w:rsid w:val="007C0853"/>
    <w:rsid w:val="007C0C90"/>
    <w:rsid w:val="007C0E07"/>
    <w:rsid w:val="007C0E86"/>
    <w:rsid w:val="007C249E"/>
    <w:rsid w:val="007C26CF"/>
    <w:rsid w:val="007C271B"/>
    <w:rsid w:val="007C2C14"/>
    <w:rsid w:val="007C3A55"/>
    <w:rsid w:val="007C3D67"/>
    <w:rsid w:val="007C404B"/>
    <w:rsid w:val="007C4166"/>
    <w:rsid w:val="007C44E1"/>
    <w:rsid w:val="007C48DD"/>
    <w:rsid w:val="007C4A05"/>
    <w:rsid w:val="007C5711"/>
    <w:rsid w:val="007C57B9"/>
    <w:rsid w:val="007C6325"/>
    <w:rsid w:val="007C73A3"/>
    <w:rsid w:val="007C7975"/>
    <w:rsid w:val="007C7EF5"/>
    <w:rsid w:val="007D06AC"/>
    <w:rsid w:val="007D0741"/>
    <w:rsid w:val="007D0A53"/>
    <w:rsid w:val="007D0FFC"/>
    <w:rsid w:val="007D1013"/>
    <w:rsid w:val="007D19EC"/>
    <w:rsid w:val="007D1B28"/>
    <w:rsid w:val="007D2608"/>
    <w:rsid w:val="007D29A2"/>
    <w:rsid w:val="007D30C3"/>
    <w:rsid w:val="007D35AC"/>
    <w:rsid w:val="007D36B1"/>
    <w:rsid w:val="007D36D7"/>
    <w:rsid w:val="007D3BA1"/>
    <w:rsid w:val="007D3EC8"/>
    <w:rsid w:val="007D40AC"/>
    <w:rsid w:val="007D4317"/>
    <w:rsid w:val="007D4C12"/>
    <w:rsid w:val="007D57E0"/>
    <w:rsid w:val="007D5962"/>
    <w:rsid w:val="007D5A2B"/>
    <w:rsid w:val="007D6213"/>
    <w:rsid w:val="007D63B2"/>
    <w:rsid w:val="007D651D"/>
    <w:rsid w:val="007D71B7"/>
    <w:rsid w:val="007D7C66"/>
    <w:rsid w:val="007D7CF3"/>
    <w:rsid w:val="007E0274"/>
    <w:rsid w:val="007E02A7"/>
    <w:rsid w:val="007E0358"/>
    <w:rsid w:val="007E0415"/>
    <w:rsid w:val="007E0991"/>
    <w:rsid w:val="007E0B2C"/>
    <w:rsid w:val="007E0BD1"/>
    <w:rsid w:val="007E107F"/>
    <w:rsid w:val="007E2FD7"/>
    <w:rsid w:val="007E310B"/>
    <w:rsid w:val="007E3275"/>
    <w:rsid w:val="007E38DA"/>
    <w:rsid w:val="007E3D65"/>
    <w:rsid w:val="007E3EE2"/>
    <w:rsid w:val="007E47E7"/>
    <w:rsid w:val="007E4A98"/>
    <w:rsid w:val="007E4EB6"/>
    <w:rsid w:val="007E5DD7"/>
    <w:rsid w:val="007E6FB9"/>
    <w:rsid w:val="007E7139"/>
    <w:rsid w:val="007E7366"/>
    <w:rsid w:val="007E7EA1"/>
    <w:rsid w:val="007E7EA4"/>
    <w:rsid w:val="007F03CE"/>
    <w:rsid w:val="007F04D3"/>
    <w:rsid w:val="007F137D"/>
    <w:rsid w:val="007F17B5"/>
    <w:rsid w:val="007F2D8D"/>
    <w:rsid w:val="007F2EBF"/>
    <w:rsid w:val="007F3044"/>
    <w:rsid w:val="007F3249"/>
    <w:rsid w:val="007F3704"/>
    <w:rsid w:val="007F4657"/>
    <w:rsid w:val="007F4A02"/>
    <w:rsid w:val="007F5609"/>
    <w:rsid w:val="007F5625"/>
    <w:rsid w:val="007F568A"/>
    <w:rsid w:val="007F59F7"/>
    <w:rsid w:val="007F5E21"/>
    <w:rsid w:val="007F6413"/>
    <w:rsid w:val="007F676E"/>
    <w:rsid w:val="007F6B11"/>
    <w:rsid w:val="007F6E2B"/>
    <w:rsid w:val="007F7D12"/>
    <w:rsid w:val="007F7F02"/>
    <w:rsid w:val="00800258"/>
    <w:rsid w:val="00800874"/>
    <w:rsid w:val="00800C97"/>
    <w:rsid w:val="0080220F"/>
    <w:rsid w:val="008026A7"/>
    <w:rsid w:val="00802735"/>
    <w:rsid w:val="008028C2"/>
    <w:rsid w:val="00802DDB"/>
    <w:rsid w:val="00802FC1"/>
    <w:rsid w:val="00803445"/>
    <w:rsid w:val="008037D8"/>
    <w:rsid w:val="00803B7E"/>
    <w:rsid w:val="00803DA6"/>
    <w:rsid w:val="008040D9"/>
    <w:rsid w:val="0080436E"/>
    <w:rsid w:val="00804937"/>
    <w:rsid w:val="00804C02"/>
    <w:rsid w:val="00804E1E"/>
    <w:rsid w:val="00804E43"/>
    <w:rsid w:val="008050F5"/>
    <w:rsid w:val="0080519C"/>
    <w:rsid w:val="0080553F"/>
    <w:rsid w:val="00805E48"/>
    <w:rsid w:val="00807ADD"/>
    <w:rsid w:val="00810BC2"/>
    <w:rsid w:val="00811683"/>
    <w:rsid w:val="00811AFF"/>
    <w:rsid w:val="00812373"/>
    <w:rsid w:val="00812D30"/>
    <w:rsid w:val="00813F3A"/>
    <w:rsid w:val="008140E8"/>
    <w:rsid w:val="008148D4"/>
    <w:rsid w:val="0081491F"/>
    <w:rsid w:val="00814941"/>
    <w:rsid w:val="00814A65"/>
    <w:rsid w:val="00814BD9"/>
    <w:rsid w:val="008158AC"/>
    <w:rsid w:val="00816805"/>
    <w:rsid w:val="00816BE8"/>
    <w:rsid w:val="00816CD5"/>
    <w:rsid w:val="00816DBD"/>
    <w:rsid w:val="00816FE2"/>
    <w:rsid w:val="00817062"/>
    <w:rsid w:val="00817991"/>
    <w:rsid w:val="00817C35"/>
    <w:rsid w:val="00817F58"/>
    <w:rsid w:val="008203C5"/>
    <w:rsid w:val="00820B84"/>
    <w:rsid w:val="0082199B"/>
    <w:rsid w:val="00821C2A"/>
    <w:rsid w:val="00821C61"/>
    <w:rsid w:val="0082213B"/>
    <w:rsid w:val="008227B7"/>
    <w:rsid w:val="008243A8"/>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0DD6"/>
    <w:rsid w:val="008313E0"/>
    <w:rsid w:val="008317EC"/>
    <w:rsid w:val="0083195D"/>
    <w:rsid w:val="00831B7B"/>
    <w:rsid w:val="00831D90"/>
    <w:rsid w:val="008324F3"/>
    <w:rsid w:val="00832691"/>
    <w:rsid w:val="00832721"/>
    <w:rsid w:val="0083296B"/>
    <w:rsid w:val="00832B8A"/>
    <w:rsid w:val="00833547"/>
    <w:rsid w:val="00833852"/>
    <w:rsid w:val="00833967"/>
    <w:rsid w:val="00833AB9"/>
    <w:rsid w:val="00833B62"/>
    <w:rsid w:val="0083436A"/>
    <w:rsid w:val="00834820"/>
    <w:rsid w:val="00834C82"/>
    <w:rsid w:val="00834DB6"/>
    <w:rsid w:val="00834F93"/>
    <w:rsid w:val="00835F72"/>
    <w:rsid w:val="00840C4A"/>
    <w:rsid w:val="008411B9"/>
    <w:rsid w:val="0084122F"/>
    <w:rsid w:val="00841573"/>
    <w:rsid w:val="00841D08"/>
    <w:rsid w:val="00842D43"/>
    <w:rsid w:val="0084323E"/>
    <w:rsid w:val="00843D50"/>
    <w:rsid w:val="008441D9"/>
    <w:rsid w:val="0084464E"/>
    <w:rsid w:val="008458BF"/>
    <w:rsid w:val="00846262"/>
    <w:rsid w:val="00846370"/>
    <w:rsid w:val="008463E8"/>
    <w:rsid w:val="00847665"/>
    <w:rsid w:val="008478B7"/>
    <w:rsid w:val="00847925"/>
    <w:rsid w:val="00847BC5"/>
    <w:rsid w:val="00847F11"/>
    <w:rsid w:val="00850010"/>
    <w:rsid w:val="008503F4"/>
    <w:rsid w:val="008504A0"/>
    <w:rsid w:val="00850996"/>
    <w:rsid w:val="00850AC1"/>
    <w:rsid w:val="00850C2A"/>
    <w:rsid w:val="00850DFA"/>
    <w:rsid w:val="00851331"/>
    <w:rsid w:val="008516D1"/>
    <w:rsid w:val="00851CC8"/>
    <w:rsid w:val="00852003"/>
    <w:rsid w:val="0085212C"/>
    <w:rsid w:val="0085223F"/>
    <w:rsid w:val="008529FD"/>
    <w:rsid w:val="00852F49"/>
    <w:rsid w:val="00852F9E"/>
    <w:rsid w:val="00854053"/>
    <w:rsid w:val="008543AC"/>
    <w:rsid w:val="008548B8"/>
    <w:rsid w:val="00854965"/>
    <w:rsid w:val="008554D1"/>
    <w:rsid w:val="00855897"/>
    <w:rsid w:val="008558E0"/>
    <w:rsid w:val="008569E0"/>
    <w:rsid w:val="0085745B"/>
    <w:rsid w:val="00857AF7"/>
    <w:rsid w:val="00857BE5"/>
    <w:rsid w:val="00860109"/>
    <w:rsid w:val="008601BD"/>
    <w:rsid w:val="00860359"/>
    <w:rsid w:val="00860E43"/>
    <w:rsid w:val="00861252"/>
    <w:rsid w:val="0086171A"/>
    <w:rsid w:val="0086226C"/>
    <w:rsid w:val="00863C07"/>
    <w:rsid w:val="008640B7"/>
    <w:rsid w:val="00864379"/>
    <w:rsid w:val="008644A4"/>
    <w:rsid w:val="00864A6C"/>
    <w:rsid w:val="00864BB1"/>
    <w:rsid w:val="00864DF7"/>
    <w:rsid w:val="00865278"/>
    <w:rsid w:val="008654F9"/>
    <w:rsid w:val="008658C0"/>
    <w:rsid w:val="00866388"/>
    <w:rsid w:val="00866FE3"/>
    <w:rsid w:val="0086722D"/>
    <w:rsid w:val="00867459"/>
    <w:rsid w:val="00867D56"/>
    <w:rsid w:val="00867D70"/>
    <w:rsid w:val="0087018F"/>
    <w:rsid w:val="00870646"/>
    <w:rsid w:val="008706C3"/>
    <w:rsid w:val="00870BAA"/>
    <w:rsid w:val="00870D91"/>
    <w:rsid w:val="008716D1"/>
    <w:rsid w:val="008716ED"/>
    <w:rsid w:val="008718AD"/>
    <w:rsid w:val="0087193F"/>
    <w:rsid w:val="008724E6"/>
    <w:rsid w:val="008728C8"/>
    <w:rsid w:val="00872F30"/>
    <w:rsid w:val="00873205"/>
    <w:rsid w:val="008735E8"/>
    <w:rsid w:val="0087377E"/>
    <w:rsid w:val="00874594"/>
    <w:rsid w:val="00874776"/>
    <w:rsid w:val="0087487C"/>
    <w:rsid w:val="00874A07"/>
    <w:rsid w:val="00874B75"/>
    <w:rsid w:val="00875007"/>
    <w:rsid w:val="008750DB"/>
    <w:rsid w:val="008751B4"/>
    <w:rsid w:val="0087527F"/>
    <w:rsid w:val="008754B5"/>
    <w:rsid w:val="00875AF3"/>
    <w:rsid w:val="008764AE"/>
    <w:rsid w:val="008765E9"/>
    <w:rsid w:val="00876605"/>
    <w:rsid w:val="00876B13"/>
    <w:rsid w:val="00877940"/>
    <w:rsid w:val="00880007"/>
    <w:rsid w:val="00880017"/>
    <w:rsid w:val="00880305"/>
    <w:rsid w:val="0088088A"/>
    <w:rsid w:val="00880A3F"/>
    <w:rsid w:val="00880EE2"/>
    <w:rsid w:val="00881155"/>
    <w:rsid w:val="008813BC"/>
    <w:rsid w:val="00881732"/>
    <w:rsid w:val="008818A2"/>
    <w:rsid w:val="00881FF9"/>
    <w:rsid w:val="00882122"/>
    <w:rsid w:val="0088213D"/>
    <w:rsid w:val="008821C6"/>
    <w:rsid w:val="0088243D"/>
    <w:rsid w:val="0088251A"/>
    <w:rsid w:val="00882530"/>
    <w:rsid w:val="00882D28"/>
    <w:rsid w:val="00883A67"/>
    <w:rsid w:val="008848E9"/>
    <w:rsid w:val="00884FD8"/>
    <w:rsid w:val="00885244"/>
    <w:rsid w:val="008857C7"/>
    <w:rsid w:val="008858B3"/>
    <w:rsid w:val="00885BF6"/>
    <w:rsid w:val="008862A6"/>
    <w:rsid w:val="008866CF"/>
    <w:rsid w:val="00886782"/>
    <w:rsid w:val="008869A1"/>
    <w:rsid w:val="00886B3F"/>
    <w:rsid w:val="0089015D"/>
    <w:rsid w:val="0089021A"/>
    <w:rsid w:val="0089022E"/>
    <w:rsid w:val="00890475"/>
    <w:rsid w:val="00890A7C"/>
    <w:rsid w:val="00890D11"/>
    <w:rsid w:val="008910EE"/>
    <w:rsid w:val="00891A26"/>
    <w:rsid w:val="00891BCE"/>
    <w:rsid w:val="008923F8"/>
    <w:rsid w:val="008928F1"/>
    <w:rsid w:val="00892BBF"/>
    <w:rsid w:val="00892DB5"/>
    <w:rsid w:val="00893172"/>
    <w:rsid w:val="00893F27"/>
    <w:rsid w:val="008942BD"/>
    <w:rsid w:val="0089478A"/>
    <w:rsid w:val="0089480A"/>
    <w:rsid w:val="00894FE5"/>
    <w:rsid w:val="00895658"/>
    <w:rsid w:val="008956B2"/>
    <w:rsid w:val="008956DA"/>
    <w:rsid w:val="00895BA9"/>
    <w:rsid w:val="00895D79"/>
    <w:rsid w:val="0089601B"/>
    <w:rsid w:val="0089655D"/>
    <w:rsid w:val="00896784"/>
    <w:rsid w:val="00896C56"/>
    <w:rsid w:val="00897051"/>
    <w:rsid w:val="00897824"/>
    <w:rsid w:val="00897BCB"/>
    <w:rsid w:val="00897C07"/>
    <w:rsid w:val="00897DBA"/>
    <w:rsid w:val="008A02FA"/>
    <w:rsid w:val="008A06A8"/>
    <w:rsid w:val="008A07F5"/>
    <w:rsid w:val="008A0BCE"/>
    <w:rsid w:val="008A1AAC"/>
    <w:rsid w:val="008A20CA"/>
    <w:rsid w:val="008A239B"/>
    <w:rsid w:val="008A28B6"/>
    <w:rsid w:val="008A2956"/>
    <w:rsid w:val="008A2EA1"/>
    <w:rsid w:val="008A2EF6"/>
    <w:rsid w:val="008A3480"/>
    <w:rsid w:val="008A3642"/>
    <w:rsid w:val="008A3C36"/>
    <w:rsid w:val="008A4F3C"/>
    <w:rsid w:val="008A51AD"/>
    <w:rsid w:val="008A53BA"/>
    <w:rsid w:val="008A551D"/>
    <w:rsid w:val="008A56BA"/>
    <w:rsid w:val="008A570A"/>
    <w:rsid w:val="008A58E4"/>
    <w:rsid w:val="008A58E7"/>
    <w:rsid w:val="008A5C1D"/>
    <w:rsid w:val="008A615A"/>
    <w:rsid w:val="008A6357"/>
    <w:rsid w:val="008A64AA"/>
    <w:rsid w:val="008A650C"/>
    <w:rsid w:val="008A66E1"/>
    <w:rsid w:val="008A6A36"/>
    <w:rsid w:val="008A6CB9"/>
    <w:rsid w:val="008A6DC1"/>
    <w:rsid w:val="008A6DD4"/>
    <w:rsid w:val="008A7083"/>
    <w:rsid w:val="008A7100"/>
    <w:rsid w:val="008A7139"/>
    <w:rsid w:val="008A776D"/>
    <w:rsid w:val="008A7C74"/>
    <w:rsid w:val="008B03BD"/>
    <w:rsid w:val="008B04C0"/>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EE"/>
    <w:rsid w:val="008B6793"/>
    <w:rsid w:val="008B6E87"/>
    <w:rsid w:val="008B7588"/>
    <w:rsid w:val="008B75C2"/>
    <w:rsid w:val="008B787A"/>
    <w:rsid w:val="008C0A89"/>
    <w:rsid w:val="008C0CBD"/>
    <w:rsid w:val="008C0E71"/>
    <w:rsid w:val="008C1852"/>
    <w:rsid w:val="008C2AF0"/>
    <w:rsid w:val="008C2CFF"/>
    <w:rsid w:val="008C2E1E"/>
    <w:rsid w:val="008C2E22"/>
    <w:rsid w:val="008C2ED2"/>
    <w:rsid w:val="008C3D4D"/>
    <w:rsid w:val="008C4026"/>
    <w:rsid w:val="008C417D"/>
    <w:rsid w:val="008C417E"/>
    <w:rsid w:val="008C521B"/>
    <w:rsid w:val="008C5B51"/>
    <w:rsid w:val="008C5F0A"/>
    <w:rsid w:val="008C6105"/>
    <w:rsid w:val="008C6124"/>
    <w:rsid w:val="008C616C"/>
    <w:rsid w:val="008C6334"/>
    <w:rsid w:val="008C66BD"/>
    <w:rsid w:val="008C6968"/>
    <w:rsid w:val="008C742A"/>
    <w:rsid w:val="008C74C7"/>
    <w:rsid w:val="008C76A5"/>
    <w:rsid w:val="008C7714"/>
    <w:rsid w:val="008C7F4F"/>
    <w:rsid w:val="008D00F3"/>
    <w:rsid w:val="008D03C3"/>
    <w:rsid w:val="008D0F27"/>
    <w:rsid w:val="008D11F0"/>
    <w:rsid w:val="008D15A2"/>
    <w:rsid w:val="008D1839"/>
    <w:rsid w:val="008D18CD"/>
    <w:rsid w:val="008D1F86"/>
    <w:rsid w:val="008D20E0"/>
    <w:rsid w:val="008D2276"/>
    <w:rsid w:val="008D2B6E"/>
    <w:rsid w:val="008D335C"/>
    <w:rsid w:val="008D35B7"/>
    <w:rsid w:val="008D4007"/>
    <w:rsid w:val="008D436A"/>
    <w:rsid w:val="008D46D3"/>
    <w:rsid w:val="008D4C72"/>
    <w:rsid w:val="008D4CF8"/>
    <w:rsid w:val="008D5291"/>
    <w:rsid w:val="008D5368"/>
    <w:rsid w:val="008D561B"/>
    <w:rsid w:val="008D582B"/>
    <w:rsid w:val="008D5CF9"/>
    <w:rsid w:val="008D5D0A"/>
    <w:rsid w:val="008D6794"/>
    <w:rsid w:val="008D7F65"/>
    <w:rsid w:val="008E0178"/>
    <w:rsid w:val="008E02F8"/>
    <w:rsid w:val="008E12AF"/>
    <w:rsid w:val="008E1342"/>
    <w:rsid w:val="008E17F3"/>
    <w:rsid w:val="008E1DC9"/>
    <w:rsid w:val="008E1F11"/>
    <w:rsid w:val="008E211C"/>
    <w:rsid w:val="008E24E4"/>
    <w:rsid w:val="008E25C5"/>
    <w:rsid w:val="008E28EC"/>
    <w:rsid w:val="008E2BB3"/>
    <w:rsid w:val="008E2BC5"/>
    <w:rsid w:val="008E2C79"/>
    <w:rsid w:val="008E3176"/>
    <w:rsid w:val="008E3564"/>
    <w:rsid w:val="008E3A0B"/>
    <w:rsid w:val="008E3A90"/>
    <w:rsid w:val="008E3AAB"/>
    <w:rsid w:val="008E4043"/>
    <w:rsid w:val="008E4520"/>
    <w:rsid w:val="008E54E8"/>
    <w:rsid w:val="008E5740"/>
    <w:rsid w:val="008E5868"/>
    <w:rsid w:val="008E5ADB"/>
    <w:rsid w:val="008E5DC8"/>
    <w:rsid w:val="008E6465"/>
    <w:rsid w:val="008E6C57"/>
    <w:rsid w:val="008E7082"/>
    <w:rsid w:val="008E72AF"/>
    <w:rsid w:val="008F069E"/>
    <w:rsid w:val="008F0952"/>
    <w:rsid w:val="008F1154"/>
    <w:rsid w:val="008F1B84"/>
    <w:rsid w:val="008F1B9D"/>
    <w:rsid w:val="008F1DB6"/>
    <w:rsid w:val="008F337C"/>
    <w:rsid w:val="008F39C0"/>
    <w:rsid w:val="008F39E4"/>
    <w:rsid w:val="008F57CD"/>
    <w:rsid w:val="008F5960"/>
    <w:rsid w:val="008F5CD0"/>
    <w:rsid w:val="008F629A"/>
    <w:rsid w:val="008F6A9B"/>
    <w:rsid w:val="008F6F03"/>
    <w:rsid w:val="008F7603"/>
    <w:rsid w:val="008F769D"/>
    <w:rsid w:val="008F76B7"/>
    <w:rsid w:val="008F76DC"/>
    <w:rsid w:val="008F7D2F"/>
    <w:rsid w:val="009013C5"/>
    <w:rsid w:val="0090147B"/>
    <w:rsid w:val="00901649"/>
    <w:rsid w:val="009019D7"/>
    <w:rsid w:val="00901CBA"/>
    <w:rsid w:val="00901DC6"/>
    <w:rsid w:val="009021DC"/>
    <w:rsid w:val="0090254E"/>
    <w:rsid w:val="00902E6D"/>
    <w:rsid w:val="00903026"/>
    <w:rsid w:val="0090357B"/>
    <w:rsid w:val="00903832"/>
    <w:rsid w:val="009042D0"/>
    <w:rsid w:val="009044BE"/>
    <w:rsid w:val="009048EB"/>
    <w:rsid w:val="00904913"/>
    <w:rsid w:val="00904B8A"/>
    <w:rsid w:val="00904C15"/>
    <w:rsid w:val="009050B3"/>
    <w:rsid w:val="00905298"/>
    <w:rsid w:val="00905580"/>
    <w:rsid w:val="00905945"/>
    <w:rsid w:val="00905FEB"/>
    <w:rsid w:val="00906164"/>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C09"/>
    <w:rsid w:val="00911D1C"/>
    <w:rsid w:val="00912F38"/>
    <w:rsid w:val="0091340D"/>
    <w:rsid w:val="00913C58"/>
    <w:rsid w:val="009140B4"/>
    <w:rsid w:val="00914174"/>
    <w:rsid w:val="0091428A"/>
    <w:rsid w:val="00914733"/>
    <w:rsid w:val="0091495E"/>
    <w:rsid w:val="00914AA5"/>
    <w:rsid w:val="009162DD"/>
    <w:rsid w:val="009163E7"/>
    <w:rsid w:val="0091671A"/>
    <w:rsid w:val="009169F6"/>
    <w:rsid w:val="0091719D"/>
    <w:rsid w:val="00917903"/>
    <w:rsid w:val="00917BEA"/>
    <w:rsid w:val="00920189"/>
    <w:rsid w:val="00920203"/>
    <w:rsid w:val="009203A2"/>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523A"/>
    <w:rsid w:val="009252F1"/>
    <w:rsid w:val="00925588"/>
    <w:rsid w:val="00925AF5"/>
    <w:rsid w:val="009261FC"/>
    <w:rsid w:val="00926268"/>
    <w:rsid w:val="00926416"/>
    <w:rsid w:val="009264A2"/>
    <w:rsid w:val="0092715D"/>
    <w:rsid w:val="00927299"/>
    <w:rsid w:val="00927585"/>
    <w:rsid w:val="00930632"/>
    <w:rsid w:val="009310BC"/>
    <w:rsid w:val="00931D3F"/>
    <w:rsid w:val="009324C4"/>
    <w:rsid w:val="00932671"/>
    <w:rsid w:val="00932A7A"/>
    <w:rsid w:val="00932D26"/>
    <w:rsid w:val="00932D49"/>
    <w:rsid w:val="009330BF"/>
    <w:rsid w:val="00933817"/>
    <w:rsid w:val="00933EE7"/>
    <w:rsid w:val="00934510"/>
    <w:rsid w:val="0093476C"/>
    <w:rsid w:val="00935A1E"/>
    <w:rsid w:val="00935AA3"/>
    <w:rsid w:val="00935B7C"/>
    <w:rsid w:val="00935BC9"/>
    <w:rsid w:val="00935E3A"/>
    <w:rsid w:val="00936005"/>
    <w:rsid w:val="0093607C"/>
    <w:rsid w:val="00940008"/>
    <w:rsid w:val="00940FFA"/>
    <w:rsid w:val="00941503"/>
    <w:rsid w:val="0094187D"/>
    <w:rsid w:val="00941A4A"/>
    <w:rsid w:val="009423ED"/>
    <w:rsid w:val="00942C90"/>
    <w:rsid w:val="00942F29"/>
    <w:rsid w:val="00942FB6"/>
    <w:rsid w:val="009430E1"/>
    <w:rsid w:val="009434EB"/>
    <w:rsid w:val="00943EA6"/>
    <w:rsid w:val="009443F2"/>
    <w:rsid w:val="009448F2"/>
    <w:rsid w:val="009451E0"/>
    <w:rsid w:val="0094524B"/>
    <w:rsid w:val="009456E3"/>
    <w:rsid w:val="00945759"/>
    <w:rsid w:val="00945925"/>
    <w:rsid w:val="00945949"/>
    <w:rsid w:val="009466E9"/>
    <w:rsid w:val="00946CB3"/>
    <w:rsid w:val="00946D20"/>
    <w:rsid w:val="00946E51"/>
    <w:rsid w:val="009470FE"/>
    <w:rsid w:val="009473F4"/>
    <w:rsid w:val="0094767D"/>
    <w:rsid w:val="00947EB9"/>
    <w:rsid w:val="00950231"/>
    <w:rsid w:val="00950794"/>
    <w:rsid w:val="009507AA"/>
    <w:rsid w:val="009509EF"/>
    <w:rsid w:val="00951018"/>
    <w:rsid w:val="009515CA"/>
    <w:rsid w:val="00951691"/>
    <w:rsid w:val="00951FCE"/>
    <w:rsid w:val="009521CC"/>
    <w:rsid w:val="0095226C"/>
    <w:rsid w:val="0095269B"/>
    <w:rsid w:val="00952C05"/>
    <w:rsid w:val="00952D52"/>
    <w:rsid w:val="009540B7"/>
    <w:rsid w:val="009543D0"/>
    <w:rsid w:val="0095448C"/>
    <w:rsid w:val="00954AF9"/>
    <w:rsid w:val="00954DAE"/>
    <w:rsid w:val="00955410"/>
    <w:rsid w:val="009558EE"/>
    <w:rsid w:val="009559D5"/>
    <w:rsid w:val="00955C17"/>
    <w:rsid w:val="00955FFA"/>
    <w:rsid w:val="00956170"/>
    <w:rsid w:val="00956BA1"/>
    <w:rsid w:val="00956D42"/>
    <w:rsid w:val="00956F0F"/>
    <w:rsid w:val="0095727F"/>
    <w:rsid w:val="009572AF"/>
    <w:rsid w:val="00957E41"/>
    <w:rsid w:val="0096016E"/>
    <w:rsid w:val="0096023A"/>
    <w:rsid w:val="009607AB"/>
    <w:rsid w:val="00961154"/>
    <w:rsid w:val="009615DB"/>
    <w:rsid w:val="00961AAE"/>
    <w:rsid w:val="009625FA"/>
    <w:rsid w:val="00962683"/>
    <w:rsid w:val="00962E23"/>
    <w:rsid w:val="009633ED"/>
    <w:rsid w:val="0096487C"/>
    <w:rsid w:val="00964B45"/>
    <w:rsid w:val="00964BC2"/>
    <w:rsid w:val="00964D4A"/>
    <w:rsid w:val="00964EAE"/>
    <w:rsid w:val="00965023"/>
    <w:rsid w:val="009650B7"/>
    <w:rsid w:val="0096515D"/>
    <w:rsid w:val="00965841"/>
    <w:rsid w:val="00966623"/>
    <w:rsid w:val="009678DB"/>
    <w:rsid w:val="00970728"/>
    <w:rsid w:val="009707C9"/>
    <w:rsid w:val="00970E5C"/>
    <w:rsid w:val="00971303"/>
    <w:rsid w:val="00971615"/>
    <w:rsid w:val="00971E0B"/>
    <w:rsid w:val="00972101"/>
    <w:rsid w:val="00972285"/>
    <w:rsid w:val="009723CC"/>
    <w:rsid w:val="00972FB5"/>
    <w:rsid w:val="00973607"/>
    <w:rsid w:val="009736FE"/>
    <w:rsid w:val="00973B96"/>
    <w:rsid w:val="00973E3C"/>
    <w:rsid w:val="00974763"/>
    <w:rsid w:val="009757CA"/>
    <w:rsid w:val="00976E76"/>
    <w:rsid w:val="00977A14"/>
    <w:rsid w:val="00977E9B"/>
    <w:rsid w:val="009807BF"/>
    <w:rsid w:val="009809CE"/>
    <w:rsid w:val="0098131F"/>
    <w:rsid w:val="00981479"/>
    <w:rsid w:val="009814DA"/>
    <w:rsid w:val="00981614"/>
    <w:rsid w:val="00981F74"/>
    <w:rsid w:val="0098237C"/>
    <w:rsid w:val="009829B3"/>
    <w:rsid w:val="00982C31"/>
    <w:rsid w:val="00982D45"/>
    <w:rsid w:val="00983165"/>
    <w:rsid w:val="00983343"/>
    <w:rsid w:val="009833C4"/>
    <w:rsid w:val="009834E0"/>
    <w:rsid w:val="009838FF"/>
    <w:rsid w:val="00983F58"/>
    <w:rsid w:val="0098410C"/>
    <w:rsid w:val="00984149"/>
    <w:rsid w:val="00984788"/>
    <w:rsid w:val="00984909"/>
    <w:rsid w:val="00984FF3"/>
    <w:rsid w:val="00984FF9"/>
    <w:rsid w:val="009850C5"/>
    <w:rsid w:val="00985AAD"/>
    <w:rsid w:val="00986326"/>
    <w:rsid w:val="00986849"/>
    <w:rsid w:val="00986BB7"/>
    <w:rsid w:val="00986D4B"/>
    <w:rsid w:val="00986F6D"/>
    <w:rsid w:val="0098727C"/>
    <w:rsid w:val="00987708"/>
    <w:rsid w:val="00987DF0"/>
    <w:rsid w:val="00987E2E"/>
    <w:rsid w:val="0099008B"/>
    <w:rsid w:val="0099177B"/>
    <w:rsid w:val="00991B8C"/>
    <w:rsid w:val="00991FAA"/>
    <w:rsid w:val="0099367E"/>
    <w:rsid w:val="00993FE4"/>
    <w:rsid w:val="0099425E"/>
    <w:rsid w:val="00994CDC"/>
    <w:rsid w:val="00995AC3"/>
    <w:rsid w:val="009969CD"/>
    <w:rsid w:val="0099770A"/>
    <w:rsid w:val="00997769"/>
    <w:rsid w:val="00997A2E"/>
    <w:rsid w:val="009A048E"/>
    <w:rsid w:val="009A119F"/>
    <w:rsid w:val="009A1609"/>
    <w:rsid w:val="009A16A3"/>
    <w:rsid w:val="009A1702"/>
    <w:rsid w:val="009A1A7E"/>
    <w:rsid w:val="009A20BC"/>
    <w:rsid w:val="009A3480"/>
    <w:rsid w:val="009A3DB8"/>
    <w:rsid w:val="009A43B3"/>
    <w:rsid w:val="009A464D"/>
    <w:rsid w:val="009A496F"/>
    <w:rsid w:val="009A4B78"/>
    <w:rsid w:val="009A4C02"/>
    <w:rsid w:val="009A4D73"/>
    <w:rsid w:val="009A4E41"/>
    <w:rsid w:val="009A5297"/>
    <w:rsid w:val="009A5851"/>
    <w:rsid w:val="009A5D40"/>
    <w:rsid w:val="009A5E10"/>
    <w:rsid w:val="009A6665"/>
    <w:rsid w:val="009A743F"/>
    <w:rsid w:val="009A74F7"/>
    <w:rsid w:val="009B00F2"/>
    <w:rsid w:val="009B0FB2"/>
    <w:rsid w:val="009B1113"/>
    <w:rsid w:val="009B1C34"/>
    <w:rsid w:val="009B1D22"/>
    <w:rsid w:val="009B1E86"/>
    <w:rsid w:val="009B27C4"/>
    <w:rsid w:val="009B2BE6"/>
    <w:rsid w:val="009B2D92"/>
    <w:rsid w:val="009B31DE"/>
    <w:rsid w:val="009B3250"/>
    <w:rsid w:val="009B42B0"/>
    <w:rsid w:val="009B42D2"/>
    <w:rsid w:val="009B4A06"/>
    <w:rsid w:val="009B60EA"/>
    <w:rsid w:val="009B64F6"/>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B63"/>
    <w:rsid w:val="009C4D3D"/>
    <w:rsid w:val="009C55E2"/>
    <w:rsid w:val="009C5A4E"/>
    <w:rsid w:val="009C5EE5"/>
    <w:rsid w:val="009C61E3"/>
    <w:rsid w:val="009C6B56"/>
    <w:rsid w:val="009C7DB8"/>
    <w:rsid w:val="009C7FF0"/>
    <w:rsid w:val="009D010D"/>
    <w:rsid w:val="009D0244"/>
    <w:rsid w:val="009D0AAD"/>
    <w:rsid w:val="009D0F71"/>
    <w:rsid w:val="009D111C"/>
    <w:rsid w:val="009D17A0"/>
    <w:rsid w:val="009D1F7A"/>
    <w:rsid w:val="009D2873"/>
    <w:rsid w:val="009D2942"/>
    <w:rsid w:val="009D2BE9"/>
    <w:rsid w:val="009D3A1A"/>
    <w:rsid w:val="009D3AD2"/>
    <w:rsid w:val="009D426A"/>
    <w:rsid w:val="009D5BDB"/>
    <w:rsid w:val="009D6B03"/>
    <w:rsid w:val="009D6B3D"/>
    <w:rsid w:val="009D7422"/>
    <w:rsid w:val="009D78E7"/>
    <w:rsid w:val="009D7979"/>
    <w:rsid w:val="009E0742"/>
    <w:rsid w:val="009E0B29"/>
    <w:rsid w:val="009E1291"/>
    <w:rsid w:val="009E12BC"/>
    <w:rsid w:val="009E139D"/>
    <w:rsid w:val="009E224D"/>
    <w:rsid w:val="009E26D5"/>
    <w:rsid w:val="009E2A07"/>
    <w:rsid w:val="009E306D"/>
    <w:rsid w:val="009E3398"/>
    <w:rsid w:val="009E3577"/>
    <w:rsid w:val="009E37A5"/>
    <w:rsid w:val="009E395B"/>
    <w:rsid w:val="009E3D2B"/>
    <w:rsid w:val="009E3E84"/>
    <w:rsid w:val="009E4097"/>
    <w:rsid w:val="009E4664"/>
    <w:rsid w:val="009E4D8E"/>
    <w:rsid w:val="009E4E90"/>
    <w:rsid w:val="009E4EB7"/>
    <w:rsid w:val="009E57C1"/>
    <w:rsid w:val="009E624A"/>
    <w:rsid w:val="009E6B32"/>
    <w:rsid w:val="009E7039"/>
    <w:rsid w:val="009E70F3"/>
    <w:rsid w:val="009E750E"/>
    <w:rsid w:val="009E7E98"/>
    <w:rsid w:val="009F00EE"/>
    <w:rsid w:val="009F0827"/>
    <w:rsid w:val="009F0BED"/>
    <w:rsid w:val="009F1673"/>
    <w:rsid w:val="009F3255"/>
    <w:rsid w:val="009F34AA"/>
    <w:rsid w:val="009F3DCE"/>
    <w:rsid w:val="009F4298"/>
    <w:rsid w:val="009F44FF"/>
    <w:rsid w:val="009F45E2"/>
    <w:rsid w:val="009F46E8"/>
    <w:rsid w:val="009F472D"/>
    <w:rsid w:val="009F4CF0"/>
    <w:rsid w:val="009F4E88"/>
    <w:rsid w:val="009F50D1"/>
    <w:rsid w:val="009F539C"/>
    <w:rsid w:val="009F573B"/>
    <w:rsid w:val="009F5918"/>
    <w:rsid w:val="009F596D"/>
    <w:rsid w:val="009F6A91"/>
    <w:rsid w:val="009F6AA9"/>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4B7"/>
    <w:rsid w:val="00A04A0A"/>
    <w:rsid w:val="00A04C8F"/>
    <w:rsid w:val="00A050A8"/>
    <w:rsid w:val="00A056A3"/>
    <w:rsid w:val="00A059AF"/>
    <w:rsid w:val="00A05B51"/>
    <w:rsid w:val="00A06286"/>
    <w:rsid w:val="00A06318"/>
    <w:rsid w:val="00A063BC"/>
    <w:rsid w:val="00A067D7"/>
    <w:rsid w:val="00A068E1"/>
    <w:rsid w:val="00A06A80"/>
    <w:rsid w:val="00A06D8A"/>
    <w:rsid w:val="00A070D0"/>
    <w:rsid w:val="00A0711F"/>
    <w:rsid w:val="00A07B0B"/>
    <w:rsid w:val="00A102A0"/>
    <w:rsid w:val="00A10860"/>
    <w:rsid w:val="00A114FA"/>
    <w:rsid w:val="00A11AF3"/>
    <w:rsid w:val="00A12ACF"/>
    <w:rsid w:val="00A12C09"/>
    <w:rsid w:val="00A13084"/>
    <w:rsid w:val="00A1327F"/>
    <w:rsid w:val="00A13817"/>
    <w:rsid w:val="00A138D3"/>
    <w:rsid w:val="00A13E0F"/>
    <w:rsid w:val="00A144B7"/>
    <w:rsid w:val="00A149B4"/>
    <w:rsid w:val="00A152D3"/>
    <w:rsid w:val="00A15F4F"/>
    <w:rsid w:val="00A15F5A"/>
    <w:rsid w:val="00A160AB"/>
    <w:rsid w:val="00A16745"/>
    <w:rsid w:val="00A16747"/>
    <w:rsid w:val="00A17E93"/>
    <w:rsid w:val="00A20013"/>
    <w:rsid w:val="00A200E6"/>
    <w:rsid w:val="00A2056F"/>
    <w:rsid w:val="00A20582"/>
    <w:rsid w:val="00A20C65"/>
    <w:rsid w:val="00A21767"/>
    <w:rsid w:val="00A21C49"/>
    <w:rsid w:val="00A21FD5"/>
    <w:rsid w:val="00A22751"/>
    <w:rsid w:val="00A22940"/>
    <w:rsid w:val="00A22C96"/>
    <w:rsid w:val="00A23102"/>
    <w:rsid w:val="00A233D8"/>
    <w:rsid w:val="00A2343F"/>
    <w:rsid w:val="00A23505"/>
    <w:rsid w:val="00A236AC"/>
    <w:rsid w:val="00A237D0"/>
    <w:rsid w:val="00A23A4D"/>
    <w:rsid w:val="00A2428B"/>
    <w:rsid w:val="00A247E5"/>
    <w:rsid w:val="00A248BD"/>
    <w:rsid w:val="00A24D81"/>
    <w:rsid w:val="00A24EA5"/>
    <w:rsid w:val="00A25173"/>
    <w:rsid w:val="00A252F0"/>
    <w:rsid w:val="00A259F2"/>
    <w:rsid w:val="00A263F6"/>
    <w:rsid w:val="00A26463"/>
    <w:rsid w:val="00A2660E"/>
    <w:rsid w:val="00A26916"/>
    <w:rsid w:val="00A26B47"/>
    <w:rsid w:val="00A26FF1"/>
    <w:rsid w:val="00A27547"/>
    <w:rsid w:val="00A27806"/>
    <w:rsid w:val="00A3068C"/>
    <w:rsid w:val="00A3127F"/>
    <w:rsid w:val="00A31922"/>
    <w:rsid w:val="00A31BCC"/>
    <w:rsid w:val="00A31C70"/>
    <w:rsid w:val="00A31C87"/>
    <w:rsid w:val="00A325BB"/>
    <w:rsid w:val="00A3297A"/>
    <w:rsid w:val="00A32A58"/>
    <w:rsid w:val="00A32EEC"/>
    <w:rsid w:val="00A336C5"/>
    <w:rsid w:val="00A339D9"/>
    <w:rsid w:val="00A33BD6"/>
    <w:rsid w:val="00A34457"/>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1DE9"/>
    <w:rsid w:val="00A4224E"/>
    <w:rsid w:val="00A4229F"/>
    <w:rsid w:val="00A428A9"/>
    <w:rsid w:val="00A42ACA"/>
    <w:rsid w:val="00A4327C"/>
    <w:rsid w:val="00A43AAB"/>
    <w:rsid w:val="00A43AFE"/>
    <w:rsid w:val="00A43C68"/>
    <w:rsid w:val="00A4404B"/>
    <w:rsid w:val="00A447E3"/>
    <w:rsid w:val="00A44AAD"/>
    <w:rsid w:val="00A44D3B"/>
    <w:rsid w:val="00A45241"/>
    <w:rsid w:val="00A45280"/>
    <w:rsid w:val="00A452B8"/>
    <w:rsid w:val="00A45BF7"/>
    <w:rsid w:val="00A463B5"/>
    <w:rsid w:val="00A463BA"/>
    <w:rsid w:val="00A46675"/>
    <w:rsid w:val="00A46A5F"/>
    <w:rsid w:val="00A46D58"/>
    <w:rsid w:val="00A471A3"/>
    <w:rsid w:val="00A47597"/>
    <w:rsid w:val="00A477AC"/>
    <w:rsid w:val="00A47E44"/>
    <w:rsid w:val="00A47F91"/>
    <w:rsid w:val="00A507D7"/>
    <w:rsid w:val="00A50A5C"/>
    <w:rsid w:val="00A50BE2"/>
    <w:rsid w:val="00A50CC6"/>
    <w:rsid w:val="00A50DF3"/>
    <w:rsid w:val="00A50E40"/>
    <w:rsid w:val="00A51462"/>
    <w:rsid w:val="00A51946"/>
    <w:rsid w:val="00A51FF7"/>
    <w:rsid w:val="00A52079"/>
    <w:rsid w:val="00A52143"/>
    <w:rsid w:val="00A521E9"/>
    <w:rsid w:val="00A5298E"/>
    <w:rsid w:val="00A52B3E"/>
    <w:rsid w:val="00A5313B"/>
    <w:rsid w:val="00A5320E"/>
    <w:rsid w:val="00A53F7B"/>
    <w:rsid w:val="00A54090"/>
    <w:rsid w:val="00A54282"/>
    <w:rsid w:val="00A546F1"/>
    <w:rsid w:val="00A549D3"/>
    <w:rsid w:val="00A54DF0"/>
    <w:rsid w:val="00A57E98"/>
    <w:rsid w:val="00A60017"/>
    <w:rsid w:val="00A60849"/>
    <w:rsid w:val="00A6105B"/>
    <w:rsid w:val="00A61355"/>
    <w:rsid w:val="00A61668"/>
    <w:rsid w:val="00A621D3"/>
    <w:rsid w:val="00A628F8"/>
    <w:rsid w:val="00A62B7A"/>
    <w:rsid w:val="00A62D09"/>
    <w:rsid w:val="00A631A1"/>
    <w:rsid w:val="00A632EA"/>
    <w:rsid w:val="00A6339D"/>
    <w:rsid w:val="00A634BE"/>
    <w:rsid w:val="00A6386B"/>
    <w:rsid w:val="00A63AD7"/>
    <w:rsid w:val="00A63BFD"/>
    <w:rsid w:val="00A6491F"/>
    <w:rsid w:val="00A64C72"/>
    <w:rsid w:val="00A64D1A"/>
    <w:rsid w:val="00A65320"/>
    <w:rsid w:val="00A65BA5"/>
    <w:rsid w:val="00A66354"/>
    <w:rsid w:val="00A66DC5"/>
    <w:rsid w:val="00A66E37"/>
    <w:rsid w:val="00A66ECF"/>
    <w:rsid w:val="00A67E38"/>
    <w:rsid w:val="00A703E4"/>
    <w:rsid w:val="00A704C9"/>
    <w:rsid w:val="00A70DC6"/>
    <w:rsid w:val="00A71080"/>
    <w:rsid w:val="00A71986"/>
    <w:rsid w:val="00A71E3D"/>
    <w:rsid w:val="00A71E73"/>
    <w:rsid w:val="00A72740"/>
    <w:rsid w:val="00A73A64"/>
    <w:rsid w:val="00A742AD"/>
    <w:rsid w:val="00A746D7"/>
    <w:rsid w:val="00A74AB2"/>
    <w:rsid w:val="00A75A27"/>
    <w:rsid w:val="00A75A46"/>
    <w:rsid w:val="00A75B36"/>
    <w:rsid w:val="00A7663A"/>
    <w:rsid w:val="00A76858"/>
    <w:rsid w:val="00A7696B"/>
    <w:rsid w:val="00A769D4"/>
    <w:rsid w:val="00A8008F"/>
    <w:rsid w:val="00A804C7"/>
    <w:rsid w:val="00A80625"/>
    <w:rsid w:val="00A80857"/>
    <w:rsid w:val="00A80A39"/>
    <w:rsid w:val="00A80D41"/>
    <w:rsid w:val="00A80DF0"/>
    <w:rsid w:val="00A80E64"/>
    <w:rsid w:val="00A81A16"/>
    <w:rsid w:val="00A823A7"/>
    <w:rsid w:val="00A824D4"/>
    <w:rsid w:val="00A825C8"/>
    <w:rsid w:val="00A82742"/>
    <w:rsid w:val="00A82A29"/>
    <w:rsid w:val="00A82AC0"/>
    <w:rsid w:val="00A83065"/>
    <w:rsid w:val="00A83984"/>
    <w:rsid w:val="00A83A1E"/>
    <w:rsid w:val="00A84198"/>
    <w:rsid w:val="00A841AB"/>
    <w:rsid w:val="00A84FFD"/>
    <w:rsid w:val="00A86104"/>
    <w:rsid w:val="00A8655A"/>
    <w:rsid w:val="00A87203"/>
    <w:rsid w:val="00A87744"/>
    <w:rsid w:val="00A87AE6"/>
    <w:rsid w:val="00A87B09"/>
    <w:rsid w:val="00A87C22"/>
    <w:rsid w:val="00A90590"/>
    <w:rsid w:val="00A90A97"/>
    <w:rsid w:val="00A90CB4"/>
    <w:rsid w:val="00A910DA"/>
    <w:rsid w:val="00A920E1"/>
    <w:rsid w:val="00A92AFD"/>
    <w:rsid w:val="00A933AE"/>
    <w:rsid w:val="00A93863"/>
    <w:rsid w:val="00A93928"/>
    <w:rsid w:val="00A9415E"/>
    <w:rsid w:val="00A9423F"/>
    <w:rsid w:val="00A94EBA"/>
    <w:rsid w:val="00A94EBD"/>
    <w:rsid w:val="00A9510D"/>
    <w:rsid w:val="00A95580"/>
    <w:rsid w:val="00A956AC"/>
    <w:rsid w:val="00A95D2A"/>
    <w:rsid w:val="00A96214"/>
    <w:rsid w:val="00A967E8"/>
    <w:rsid w:val="00A97EDA"/>
    <w:rsid w:val="00A97F4B"/>
    <w:rsid w:val="00AA04C5"/>
    <w:rsid w:val="00AA10B1"/>
    <w:rsid w:val="00AA2803"/>
    <w:rsid w:val="00AA2AB3"/>
    <w:rsid w:val="00AA2BF2"/>
    <w:rsid w:val="00AA2D68"/>
    <w:rsid w:val="00AA2D6F"/>
    <w:rsid w:val="00AA3987"/>
    <w:rsid w:val="00AA3B68"/>
    <w:rsid w:val="00AA3E79"/>
    <w:rsid w:val="00AA42D3"/>
    <w:rsid w:val="00AA4FB4"/>
    <w:rsid w:val="00AA5C0B"/>
    <w:rsid w:val="00AA5E3B"/>
    <w:rsid w:val="00AA63AD"/>
    <w:rsid w:val="00AA65B4"/>
    <w:rsid w:val="00AA6A75"/>
    <w:rsid w:val="00AA745E"/>
    <w:rsid w:val="00AB04AB"/>
    <w:rsid w:val="00AB0733"/>
    <w:rsid w:val="00AB09D2"/>
    <w:rsid w:val="00AB0B64"/>
    <w:rsid w:val="00AB0C30"/>
    <w:rsid w:val="00AB176B"/>
    <w:rsid w:val="00AB37E6"/>
    <w:rsid w:val="00AB3DBA"/>
    <w:rsid w:val="00AB431C"/>
    <w:rsid w:val="00AB470E"/>
    <w:rsid w:val="00AB5467"/>
    <w:rsid w:val="00AB5A7E"/>
    <w:rsid w:val="00AB7538"/>
    <w:rsid w:val="00AB77F3"/>
    <w:rsid w:val="00AC0256"/>
    <w:rsid w:val="00AC0AAD"/>
    <w:rsid w:val="00AC1231"/>
    <w:rsid w:val="00AC1992"/>
    <w:rsid w:val="00AC1E14"/>
    <w:rsid w:val="00AC264E"/>
    <w:rsid w:val="00AC2B03"/>
    <w:rsid w:val="00AC2CFA"/>
    <w:rsid w:val="00AC3263"/>
    <w:rsid w:val="00AC337E"/>
    <w:rsid w:val="00AC3E12"/>
    <w:rsid w:val="00AC406E"/>
    <w:rsid w:val="00AC430C"/>
    <w:rsid w:val="00AC4951"/>
    <w:rsid w:val="00AC4A6B"/>
    <w:rsid w:val="00AC5C19"/>
    <w:rsid w:val="00AC60F0"/>
    <w:rsid w:val="00AC6657"/>
    <w:rsid w:val="00AC6705"/>
    <w:rsid w:val="00AC6D7A"/>
    <w:rsid w:val="00AC7363"/>
    <w:rsid w:val="00AC7401"/>
    <w:rsid w:val="00AC7901"/>
    <w:rsid w:val="00AC79F3"/>
    <w:rsid w:val="00AC7FDD"/>
    <w:rsid w:val="00AD0949"/>
    <w:rsid w:val="00AD0F1D"/>
    <w:rsid w:val="00AD1179"/>
    <w:rsid w:val="00AD1359"/>
    <w:rsid w:val="00AD19F0"/>
    <w:rsid w:val="00AD1FCE"/>
    <w:rsid w:val="00AD24D1"/>
    <w:rsid w:val="00AD26E1"/>
    <w:rsid w:val="00AD29CC"/>
    <w:rsid w:val="00AD3268"/>
    <w:rsid w:val="00AD3652"/>
    <w:rsid w:val="00AD3DE2"/>
    <w:rsid w:val="00AD4135"/>
    <w:rsid w:val="00AD4261"/>
    <w:rsid w:val="00AD4350"/>
    <w:rsid w:val="00AD46F5"/>
    <w:rsid w:val="00AD4CB1"/>
    <w:rsid w:val="00AD51A3"/>
    <w:rsid w:val="00AD598B"/>
    <w:rsid w:val="00AD7154"/>
    <w:rsid w:val="00AD797D"/>
    <w:rsid w:val="00AD7E02"/>
    <w:rsid w:val="00AE0034"/>
    <w:rsid w:val="00AE0483"/>
    <w:rsid w:val="00AE08DD"/>
    <w:rsid w:val="00AE13BD"/>
    <w:rsid w:val="00AE156F"/>
    <w:rsid w:val="00AE1ABF"/>
    <w:rsid w:val="00AE1AF9"/>
    <w:rsid w:val="00AE1E60"/>
    <w:rsid w:val="00AE2068"/>
    <w:rsid w:val="00AE2258"/>
    <w:rsid w:val="00AE277E"/>
    <w:rsid w:val="00AE2A36"/>
    <w:rsid w:val="00AE2BC6"/>
    <w:rsid w:val="00AE3251"/>
    <w:rsid w:val="00AE33B2"/>
    <w:rsid w:val="00AE33DA"/>
    <w:rsid w:val="00AE3FE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24E7"/>
    <w:rsid w:val="00AF272B"/>
    <w:rsid w:val="00AF291B"/>
    <w:rsid w:val="00AF2DAA"/>
    <w:rsid w:val="00AF2EBD"/>
    <w:rsid w:val="00AF33AE"/>
    <w:rsid w:val="00AF3CDC"/>
    <w:rsid w:val="00AF44B1"/>
    <w:rsid w:val="00AF5800"/>
    <w:rsid w:val="00AF6986"/>
    <w:rsid w:val="00AF69FE"/>
    <w:rsid w:val="00AF6A77"/>
    <w:rsid w:val="00AF6D1B"/>
    <w:rsid w:val="00AF73ED"/>
    <w:rsid w:val="00AF7B5B"/>
    <w:rsid w:val="00AF7D69"/>
    <w:rsid w:val="00AF7ED2"/>
    <w:rsid w:val="00B004D8"/>
    <w:rsid w:val="00B00830"/>
    <w:rsid w:val="00B00CC5"/>
    <w:rsid w:val="00B016D2"/>
    <w:rsid w:val="00B02091"/>
    <w:rsid w:val="00B02B43"/>
    <w:rsid w:val="00B02B98"/>
    <w:rsid w:val="00B03D36"/>
    <w:rsid w:val="00B04540"/>
    <w:rsid w:val="00B046F1"/>
    <w:rsid w:val="00B05116"/>
    <w:rsid w:val="00B051A7"/>
    <w:rsid w:val="00B05F1A"/>
    <w:rsid w:val="00B07B33"/>
    <w:rsid w:val="00B07FA2"/>
    <w:rsid w:val="00B100CF"/>
    <w:rsid w:val="00B1074F"/>
    <w:rsid w:val="00B10E82"/>
    <w:rsid w:val="00B111A6"/>
    <w:rsid w:val="00B115E5"/>
    <w:rsid w:val="00B118EE"/>
    <w:rsid w:val="00B11B03"/>
    <w:rsid w:val="00B11B79"/>
    <w:rsid w:val="00B11C5B"/>
    <w:rsid w:val="00B121CD"/>
    <w:rsid w:val="00B12343"/>
    <w:rsid w:val="00B12529"/>
    <w:rsid w:val="00B128C5"/>
    <w:rsid w:val="00B12B11"/>
    <w:rsid w:val="00B12C94"/>
    <w:rsid w:val="00B12D5B"/>
    <w:rsid w:val="00B135AB"/>
    <w:rsid w:val="00B135D7"/>
    <w:rsid w:val="00B13797"/>
    <w:rsid w:val="00B137BF"/>
    <w:rsid w:val="00B13A1B"/>
    <w:rsid w:val="00B13A76"/>
    <w:rsid w:val="00B13AAB"/>
    <w:rsid w:val="00B142D9"/>
    <w:rsid w:val="00B14BC4"/>
    <w:rsid w:val="00B158A3"/>
    <w:rsid w:val="00B15B25"/>
    <w:rsid w:val="00B15C36"/>
    <w:rsid w:val="00B15EA0"/>
    <w:rsid w:val="00B16069"/>
    <w:rsid w:val="00B17A4E"/>
    <w:rsid w:val="00B17B30"/>
    <w:rsid w:val="00B17C2F"/>
    <w:rsid w:val="00B2153E"/>
    <w:rsid w:val="00B21F72"/>
    <w:rsid w:val="00B21FA7"/>
    <w:rsid w:val="00B22022"/>
    <w:rsid w:val="00B225E4"/>
    <w:rsid w:val="00B231C5"/>
    <w:rsid w:val="00B23F7A"/>
    <w:rsid w:val="00B240B1"/>
    <w:rsid w:val="00B24208"/>
    <w:rsid w:val="00B24374"/>
    <w:rsid w:val="00B24728"/>
    <w:rsid w:val="00B248A9"/>
    <w:rsid w:val="00B2490A"/>
    <w:rsid w:val="00B24BE3"/>
    <w:rsid w:val="00B24D28"/>
    <w:rsid w:val="00B24F1C"/>
    <w:rsid w:val="00B25D76"/>
    <w:rsid w:val="00B268BC"/>
    <w:rsid w:val="00B27032"/>
    <w:rsid w:val="00B27085"/>
    <w:rsid w:val="00B30003"/>
    <w:rsid w:val="00B3015C"/>
    <w:rsid w:val="00B30AD9"/>
    <w:rsid w:val="00B31201"/>
    <w:rsid w:val="00B31B4B"/>
    <w:rsid w:val="00B31E36"/>
    <w:rsid w:val="00B32E26"/>
    <w:rsid w:val="00B338B7"/>
    <w:rsid w:val="00B34061"/>
    <w:rsid w:val="00B34376"/>
    <w:rsid w:val="00B3440A"/>
    <w:rsid w:val="00B34441"/>
    <w:rsid w:val="00B35533"/>
    <w:rsid w:val="00B35534"/>
    <w:rsid w:val="00B35A87"/>
    <w:rsid w:val="00B35AFD"/>
    <w:rsid w:val="00B35F9A"/>
    <w:rsid w:val="00B3609C"/>
    <w:rsid w:val="00B36236"/>
    <w:rsid w:val="00B3662E"/>
    <w:rsid w:val="00B366D2"/>
    <w:rsid w:val="00B366FA"/>
    <w:rsid w:val="00B36E86"/>
    <w:rsid w:val="00B379BA"/>
    <w:rsid w:val="00B412FD"/>
    <w:rsid w:val="00B422BE"/>
    <w:rsid w:val="00B4241D"/>
    <w:rsid w:val="00B426BB"/>
    <w:rsid w:val="00B42EB9"/>
    <w:rsid w:val="00B436F0"/>
    <w:rsid w:val="00B441FE"/>
    <w:rsid w:val="00B44821"/>
    <w:rsid w:val="00B44AD3"/>
    <w:rsid w:val="00B450EB"/>
    <w:rsid w:val="00B45152"/>
    <w:rsid w:val="00B45E54"/>
    <w:rsid w:val="00B464E4"/>
    <w:rsid w:val="00B4689A"/>
    <w:rsid w:val="00B46D5F"/>
    <w:rsid w:val="00B46E7B"/>
    <w:rsid w:val="00B47DC5"/>
    <w:rsid w:val="00B505B3"/>
    <w:rsid w:val="00B50882"/>
    <w:rsid w:val="00B50A74"/>
    <w:rsid w:val="00B520A0"/>
    <w:rsid w:val="00B5257E"/>
    <w:rsid w:val="00B525CE"/>
    <w:rsid w:val="00B52CFD"/>
    <w:rsid w:val="00B52EED"/>
    <w:rsid w:val="00B53103"/>
    <w:rsid w:val="00B545A8"/>
    <w:rsid w:val="00B55F22"/>
    <w:rsid w:val="00B56527"/>
    <w:rsid w:val="00B57019"/>
    <w:rsid w:val="00B576DA"/>
    <w:rsid w:val="00B57710"/>
    <w:rsid w:val="00B601C9"/>
    <w:rsid w:val="00B60D04"/>
    <w:rsid w:val="00B6158F"/>
    <w:rsid w:val="00B61EE8"/>
    <w:rsid w:val="00B633A3"/>
    <w:rsid w:val="00B63533"/>
    <w:rsid w:val="00B63BDB"/>
    <w:rsid w:val="00B64A0E"/>
    <w:rsid w:val="00B64DDF"/>
    <w:rsid w:val="00B6601E"/>
    <w:rsid w:val="00B663AA"/>
    <w:rsid w:val="00B66DD5"/>
    <w:rsid w:val="00B67722"/>
    <w:rsid w:val="00B67B97"/>
    <w:rsid w:val="00B67F01"/>
    <w:rsid w:val="00B70329"/>
    <w:rsid w:val="00B70764"/>
    <w:rsid w:val="00B711AB"/>
    <w:rsid w:val="00B714F0"/>
    <w:rsid w:val="00B71A40"/>
    <w:rsid w:val="00B71C8C"/>
    <w:rsid w:val="00B71CB4"/>
    <w:rsid w:val="00B71FD7"/>
    <w:rsid w:val="00B72244"/>
    <w:rsid w:val="00B7243D"/>
    <w:rsid w:val="00B725E7"/>
    <w:rsid w:val="00B72C07"/>
    <w:rsid w:val="00B72DF7"/>
    <w:rsid w:val="00B72F42"/>
    <w:rsid w:val="00B733FB"/>
    <w:rsid w:val="00B73E44"/>
    <w:rsid w:val="00B74290"/>
    <w:rsid w:val="00B74510"/>
    <w:rsid w:val="00B74BD4"/>
    <w:rsid w:val="00B74BF7"/>
    <w:rsid w:val="00B74E93"/>
    <w:rsid w:val="00B76185"/>
    <w:rsid w:val="00B76BCD"/>
    <w:rsid w:val="00B7786D"/>
    <w:rsid w:val="00B779E6"/>
    <w:rsid w:val="00B804E2"/>
    <w:rsid w:val="00B811B2"/>
    <w:rsid w:val="00B81BA3"/>
    <w:rsid w:val="00B82213"/>
    <w:rsid w:val="00B8276E"/>
    <w:rsid w:val="00B83A62"/>
    <w:rsid w:val="00B83B59"/>
    <w:rsid w:val="00B84252"/>
    <w:rsid w:val="00B8468F"/>
    <w:rsid w:val="00B849F1"/>
    <w:rsid w:val="00B84FC6"/>
    <w:rsid w:val="00B857F5"/>
    <w:rsid w:val="00B86D6C"/>
    <w:rsid w:val="00B86EB5"/>
    <w:rsid w:val="00B86F47"/>
    <w:rsid w:val="00B874B4"/>
    <w:rsid w:val="00B876C1"/>
    <w:rsid w:val="00B8787A"/>
    <w:rsid w:val="00B87887"/>
    <w:rsid w:val="00B90123"/>
    <w:rsid w:val="00B90196"/>
    <w:rsid w:val="00B911C1"/>
    <w:rsid w:val="00B91374"/>
    <w:rsid w:val="00B922C3"/>
    <w:rsid w:val="00B9272A"/>
    <w:rsid w:val="00B9272E"/>
    <w:rsid w:val="00B927A7"/>
    <w:rsid w:val="00B92B9E"/>
    <w:rsid w:val="00B93315"/>
    <w:rsid w:val="00B93519"/>
    <w:rsid w:val="00B9372A"/>
    <w:rsid w:val="00B9425C"/>
    <w:rsid w:val="00B94AAF"/>
    <w:rsid w:val="00B953FF"/>
    <w:rsid w:val="00B9622D"/>
    <w:rsid w:val="00B96263"/>
    <w:rsid w:val="00B968A5"/>
    <w:rsid w:val="00B972CD"/>
    <w:rsid w:val="00B97D02"/>
    <w:rsid w:val="00BA0304"/>
    <w:rsid w:val="00BA0557"/>
    <w:rsid w:val="00BA19C4"/>
    <w:rsid w:val="00BA3038"/>
    <w:rsid w:val="00BA360A"/>
    <w:rsid w:val="00BA370A"/>
    <w:rsid w:val="00BA48BC"/>
    <w:rsid w:val="00BA4A29"/>
    <w:rsid w:val="00BA4BE7"/>
    <w:rsid w:val="00BA5F20"/>
    <w:rsid w:val="00BA5F44"/>
    <w:rsid w:val="00BA68D9"/>
    <w:rsid w:val="00BA6FD8"/>
    <w:rsid w:val="00BA7172"/>
    <w:rsid w:val="00BA72CF"/>
    <w:rsid w:val="00BA7B01"/>
    <w:rsid w:val="00BB02D7"/>
    <w:rsid w:val="00BB0D9F"/>
    <w:rsid w:val="00BB0DEE"/>
    <w:rsid w:val="00BB0F93"/>
    <w:rsid w:val="00BB1031"/>
    <w:rsid w:val="00BB1B33"/>
    <w:rsid w:val="00BB2480"/>
    <w:rsid w:val="00BB27FD"/>
    <w:rsid w:val="00BB28E3"/>
    <w:rsid w:val="00BB29B3"/>
    <w:rsid w:val="00BB2C4E"/>
    <w:rsid w:val="00BB2E29"/>
    <w:rsid w:val="00BB2F74"/>
    <w:rsid w:val="00BB3206"/>
    <w:rsid w:val="00BB32C2"/>
    <w:rsid w:val="00BB3B0D"/>
    <w:rsid w:val="00BB4369"/>
    <w:rsid w:val="00BB524C"/>
    <w:rsid w:val="00BB59A6"/>
    <w:rsid w:val="00BB5DAB"/>
    <w:rsid w:val="00BB6195"/>
    <w:rsid w:val="00BB61A3"/>
    <w:rsid w:val="00BB67EA"/>
    <w:rsid w:val="00BB707E"/>
    <w:rsid w:val="00BB7568"/>
    <w:rsid w:val="00BC007C"/>
    <w:rsid w:val="00BC0157"/>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DB"/>
    <w:rsid w:val="00BC69A2"/>
    <w:rsid w:val="00BC6ED6"/>
    <w:rsid w:val="00BC6F03"/>
    <w:rsid w:val="00BC6FA1"/>
    <w:rsid w:val="00BC70CE"/>
    <w:rsid w:val="00BC7487"/>
    <w:rsid w:val="00BD0570"/>
    <w:rsid w:val="00BD0853"/>
    <w:rsid w:val="00BD112D"/>
    <w:rsid w:val="00BD191F"/>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5984"/>
    <w:rsid w:val="00BD6D43"/>
    <w:rsid w:val="00BD7090"/>
    <w:rsid w:val="00BD7490"/>
    <w:rsid w:val="00BD767F"/>
    <w:rsid w:val="00BD7DA0"/>
    <w:rsid w:val="00BE096B"/>
    <w:rsid w:val="00BE09C3"/>
    <w:rsid w:val="00BE0C27"/>
    <w:rsid w:val="00BE15BB"/>
    <w:rsid w:val="00BE198F"/>
    <w:rsid w:val="00BE1CC9"/>
    <w:rsid w:val="00BE4CCF"/>
    <w:rsid w:val="00BE5964"/>
    <w:rsid w:val="00BE660B"/>
    <w:rsid w:val="00BE6AFE"/>
    <w:rsid w:val="00BE6BBE"/>
    <w:rsid w:val="00BE7021"/>
    <w:rsid w:val="00BE7300"/>
    <w:rsid w:val="00BE76F7"/>
    <w:rsid w:val="00BE784F"/>
    <w:rsid w:val="00BE79C6"/>
    <w:rsid w:val="00BF0238"/>
    <w:rsid w:val="00BF0717"/>
    <w:rsid w:val="00BF1750"/>
    <w:rsid w:val="00BF178E"/>
    <w:rsid w:val="00BF189F"/>
    <w:rsid w:val="00BF18F2"/>
    <w:rsid w:val="00BF1B44"/>
    <w:rsid w:val="00BF1F01"/>
    <w:rsid w:val="00BF1FC2"/>
    <w:rsid w:val="00BF23CC"/>
    <w:rsid w:val="00BF243F"/>
    <w:rsid w:val="00BF2708"/>
    <w:rsid w:val="00BF4C2B"/>
    <w:rsid w:val="00BF507A"/>
    <w:rsid w:val="00BF53F1"/>
    <w:rsid w:val="00BF5717"/>
    <w:rsid w:val="00BF585E"/>
    <w:rsid w:val="00BF5B9D"/>
    <w:rsid w:val="00BF5C45"/>
    <w:rsid w:val="00BF5FA3"/>
    <w:rsid w:val="00BF62F2"/>
    <w:rsid w:val="00BF63A5"/>
    <w:rsid w:val="00BF72A7"/>
    <w:rsid w:val="00BF7558"/>
    <w:rsid w:val="00BF7DD2"/>
    <w:rsid w:val="00C0111E"/>
    <w:rsid w:val="00C02676"/>
    <w:rsid w:val="00C029AB"/>
    <w:rsid w:val="00C02D74"/>
    <w:rsid w:val="00C03BD5"/>
    <w:rsid w:val="00C03C8B"/>
    <w:rsid w:val="00C03F3C"/>
    <w:rsid w:val="00C0425C"/>
    <w:rsid w:val="00C049BE"/>
    <w:rsid w:val="00C04A71"/>
    <w:rsid w:val="00C04DF0"/>
    <w:rsid w:val="00C050BB"/>
    <w:rsid w:val="00C05A4C"/>
    <w:rsid w:val="00C05A67"/>
    <w:rsid w:val="00C0641F"/>
    <w:rsid w:val="00C06E6F"/>
    <w:rsid w:val="00C07371"/>
    <w:rsid w:val="00C075DB"/>
    <w:rsid w:val="00C07EBA"/>
    <w:rsid w:val="00C07FBC"/>
    <w:rsid w:val="00C100E7"/>
    <w:rsid w:val="00C11113"/>
    <w:rsid w:val="00C11687"/>
    <w:rsid w:val="00C11E28"/>
    <w:rsid w:val="00C11F66"/>
    <w:rsid w:val="00C1225B"/>
    <w:rsid w:val="00C122F9"/>
    <w:rsid w:val="00C1253A"/>
    <w:rsid w:val="00C128C9"/>
    <w:rsid w:val="00C12CF3"/>
    <w:rsid w:val="00C12F88"/>
    <w:rsid w:val="00C131A8"/>
    <w:rsid w:val="00C1322D"/>
    <w:rsid w:val="00C135A3"/>
    <w:rsid w:val="00C1477A"/>
    <w:rsid w:val="00C14A62"/>
    <w:rsid w:val="00C158EB"/>
    <w:rsid w:val="00C159B1"/>
    <w:rsid w:val="00C15D51"/>
    <w:rsid w:val="00C161F5"/>
    <w:rsid w:val="00C16BE6"/>
    <w:rsid w:val="00C16C92"/>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3843"/>
    <w:rsid w:val="00C23A4C"/>
    <w:rsid w:val="00C2419D"/>
    <w:rsid w:val="00C243A4"/>
    <w:rsid w:val="00C24416"/>
    <w:rsid w:val="00C248DB"/>
    <w:rsid w:val="00C26170"/>
    <w:rsid w:val="00C26B5A"/>
    <w:rsid w:val="00C26D52"/>
    <w:rsid w:val="00C303E4"/>
    <w:rsid w:val="00C30775"/>
    <w:rsid w:val="00C30B8D"/>
    <w:rsid w:val="00C3134E"/>
    <w:rsid w:val="00C315D8"/>
    <w:rsid w:val="00C31C4A"/>
    <w:rsid w:val="00C31D2D"/>
    <w:rsid w:val="00C3209A"/>
    <w:rsid w:val="00C32639"/>
    <w:rsid w:val="00C32808"/>
    <w:rsid w:val="00C32AD2"/>
    <w:rsid w:val="00C33114"/>
    <w:rsid w:val="00C34193"/>
    <w:rsid w:val="00C347FD"/>
    <w:rsid w:val="00C34DAE"/>
    <w:rsid w:val="00C34E1E"/>
    <w:rsid w:val="00C34E5A"/>
    <w:rsid w:val="00C353D2"/>
    <w:rsid w:val="00C35D9C"/>
    <w:rsid w:val="00C36219"/>
    <w:rsid w:val="00C3698E"/>
    <w:rsid w:val="00C36CCA"/>
    <w:rsid w:val="00C36E1C"/>
    <w:rsid w:val="00C36F42"/>
    <w:rsid w:val="00C3718A"/>
    <w:rsid w:val="00C3728D"/>
    <w:rsid w:val="00C379C5"/>
    <w:rsid w:val="00C37EEE"/>
    <w:rsid w:val="00C40453"/>
    <w:rsid w:val="00C40E71"/>
    <w:rsid w:val="00C40FBC"/>
    <w:rsid w:val="00C41879"/>
    <w:rsid w:val="00C41A7C"/>
    <w:rsid w:val="00C42CEF"/>
    <w:rsid w:val="00C42D55"/>
    <w:rsid w:val="00C43080"/>
    <w:rsid w:val="00C4370E"/>
    <w:rsid w:val="00C43823"/>
    <w:rsid w:val="00C4384B"/>
    <w:rsid w:val="00C4393C"/>
    <w:rsid w:val="00C43F2D"/>
    <w:rsid w:val="00C44068"/>
    <w:rsid w:val="00C442AE"/>
    <w:rsid w:val="00C44DCD"/>
    <w:rsid w:val="00C4518B"/>
    <w:rsid w:val="00C45780"/>
    <w:rsid w:val="00C458D6"/>
    <w:rsid w:val="00C45919"/>
    <w:rsid w:val="00C4655A"/>
    <w:rsid w:val="00C466BF"/>
    <w:rsid w:val="00C47385"/>
    <w:rsid w:val="00C47555"/>
    <w:rsid w:val="00C476AC"/>
    <w:rsid w:val="00C47E67"/>
    <w:rsid w:val="00C47FD9"/>
    <w:rsid w:val="00C50C1A"/>
    <w:rsid w:val="00C50E1E"/>
    <w:rsid w:val="00C51508"/>
    <w:rsid w:val="00C51D73"/>
    <w:rsid w:val="00C52A05"/>
    <w:rsid w:val="00C52E97"/>
    <w:rsid w:val="00C52EAF"/>
    <w:rsid w:val="00C53189"/>
    <w:rsid w:val="00C534E5"/>
    <w:rsid w:val="00C534F4"/>
    <w:rsid w:val="00C5375B"/>
    <w:rsid w:val="00C53B15"/>
    <w:rsid w:val="00C53DA9"/>
    <w:rsid w:val="00C53EF7"/>
    <w:rsid w:val="00C54280"/>
    <w:rsid w:val="00C542B8"/>
    <w:rsid w:val="00C54616"/>
    <w:rsid w:val="00C54929"/>
    <w:rsid w:val="00C550B6"/>
    <w:rsid w:val="00C55373"/>
    <w:rsid w:val="00C556B1"/>
    <w:rsid w:val="00C55A05"/>
    <w:rsid w:val="00C56101"/>
    <w:rsid w:val="00C565F2"/>
    <w:rsid w:val="00C567E3"/>
    <w:rsid w:val="00C56C45"/>
    <w:rsid w:val="00C573CC"/>
    <w:rsid w:val="00C57B81"/>
    <w:rsid w:val="00C57FB9"/>
    <w:rsid w:val="00C6077B"/>
    <w:rsid w:val="00C60950"/>
    <w:rsid w:val="00C60C79"/>
    <w:rsid w:val="00C60DD1"/>
    <w:rsid w:val="00C61565"/>
    <w:rsid w:val="00C61574"/>
    <w:rsid w:val="00C615B4"/>
    <w:rsid w:val="00C61AC6"/>
    <w:rsid w:val="00C61ACF"/>
    <w:rsid w:val="00C620E7"/>
    <w:rsid w:val="00C6211D"/>
    <w:rsid w:val="00C62537"/>
    <w:rsid w:val="00C62B32"/>
    <w:rsid w:val="00C63DED"/>
    <w:rsid w:val="00C63E88"/>
    <w:rsid w:val="00C6436D"/>
    <w:rsid w:val="00C64F97"/>
    <w:rsid w:val="00C65585"/>
    <w:rsid w:val="00C656EB"/>
    <w:rsid w:val="00C65DF4"/>
    <w:rsid w:val="00C661C6"/>
    <w:rsid w:val="00C676DD"/>
    <w:rsid w:val="00C67B49"/>
    <w:rsid w:val="00C711F5"/>
    <w:rsid w:val="00C71326"/>
    <w:rsid w:val="00C713A1"/>
    <w:rsid w:val="00C71828"/>
    <w:rsid w:val="00C72105"/>
    <w:rsid w:val="00C74520"/>
    <w:rsid w:val="00C74954"/>
    <w:rsid w:val="00C76028"/>
    <w:rsid w:val="00C76184"/>
    <w:rsid w:val="00C76462"/>
    <w:rsid w:val="00C7673D"/>
    <w:rsid w:val="00C76A80"/>
    <w:rsid w:val="00C76C27"/>
    <w:rsid w:val="00C76F07"/>
    <w:rsid w:val="00C77960"/>
    <w:rsid w:val="00C77EF6"/>
    <w:rsid w:val="00C80B4B"/>
    <w:rsid w:val="00C80D63"/>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66F"/>
    <w:rsid w:val="00C849E0"/>
    <w:rsid w:val="00C84B74"/>
    <w:rsid w:val="00C8512A"/>
    <w:rsid w:val="00C85378"/>
    <w:rsid w:val="00C85970"/>
    <w:rsid w:val="00C85E9B"/>
    <w:rsid w:val="00C874C8"/>
    <w:rsid w:val="00C87E30"/>
    <w:rsid w:val="00C90165"/>
    <w:rsid w:val="00C902DA"/>
    <w:rsid w:val="00C90733"/>
    <w:rsid w:val="00C921C4"/>
    <w:rsid w:val="00C9235F"/>
    <w:rsid w:val="00C9257F"/>
    <w:rsid w:val="00C9319C"/>
    <w:rsid w:val="00C934F6"/>
    <w:rsid w:val="00C93874"/>
    <w:rsid w:val="00C93A4C"/>
    <w:rsid w:val="00C944EB"/>
    <w:rsid w:val="00C94FD2"/>
    <w:rsid w:val="00C95341"/>
    <w:rsid w:val="00C95B76"/>
    <w:rsid w:val="00C964C3"/>
    <w:rsid w:val="00C96635"/>
    <w:rsid w:val="00C966B7"/>
    <w:rsid w:val="00C969DB"/>
    <w:rsid w:val="00C96A6E"/>
    <w:rsid w:val="00C97A4A"/>
    <w:rsid w:val="00C97DC9"/>
    <w:rsid w:val="00C97EE3"/>
    <w:rsid w:val="00CA042A"/>
    <w:rsid w:val="00CA12BA"/>
    <w:rsid w:val="00CA165C"/>
    <w:rsid w:val="00CA1C0D"/>
    <w:rsid w:val="00CA1DAE"/>
    <w:rsid w:val="00CA1E62"/>
    <w:rsid w:val="00CA2267"/>
    <w:rsid w:val="00CA38AD"/>
    <w:rsid w:val="00CA3EEE"/>
    <w:rsid w:val="00CA5098"/>
    <w:rsid w:val="00CA5503"/>
    <w:rsid w:val="00CA66C3"/>
    <w:rsid w:val="00CA6CAD"/>
    <w:rsid w:val="00CA70A8"/>
    <w:rsid w:val="00CA70D0"/>
    <w:rsid w:val="00CA74A4"/>
    <w:rsid w:val="00CA7683"/>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3A45"/>
    <w:rsid w:val="00CB4728"/>
    <w:rsid w:val="00CB59E7"/>
    <w:rsid w:val="00CB5D27"/>
    <w:rsid w:val="00CB5E4A"/>
    <w:rsid w:val="00CB6FCA"/>
    <w:rsid w:val="00CB724D"/>
    <w:rsid w:val="00CB73EA"/>
    <w:rsid w:val="00CB76E3"/>
    <w:rsid w:val="00CB7D4E"/>
    <w:rsid w:val="00CB7F1F"/>
    <w:rsid w:val="00CC002B"/>
    <w:rsid w:val="00CC07E5"/>
    <w:rsid w:val="00CC09F0"/>
    <w:rsid w:val="00CC0AB5"/>
    <w:rsid w:val="00CC0C11"/>
    <w:rsid w:val="00CC13A5"/>
    <w:rsid w:val="00CC1F52"/>
    <w:rsid w:val="00CC233F"/>
    <w:rsid w:val="00CC27FD"/>
    <w:rsid w:val="00CC29A4"/>
    <w:rsid w:val="00CC31E8"/>
    <w:rsid w:val="00CC3AB9"/>
    <w:rsid w:val="00CC3C9E"/>
    <w:rsid w:val="00CC45E0"/>
    <w:rsid w:val="00CC488F"/>
    <w:rsid w:val="00CC4BBE"/>
    <w:rsid w:val="00CC4BC3"/>
    <w:rsid w:val="00CC50C7"/>
    <w:rsid w:val="00CC55AC"/>
    <w:rsid w:val="00CC5859"/>
    <w:rsid w:val="00CC6D1C"/>
    <w:rsid w:val="00CC71DD"/>
    <w:rsid w:val="00CC71F3"/>
    <w:rsid w:val="00CC72C0"/>
    <w:rsid w:val="00CC757D"/>
    <w:rsid w:val="00CC7C74"/>
    <w:rsid w:val="00CD00DB"/>
    <w:rsid w:val="00CD0119"/>
    <w:rsid w:val="00CD07FD"/>
    <w:rsid w:val="00CD0866"/>
    <w:rsid w:val="00CD087B"/>
    <w:rsid w:val="00CD1169"/>
    <w:rsid w:val="00CD15F1"/>
    <w:rsid w:val="00CD16C7"/>
    <w:rsid w:val="00CD1A40"/>
    <w:rsid w:val="00CD1B33"/>
    <w:rsid w:val="00CD1C47"/>
    <w:rsid w:val="00CD22C2"/>
    <w:rsid w:val="00CD25F3"/>
    <w:rsid w:val="00CD27FF"/>
    <w:rsid w:val="00CD2875"/>
    <w:rsid w:val="00CD2DF3"/>
    <w:rsid w:val="00CD305C"/>
    <w:rsid w:val="00CD3A6D"/>
    <w:rsid w:val="00CD3E5A"/>
    <w:rsid w:val="00CD3E63"/>
    <w:rsid w:val="00CD40A3"/>
    <w:rsid w:val="00CD4CD3"/>
    <w:rsid w:val="00CD5249"/>
    <w:rsid w:val="00CD589F"/>
    <w:rsid w:val="00CD60C9"/>
    <w:rsid w:val="00CD6345"/>
    <w:rsid w:val="00CD6BBB"/>
    <w:rsid w:val="00CD6EC2"/>
    <w:rsid w:val="00CD7319"/>
    <w:rsid w:val="00CD748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B6A"/>
    <w:rsid w:val="00CE5D3A"/>
    <w:rsid w:val="00CE67D8"/>
    <w:rsid w:val="00CE68EA"/>
    <w:rsid w:val="00CE7381"/>
    <w:rsid w:val="00CE7447"/>
    <w:rsid w:val="00CE74CE"/>
    <w:rsid w:val="00CF03D9"/>
    <w:rsid w:val="00CF0829"/>
    <w:rsid w:val="00CF0E74"/>
    <w:rsid w:val="00CF1833"/>
    <w:rsid w:val="00CF1AEA"/>
    <w:rsid w:val="00CF2091"/>
    <w:rsid w:val="00CF21F6"/>
    <w:rsid w:val="00CF2278"/>
    <w:rsid w:val="00CF2C62"/>
    <w:rsid w:val="00CF2F66"/>
    <w:rsid w:val="00CF337B"/>
    <w:rsid w:val="00CF3FE7"/>
    <w:rsid w:val="00CF4416"/>
    <w:rsid w:val="00CF5762"/>
    <w:rsid w:val="00CF6122"/>
    <w:rsid w:val="00CF65B4"/>
    <w:rsid w:val="00CF69B0"/>
    <w:rsid w:val="00CF6C05"/>
    <w:rsid w:val="00CF7485"/>
    <w:rsid w:val="00CF7E56"/>
    <w:rsid w:val="00D01502"/>
    <w:rsid w:val="00D01744"/>
    <w:rsid w:val="00D01C03"/>
    <w:rsid w:val="00D025CE"/>
    <w:rsid w:val="00D0296F"/>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2A6"/>
    <w:rsid w:val="00D06861"/>
    <w:rsid w:val="00D0688A"/>
    <w:rsid w:val="00D06C95"/>
    <w:rsid w:val="00D06F22"/>
    <w:rsid w:val="00D07A4E"/>
    <w:rsid w:val="00D07A9C"/>
    <w:rsid w:val="00D10076"/>
    <w:rsid w:val="00D1033B"/>
    <w:rsid w:val="00D10360"/>
    <w:rsid w:val="00D10477"/>
    <w:rsid w:val="00D107E2"/>
    <w:rsid w:val="00D11D76"/>
    <w:rsid w:val="00D121F5"/>
    <w:rsid w:val="00D126E4"/>
    <w:rsid w:val="00D131BF"/>
    <w:rsid w:val="00D13A90"/>
    <w:rsid w:val="00D140E6"/>
    <w:rsid w:val="00D158EF"/>
    <w:rsid w:val="00D15C14"/>
    <w:rsid w:val="00D15E74"/>
    <w:rsid w:val="00D15FAA"/>
    <w:rsid w:val="00D16ECB"/>
    <w:rsid w:val="00D16EEE"/>
    <w:rsid w:val="00D17167"/>
    <w:rsid w:val="00D17BA5"/>
    <w:rsid w:val="00D2058D"/>
    <w:rsid w:val="00D206A3"/>
    <w:rsid w:val="00D2176E"/>
    <w:rsid w:val="00D2182A"/>
    <w:rsid w:val="00D2193D"/>
    <w:rsid w:val="00D21BCD"/>
    <w:rsid w:val="00D22105"/>
    <w:rsid w:val="00D2211C"/>
    <w:rsid w:val="00D224D2"/>
    <w:rsid w:val="00D22B55"/>
    <w:rsid w:val="00D22C81"/>
    <w:rsid w:val="00D23055"/>
    <w:rsid w:val="00D230AD"/>
    <w:rsid w:val="00D2320E"/>
    <w:rsid w:val="00D2327A"/>
    <w:rsid w:val="00D251AB"/>
    <w:rsid w:val="00D25240"/>
    <w:rsid w:val="00D25AC6"/>
    <w:rsid w:val="00D261D3"/>
    <w:rsid w:val="00D319DF"/>
    <w:rsid w:val="00D31C02"/>
    <w:rsid w:val="00D3225E"/>
    <w:rsid w:val="00D324BC"/>
    <w:rsid w:val="00D32B9F"/>
    <w:rsid w:val="00D33565"/>
    <w:rsid w:val="00D33761"/>
    <w:rsid w:val="00D33762"/>
    <w:rsid w:val="00D341C7"/>
    <w:rsid w:val="00D344B7"/>
    <w:rsid w:val="00D34BD1"/>
    <w:rsid w:val="00D35177"/>
    <w:rsid w:val="00D356CB"/>
    <w:rsid w:val="00D356E1"/>
    <w:rsid w:val="00D36522"/>
    <w:rsid w:val="00D37F08"/>
    <w:rsid w:val="00D40340"/>
    <w:rsid w:val="00D40609"/>
    <w:rsid w:val="00D40983"/>
    <w:rsid w:val="00D41188"/>
    <w:rsid w:val="00D417D3"/>
    <w:rsid w:val="00D418D5"/>
    <w:rsid w:val="00D41DB1"/>
    <w:rsid w:val="00D4249C"/>
    <w:rsid w:val="00D4276D"/>
    <w:rsid w:val="00D42798"/>
    <w:rsid w:val="00D42970"/>
    <w:rsid w:val="00D43AED"/>
    <w:rsid w:val="00D44916"/>
    <w:rsid w:val="00D45AE4"/>
    <w:rsid w:val="00D45CA4"/>
    <w:rsid w:val="00D45EA7"/>
    <w:rsid w:val="00D45F22"/>
    <w:rsid w:val="00D47178"/>
    <w:rsid w:val="00D4752E"/>
    <w:rsid w:val="00D47842"/>
    <w:rsid w:val="00D47BEF"/>
    <w:rsid w:val="00D50826"/>
    <w:rsid w:val="00D50C9B"/>
    <w:rsid w:val="00D51675"/>
    <w:rsid w:val="00D51F73"/>
    <w:rsid w:val="00D52827"/>
    <w:rsid w:val="00D529BE"/>
    <w:rsid w:val="00D52CF6"/>
    <w:rsid w:val="00D53D3E"/>
    <w:rsid w:val="00D547E0"/>
    <w:rsid w:val="00D54992"/>
    <w:rsid w:val="00D55291"/>
    <w:rsid w:val="00D55C48"/>
    <w:rsid w:val="00D55E47"/>
    <w:rsid w:val="00D56392"/>
    <w:rsid w:val="00D56997"/>
    <w:rsid w:val="00D570E6"/>
    <w:rsid w:val="00D5730F"/>
    <w:rsid w:val="00D5774F"/>
    <w:rsid w:val="00D60809"/>
    <w:rsid w:val="00D60D7F"/>
    <w:rsid w:val="00D61C9C"/>
    <w:rsid w:val="00D62111"/>
    <w:rsid w:val="00D62229"/>
    <w:rsid w:val="00D625B8"/>
    <w:rsid w:val="00D626F8"/>
    <w:rsid w:val="00D62A03"/>
    <w:rsid w:val="00D636DC"/>
    <w:rsid w:val="00D63F4C"/>
    <w:rsid w:val="00D64613"/>
    <w:rsid w:val="00D64702"/>
    <w:rsid w:val="00D66BFD"/>
    <w:rsid w:val="00D66C91"/>
    <w:rsid w:val="00D674EE"/>
    <w:rsid w:val="00D67535"/>
    <w:rsid w:val="00D67A4D"/>
    <w:rsid w:val="00D67BC9"/>
    <w:rsid w:val="00D67DBC"/>
    <w:rsid w:val="00D704D9"/>
    <w:rsid w:val="00D70934"/>
    <w:rsid w:val="00D70BD2"/>
    <w:rsid w:val="00D713F2"/>
    <w:rsid w:val="00D71CD8"/>
    <w:rsid w:val="00D721B1"/>
    <w:rsid w:val="00D725B4"/>
    <w:rsid w:val="00D726D7"/>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423"/>
    <w:rsid w:val="00D767BF"/>
    <w:rsid w:val="00D77278"/>
    <w:rsid w:val="00D7749B"/>
    <w:rsid w:val="00D775B5"/>
    <w:rsid w:val="00D77961"/>
    <w:rsid w:val="00D77A47"/>
    <w:rsid w:val="00D77B20"/>
    <w:rsid w:val="00D77B3B"/>
    <w:rsid w:val="00D8007C"/>
    <w:rsid w:val="00D800BF"/>
    <w:rsid w:val="00D8079F"/>
    <w:rsid w:val="00D80D0D"/>
    <w:rsid w:val="00D8103B"/>
    <w:rsid w:val="00D8111B"/>
    <w:rsid w:val="00D81242"/>
    <w:rsid w:val="00D812D2"/>
    <w:rsid w:val="00D82C80"/>
    <w:rsid w:val="00D82D02"/>
    <w:rsid w:val="00D82D0F"/>
    <w:rsid w:val="00D83A5A"/>
    <w:rsid w:val="00D84157"/>
    <w:rsid w:val="00D84BD7"/>
    <w:rsid w:val="00D84C8A"/>
    <w:rsid w:val="00D84DCA"/>
    <w:rsid w:val="00D85114"/>
    <w:rsid w:val="00D857BC"/>
    <w:rsid w:val="00D85CC6"/>
    <w:rsid w:val="00D86A92"/>
    <w:rsid w:val="00D871B6"/>
    <w:rsid w:val="00D875E1"/>
    <w:rsid w:val="00D87F1E"/>
    <w:rsid w:val="00D90275"/>
    <w:rsid w:val="00D902F5"/>
    <w:rsid w:val="00D9075D"/>
    <w:rsid w:val="00D90959"/>
    <w:rsid w:val="00D91410"/>
    <w:rsid w:val="00D91438"/>
    <w:rsid w:val="00D91594"/>
    <w:rsid w:val="00D91ABE"/>
    <w:rsid w:val="00D91DFB"/>
    <w:rsid w:val="00D921DA"/>
    <w:rsid w:val="00D92C2F"/>
    <w:rsid w:val="00D92F7F"/>
    <w:rsid w:val="00D930AC"/>
    <w:rsid w:val="00D9385C"/>
    <w:rsid w:val="00D9459D"/>
    <w:rsid w:val="00D94730"/>
    <w:rsid w:val="00D94858"/>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8DA"/>
    <w:rsid w:val="00DA1C31"/>
    <w:rsid w:val="00DA1F0C"/>
    <w:rsid w:val="00DA3565"/>
    <w:rsid w:val="00DA3A5B"/>
    <w:rsid w:val="00DA3D0B"/>
    <w:rsid w:val="00DA3F51"/>
    <w:rsid w:val="00DA45DB"/>
    <w:rsid w:val="00DA48D9"/>
    <w:rsid w:val="00DA49F8"/>
    <w:rsid w:val="00DA4AAE"/>
    <w:rsid w:val="00DA5572"/>
    <w:rsid w:val="00DA5D5D"/>
    <w:rsid w:val="00DA6A15"/>
    <w:rsid w:val="00DA6CC2"/>
    <w:rsid w:val="00DA7029"/>
    <w:rsid w:val="00DA77A0"/>
    <w:rsid w:val="00DB09A2"/>
    <w:rsid w:val="00DB0AA6"/>
    <w:rsid w:val="00DB103D"/>
    <w:rsid w:val="00DB1448"/>
    <w:rsid w:val="00DB1907"/>
    <w:rsid w:val="00DB1998"/>
    <w:rsid w:val="00DB1FC4"/>
    <w:rsid w:val="00DB21F0"/>
    <w:rsid w:val="00DB24FF"/>
    <w:rsid w:val="00DB2841"/>
    <w:rsid w:val="00DB2C5F"/>
    <w:rsid w:val="00DB34D3"/>
    <w:rsid w:val="00DB3A58"/>
    <w:rsid w:val="00DB3BDF"/>
    <w:rsid w:val="00DB3C58"/>
    <w:rsid w:val="00DB3D46"/>
    <w:rsid w:val="00DB401C"/>
    <w:rsid w:val="00DB46C8"/>
    <w:rsid w:val="00DB540E"/>
    <w:rsid w:val="00DB5A63"/>
    <w:rsid w:val="00DB6166"/>
    <w:rsid w:val="00DB656B"/>
    <w:rsid w:val="00DB691E"/>
    <w:rsid w:val="00DB6C99"/>
    <w:rsid w:val="00DB75A3"/>
    <w:rsid w:val="00DC0574"/>
    <w:rsid w:val="00DC0C65"/>
    <w:rsid w:val="00DC16BF"/>
    <w:rsid w:val="00DC16E1"/>
    <w:rsid w:val="00DC16FC"/>
    <w:rsid w:val="00DC1881"/>
    <w:rsid w:val="00DC1ED7"/>
    <w:rsid w:val="00DC3A6F"/>
    <w:rsid w:val="00DC3D1C"/>
    <w:rsid w:val="00DC43E1"/>
    <w:rsid w:val="00DC5199"/>
    <w:rsid w:val="00DC5A32"/>
    <w:rsid w:val="00DC5E4E"/>
    <w:rsid w:val="00DC6281"/>
    <w:rsid w:val="00DC651B"/>
    <w:rsid w:val="00DC662F"/>
    <w:rsid w:val="00DC6E78"/>
    <w:rsid w:val="00DC6F62"/>
    <w:rsid w:val="00DC729A"/>
    <w:rsid w:val="00DC73B1"/>
    <w:rsid w:val="00DC7519"/>
    <w:rsid w:val="00DC7630"/>
    <w:rsid w:val="00DC7EB5"/>
    <w:rsid w:val="00DD04AC"/>
    <w:rsid w:val="00DD04DD"/>
    <w:rsid w:val="00DD0891"/>
    <w:rsid w:val="00DD0B35"/>
    <w:rsid w:val="00DD0C4D"/>
    <w:rsid w:val="00DD0F9F"/>
    <w:rsid w:val="00DD11A7"/>
    <w:rsid w:val="00DD1298"/>
    <w:rsid w:val="00DD1A9F"/>
    <w:rsid w:val="00DD2300"/>
    <w:rsid w:val="00DD2309"/>
    <w:rsid w:val="00DD28B3"/>
    <w:rsid w:val="00DD2DE3"/>
    <w:rsid w:val="00DD2DE8"/>
    <w:rsid w:val="00DD316F"/>
    <w:rsid w:val="00DD357C"/>
    <w:rsid w:val="00DD37CA"/>
    <w:rsid w:val="00DD3D55"/>
    <w:rsid w:val="00DD3DF7"/>
    <w:rsid w:val="00DD44F0"/>
    <w:rsid w:val="00DD4AE2"/>
    <w:rsid w:val="00DD4BFA"/>
    <w:rsid w:val="00DD51F8"/>
    <w:rsid w:val="00DD6388"/>
    <w:rsid w:val="00DD6C53"/>
    <w:rsid w:val="00DD7198"/>
    <w:rsid w:val="00DD7CB6"/>
    <w:rsid w:val="00DE0077"/>
    <w:rsid w:val="00DE0137"/>
    <w:rsid w:val="00DE01BA"/>
    <w:rsid w:val="00DE0DCF"/>
    <w:rsid w:val="00DE137B"/>
    <w:rsid w:val="00DE19D9"/>
    <w:rsid w:val="00DE1DC6"/>
    <w:rsid w:val="00DE1F77"/>
    <w:rsid w:val="00DE21C6"/>
    <w:rsid w:val="00DE22AA"/>
    <w:rsid w:val="00DE288F"/>
    <w:rsid w:val="00DE2C45"/>
    <w:rsid w:val="00DE2D49"/>
    <w:rsid w:val="00DE2F4E"/>
    <w:rsid w:val="00DE3E66"/>
    <w:rsid w:val="00DE3F75"/>
    <w:rsid w:val="00DE41FC"/>
    <w:rsid w:val="00DE45F5"/>
    <w:rsid w:val="00DE4AAD"/>
    <w:rsid w:val="00DE4C0C"/>
    <w:rsid w:val="00DE4FC8"/>
    <w:rsid w:val="00DE53B5"/>
    <w:rsid w:val="00DE59C3"/>
    <w:rsid w:val="00DE5A50"/>
    <w:rsid w:val="00DE60C5"/>
    <w:rsid w:val="00DE6D0C"/>
    <w:rsid w:val="00DE7323"/>
    <w:rsid w:val="00DE75F0"/>
    <w:rsid w:val="00DE77CB"/>
    <w:rsid w:val="00DE7EBA"/>
    <w:rsid w:val="00DF04BD"/>
    <w:rsid w:val="00DF068D"/>
    <w:rsid w:val="00DF0D3A"/>
    <w:rsid w:val="00DF140A"/>
    <w:rsid w:val="00DF1A9A"/>
    <w:rsid w:val="00DF1C2D"/>
    <w:rsid w:val="00DF1F8A"/>
    <w:rsid w:val="00DF2209"/>
    <w:rsid w:val="00DF248E"/>
    <w:rsid w:val="00DF3577"/>
    <w:rsid w:val="00DF4063"/>
    <w:rsid w:val="00DF5F13"/>
    <w:rsid w:val="00DF63DD"/>
    <w:rsid w:val="00DF6B62"/>
    <w:rsid w:val="00DF7BD0"/>
    <w:rsid w:val="00DF7BDF"/>
    <w:rsid w:val="00E00303"/>
    <w:rsid w:val="00E00A62"/>
    <w:rsid w:val="00E00CE7"/>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4A4"/>
    <w:rsid w:val="00E06549"/>
    <w:rsid w:val="00E06930"/>
    <w:rsid w:val="00E06971"/>
    <w:rsid w:val="00E07276"/>
    <w:rsid w:val="00E105B3"/>
    <w:rsid w:val="00E10846"/>
    <w:rsid w:val="00E10883"/>
    <w:rsid w:val="00E108F4"/>
    <w:rsid w:val="00E10D4E"/>
    <w:rsid w:val="00E1100C"/>
    <w:rsid w:val="00E11489"/>
    <w:rsid w:val="00E11711"/>
    <w:rsid w:val="00E11E63"/>
    <w:rsid w:val="00E11F94"/>
    <w:rsid w:val="00E12696"/>
    <w:rsid w:val="00E1310D"/>
    <w:rsid w:val="00E13359"/>
    <w:rsid w:val="00E138BF"/>
    <w:rsid w:val="00E142FF"/>
    <w:rsid w:val="00E14EFA"/>
    <w:rsid w:val="00E151B9"/>
    <w:rsid w:val="00E158C4"/>
    <w:rsid w:val="00E161E6"/>
    <w:rsid w:val="00E167C9"/>
    <w:rsid w:val="00E1698C"/>
    <w:rsid w:val="00E16BDB"/>
    <w:rsid w:val="00E172BE"/>
    <w:rsid w:val="00E17991"/>
    <w:rsid w:val="00E17CF7"/>
    <w:rsid w:val="00E205D6"/>
    <w:rsid w:val="00E209AB"/>
    <w:rsid w:val="00E216EC"/>
    <w:rsid w:val="00E2189A"/>
    <w:rsid w:val="00E21A60"/>
    <w:rsid w:val="00E22B5A"/>
    <w:rsid w:val="00E22B68"/>
    <w:rsid w:val="00E231C9"/>
    <w:rsid w:val="00E23EBF"/>
    <w:rsid w:val="00E23FD5"/>
    <w:rsid w:val="00E24669"/>
    <w:rsid w:val="00E24C48"/>
    <w:rsid w:val="00E24EE4"/>
    <w:rsid w:val="00E25981"/>
    <w:rsid w:val="00E26141"/>
    <w:rsid w:val="00E266F5"/>
    <w:rsid w:val="00E26CCC"/>
    <w:rsid w:val="00E270D3"/>
    <w:rsid w:val="00E27FC7"/>
    <w:rsid w:val="00E3050B"/>
    <w:rsid w:val="00E30700"/>
    <w:rsid w:val="00E31360"/>
    <w:rsid w:val="00E31D28"/>
    <w:rsid w:val="00E31DEA"/>
    <w:rsid w:val="00E32425"/>
    <w:rsid w:val="00E32506"/>
    <w:rsid w:val="00E3252C"/>
    <w:rsid w:val="00E325FF"/>
    <w:rsid w:val="00E32938"/>
    <w:rsid w:val="00E32CB8"/>
    <w:rsid w:val="00E32EB7"/>
    <w:rsid w:val="00E3440F"/>
    <w:rsid w:val="00E34F3A"/>
    <w:rsid w:val="00E35F99"/>
    <w:rsid w:val="00E35F9A"/>
    <w:rsid w:val="00E3637F"/>
    <w:rsid w:val="00E364B6"/>
    <w:rsid w:val="00E36723"/>
    <w:rsid w:val="00E3713C"/>
    <w:rsid w:val="00E37470"/>
    <w:rsid w:val="00E3767B"/>
    <w:rsid w:val="00E37E1C"/>
    <w:rsid w:val="00E40126"/>
    <w:rsid w:val="00E4013B"/>
    <w:rsid w:val="00E40BC3"/>
    <w:rsid w:val="00E40C85"/>
    <w:rsid w:val="00E40CBF"/>
    <w:rsid w:val="00E40E7D"/>
    <w:rsid w:val="00E40EE4"/>
    <w:rsid w:val="00E413C6"/>
    <w:rsid w:val="00E420D5"/>
    <w:rsid w:val="00E42517"/>
    <w:rsid w:val="00E42948"/>
    <w:rsid w:val="00E42D55"/>
    <w:rsid w:val="00E42FFE"/>
    <w:rsid w:val="00E4316E"/>
    <w:rsid w:val="00E435AB"/>
    <w:rsid w:val="00E44275"/>
    <w:rsid w:val="00E44705"/>
    <w:rsid w:val="00E44777"/>
    <w:rsid w:val="00E44F67"/>
    <w:rsid w:val="00E4535F"/>
    <w:rsid w:val="00E455E3"/>
    <w:rsid w:val="00E466BC"/>
    <w:rsid w:val="00E4686A"/>
    <w:rsid w:val="00E469F2"/>
    <w:rsid w:val="00E46EE9"/>
    <w:rsid w:val="00E479FD"/>
    <w:rsid w:val="00E47F1A"/>
    <w:rsid w:val="00E504D6"/>
    <w:rsid w:val="00E50B6F"/>
    <w:rsid w:val="00E50EBE"/>
    <w:rsid w:val="00E50F69"/>
    <w:rsid w:val="00E50FC6"/>
    <w:rsid w:val="00E5227B"/>
    <w:rsid w:val="00E52372"/>
    <w:rsid w:val="00E52786"/>
    <w:rsid w:val="00E52F05"/>
    <w:rsid w:val="00E53579"/>
    <w:rsid w:val="00E540CA"/>
    <w:rsid w:val="00E54F3A"/>
    <w:rsid w:val="00E55560"/>
    <w:rsid w:val="00E55B28"/>
    <w:rsid w:val="00E5642F"/>
    <w:rsid w:val="00E5699B"/>
    <w:rsid w:val="00E56D4A"/>
    <w:rsid w:val="00E57119"/>
    <w:rsid w:val="00E5719E"/>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20D4"/>
    <w:rsid w:val="00E6357A"/>
    <w:rsid w:val="00E63DA2"/>
    <w:rsid w:val="00E641E8"/>
    <w:rsid w:val="00E642AF"/>
    <w:rsid w:val="00E644C6"/>
    <w:rsid w:val="00E64555"/>
    <w:rsid w:val="00E64595"/>
    <w:rsid w:val="00E646BB"/>
    <w:rsid w:val="00E64D24"/>
    <w:rsid w:val="00E64FAF"/>
    <w:rsid w:val="00E653A6"/>
    <w:rsid w:val="00E6549C"/>
    <w:rsid w:val="00E654B9"/>
    <w:rsid w:val="00E655D4"/>
    <w:rsid w:val="00E6589D"/>
    <w:rsid w:val="00E65DBD"/>
    <w:rsid w:val="00E65E8C"/>
    <w:rsid w:val="00E665E7"/>
    <w:rsid w:val="00E66C96"/>
    <w:rsid w:val="00E66D89"/>
    <w:rsid w:val="00E67D87"/>
    <w:rsid w:val="00E70130"/>
    <w:rsid w:val="00E70D73"/>
    <w:rsid w:val="00E71063"/>
    <w:rsid w:val="00E715FC"/>
    <w:rsid w:val="00E71A45"/>
    <w:rsid w:val="00E71B55"/>
    <w:rsid w:val="00E71C21"/>
    <w:rsid w:val="00E72F23"/>
    <w:rsid w:val="00E730FC"/>
    <w:rsid w:val="00E73481"/>
    <w:rsid w:val="00E737D1"/>
    <w:rsid w:val="00E7385A"/>
    <w:rsid w:val="00E7391F"/>
    <w:rsid w:val="00E73CE6"/>
    <w:rsid w:val="00E74780"/>
    <w:rsid w:val="00E74956"/>
    <w:rsid w:val="00E752F7"/>
    <w:rsid w:val="00E75848"/>
    <w:rsid w:val="00E759D4"/>
    <w:rsid w:val="00E7631B"/>
    <w:rsid w:val="00E76348"/>
    <w:rsid w:val="00E76A3C"/>
    <w:rsid w:val="00E76F9B"/>
    <w:rsid w:val="00E771FC"/>
    <w:rsid w:val="00E773E5"/>
    <w:rsid w:val="00E77BDD"/>
    <w:rsid w:val="00E806D3"/>
    <w:rsid w:val="00E81C34"/>
    <w:rsid w:val="00E81D83"/>
    <w:rsid w:val="00E821BB"/>
    <w:rsid w:val="00E822E9"/>
    <w:rsid w:val="00E826FE"/>
    <w:rsid w:val="00E8275E"/>
    <w:rsid w:val="00E827AF"/>
    <w:rsid w:val="00E82843"/>
    <w:rsid w:val="00E82DE9"/>
    <w:rsid w:val="00E83253"/>
    <w:rsid w:val="00E83714"/>
    <w:rsid w:val="00E83831"/>
    <w:rsid w:val="00E844AB"/>
    <w:rsid w:val="00E84C97"/>
    <w:rsid w:val="00E85005"/>
    <w:rsid w:val="00E85296"/>
    <w:rsid w:val="00E8533B"/>
    <w:rsid w:val="00E85E4E"/>
    <w:rsid w:val="00E86327"/>
    <w:rsid w:val="00E86A7A"/>
    <w:rsid w:val="00E86DF0"/>
    <w:rsid w:val="00E8720E"/>
    <w:rsid w:val="00E87BD2"/>
    <w:rsid w:val="00E87CDC"/>
    <w:rsid w:val="00E90B33"/>
    <w:rsid w:val="00E911E0"/>
    <w:rsid w:val="00E9227C"/>
    <w:rsid w:val="00E92ED5"/>
    <w:rsid w:val="00E93407"/>
    <w:rsid w:val="00E940A8"/>
    <w:rsid w:val="00E947E8"/>
    <w:rsid w:val="00E94B0F"/>
    <w:rsid w:val="00E9503F"/>
    <w:rsid w:val="00E956F3"/>
    <w:rsid w:val="00E96E68"/>
    <w:rsid w:val="00E97013"/>
    <w:rsid w:val="00E97EA1"/>
    <w:rsid w:val="00EA0BBE"/>
    <w:rsid w:val="00EA1650"/>
    <w:rsid w:val="00EA1FBC"/>
    <w:rsid w:val="00EA20A1"/>
    <w:rsid w:val="00EA212B"/>
    <w:rsid w:val="00EA24B5"/>
    <w:rsid w:val="00EA2D44"/>
    <w:rsid w:val="00EA3A1D"/>
    <w:rsid w:val="00EA3CD7"/>
    <w:rsid w:val="00EA3E2D"/>
    <w:rsid w:val="00EA4010"/>
    <w:rsid w:val="00EA429D"/>
    <w:rsid w:val="00EA43AF"/>
    <w:rsid w:val="00EA4676"/>
    <w:rsid w:val="00EA47FB"/>
    <w:rsid w:val="00EA4C7C"/>
    <w:rsid w:val="00EA4D4C"/>
    <w:rsid w:val="00EA507B"/>
    <w:rsid w:val="00EA554F"/>
    <w:rsid w:val="00EA6250"/>
    <w:rsid w:val="00EA66A4"/>
    <w:rsid w:val="00EA6819"/>
    <w:rsid w:val="00EA6A1E"/>
    <w:rsid w:val="00EA75BD"/>
    <w:rsid w:val="00EA7C47"/>
    <w:rsid w:val="00EA7EC8"/>
    <w:rsid w:val="00EB0F0F"/>
    <w:rsid w:val="00EB12A5"/>
    <w:rsid w:val="00EB1DEF"/>
    <w:rsid w:val="00EB24D8"/>
    <w:rsid w:val="00EB277B"/>
    <w:rsid w:val="00EB2F20"/>
    <w:rsid w:val="00EB2F35"/>
    <w:rsid w:val="00EB3186"/>
    <w:rsid w:val="00EB31DB"/>
    <w:rsid w:val="00EB3422"/>
    <w:rsid w:val="00EB3A31"/>
    <w:rsid w:val="00EB4EAF"/>
    <w:rsid w:val="00EB5424"/>
    <w:rsid w:val="00EB548E"/>
    <w:rsid w:val="00EB5C41"/>
    <w:rsid w:val="00EB5F5A"/>
    <w:rsid w:val="00EB656C"/>
    <w:rsid w:val="00EB657E"/>
    <w:rsid w:val="00EB695E"/>
    <w:rsid w:val="00EB69D1"/>
    <w:rsid w:val="00EB69D4"/>
    <w:rsid w:val="00EB6F4B"/>
    <w:rsid w:val="00EB6FE9"/>
    <w:rsid w:val="00EB72FF"/>
    <w:rsid w:val="00EB756F"/>
    <w:rsid w:val="00EB79C8"/>
    <w:rsid w:val="00EB7E78"/>
    <w:rsid w:val="00EC0301"/>
    <w:rsid w:val="00EC08B5"/>
    <w:rsid w:val="00EC09C6"/>
    <w:rsid w:val="00EC0AC1"/>
    <w:rsid w:val="00EC0EA5"/>
    <w:rsid w:val="00EC1056"/>
    <w:rsid w:val="00EC1470"/>
    <w:rsid w:val="00EC222E"/>
    <w:rsid w:val="00EC2716"/>
    <w:rsid w:val="00EC2D11"/>
    <w:rsid w:val="00EC2DBB"/>
    <w:rsid w:val="00EC2EA4"/>
    <w:rsid w:val="00EC358E"/>
    <w:rsid w:val="00EC3FD2"/>
    <w:rsid w:val="00EC4095"/>
    <w:rsid w:val="00EC43B5"/>
    <w:rsid w:val="00EC4537"/>
    <w:rsid w:val="00EC4960"/>
    <w:rsid w:val="00EC4AE3"/>
    <w:rsid w:val="00EC5414"/>
    <w:rsid w:val="00EC54EE"/>
    <w:rsid w:val="00EC59B2"/>
    <w:rsid w:val="00EC5A3B"/>
    <w:rsid w:val="00EC5BC0"/>
    <w:rsid w:val="00EC6424"/>
    <w:rsid w:val="00EC786C"/>
    <w:rsid w:val="00EC7ADD"/>
    <w:rsid w:val="00EC7C26"/>
    <w:rsid w:val="00ED04FE"/>
    <w:rsid w:val="00ED0DD0"/>
    <w:rsid w:val="00ED1122"/>
    <w:rsid w:val="00ED1989"/>
    <w:rsid w:val="00ED21A9"/>
    <w:rsid w:val="00ED2664"/>
    <w:rsid w:val="00ED28F2"/>
    <w:rsid w:val="00ED3145"/>
    <w:rsid w:val="00ED3281"/>
    <w:rsid w:val="00ED3309"/>
    <w:rsid w:val="00ED33DC"/>
    <w:rsid w:val="00ED356E"/>
    <w:rsid w:val="00ED3792"/>
    <w:rsid w:val="00ED3BDA"/>
    <w:rsid w:val="00ED4A94"/>
    <w:rsid w:val="00ED5A3B"/>
    <w:rsid w:val="00ED5C30"/>
    <w:rsid w:val="00ED5E02"/>
    <w:rsid w:val="00ED5EED"/>
    <w:rsid w:val="00ED612A"/>
    <w:rsid w:val="00ED6846"/>
    <w:rsid w:val="00ED6B1C"/>
    <w:rsid w:val="00ED6CF7"/>
    <w:rsid w:val="00ED6F33"/>
    <w:rsid w:val="00ED7716"/>
    <w:rsid w:val="00ED7737"/>
    <w:rsid w:val="00ED7747"/>
    <w:rsid w:val="00ED7ABC"/>
    <w:rsid w:val="00ED7CF4"/>
    <w:rsid w:val="00ED7FA2"/>
    <w:rsid w:val="00EE04BB"/>
    <w:rsid w:val="00EE0786"/>
    <w:rsid w:val="00EE1B0E"/>
    <w:rsid w:val="00EE22FB"/>
    <w:rsid w:val="00EE2407"/>
    <w:rsid w:val="00EE26AE"/>
    <w:rsid w:val="00EE29C8"/>
    <w:rsid w:val="00EE2A54"/>
    <w:rsid w:val="00EE2FC2"/>
    <w:rsid w:val="00EE3B6B"/>
    <w:rsid w:val="00EE3B88"/>
    <w:rsid w:val="00EE4B75"/>
    <w:rsid w:val="00EE4D34"/>
    <w:rsid w:val="00EE4DBD"/>
    <w:rsid w:val="00EE5E1D"/>
    <w:rsid w:val="00EE6AC6"/>
    <w:rsid w:val="00EE6E26"/>
    <w:rsid w:val="00EE784F"/>
    <w:rsid w:val="00EE7A1D"/>
    <w:rsid w:val="00EE7DBD"/>
    <w:rsid w:val="00EE7E4D"/>
    <w:rsid w:val="00EF0500"/>
    <w:rsid w:val="00EF0553"/>
    <w:rsid w:val="00EF0808"/>
    <w:rsid w:val="00EF1002"/>
    <w:rsid w:val="00EF143F"/>
    <w:rsid w:val="00EF1D3B"/>
    <w:rsid w:val="00EF236B"/>
    <w:rsid w:val="00EF23D8"/>
    <w:rsid w:val="00EF2A5A"/>
    <w:rsid w:val="00EF2A87"/>
    <w:rsid w:val="00EF3A74"/>
    <w:rsid w:val="00EF3AE9"/>
    <w:rsid w:val="00EF3EA5"/>
    <w:rsid w:val="00EF49FB"/>
    <w:rsid w:val="00EF55D6"/>
    <w:rsid w:val="00EF644D"/>
    <w:rsid w:val="00EF6BAD"/>
    <w:rsid w:val="00EF6D29"/>
    <w:rsid w:val="00EF7138"/>
    <w:rsid w:val="00EF7E0B"/>
    <w:rsid w:val="00F00881"/>
    <w:rsid w:val="00F00917"/>
    <w:rsid w:val="00F00B65"/>
    <w:rsid w:val="00F010BB"/>
    <w:rsid w:val="00F012C1"/>
    <w:rsid w:val="00F0175F"/>
    <w:rsid w:val="00F01A41"/>
    <w:rsid w:val="00F01B39"/>
    <w:rsid w:val="00F01B5A"/>
    <w:rsid w:val="00F0276D"/>
    <w:rsid w:val="00F03280"/>
    <w:rsid w:val="00F0362A"/>
    <w:rsid w:val="00F0385C"/>
    <w:rsid w:val="00F03894"/>
    <w:rsid w:val="00F03ABE"/>
    <w:rsid w:val="00F03B69"/>
    <w:rsid w:val="00F04345"/>
    <w:rsid w:val="00F047A4"/>
    <w:rsid w:val="00F04F52"/>
    <w:rsid w:val="00F0510F"/>
    <w:rsid w:val="00F0563F"/>
    <w:rsid w:val="00F064EF"/>
    <w:rsid w:val="00F06558"/>
    <w:rsid w:val="00F06F42"/>
    <w:rsid w:val="00F07122"/>
    <w:rsid w:val="00F074C9"/>
    <w:rsid w:val="00F07C82"/>
    <w:rsid w:val="00F07F5E"/>
    <w:rsid w:val="00F1001E"/>
    <w:rsid w:val="00F1055F"/>
    <w:rsid w:val="00F106BB"/>
    <w:rsid w:val="00F11027"/>
    <w:rsid w:val="00F111BA"/>
    <w:rsid w:val="00F116DD"/>
    <w:rsid w:val="00F11D9F"/>
    <w:rsid w:val="00F11E31"/>
    <w:rsid w:val="00F12C53"/>
    <w:rsid w:val="00F1360C"/>
    <w:rsid w:val="00F13AA1"/>
    <w:rsid w:val="00F13F2A"/>
    <w:rsid w:val="00F14D9E"/>
    <w:rsid w:val="00F15097"/>
    <w:rsid w:val="00F153F8"/>
    <w:rsid w:val="00F15671"/>
    <w:rsid w:val="00F1643E"/>
    <w:rsid w:val="00F16695"/>
    <w:rsid w:val="00F16811"/>
    <w:rsid w:val="00F1733F"/>
    <w:rsid w:val="00F179C0"/>
    <w:rsid w:val="00F202E3"/>
    <w:rsid w:val="00F20C6E"/>
    <w:rsid w:val="00F20D6C"/>
    <w:rsid w:val="00F20F03"/>
    <w:rsid w:val="00F2255F"/>
    <w:rsid w:val="00F225CF"/>
    <w:rsid w:val="00F22882"/>
    <w:rsid w:val="00F22985"/>
    <w:rsid w:val="00F22AEF"/>
    <w:rsid w:val="00F22F7A"/>
    <w:rsid w:val="00F22F8C"/>
    <w:rsid w:val="00F2343C"/>
    <w:rsid w:val="00F23CFC"/>
    <w:rsid w:val="00F24076"/>
    <w:rsid w:val="00F240CB"/>
    <w:rsid w:val="00F2492F"/>
    <w:rsid w:val="00F2500D"/>
    <w:rsid w:val="00F2596D"/>
    <w:rsid w:val="00F25CAA"/>
    <w:rsid w:val="00F26463"/>
    <w:rsid w:val="00F26AD6"/>
    <w:rsid w:val="00F2711C"/>
    <w:rsid w:val="00F27253"/>
    <w:rsid w:val="00F277E8"/>
    <w:rsid w:val="00F27B04"/>
    <w:rsid w:val="00F27E3D"/>
    <w:rsid w:val="00F27EB2"/>
    <w:rsid w:val="00F301D0"/>
    <w:rsid w:val="00F3069F"/>
    <w:rsid w:val="00F30C3F"/>
    <w:rsid w:val="00F30C60"/>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DE"/>
    <w:rsid w:val="00F366DA"/>
    <w:rsid w:val="00F367CF"/>
    <w:rsid w:val="00F36D37"/>
    <w:rsid w:val="00F3719A"/>
    <w:rsid w:val="00F379BF"/>
    <w:rsid w:val="00F37EA7"/>
    <w:rsid w:val="00F40805"/>
    <w:rsid w:val="00F40B93"/>
    <w:rsid w:val="00F40C5E"/>
    <w:rsid w:val="00F40E3E"/>
    <w:rsid w:val="00F4163A"/>
    <w:rsid w:val="00F41873"/>
    <w:rsid w:val="00F419C3"/>
    <w:rsid w:val="00F41D91"/>
    <w:rsid w:val="00F41E2B"/>
    <w:rsid w:val="00F423BE"/>
    <w:rsid w:val="00F424A5"/>
    <w:rsid w:val="00F425EF"/>
    <w:rsid w:val="00F428AC"/>
    <w:rsid w:val="00F42EE3"/>
    <w:rsid w:val="00F43149"/>
    <w:rsid w:val="00F43660"/>
    <w:rsid w:val="00F43888"/>
    <w:rsid w:val="00F43B91"/>
    <w:rsid w:val="00F44542"/>
    <w:rsid w:val="00F448DD"/>
    <w:rsid w:val="00F44D6A"/>
    <w:rsid w:val="00F44DB8"/>
    <w:rsid w:val="00F45760"/>
    <w:rsid w:val="00F45836"/>
    <w:rsid w:val="00F45925"/>
    <w:rsid w:val="00F46BA6"/>
    <w:rsid w:val="00F46C97"/>
    <w:rsid w:val="00F4703E"/>
    <w:rsid w:val="00F4775F"/>
    <w:rsid w:val="00F47870"/>
    <w:rsid w:val="00F47C3D"/>
    <w:rsid w:val="00F50781"/>
    <w:rsid w:val="00F50CA3"/>
    <w:rsid w:val="00F517ED"/>
    <w:rsid w:val="00F5195A"/>
    <w:rsid w:val="00F51A7A"/>
    <w:rsid w:val="00F51F3F"/>
    <w:rsid w:val="00F528B5"/>
    <w:rsid w:val="00F528E7"/>
    <w:rsid w:val="00F52C8A"/>
    <w:rsid w:val="00F5352D"/>
    <w:rsid w:val="00F53615"/>
    <w:rsid w:val="00F53A91"/>
    <w:rsid w:val="00F54783"/>
    <w:rsid w:val="00F547E9"/>
    <w:rsid w:val="00F5494E"/>
    <w:rsid w:val="00F54ABE"/>
    <w:rsid w:val="00F55804"/>
    <w:rsid w:val="00F55EF0"/>
    <w:rsid w:val="00F55F1A"/>
    <w:rsid w:val="00F56310"/>
    <w:rsid w:val="00F5684C"/>
    <w:rsid w:val="00F57210"/>
    <w:rsid w:val="00F57565"/>
    <w:rsid w:val="00F577FC"/>
    <w:rsid w:val="00F602F0"/>
    <w:rsid w:val="00F60622"/>
    <w:rsid w:val="00F60C90"/>
    <w:rsid w:val="00F61546"/>
    <w:rsid w:val="00F619EE"/>
    <w:rsid w:val="00F61CF5"/>
    <w:rsid w:val="00F61FF9"/>
    <w:rsid w:val="00F62069"/>
    <w:rsid w:val="00F62159"/>
    <w:rsid w:val="00F62575"/>
    <w:rsid w:val="00F62A7C"/>
    <w:rsid w:val="00F62B93"/>
    <w:rsid w:val="00F633E5"/>
    <w:rsid w:val="00F63C89"/>
    <w:rsid w:val="00F647EC"/>
    <w:rsid w:val="00F64FAB"/>
    <w:rsid w:val="00F65AC8"/>
    <w:rsid w:val="00F65CEA"/>
    <w:rsid w:val="00F65EED"/>
    <w:rsid w:val="00F65F15"/>
    <w:rsid w:val="00F66443"/>
    <w:rsid w:val="00F675EA"/>
    <w:rsid w:val="00F7074A"/>
    <w:rsid w:val="00F70AD6"/>
    <w:rsid w:val="00F710A5"/>
    <w:rsid w:val="00F71687"/>
    <w:rsid w:val="00F71708"/>
    <w:rsid w:val="00F717C1"/>
    <w:rsid w:val="00F71AAE"/>
    <w:rsid w:val="00F71CDB"/>
    <w:rsid w:val="00F725D3"/>
    <w:rsid w:val="00F7281E"/>
    <w:rsid w:val="00F72C1A"/>
    <w:rsid w:val="00F72C3D"/>
    <w:rsid w:val="00F737AB"/>
    <w:rsid w:val="00F74216"/>
    <w:rsid w:val="00F74F0F"/>
    <w:rsid w:val="00F75731"/>
    <w:rsid w:val="00F75841"/>
    <w:rsid w:val="00F75FDD"/>
    <w:rsid w:val="00F76333"/>
    <w:rsid w:val="00F77100"/>
    <w:rsid w:val="00F8090F"/>
    <w:rsid w:val="00F80B4B"/>
    <w:rsid w:val="00F8139A"/>
    <w:rsid w:val="00F82AAE"/>
    <w:rsid w:val="00F834BE"/>
    <w:rsid w:val="00F838A9"/>
    <w:rsid w:val="00F83E00"/>
    <w:rsid w:val="00F840D6"/>
    <w:rsid w:val="00F849E3"/>
    <w:rsid w:val="00F84B4E"/>
    <w:rsid w:val="00F84C44"/>
    <w:rsid w:val="00F851B7"/>
    <w:rsid w:val="00F8566C"/>
    <w:rsid w:val="00F858D4"/>
    <w:rsid w:val="00F85C65"/>
    <w:rsid w:val="00F860EB"/>
    <w:rsid w:val="00F868B6"/>
    <w:rsid w:val="00F86968"/>
    <w:rsid w:val="00F86E42"/>
    <w:rsid w:val="00F87354"/>
    <w:rsid w:val="00F876E6"/>
    <w:rsid w:val="00F87825"/>
    <w:rsid w:val="00F87838"/>
    <w:rsid w:val="00F879E8"/>
    <w:rsid w:val="00F87FCE"/>
    <w:rsid w:val="00F9008B"/>
    <w:rsid w:val="00F909C7"/>
    <w:rsid w:val="00F91669"/>
    <w:rsid w:val="00F916DE"/>
    <w:rsid w:val="00F91846"/>
    <w:rsid w:val="00F9184F"/>
    <w:rsid w:val="00F91943"/>
    <w:rsid w:val="00F9231D"/>
    <w:rsid w:val="00F92A66"/>
    <w:rsid w:val="00F931CF"/>
    <w:rsid w:val="00F93A31"/>
    <w:rsid w:val="00F93D6E"/>
    <w:rsid w:val="00F9423D"/>
    <w:rsid w:val="00F9454F"/>
    <w:rsid w:val="00F94609"/>
    <w:rsid w:val="00F94C37"/>
    <w:rsid w:val="00F95182"/>
    <w:rsid w:val="00F957D2"/>
    <w:rsid w:val="00F95D94"/>
    <w:rsid w:val="00F96F86"/>
    <w:rsid w:val="00F977ED"/>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7157"/>
    <w:rsid w:val="00FA73A6"/>
    <w:rsid w:val="00FA7698"/>
    <w:rsid w:val="00FA78C2"/>
    <w:rsid w:val="00FA7920"/>
    <w:rsid w:val="00FA7A2D"/>
    <w:rsid w:val="00FA7B4F"/>
    <w:rsid w:val="00FA7DA6"/>
    <w:rsid w:val="00FB02F8"/>
    <w:rsid w:val="00FB06E7"/>
    <w:rsid w:val="00FB0822"/>
    <w:rsid w:val="00FB0C65"/>
    <w:rsid w:val="00FB1093"/>
    <w:rsid w:val="00FB13A0"/>
    <w:rsid w:val="00FB227E"/>
    <w:rsid w:val="00FB267D"/>
    <w:rsid w:val="00FB29E5"/>
    <w:rsid w:val="00FB2A18"/>
    <w:rsid w:val="00FB2BF4"/>
    <w:rsid w:val="00FB2C8D"/>
    <w:rsid w:val="00FB2DC6"/>
    <w:rsid w:val="00FB4926"/>
    <w:rsid w:val="00FB59D4"/>
    <w:rsid w:val="00FB5E81"/>
    <w:rsid w:val="00FB6E6C"/>
    <w:rsid w:val="00FB71B0"/>
    <w:rsid w:val="00FB7ABA"/>
    <w:rsid w:val="00FB7C21"/>
    <w:rsid w:val="00FB7C46"/>
    <w:rsid w:val="00FC04E0"/>
    <w:rsid w:val="00FC0D98"/>
    <w:rsid w:val="00FC0E2F"/>
    <w:rsid w:val="00FC1042"/>
    <w:rsid w:val="00FC11C6"/>
    <w:rsid w:val="00FC1370"/>
    <w:rsid w:val="00FC17D8"/>
    <w:rsid w:val="00FC2227"/>
    <w:rsid w:val="00FC279A"/>
    <w:rsid w:val="00FC324D"/>
    <w:rsid w:val="00FC39A1"/>
    <w:rsid w:val="00FC3BC3"/>
    <w:rsid w:val="00FC3E47"/>
    <w:rsid w:val="00FC45A9"/>
    <w:rsid w:val="00FC4B53"/>
    <w:rsid w:val="00FC4BAE"/>
    <w:rsid w:val="00FC4F75"/>
    <w:rsid w:val="00FC5160"/>
    <w:rsid w:val="00FC5A36"/>
    <w:rsid w:val="00FC6353"/>
    <w:rsid w:val="00FC69CF"/>
    <w:rsid w:val="00FC6B0B"/>
    <w:rsid w:val="00FC712D"/>
    <w:rsid w:val="00FC713B"/>
    <w:rsid w:val="00FC7862"/>
    <w:rsid w:val="00FC79D5"/>
    <w:rsid w:val="00FC7B35"/>
    <w:rsid w:val="00FC7B53"/>
    <w:rsid w:val="00FC7BD8"/>
    <w:rsid w:val="00FD0177"/>
    <w:rsid w:val="00FD0AE7"/>
    <w:rsid w:val="00FD0B44"/>
    <w:rsid w:val="00FD0F70"/>
    <w:rsid w:val="00FD1312"/>
    <w:rsid w:val="00FD2315"/>
    <w:rsid w:val="00FD29A7"/>
    <w:rsid w:val="00FD2B15"/>
    <w:rsid w:val="00FD3092"/>
    <w:rsid w:val="00FD3368"/>
    <w:rsid w:val="00FD412E"/>
    <w:rsid w:val="00FD420F"/>
    <w:rsid w:val="00FD4339"/>
    <w:rsid w:val="00FD488E"/>
    <w:rsid w:val="00FD4B0C"/>
    <w:rsid w:val="00FD4F2F"/>
    <w:rsid w:val="00FD51F7"/>
    <w:rsid w:val="00FD5258"/>
    <w:rsid w:val="00FD5602"/>
    <w:rsid w:val="00FD5661"/>
    <w:rsid w:val="00FD57B6"/>
    <w:rsid w:val="00FD5A2A"/>
    <w:rsid w:val="00FD5AE2"/>
    <w:rsid w:val="00FD62B4"/>
    <w:rsid w:val="00FD702D"/>
    <w:rsid w:val="00FD7142"/>
    <w:rsid w:val="00FD750F"/>
    <w:rsid w:val="00FD7D84"/>
    <w:rsid w:val="00FE011C"/>
    <w:rsid w:val="00FE07DC"/>
    <w:rsid w:val="00FE08FB"/>
    <w:rsid w:val="00FE1116"/>
    <w:rsid w:val="00FE2075"/>
    <w:rsid w:val="00FE2080"/>
    <w:rsid w:val="00FE27B9"/>
    <w:rsid w:val="00FE2E37"/>
    <w:rsid w:val="00FE3640"/>
    <w:rsid w:val="00FE3780"/>
    <w:rsid w:val="00FE3954"/>
    <w:rsid w:val="00FE3CF7"/>
    <w:rsid w:val="00FE3E50"/>
    <w:rsid w:val="00FE4071"/>
    <w:rsid w:val="00FE42E3"/>
    <w:rsid w:val="00FE4ECD"/>
    <w:rsid w:val="00FE52B7"/>
    <w:rsid w:val="00FE53C5"/>
    <w:rsid w:val="00FE56A8"/>
    <w:rsid w:val="00FE5807"/>
    <w:rsid w:val="00FE5C39"/>
    <w:rsid w:val="00FE5C57"/>
    <w:rsid w:val="00FE624E"/>
    <w:rsid w:val="00FE62FA"/>
    <w:rsid w:val="00FE6415"/>
    <w:rsid w:val="00FE69E7"/>
    <w:rsid w:val="00FE6BB8"/>
    <w:rsid w:val="00FE6DDE"/>
    <w:rsid w:val="00FE6E76"/>
    <w:rsid w:val="00FE6F5A"/>
    <w:rsid w:val="00FF027B"/>
    <w:rsid w:val="00FF1174"/>
    <w:rsid w:val="00FF165A"/>
    <w:rsid w:val="00FF1B72"/>
    <w:rsid w:val="00FF1CF1"/>
    <w:rsid w:val="00FF1F4C"/>
    <w:rsid w:val="00FF228F"/>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B6C"/>
    <w:rsid w:val="00FF6DD4"/>
    <w:rsid w:val="00FF7634"/>
    <w:rsid w:val="012B61A1"/>
    <w:rsid w:val="01AA2C10"/>
    <w:rsid w:val="02C62933"/>
    <w:rsid w:val="02C646E1"/>
    <w:rsid w:val="037738D8"/>
    <w:rsid w:val="03CA2A2C"/>
    <w:rsid w:val="03E312C3"/>
    <w:rsid w:val="04073A28"/>
    <w:rsid w:val="040E4053"/>
    <w:rsid w:val="046E4522"/>
    <w:rsid w:val="04812FB5"/>
    <w:rsid w:val="05145CB2"/>
    <w:rsid w:val="055A2489"/>
    <w:rsid w:val="06097792"/>
    <w:rsid w:val="06124260"/>
    <w:rsid w:val="068955F4"/>
    <w:rsid w:val="06937D52"/>
    <w:rsid w:val="075F0692"/>
    <w:rsid w:val="07DB054A"/>
    <w:rsid w:val="08012A89"/>
    <w:rsid w:val="08057A5A"/>
    <w:rsid w:val="08156836"/>
    <w:rsid w:val="081569AB"/>
    <w:rsid w:val="08242C5A"/>
    <w:rsid w:val="083D2AF4"/>
    <w:rsid w:val="087D3D2C"/>
    <w:rsid w:val="08CD2D13"/>
    <w:rsid w:val="08F53B23"/>
    <w:rsid w:val="098B33CA"/>
    <w:rsid w:val="099077F7"/>
    <w:rsid w:val="0995305F"/>
    <w:rsid w:val="0A053C89"/>
    <w:rsid w:val="0A070656"/>
    <w:rsid w:val="0A5C592B"/>
    <w:rsid w:val="0A7E6D56"/>
    <w:rsid w:val="0A913ED8"/>
    <w:rsid w:val="0A9850E4"/>
    <w:rsid w:val="0AC05EBA"/>
    <w:rsid w:val="0B24171E"/>
    <w:rsid w:val="0B50743B"/>
    <w:rsid w:val="0B5C3243"/>
    <w:rsid w:val="0BAD59A4"/>
    <w:rsid w:val="0BF42A49"/>
    <w:rsid w:val="0BFC043E"/>
    <w:rsid w:val="0C191D25"/>
    <w:rsid w:val="0C466B45"/>
    <w:rsid w:val="0C796C68"/>
    <w:rsid w:val="0D584403"/>
    <w:rsid w:val="0D7A2C98"/>
    <w:rsid w:val="0DAA5A92"/>
    <w:rsid w:val="0DEE7765"/>
    <w:rsid w:val="0E407B40"/>
    <w:rsid w:val="0F051651"/>
    <w:rsid w:val="0F2B5D1F"/>
    <w:rsid w:val="0FA83DE2"/>
    <w:rsid w:val="0FAE1220"/>
    <w:rsid w:val="101C0A97"/>
    <w:rsid w:val="103369EE"/>
    <w:rsid w:val="103E6D22"/>
    <w:rsid w:val="104A7E5E"/>
    <w:rsid w:val="105F5DE8"/>
    <w:rsid w:val="107E39A7"/>
    <w:rsid w:val="10BE1C7C"/>
    <w:rsid w:val="10F67974"/>
    <w:rsid w:val="111F421F"/>
    <w:rsid w:val="1126248F"/>
    <w:rsid w:val="11A16D2B"/>
    <w:rsid w:val="121E2AC6"/>
    <w:rsid w:val="125C6198"/>
    <w:rsid w:val="126441E2"/>
    <w:rsid w:val="12685FCD"/>
    <w:rsid w:val="126A5144"/>
    <w:rsid w:val="13062BC8"/>
    <w:rsid w:val="13767E9F"/>
    <w:rsid w:val="13953DF2"/>
    <w:rsid w:val="145D662C"/>
    <w:rsid w:val="146F2C7A"/>
    <w:rsid w:val="149E4992"/>
    <w:rsid w:val="14D273DE"/>
    <w:rsid w:val="14D7277E"/>
    <w:rsid w:val="15033AD5"/>
    <w:rsid w:val="15C224EE"/>
    <w:rsid w:val="15E11B42"/>
    <w:rsid w:val="15FE0523"/>
    <w:rsid w:val="1644126E"/>
    <w:rsid w:val="16640041"/>
    <w:rsid w:val="169052DA"/>
    <w:rsid w:val="16D27BE2"/>
    <w:rsid w:val="16FB036D"/>
    <w:rsid w:val="170E5D26"/>
    <w:rsid w:val="17BE59A2"/>
    <w:rsid w:val="18077515"/>
    <w:rsid w:val="18095344"/>
    <w:rsid w:val="18185849"/>
    <w:rsid w:val="182D2D36"/>
    <w:rsid w:val="182D6FD9"/>
    <w:rsid w:val="18452ED7"/>
    <w:rsid w:val="185275B0"/>
    <w:rsid w:val="18F51424"/>
    <w:rsid w:val="18F80ECB"/>
    <w:rsid w:val="194D1260"/>
    <w:rsid w:val="198C3F77"/>
    <w:rsid w:val="199B6470"/>
    <w:rsid w:val="1A442DE9"/>
    <w:rsid w:val="1A845156"/>
    <w:rsid w:val="1AEA43CC"/>
    <w:rsid w:val="1AF8344E"/>
    <w:rsid w:val="1B155479"/>
    <w:rsid w:val="1B32556F"/>
    <w:rsid w:val="1B4E330D"/>
    <w:rsid w:val="1B5508A0"/>
    <w:rsid w:val="1B644758"/>
    <w:rsid w:val="1B661B3D"/>
    <w:rsid w:val="1B8D0E39"/>
    <w:rsid w:val="1BC305D3"/>
    <w:rsid w:val="1BD614E0"/>
    <w:rsid w:val="1C375D83"/>
    <w:rsid w:val="1C3C3E2C"/>
    <w:rsid w:val="1C806239"/>
    <w:rsid w:val="1CD55680"/>
    <w:rsid w:val="1CEE5B24"/>
    <w:rsid w:val="1D321E13"/>
    <w:rsid w:val="1D49350B"/>
    <w:rsid w:val="1D9E652E"/>
    <w:rsid w:val="1DBC044E"/>
    <w:rsid w:val="1DCF1D47"/>
    <w:rsid w:val="1E462618"/>
    <w:rsid w:val="1E713927"/>
    <w:rsid w:val="1E7F3055"/>
    <w:rsid w:val="1EE75CB3"/>
    <w:rsid w:val="1F4849CA"/>
    <w:rsid w:val="1F82714C"/>
    <w:rsid w:val="1F873477"/>
    <w:rsid w:val="1F914614"/>
    <w:rsid w:val="1FD53D5E"/>
    <w:rsid w:val="20311059"/>
    <w:rsid w:val="20B704E4"/>
    <w:rsid w:val="20CC2C4F"/>
    <w:rsid w:val="20F16975"/>
    <w:rsid w:val="211F15FE"/>
    <w:rsid w:val="21455F84"/>
    <w:rsid w:val="217A4BBD"/>
    <w:rsid w:val="21E758B9"/>
    <w:rsid w:val="21EA1C0A"/>
    <w:rsid w:val="22655B02"/>
    <w:rsid w:val="22994EAA"/>
    <w:rsid w:val="22D5562C"/>
    <w:rsid w:val="231F5A1C"/>
    <w:rsid w:val="2379093F"/>
    <w:rsid w:val="23DF33FD"/>
    <w:rsid w:val="24032E0B"/>
    <w:rsid w:val="24977600"/>
    <w:rsid w:val="24A501A2"/>
    <w:rsid w:val="24B831E2"/>
    <w:rsid w:val="250B120F"/>
    <w:rsid w:val="252C7220"/>
    <w:rsid w:val="2558727E"/>
    <w:rsid w:val="257D2ECD"/>
    <w:rsid w:val="2589761F"/>
    <w:rsid w:val="25F569F6"/>
    <w:rsid w:val="26071ED5"/>
    <w:rsid w:val="2610184F"/>
    <w:rsid w:val="26226B65"/>
    <w:rsid w:val="26361273"/>
    <w:rsid w:val="265A78D3"/>
    <w:rsid w:val="26A12BEB"/>
    <w:rsid w:val="26A50560"/>
    <w:rsid w:val="270F55EE"/>
    <w:rsid w:val="272F1A96"/>
    <w:rsid w:val="27960441"/>
    <w:rsid w:val="27F52753"/>
    <w:rsid w:val="28F77810"/>
    <w:rsid w:val="297B0CF7"/>
    <w:rsid w:val="298F3DBD"/>
    <w:rsid w:val="29BF2B7C"/>
    <w:rsid w:val="29CA6C0B"/>
    <w:rsid w:val="2A3F4ECF"/>
    <w:rsid w:val="2ACF555E"/>
    <w:rsid w:val="2B54022C"/>
    <w:rsid w:val="2B795EE5"/>
    <w:rsid w:val="2B822DA1"/>
    <w:rsid w:val="2B845E1F"/>
    <w:rsid w:val="2BBC0CA9"/>
    <w:rsid w:val="2C1704D9"/>
    <w:rsid w:val="2C491D5B"/>
    <w:rsid w:val="2C541884"/>
    <w:rsid w:val="2D232756"/>
    <w:rsid w:val="2D4230C3"/>
    <w:rsid w:val="2D6509E7"/>
    <w:rsid w:val="2DB77433"/>
    <w:rsid w:val="2E027D0C"/>
    <w:rsid w:val="2E3F2370"/>
    <w:rsid w:val="2E743666"/>
    <w:rsid w:val="2E903C71"/>
    <w:rsid w:val="2EA133AF"/>
    <w:rsid w:val="2EDD2DD9"/>
    <w:rsid w:val="2EFB131E"/>
    <w:rsid w:val="2F126434"/>
    <w:rsid w:val="2F364819"/>
    <w:rsid w:val="2F723467"/>
    <w:rsid w:val="30077F63"/>
    <w:rsid w:val="3034062C"/>
    <w:rsid w:val="306835D0"/>
    <w:rsid w:val="309444F8"/>
    <w:rsid w:val="30955C68"/>
    <w:rsid w:val="30991077"/>
    <w:rsid w:val="30B91060"/>
    <w:rsid w:val="30C23E8A"/>
    <w:rsid w:val="31CF2D03"/>
    <w:rsid w:val="320376C4"/>
    <w:rsid w:val="322B6720"/>
    <w:rsid w:val="323E2DAB"/>
    <w:rsid w:val="32A0292F"/>
    <w:rsid w:val="32A02B99"/>
    <w:rsid w:val="32E20814"/>
    <w:rsid w:val="33396D97"/>
    <w:rsid w:val="337D5F7B"/>
    <w:rsid w:val="33D414D0"/>
    <w:rsid w:val="341B2B8A"/>
    <w:rsid w:val="3439368F"/>
    <w:rsid w:val="34603E67"/>
    <w:rsid w:val="34C53F49"/>
    <w:rsid w:val="34D1379B"/>
    <w:rsid w:val="3502693D"/>
    <w:rsid w:val="35826E04"/>
    <w:rsid w:val="35991508"/>
    <w:rsid w:val="35CD358A"/>
    <w:rsid w:val="36232DB0"/>
    <w:rsid w:val="36361985"/>
    <w:rsid w:val="37870D15"/>
    <w:rsid w:val="37E768DB"/>
    <w:rsid w:val="385F359C"/>
    <w:rsid w:val="38A02345"/>
    <w:rsid w:val="39837CD5"/>
    <w:rsid w:val="39A405D1"/>
    <w:rsid w:val="3A074E84"/>
    <w:rsid w:val="3A4517D4"/>
    <w:rsid w:val="3A514476"/>
    <w:rsid w:val="3A7A2FC8"/>
    <w:rsid w:val="3A834A0A"/>
    <w:rsid w:val="3A977AD0"/>
    <w:rsid w:val="3B0D41AC"/>
    <w:rsid w:val="3B553864"/>
    <w:rsid w:val="3B5A188F"/>
    <w:rsid w:val="3BA80B19"/>
    <w:rsid w:val="3BB347AE"/>
    <w:rsid w:val="3BBC0148"/>
    <w:rsid w:val="3BFA4E20"/>
    <w:rsid w:val="3C3C31C3"/>
    <w:rsid w:val="3C402197"/>
    <w:rsid w:val="3C4240EC"/>
    <w:rsid w:val="3C4E0CC8"/>
    <w:rsid w:val="3C6E5973"/>
    <w:rsid w:val="3C7673DD"/>
    <w:rsid w:val="3CDE075A"/>
    <w:rsid w:val="3D033860"/>
    <w:rsid w:val="3D1B5521"/>
    <w:rsid w:val="3D284242"/>
    <w:rsid w:val="3D6E56CE"/>
    <w:rsid w:val="3D711B40"/>
    <w:rsid w:val="3E1C72D0"/>
    <w:rsid w:val="3E800AA6"/>
    <w:rsid w:val="3F3A1FEB"/>
    <w:rsid w:val="3F4C3465"/>
    <w:rsid w:val="3F7F5BF5"/>
    <w:rsid w:val="3FA65048"/>
    <w:rsid w:val="409018AF"/>
    <w:rsid w:val="40A67243"/>
    <w:rsid w:val="40D12367"/>
    <w:rsid w:val="40DA109A"/>
    <w:rsid w:val="41285F8B"/>
    <w:rsid w:val="41557D0E"/>
    <w:rsid w:val="419F3CB9"/>
    <w:rsid w:val="41E8331B"/>
    <w:rsid w:val="42253D73"/>
    <w:rsid w:val="422A7540"/>
    <w:rsid w:val="42B850ED"/>
    <w:rsid w:val="42DF74EB"/>
    <w:rsid w:val="43814A58"/>
    <w:rsid w:val="4390298C"/>
    <w:rsid w:val="43C0400A"/>
    <w:rsid w:val="43F72556"/>
    <w:rsid w:val="440E034F"/>
    <w:rsid w:val="44592171"/>
    <w:rsid w:val="44641089"/>
    <w:rsid w:val="44961F35"/>
    <w:rsid w:val="449A5EC4"/>
    <w:rsid w:val="44E4602A"/>
    <w:rsid w:val="45041707"/>
    <w:rsid w:val="452704B4"/>
    <w:rsid w:val="4589206F"/>
    <w:rsid w:val="459C6779"/>
    <w:rsid w:val="45B80788"/>
    <w:rsid w:val="462B402A"/>
    <w:rsid w:val="46301D19"/>
    <w:rsid w:val="464949DA"/>
    <w:rsid w:val="46657EC9"/>
    <w:rsid w:val="46E62229"/>
    <w:rsid w:val="46E91D19"/>
    <w:rsid w:val="46FA61CA"/>
    <w:rsid w:val="47283A28"/>
    <w:rsid w:val="475D4571"/>
    <w:rsid w:val="47996410"/>
    <w:rsid w:val="47B7441E"/>
    <w:rsid w:val="47CC34D9"/>
    <w:rsid w:val="47DD7AD0"/>
    <w:rsid w:val="47E9061B"/>
    <w:rsid w:val="47F24BA4"/>
    <w:rsid w:val="484245C7"/>
    <w:rsid w:val="488D7CFE"/>
    <w:rsid w:val="48A2300D"/>
    <w:rsid w:val="49323FD7"/>
    <w:rsid w:val="493A685C"/>
    <w:rsid w:val="496F62BB"/>
    <w:rsid w:val="49E347E6"/>
    <w:rsid w:val="4A09189D"/>
    <w:rsid w:val="4A1946C3"/>
    <w:rsid w:val="4A73237F"/>
    <w:rsid w:val="4AEE4FBF"/>
    <w:rsid w:val="4B3612A5"/>
    <w:rsid w:val="4B7C5E13"/>
    <w:rsid w:val="4BA8665D"/>
    <w:rsid w:val="4C12409B"/>
    <w:rsid w:val="4C3E2B07"/>
    <w:rsid w:val="4C72305B"/>
    <w:rsid w:val="4D5424CA"/>
    <w:rsid w:val="4D680AB1"/>
    <w:rsid w:val="4D930C30"/>
    <w:rsid w:val="4D9B7742"/>
    <w:rsid w:val="4E213F25"/>
    <w:rsid w:val="4E9B14FE"/>
    <w:rsid w:val="4EAC5711"/>
    <w:rsid w:val="4ED50BCC"/>
    <w:rsid w:val="4EFB7245"/>
    <w:rsid w:val="4F211005"/>
    <w:rsid w:val="4F701AF5"/>
    <w:rsid w:val="4F9F1B0F"/>
    <w:rsid w:val="4FD23497"/>
    <w:rsid w:val="4FF9504E"/>
    <w:rsid w:val="500F43F8"/>
    <w:rsid w:val="502D1A52"/>
    <w:rsid w:val="505F4DFA"/>
    <w:rsid w:val="50C8686E"/>
    <w:rsid w:val="518052E8"/>
    <w:rsid w:val="51B2004B"/>
    <w:rsid w:val="52904232"/>
    <w:rsid w:val="52E3036A"/>
    <w:rsid w:val="53681C82"/>
    <w:rsid w:val="536F7A4A"/>
    <w:rsid w:val="54556AEA"/>
    <w:rsid w:val="549C486F"/>
    <w:rsid w:val="54D02413"/>
    <w:rsid w:val="54D916B7"/>
    <w:rsid w:val="55131A57"/>
    <w:rsid w:val="5560652A"/>
    <w:rsid w:val="55622629"/>
    <w:rsid w:val="56297134"/>
    <w:rsid w:val="56496D78"/>
    <w:rsid w:val="565D1DDC"/>
    <w:rsid w:val="569C1494"/>
    <w:rsid w:val="56DD03EC"/>
    <w:rsid w:val="56F50266"/>
    <w:rsid w:val="577D71D5"/>
    <w:rsid w:val="589B369A"/>
    <w:rsid w:val="59A70A18"/>
    <w:rsid w:val="59D9433B"/>
    <w:rsid w:val="5A3A2DDD"/>
    <w:rsid w:val="5A492DA3"/>
    <w:rsid w:val="5A4C6CD9"/>
    <w:rsid w:val="5A8F7FD7"/>
    <w:rsid w:val="5ACB7C5C"/>
    <w:rsid w:val="5B0913DA"/>
    <w:rsid w:val="5B2335F4"/>
    <w:rsid w:val="5BD3501A"/>
    <w:rsid w:val="5BE77D3E"/>
    <w:rsid w:val="5BF449CD"/>
    <w:rsid w:val="5BF918A2"/>
    <w:rsid w:val="5C2D3718"/>
    <w:rsid w:val="5C8C0313"/>
    <w:rsid w:val="5D7874FB"/>
    <w:rsid w:val="5DA23E07"/>
    <w:rsid w:val="5E772501"/>
    <w:rsid w:val="5E902273"/>
    <w:rsid w:val="5EB24BEC"/>
    <w:rsid w:val="5F1E1BAD"/>
    <w:rsid w:val="5F307916"/>
    <w:rsid w:val="5F610B8F"/>
    <w:rsid w:val="60491F52"/>
    <w:rsid w:val="615F10FE"/>
    <w:rsid w:val="61616C24"/>
    <w:rsid w:val="619C4100"/>
    <w:rsid w:val="61AD0E6A"/>
    <w:rsid w:val="61E635CD"/>
    <w:rsid w:val="61FE0917"/>
    <w:rsid w:val="62093465"/>
    <w:rsid w:val="624C125B"/>
    <w:rsid w:val="627F3286"/>
    <w:rsid w:val="62B8336A"/>
    <w:rsid w:val="635F5CFB"/>
    <w:rsid w:val="64061D04"/>
    <w:rsid w:val="64337579"/>
    <w:rsid w:val="64441196"/>
    <w:rsid w:val="644B0BAF"/>
    <w:rsid w:val="644E03A0"/>
    <w:rsid w:val="644E697D"/>
    <w:rsid w:val="64644513"/>
    <w:rsid w:val="64C37BF6"/>
    <w:rsid w:val="64DF440C"/>
    <w:rsid w:val="65091B75"/>
    <w:rsid w:val="651875E0"/>
    <w:rsid w:val="65442AE4"/>
    <w:rsid w:val="65444892"/>
    <w:rsid w:val="65461FDF"/>
    <w:rsid w:val="6568774A"/>
    <w:rsid w:val="65BC6440"/>
    <w:rsid w:val="65C36E7F"/>
    <w:rsid w:val="65D21A26"/>
    <w:rsid w:val="65EB11B2"/>
    <w:rsid w:val="65FA5E5E"/>
    <w:rsid w:val="661105F0"/>
    <w:rsid w:val="6632293D"/>
    <w:rsid w:val="6632734D"/>
    <w:rsid w:val="663B7430"/>
    <w:rsid w:val="66411FCF"/>
    <w:rsid w:val="66444A53"/>
    <w:rsid w:val="666B27EE"/>
    <w:rsid w:val="668D4017"/>
    <w:rsid w:val="671E1CA4"/>
    <w:rsid w:val="672A0BC3"/>
    <w:rsid w:val="672F50CE"/>
    <w:rsid w:val="67662831"/>
    <w:rsid w:val="6779083A"/>
    <w:rsid w:val="67EF23C8"/>
    <w:rsid w:val="68386205"/>
    <w:rsid w:val="687775B2"/>
    <w:rsid w:val="68E32CF4"/>
    <w:rsid w:val="69340EAD"/>
    <w:rsid w:val="6A125484"/>
    <w:rsid w:val="6A1B14A7"/>
    <w:rsid w:val="6B241A17"/>
    <w:rsid w:val="6B2A0087"/>
    <w:rsid w:val="6B403B44"/>
    <w:rsid w:val="6BF2198C"/>
    <w:rsid w:val="6C4909E0"/>
    <w:rsid w:val="6CA125CA"/>
    <w:rsid w:val="6CF546C4"/>
    <w:rsid w:val="6D25144D"/>
    <w:rsid w:val="6D344EC4"/>
    <w:rsid w:val="6D545394"/>
    <w:rsid w:val="6D87532F"/>
    <w:rsid w:val="6DA700B4"/>
    <w:rsid w:val="6E08590F"/>
    <w:rsid w:val="6E0B76B6"/>
    <w:rsid w:val="6E1148C4"/>
    <w:rsid w:val="6E26547D"/>
    <w:rsid w:val="6E2A4841"/>
    <w:rsid w:val="6E2B6677"/>
    <w:rsid w:val="6E914282"/>
    <w:rsid w:val="6E9C0F6F"/>
    <w:rsid w:val="6F0E4EC3"/>
    <w:rsid w:val="6F123A5B"/>
    <w:rsid w:val="6F5F28E5"/>
    <w:rsid w:val="6F9C3A2B"/>
    <w:rsid w:val="6FB57824"/>
    <w:rsid w:val="70557737"/>
    <w:rsid w:val="70666005"/>
    <w:rsid w:val="70D5361D"/>
    <w:rsid w:val="71AD7318"/>
    <w:rsid w:val="71DD6189"/>
    <w:rsid w:val="72226529"/>
    <w:rsid w:val="725C1742"/>
    <w:rsid w:val="726D70E7"/>
    <w:rsid w:val="726F1A54"/>
    <w:rsid w:val="728E35F1"/>
    <w:rsid w:val="72A63D8F"/>
    <w:rsid w:val="7343331F"/>
    <w:rsid w:val="736E3270"/>
    <w:rsid w:val="73AA6208"/>
    <w:rsid w:val="73F456D6"/>
    <w:rsid w:val="74052CA9"/>
    <w:rsid w:val="742F456C"/>
    <w:rsid w:val="7430043E"/>
    <w:rsid w:val="747D74F0"/>
    <w:rsid w:val="74C31ECB"/>
    <w:rsid w:val="74EE0377"/>
    <w:rsid w:val="75383CE8"/>
    <w:rsid w:val="7542383D"/>
    <w:rsid w:val="758F7329"/>
    <w:rsid w:val="75907680"/>
    <w:rsid w:val="75942919"/>
    <w:rsid w:val="75BE2624"/>
    <w:rsid w:val="75BE41ED"/>
    <w:rsid w:val="76250DC2"/>
    <w:rsid w:val="76316B17"/>
    <w:rsid w:val="76356EA7"/>
    <w:rsid w:val="7641171E"/>
    <w:rsid w:val="768371E5"/>
    <w:rsid w:val="77195A27"/>
    <w:rsid w:val="771A18F7"/>
    <w:rsid w:val="774921DC"/>
    <w:rsid w:val="77844FC2"/>
    <w:rsid w:val="77CF2B76"/>
    <w:rsid w:val="77E67A2B"/>
    <w:rsid w:val="7802530A"/>
    <w:rsid w:val="78AC52A2"/>
    <w:rsid w:val="78C673B0"/>
    <w:rsid w:val="791A150E"/>
    <w:rsid w:val="79C124FE"/>
    <w:rsid w:val="79E61F64"/>
    <w:rsid w:val="79F81F6C"/>
    <w:rsid w:val="7A0F14BB"/>
    <w:rsid w:val="7A2945E4"/>
    <w:rsid w:val="7AAA36FF"/>
    <w:rsid w:val="7B1D066B"/>
    <w:rsid w:val="7B524B8D"/>
    <w:rsid w:val="7BC938EC"/>
    <w:rsid w:val="7C184CBA"/>
    <w:rsid w:val="7C926D12"/>
    <w:rsid w:val="7C9C4E59"/>
    <w:rsid w:val="7D1772C6"/>
    <w:rsid w:val="7E092C14"/>
    <w:rsid w:val="7E096221"/>
    <w:rsid w:val="7E2F1D63"/>
    <w:rsid w:val="7E906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3"/>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0"/>
    <w:pPr>
      <w:tabs>
        <w:tab w:val="left" w:pos="2155"/>
      </w:tabs>
      <w:spacing w:before="120" w:line="360" w:lineRule="auto"/>
      <w:ind w:left="2155" w:hanging="1078"/>
      <w:textAlignment w:val="baseline"/>
      <w:outlineLvl w:val="3"/>
    </w:pPr>
    <w:rPr>
      <w:rFonts w:ascii="Arial" w:eastAsia="黑体"/>
      <w:sz w:val="28"/>
      <w:szCs w:val="20"/>
    </w:rPr>
  </w:style>
  <w:style w:type="paragraph" w:styleId="6">
    <w:name w:val="heading 5"/>
    <w:basedOn w:val="1"/>
    <w:next w:val="7"/>
    <w:link w:val="64"/>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5"/>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6"/>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9"/>
    <w:unhideWhenUsed/>
    <w:qFormat/>
    <w:uiPriority w:val="0"/>
    <w:pPr>
      <w:shd w:val="clear" w:color="auto" w:fill="000080"/>
    </w:pPr>
    <w:rPr>
      <w:rFonts w:hint="eastAsia" w:ascii="宋体" w:hAnsi="宋体"/>
      <w:kern w:val="0"/>
      <w:sz w:val="20"/>
      <w:szCs w:val="20"/>
    </w:rPr>
  </w:style>
  <w:style w:type="paragraph" w:styleId="17">
    <w:name w:val="annotation text"/>
    <w:basedOn w:val="1"/>
    <w:link w:val="70"/>
    <w:unhideWhenUsed/>
    <w:qFormat/>
    <w:uiPriority w:val="0"/>
    <w:pPr>
      <w:jc w:val="left"/>
    </w:pPr>
  </w:style>
  <w:style w:type="paragraph" w:styleId="18">
    <w:name w:val="Body Text 3"/>
    <w:basedOn w:val="1"/>
    <w:link w:val="71"/>
    <w:qFormat/>
    <w:uiPriority w:val="0"/>
    <w:pPr>
      <w:spacing w:line="500" w:lineRule="exact"/>
    </w:pPr>
    <w:rPr>
      <w:b/>
      <w:bCs/>
      <w:kern w:val="0"/>
      <w:sz w:val="24"/>
    </w:rPr>
  </w:style>
  <w:style w:type="paragraph" w:styleId="19">
    <w:name w:val="Body Text"/>
    <w:basedOn w:val="1"/>
    <w:next w:val="1"/>
    <w:link w:val="72"/>
    <w:qFormat/>
    <w:uiPriority w:val="99"/>
    <w:pPr>
      <w:spacing w:line="380" w:lineRule="exact"/>
    </w:pPr>
    <w:rPr>
      <w:kern w:val="0"/>
      <w:sz w:val="24"/>
    </w:rPr>
  </w:style>
  <w:style w:type="paragraph" w:styleId="20">
    <w:name w:val="Body Text Indent"/>
    <w:basedOn w:val="1"/>
    <w:link w:val="73"/>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szCs w:val="22"/>
    </w:rPr>
  </w:style>
  <w:style w:type="paragraph" w:styleId="24">
    <w:name w:val="toc 3"/>
    <w:basedOn w:val="1"/>
    <w:next w:val="1"/>
    <w:unhideWhenUsed/>
    <w:qFormat/>
    <w:uiPriority w:val="39"/>
    <w:pPr>
      <w:ind w:left="840" w:leftChars="400"/>
    </w:pPr>
    <w:rPr>
      <w:rFonts w:ascii="Calibri" w:hAnsi="Calibri"/>
      <w:szCs w:val="22"/>
    </w:rPr>
  </w:style>
  <w:style w:type="paragraph" w:styleId="25">
    <w:name w:val="Plain Text"/>
    <w:basedOn w:val="1"/>
    <w:link w:val="74"/>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szCs w:val="22"/>
    </w:rPr>
  </w:style>
  <w:style w:type="paragraph" w:styleId="27">
    <w:name w:val="Date"/>
    <w:basedOn w:val="1"/>
    <w:next w:val="1"/>
    <w:link w:val="75"/>
    <w:qFormat/>
    <w:uiPriority w:val="0"/>
    <w:pPr>
      <w:ind w:left="100" w:leftChars="2500"/>
    </w:pPr>
    <w:rPr>
      <w:rFonts w:ascii="宋体" w:hAnsi="Courier New"/>
      <w:kern w:val="0"/>
      <w:sz w:val="20"/>
      <w:szCs w:val="21"/>
    </w:rPr>
  </w:style>
  <w:style w:type="paragraph" w:styleId="28">
    <w:name w:val="Body Text Indent 2"/>
    <w:basedOn w:val="1"/>
    <w:link w:val="76"/>
    <w:qFormat/>
    <w:uiPriority w:val="0"/>
    <w:pPr>
      <w:ind w:firstLine="630"/>
    </w:pPr>
    <w:rPr>
      <w:kern w:val="0"/>
      <w:sz w:val="32"/>
      <w:szCs w:val="20"/>
    </w:rPr>
  </w:style>
  <w:style w:type="paragraph" w:styleId="29">
    <w:name w:val="endnote text"/>
    <w:basedOn w:val="1"/>
    <w:link w:val="77"/>
    <w:unhideWhenUsed/>
    <w:qFormat/>
    <w:uiPriority w:val="99"/>
    <w:pPr>
      <w:snapToGrid w:val="0"/>
      <w:jc w:val="left"/>
    </w:pPr>
  </w:style>
  <w:style w:type="paragraph" w:styleId="30">
    <w:name w:val="Balloon Text"/>
    <w:basedOn w:val="1"/>
    <w:link w:val="78"/>
    <w:semiHidden/>
    <w:qFormat/>
    <w:uiPriority w:val="0"/>
    <w:rPr>
      <w:kern w:val="0"/>
      <w:sz w:val="18"/>
      <w:szCs w:val="18"/>
    </w:rPr>
  </w:style>
  <w:style w:type="paragraph" w:styleId="31">
    <w:name w:val="footer"/>
    <w:basedOn w:val="1"/>
    <w:next w:val="1"/>
    <w:link w:val="60"/>
    <w:unhideWhenUsed/>
    <w:qFormat/>
    <w:uiPriority w:val="99"/>
    <w:pPr>
      <w:tabs>
        <w:tab w:val="center" w:pos="4153"/>
        <w:tab w:val="right" w:pos="8306"/>
      </w:tabs>
      <w:snapToGrid w:val="0"/>
      <w:jc w:val="left"/>
    </w:pPr>
    <w:rPr>
      <w:kern w:val="0"/>
      <w:sz w:val="18"/>
      <w:szCs w:val="18"/>
    </w:rPr>
  </w:style>
  <w:style w:type="paragraph" w:styleId="32">
    <w:name w:val="header"/>
    <w:basedOn w:val="1"/>
    <w:link w:val="79"/>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szCs w:val="22"/>
    </w:rPr>
  </w:style>
  <w:style w:type="paragraph" w:styleId="35">
    <w:name w:val="List"/>
    <w:basedOn w:val="1"/>
    <w:qFormat/>
    <w:uiPriority w:val="0"/>
    <w:pPr>
      <w:ind w:left="200" w:hanging="200" w:hangingChars="200"/>
    </w:pPr>
    <w:rPr>
      <w:sz w:val="28"/>
    </w:rPr>
  </w:style>
  <w:style w:type="paragraph" w:styleId="36">
    <w:name w:val="footnote text"/>
    <w:basedOn w:val="1"/>
    <w:link w:val="80"/>
    <w:unhideWhenUsed/>
    <w:qFormat/>
    <w:uiPriority w:val="99"/>
    <w:pPr>
      <w:snapToGrid w:val="0"/>
      <w:jc w:val="left"/>
    </w:pPr>
    <w:rPr>
      <w:sz w:val="18"/>
      <w:szCs w:val="18"/>
    </w:rPr>
  </w:style>
  <w:style w:type="paragraph" w:styleId="37">
    <w:name w:val="toc 6"/>
    <w:basedOn w:val="1"/>
    <w:next w:val="1"/>
    <w:unhideWhenUsed/>
    <w:qFormat/>
    <w:uiPriority w:val="39"/>
    <w:pPr>
      <w:ind w:left="2100" w:leftChars="1000"/>
    </w:pPr>
    <w:rPr>
      <w:rFonts w:ascii="Calibri" w:hAnsi="Calibri"/>
      <w:szCs w:val="22"/>
    </w:rPr>
  </w:style>
  <w:style w:type="paragraph" w:styleId="38">
    <w:name w:val="Body Text Indent 3"/>
    <w:basedOn w:val="1"/>
    <w:link w:val="81"/>
    <w:qFormat/>
    <w:uiPriority w:val="0"/>
    <w:pPr>
      <w:spacing w:after="120"/>
      <w:ind w:left="420" w:leftChars="200"/>
    </w:pPr>
    <w:rPr>
      <w:kern w:val="0"/>
      <w:sz w:val="16"/>
      <w:szCs w:val="16"/>
    </w:rPr>
  </w:style>
  <w:style w:type="paragraph" w:styleId="39">
    <w:name w:val="toc 2"/>
    <w:basedOn w:val="1"/>
    <w:next w:val="1"/>
    <w:unhideWhenUsed/>
    <w:qFormat/>
    <w:uiPriority w:val="39"/>
    <w:pPr>
      <w:ind w:left="420" w:leftChars="200"/>
    </w:pPr>
  </w:style>
  <w:style w:type="paragraph" w:styleId="40">
    <w:name w:val="toc 9"/>
    <w:basedOn w:val="1"/>
    <w:next w:val="1"/>
    <w:unhideWhenUsed/>
    <w:qFormat/>
    <w:uiPriority w:val="39"/>
    <w:pPr>
      <w:ind w:left="3360" w:leftChars="1600"/>
    </w:pPr>
    <w:rPr>
      <w:rFonts w:ascii="Calibri" w:hAnsi="Calibri"/>
      <w:szCs w:val="22"/>
    </w:rPr>
  </w:style>
  <w:style w:type="paragraph" w:styleId="41">
    <w:name w:val="Body Text 2"/>
    <w:basedOn w:val="1"/>
    <w:link w:val="82"/>
    <w:qFormat/>
    <w:uiPriority w:val="0"/>
    <w:pPr>
      <w:spacing w:after="120" w:line="480" w:lineRule="auto"/>
    </w:pPr>
    <w:rPr>
      <w:kern w:val="0"/>
      <w:sz w:val="20"/>
    </w:rPr>
  </w:style>
  <w:style w:type="paragraph" w:styleId="42">
    <w:name w:val="Normal (Web)"/>
    <w:basedOn w:val="1"/>
    <w:qFormat/>
    <w:uiPriority w:val="99"/>
    <w:pPr>
      <w:widowControl/>
      <w:spacing w:before="100" w:beforeAutospacing="1" w:after="100" w:afterAutospacing="1"/>
      <w:jc w:val="left"/>
    </w:pPr>
    <w:rPr>
      <w:rFonts w:ascii="宋体" w:hAnsi="宋体"/>
      <w:kern w:val="0"/>
      <w:sz w:val="24"/>
    </w:rPr>
  </w:style>
  <w:style w:type="paragraph" w:styleId="43">
    <w:name w:val="index 1"/>
    <w:basedOn w:val="1"/>
    <w:next w:val="1"/>
    <w:semiHidden/>
    <w:qFormat/>
    <w:uiPriority w:val="0"/>
    <w:pPr>
      <w:spacing w:line="400" w:lineRule="exact"/>
      <w:ind w:firstLine="420" w:firstLineChars="200"/>
    </w:pPr>
    <w:rPr>
      <w:rFonts w:ascii="宋体" w:hAnsi="Courier New"/>
      <w:b/>
      <w:szCs w:val="20"/>
    </w:rPr>
  </w:style>
  <w:style w:type="paragraph" w:styleId="44">
    <w:name w:val="Title"/>
    <w:basedOn w:val="1"/>
    <w:next w:val="1"/>
    <w:link w:val="83"/>
    <w:qFormat/>
    <w:uiPriority w:val="10"/>
    <w:pPr>
      <w:spacing w:before="240" w:after="60"/>
      <w:jc w:val="center"/>
      <w:outlineLvl w:val="0"/>
    </w:pPr>
    <w:rPr>
      <w:rFonts w:ascii="Cambria" w:hAnsi="Cambria"/>
      <w:b/>
      <w:bCs/>
      <w:sz w:val="32"/>
      <w:szCs w:val="32"/>
    </w:rPr>
  </w:style>
  <w:style w:type="paragraph" w:styleId="45">
    <w:name w:val="annotation subject"/>
    <w:basedOn w:val="17"/>
    <w:next w:val="17"/>
    <w:link w:val="84"/>
    <w:unhideWhenUsed/>
    <w:qFormat/>
    <w:uiPriority w:val="99"/>
    <w:rPr>
      <w:b/>
      <w:bCs/>
    </w:rPr>
  </w:style>
  <w:style w:type="paragraph" w:styleId="46">
    <w:name w:val="Body Text First Indent"/>
    <w:basedOn w:val="19"/>
    <w:unhideWhenUsed/>
    <w:qFormat/>
    <w:uiPriority w:val="0"/>
    <w:pPr>
      <w:tabs>
        <w:tab w:val="left" w:pos="987"/>
      </w:tabs>
      <w:spacing w:line="240" w:lineRule="auto"/>
      <w:ind w:firstLine="420" w:firstLineChars="100"/>
    </w:pPr>
    <w:rPr>
      <w:kern w:val="2"/>
      <w:sz w:val="21"/>
    </w:rPr>
  </w:style>
  <w:style w:type="paragraph" w:styleId="47">
    <w:name w:val="Body Text First Indent 2"/>
    <w:basedOn w:val="20"/>
    <w:next w:val="1"/>
    <w:unhideWhenUsed/>
    <w:qFormat/>
    <w:uiPriority w:val="0"/>
    <w:pPr>
      <w:ind w:firstLine="420" w:firstLineChars="200"/>
    </w:p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basedOn w:val="50"/>
    <w:qFormat/>
    <w:uiPriority w:val="22"/>
    <w:rPr>
      <w:b/>
    </w:rPr>
  </w:style>
  <w:style w:type="character" w:styleId="52">
    <w:name w:val="endnote reference"/>
    <w:unhideWhenUsed/>
    <w:qFormat/>
    <w:uiPriority w:val="99"/>
    <w:rPr>
      <w:vertAlign w:val="superscript"/>
    </w:rPr>
  </w:style>
  <w:style w:type="character" w:styleId="53">
    <w:name w:val="page number"/>
    <w:qFormat/>
    <w:uiPriority w:val="0"/>
  </w:style>
  <w:style w:type="character" w:styleId="54">
    <w:name w:val="FollowedHyperlink"/>
    <w:qFormat/>
    <w:uiPriority w:val="0"/>
    <w:rPr>
      <w:color w:val="800080"/>
      <w:u w:val="single"/>
    </w:rPr>
  </w:style>
  <w:style w:type="character" w:styleId="55">
    <w:name w:val="Emphasis"/>
    <w:basedOn w:val="50"/>
    <w:qFormat/>
    <w:uiPriority w:val="20"/>
    <w:rPr>
      <w:i/>
    </w:rPr>
  </w:style>
  <w:style w:type="character" w:styleId="56">
    <w:name w:val="Hyperlink"/>
    <w:basedOn w:val="50"/>
    <w:qFormat/>
    <w:uiPriority w:val="99"/>
    <w:rPr>
      <w:color w:val="0000FF"/>
      <w:u w:val="single"/>
    </w:rPr>
  </w:style>
  <w:style w:type="character" w:styleId="57">
    <w:name w:val="annotation reference"/>
    <w:basedOn w:val="50"/>
    <w:unhideWhenUsed/>
    <w:qFormat/>
    <w:uiPriority w:val="0"/>
    <w:rPr>
      <w:sz w:val="21"/>
      <w:szCs w:val="21"/>
    </w:rPr>
  </w:style>
  <w:style w:type="character" w:styleId="58">
    <w:name w:val="footnote reference"/>
    <w:unhideWhenUsed/>
    <w:qFormat/>
    <w:uiPriority w:val="99"/>
    <w:rPr>
      <w:vertAlign w:val="superscript"/>
    </w:rPr>
  </w:style>
  <w:style w:type="paragraph" w:customStyle="1" w:styleId="5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60">
    <w:name w:val="页脚 字符1"/>
    <w:link w:val="31"/>
    <w:qFormat/>
    <w:uiPriority w:val="99"/>
    <w:rPr>
      <w:sz w:val="18"/>
      <w:szCs w:val="18"/>
    </w:rPr>
  </w:style>
  <w:style w:type="character" w:customStyle="1" w:styleId="61">
    <w:name w:val="标题 1 字符1"/>
    <w:link w:val="2"/>
    <w:qFormat/>
    <w:uiPriority w:val="0"/>
    <w:rPr>
      <w:rFonts w:ascii="Times New Roman" w:hAnsi="Times New Roman" w:eastAsia="宋体" w:cs="Times New Roman"/>
      <w:b/>
      <w:bCs/>
      <w:kern w:val="44"/>
      <w:sz w:val="44"/>
      <w:szCs w:val="44"/>
    </w:rPr>
  </w:style>
  <w:style w:type="character" w:customStyle="1" w:styleId="62">
    <w:name w:val="标题 2 字符"/>
    <w:link w:val="3"/>
    <w:qFormat/>
    <w:uiPriority w:val="0"/>
    <w:rPr>
      <w:rFonts w:ascii="Arial" w:hAnsi="Arial" w:eastAsia="黑体" w:cs="Times New Roman"/>
      <w:b/>
      <w:bCs/>
      <w:sz w:val="32"/>
      <w:szCs w:val="32"/>
    </w:rPr>
  </w:style>
  <w:style w:type="character" w:customStyle="1" w:styleId="63">
    <w:name w:val="标题 3 字符"/>
    <w:link w:val="4"/>
    <w:qFormat/>
    <w:uiPriority w:val="0"/>
    <w:rPr>
      <w:rFonts w:ascii="Times New Roman" w:hAnsi="Times New Roman" w:eastAsia="宋体" w:cs="Times New Roman"/>
      <w:b/>
      <w:bCs/>
      <w:sz w:val="32"/>
      <w:szCs w:val="32"/>
    </w:rPr>
  </w:style>
  <w:style w:type="character" w:customStyle="1" w:styleId="64">
    <w:name w:val="标题 5 字符"/>
    <w:link w:val="6"/>
    <w:qFormat/>
    <w:uiPriority w:val="0"/>
    <w:rPr>
      <w:b/>
      <w:kern w:val="2"/>
      <w:sz w:val="28"/>
      <w:szCs w:val="24"/>
    </w:rPr>
  </w:style>
  <w:style w:type="character" w:customStyle="1" w:styleId="65">
    <w:name w:val="标题 6 字符"/>
    <w:link w:val="8"/>
    <w:qFormat/>
    <w:uiPriority w:val="0"/>
    <w:rPr>
      <w:rFonts w:ascii="Arial" w:hAnsi="Arial" w:eastAsia="黑体"/>
      <w:b/>
      <w:kern w:val="2"/>
      <w:sz w:val="24"/>
      <w:szCs w:val="24"/>
    </w:rPr>
  </w:style>
  <w:style w:type="character" w:customStyle="1" w:styleId="66">
    <w:name w:val="标题 7 字符"/>
    <w:link w:val="9"/>
    <w:qFormat/>
    <w:uiPriority w:val="0"/>
    <w:rPr>
      <w:rFonts w:ascii="Times New Roman" w:hAnsi="Times New Roman"/>
      <w:b/>
      <w:kern w:val="2"/>
      <w:sz w:val="24"/>
      <w:szCs w:val="24"/>
    </w:rPr>
  </w:style>
  <w:style w:type="character" w:customStyle="1" w:styleId="67">
    <w:name w:val="标题 8 字符"/>
    <w:link w:val="10"/>
    <w:qFormat/>
    <w:uiPriority w:val="0"/>
    <w:rPr>
      <w:rFonts w:ascii="Arial" w:hAnsi="Arial" w:eastAsia="黑体"/>
      <w:kern w:val="2"/>
      <w:sz w:val="24"/>
      <w:szCs w:val="24"/>
    </w:rPr>
  </w:style>
  <w:style w:type="character" w:customStyle="1" w:styleId="68">
    <w:name w:val="标题 9 字符"/>
    <w:link w:val="11"/>
    <w:qFormat/>
    <w:uiPriority w:val="0"/>
    <w:rPr>
      <w:rFonts w:ascii="Arial" w:hAnsi="Arial" w:eastAsia="黑体"/>
      <w:kern w:val="2"/>
      <w:sz w:val="21"/>
      <w:szCs w:val="24"/>
    </w:rPr>
  </w:style>
  <w:style w:type="character" w:customStyle="1" w:styleId="69">
    <w:name w:val="文档结构图 字符"/>
    <w:link w:val="16"/>
    <w:qFormat/>
    <w:uiPriority w:val="0"/>
    <w:rPr>
      <w:rFonts w:hint="eastAsia" w:ascii="宋体" w:hAnsi="宋体" w:eastAsia="宋体" w:cs="宋体"/>
    </w:rPr>
  </w:style>
  <w:style w:type="character" w:customStyle="1" w:styleId="70">
    <w:name w:val="批注文字 字符2"/>
    <w:link w:val="17"/>
    <w:qFormat/>
    <w:uiPriority w:val="0"/>
    <w:rPr>
      <w:rFonts w:ascii="Times New Roman" w:hAnsi="Times New Roman"/>
      <w:kern w:val="2"/>
      <w:sz w:val="21"/>
      <w:szCs w:val="24"/>
    </w:rPr>
  </w:style>
  <w:style w:type="character" w:customStyle="1" w:styleId="71">
    <w:name w:val="正文文本 3 字符"/>
    <w:link w:val="18"/>
    <w:qFormat/>
    <w:uiPriority w:val="0"/>
    <w:rPr>
      <w:rFonts w:ascii="Times New Roman" w:hAnsi="Times New Roman" w:eastAsia="宋体" w:cs="Times New Roman"/>
      <w:b/>
      <w:bCs/>
      <w:sz w:val="24"/>
      <w:szCs w:val="24"/>
    </w:rPr>
  </w:style>
  <w:style w:type="character" w:customStyle="1" w:styleId="72">
    <w:name w:val="正文文本 字符"/>
    <w:link w:val="19"/>
    <w:qFormat/>
    <w:uiPriority w:val="99"/>
    <w:rPr>
      <w:rFonts w:ascii="Times New Roman" w:hAnsi="Times New Roman" w:eastAsia="宋体" w:cs="Times New Roman"/>
      <w:sz w:val="24"/>
      <w:szCs w:val="24"/>
    </w:rPr>
  </w:style>
  <w:style w:type="character" w:customStyle="1" w:styleId="73">
    <w:name w:val="正文文本缩进 字符1"/>
    <w:link w:val="20"/>
    <w:qFormat/>
    <w:uiPriority w:val="0"/>
    <w:rPr>
      <w:rFonts w:ascii="仿宋_GB2312" w:hAnsi="Times New Roman" w:eastAsia="仿宋_GB2312" w:cs="Times New Roman"/>
      <w:sz w:val="32"/>
      <w:szCs w:val="20"/>
    </w:rPr>
  </w:style>
  <w:style w:type="character" w:customStyle="1" w:styleId="74">
    <w:name w:val="纯文本 字符2"/>
    <w:link w:val="25"/>
    <w:qFormat/>
    <w:uiPriority w:val="0"/>
    <w:rPr>
      <w:rFonts w:ascii="宋体" w:hAnsi="Courier New" w:eastAsia="宋体" w:cs="Courier New"/>
      <w:szCs w:val="21"/>
    </w:rPr>
  </w:style>
  <w:style w:type="character" w:customStyle="1" w:styleId="75">
    <w:name w:val="日期 字符"/>
    <w:link w:val="27"/>
    <w:qFormat/>
    <w:uiPriority w:val="0"/>
    <w:rPr>
      <w:rFonts w:ascii="宋体" w:hAnsi="Courier New" w:eastAsia="宋体" w:cs="Courier New"/>
      <w:szCs w:val="21"/>
    </w:rPr>
  </w:style>
  <w:style w:type="character" w:customStyle="1" w:styleId="76">
    <w:name w:val="正文文本缩进 2 字符"/>
    <w:link w:val="28"/>
    <w:qFormat/>
    <w:uiPriority w:val="0"/>
    <w:rPr>
      <w:rFonts w:ascii="Times New Roman" w:hAnsi="Times New Roman" w:eastAsia="宋体" w:cs="Times New Roman"/>
      <w:sz w:val="32"/>
      <w:szCs w:val="20"/>
    </w:rPr>
  </w:style>
  <w:style w:type="character" w:customStyle="1" w:styleId="77">
    <w:name w:val="尾注文本 字符"/>
    <w:link w:val="29"/>
    <w:semiHidden/>
    <w:qFormat/>
    <w:uiPriority w:val="99"/>
    <w:rPr>
      <w:rFonts w:ascii="Times New Roman" w:hAnsi="Times New Roman"/>
      <w:kern w:val="2"/>
      <w:sz w:val="21"/>
      <w:szCs w:val="24"/>
    </w:rPr>
  </w:style>
  <w:style w:type="character" w:customStyle="1" w:styleId="78">
    <w:name w:val="批注框文本 字符"/>
    <w:link w:val="30"/>
    <w:semiHidden/>
    <w:qFormat/>
    <w:uiPriority w:val="0"/>
    <w:rPr>
      <w:rFonts w:ascii="Times New Roman" w:hAnsi="Times New Roman" w:eastAsia="宋体" w:cs="Times New Roman"/>
      <w:sz w:val="18"/>
      <w:szCs w:val="18"/>
    </w:rPr>
  </w:style>
  <w:style w:type="character" w:customStyle="1" w:styleId="79">
    <w:name w:val="页眉 字符"/>
    <w:link w:val="32"/>
    <w:qFormat/>
    <w:uiPriority w:val="99"/>
    <w:rPr>
      <w:rFonts w:ascii="Times New Roman" w:hAnsi="Times New Roman"/>
      <w:kern w:val="2"/>
      <w:sz w:val="18"/>
      <w:szCs w:val="18"/>
    </w:rPr>
  </w:style>
  <w:style w:type="character" w:customStyle="1" w:styleId="80">
    <w:name w:val="脚注文本 字符"/>
    <w:link w:val="36"/>
    <w:semiHidden/>
    <w:qFormat/>
    <w:uiPriority w:val="99"/>
    <w:rPr>
      <w:rFonts w:ascii="Times New Roman" w:hAnsi="Times New Roman"/>
      <w:kern w:val="2"/>
      <w:sz w:val="18"/>
      <w:szCs w:val="18"/>
    </w:rPr>
  </w:style>
  <w:style w:type="character" w:customStyle="1" w:styleId="81">
    <w:name w:val="正文文本缩进 3 字符"/>
    <w:link w:val="38"/>
    <w:qFormat/>
    <w:uiPriority w:val="0"/>
    <w:rPr>
      <w:rFonts w:ascii="Times New Roman" w:hAnsi="Times New Roman" w:eastAsia="宋体" w:cs="Times New Roman"/>
      <w:sz w:val="16"/>
      <w:szCs w:val="16"/>
    </w:rPr>
  </w:style>
  <w:style w:type="character" w:customStyle="1" w:styleId="82">
    <w:name w:val="正文文本 2 字符"/>
    <w:link w:val="41"/>
    <w:qFormat/>
    <w:uiPriority w:val="0"/>
    <w:rPr>
      <w:rFonts w:ascii="Times New Roman" w:hAnsi="Times New Roman" w:eastAsia="宋体" w:cs="Times New Roman"/>
      <w:szCs w:val="24"/>
    </w:rPr>
  </w:style>
  <w:style w:type="character" w:customStyle="1" w:styleId="83">
    <w:name w:val="标题 字符"/>
    <w:link w:val="44"/>
    <w:qFormat/>
    <w:uiPriority w:val="10"/>
    <w:rPr>
      <w:rFonts w:ascii="Cambria" w:hAnsi="Cambria" w:cs="Times New Roman"/>
      <w:b/>
      <w:bCs/>
      <w:kern w:val="2"/>
      <w:sz w:val="32"/>
      <w:szCs w:val="32"/>
    </w:rPr>
  </w:style>
  <w:style w:type="character" w:customStyle="1" w:styleId="84">
    <w:name w:val="批注主题 字符"/>
    <w:link w:val="45"/>
    <w:semiHidden/>
    <w:qFormat/>
    <w:uiPriority w:val="99"/>
    <w:rPr>
      <w:rFonts w:ascii="Times New Roman" w:hAnsi="Times New Roman"/>
      <w:b/>
      <w:bCs/>
      <w:kern w:val="2"/>
      <w:sz w:val="21"/>
      <w:szCs w:val="24"/>
    </w:rPr>
  </w:style>
  <w:style w:type="paragraph" w:customStyle="1" w:styleId="85">
    <w:name w:val="表格文字115"/>
    <w:basedOn w:val="1"/>
    <w:qFormat/>
    <w:uiPriority w:val="0"/>
    <w:pPr>
      <w:spacing w:before="25" w:after="25"/>
      <w:jc w:val="left"/>
    </w:pPr>
    <w:rPr>
      <w:bCs/>
      <w:spacing w:val="10"/>
      <w:kern w:val="0"/>
      <w:sz w:val="24"/>
    </w:rPr>
  </w:style>
  <w:style w:type="character" w:customStyle="1" w:styleId="86">
    <w:name w:val="页脚 字符"/>
    <w:qFormat/>
    <w:uiPriority w:val="99"/>
  </w:style>
  <w:style w:type="character" w:customStyle="1" w:styleId="87">
    <w:name w:val="纯文本 字符"/>
    <w:qFormat/>
    <w:uiPriority w:val="0"/>
    <w:rPr>
      <w:rFonts w:ascii="宋体" w:hAnsi="Courier New" w:eastAsia="宋体" w:cs="Courier New"/>
      <w:szCs w:val="21"/>
    </w:rPr>
  </w:style>
  <w:style w:type="character" w:customStyle="1" w:styleId="88">
    <w:name w:val="标题 1 字符"/>
    <w:qFormat/>
    <w:uiPriority w:val="9"/>
    <w:rPr>
      <w:rFonts w:ascii="Times New Roman" w:hAnsi="Times New Roman" w:eastAsia="宋体" w:cs="Times New Roman"/>
      <w:b/>
      <w:bCs/>
      <w:kern w:val="44"/>
      <w:sz w:val="44"/>
      <w:szCs w:val="44"/>
    </w:rPr>
  </w:style>
  <w:style w:type="character" w:customStyle="1" w:styleId="89">
    <w:name w:val="font41"/>
    <w:basedOn w:val="50"/>
    <w:qFormat/>
    <w:uiPriority w:val="0"/>
    <w:rPr>
      <w:rFonts w:hint="eastAsia" w:ascii="宋体" w:hAnsi="宋体" w:eastAsia="宋体" w:cs="宋体"/>
      <w:color w:val="000000"/>
      <w:sz w:val="20"/>
      <w:szCs w:val="20"/>
      <w:u w:val="none"/>
    </w:rPr>
  </w:style>
  <w:style w:type="character" w:customStyle="1" w:styleId="90">
    <w:name w:val="批注文字 字符1"/>
    <w:qFormat/>
    <w:uiPriority w:val="0"/>
    <w:rPr>
      <w:rFonts w:ascii="Times New Roman" w:hAnsi="Times New Roman"/>
      <w:kern w:val="2"/>
      <w:sz w:val="21"/>
      <w:szCs w:val="24"/>
    </w:rPr>
  </w:style>
  <w:style w:type="character" w:customStyle="1" w:styleId="91">
    <w:name w:val="批注文字 字符"/>
    <w:qFormat/>
    <w:uiPriority w:val="0"/>
    <w:rPr>
      <w:rFonts w:ascii="Times New Roman" w:hAnsi="Times New Roman"/>
      <w:kern w:val="2"/>
      <w:sz w:val="21"/>
      <w:szCs w:val="24"/>
    </w:rPr>
  </w:style>
  <w:style w:type="character" w:customStyle="1" w:styleId="92">
    <w:name w:val="case31"/>
    <w:qFormat/>
    <w:uiPriority w:val="0"/>
    <w:rPr>
      <w:rFonts w:hint="default" w:ascii="_x000B__x000C_" w:hAnsi="_x000B__x000C_"/>
      <w:sz w:val="21"/>
      <w:szCs w:val="21"/>
    </w:rPr>
  </w:style>
  <w:style w:type="character" w:customStyle="1" w:styleId="93">
    <w:name w:val="标题 5 Char"/>
    <w:qFormat/>
    <w:uiPriority w:val="0"/>
    <w:rPr>
      <w:b/>
      <w:kern w:val="2"/>
      <w:sz w:val="28"/>
      <w:szCs w:val="24"/>
    </w:rPr>
  </w:style>
  <w:style w:type="character" w:customStyle="1" w:styleId="94">
    <w:name w:val="正文2 Char Char"/>
    <w:link w:val="95"/>
    <w:qFormat/>
    <w:uiPriority w:val="0"/>
    <w:rPr>
      <w:kern w:val="2"/>
      <w:sz w:val="24"/>
    </w:rPr>
  </w:style>
  <w:style w:type="paragraph" w:customStyle="1" w:styleId="95">
    <w:name w:val="正文2"/>
    <w:basedOn w:val="1"/>
    <w:link w:val="94"/>
    <w:qFormat/>
    <w:uiPriority w:val="0"/>
    <w:pPr>
      <w:adjustRightInd w:val="0"/>
      <w:spacing w:before="156" w:line="360" w:lineRule="auto"/>
      <w:ind w:firstLine="510" w:firstLineChars="200"/>
    </w:pPr>
    <w:rPr>
      <w:sz w:val="24"/>
      <w:szCs w:val="20"/>
    </w:rPr>
  </w:style>
  <w:style w:type="character" w:customStyle="1" w:styleId="96">
    <w:name w:val="纯文本 字符1"/>
    <w:qFormat/>
    <w:uiPriority w:val="0"/>
    <w:rPr>
      <w:rFonts w:ascii="宋体" w:hAnsi="Courier New"/>
    </w:rPr>
  </w:style>
  <w:style w:type="character" w:customStyle="1" w:styleId="97">
    <w:name w:val="正文文本缩进 字符"/>
    <w:qFormat/>
    <w:uiPriority w:val="0"/>
    <w:rPr>
      <w:rFonts w:ascii="仿宋_GB2312" w:hAnsi="Times New Roman" w:eastAsia="仿宋_GB2312" w:cs="Times New Roman"/>
      <w:sz w:val="32"/>
      <w:szCs w:val="20"/>
    </w:rPr>
  </w:style>
  <w:style w:type="character" w:customStyle="1" w:styleId="98">
    <w:name w:val="批注文字 Char"/>
    <w:qFormat/>
    <w:uiPriority w:val="0"/>
    <w:rPr>
      <w:rFonts w:ascii="Times New Roman" w:hAnsi="Times New Roman"/>
      <w:kern w:val="2"/>
      <w:sz w:val="21"/>
      <w:szCs w:val="24"/>
    </w:rPr>
  </w:style>
  <w:style w:type="character" w:customStyle="1" w:styleId="99">
    <w:name w:val="批注文字 Char1"/>
    <w:semiHidden/>
    <w:qFormat/>
    <w:locked/>
    <w:uiPriority w:val="0"/>
    <w:rPr>
      <w:rFonts w:ascii="Times New Roman" w:hAnsi="Times New Roman"/>
      <w:kern w:val="2"/>
      <w:sz w:val="21"/>
      <w:szCs w:val="24"/>
    </w:rPr>
  </w:style>
  <w:style w:type="character" w:customStyle="1" w:styleId="100">
    <w:name w:val="纯文本 Char3"/>
    <w:qFormat/>
    <w:uiPriority w:val="0"/>
    <w:rPr>
      <w:rFonts w:ascii="宋体" w:hAnsi="Courier New" w:eastAsia="宋体" w:cs="Courier New"/>
      <w:szCs w:val="21"/>
    </w:rPr>
  </w:style>
  <w:style w:type="character" w:customStyle="1" w:styleId="101">
    <w:name w:val="headline-content4"/>
    <w:qFormat/>
    <w:uiPriority w:val="0"/>
  </w:style>
  <w:style w:type="character" w:customStyle="1" w:styleId="102">
    <w:name w:val="普通文字 Char Char2"/>
    <w:qFormat/>
    <w:uiPriority w:val="0"/>
    <w:rPr>
      <w:rFonts w:ascii="宋体" w:hAnsi="Courier New" w:eastAsia="宋体"/>
      <w:kern w:val="2"/>
      <w:sz w:val="21"/>
      <w:lang w:val="en-US" w:eastAsia="zh-CN" w:bidi="ar-SA"/>
    </w:rPr>
  </w:style>
  <w:style w:type="character" w:customStyle="1" w:styleId="103">
    <w:name w:val="textcontents"/>
    <w:qFormat/>
    <w:uiPriority w:val="0"/>
  </w:style>
  <w:style w:type="character" w:customStyle="1" w:styleId="104">
    <w:name w:val="正文文本 Char1"/>
    <w:semiHidden/>
    <w:qFormat/>
    <w:locked/>
    <w:uiPriority w:val="99"/>
    <w:rPr>
      <w:sz w:val="24"/>
      <w:szCs w:val="24"/>
    </w:rPr>
  </w:style>
  <w:style w:type="character" w:customStyle="1" w:styleId="105">
    <w:name w:val="纯文本 Char"/>
    <w:qFormat/>
    <w:uiPriority w:val="0"/>
    <w:rPr>
      <w:rFonts w:ascii="宋体" w:hAnsi="Courier New" w:eastAsia="宋体"/>
      <w:kern w:val="2"/>
      <w:sz w:val="21"/>
      <w:lang w:val="en-US" w:eastAsia="zh-CN" w:bidi="ar-SA"/>
    </w:rPr>
  </w:style>
  <w:style w:type="character" w:customStyle="1" w:styleId="106">
    <w:name w:val="apple-style-span"/>
    <w:qFormat/>
    <w:uiPriority w:val="0"/>
  </w:style>
  <w:style w:type="character" w:customStyle="1" w:styleId="10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08">
    <w:name w:val="font61"/>
    <w:basedOn w:val="50"/>
    <w:qFormat/>
    <w:uiPriority w:val="0"/>
    <w:rPr>
      <w:rFonts w:ascii="Arial" w:hAnsi="Arial" w:cs="Arial"/>
      <w:color w:val="000000"/>
      <w:sz w:val="20"/>
      <w:szCs w:val="20"/>
      <w:u w:val="none"/>
    </w:rPr>
  </w:style>
  <w:style w:type="character" w:customStyle="1" w:styleId="109">
    <w:name w:val="font71"/>
    <w:basedOn w:val="50"/>
    <w:qFormat/>
    <w:uiPriority w:val="0"/>
    <w:rPr>
      <w:rFonts w:hint="eastAsia" w:ascii="宋体" w:hAnsi="宋体" w:eastAsia="宋体" w:cs="宋体"/>
      <w:b/>
      <w:color w:val="000000"/>
      <w:sz w:val="20"/>
      <w:szCs w:val="20"/>
      <w:u w:val="none"/>
    </w:rPr>
  </w:style>
  <w:style w:type="paragraph" w:customStyle="1" w:styleId="110">
    <w:name w:val="标题3"/>
    <w:basedOn w:val="4"/>
    <w:next w:val="1"/>
    <w:qFormat/>
    <w:uiPriority w:val="0"/>
    <w:pPr>
      <w:spacing w:before="200" w:after="200" w:line="360" w:lineRule="auto"/>
    </w:pPr>
    <w:rPr>
      <w:rFonts w:ascii="黑体" w:hAnsi="黑体" w:eastAsia="黑体"/>
      <w:bCs w:val="0"/>
      <w:sz w:val="24"/>
      <w:szCs w:val="24"/>
    </w:rPr>
  </w:style>
  <w:style w:type="paragraph" w:customStyle="1" w:styleId="111">
    <w:name w:val="目录 81"/>
    <w:basedOn w:val="1"/>
    <w:next w:val="1"/>
    <w:qFormat/>
    <w:uiPriority w:val="0"/>
    <w:pPr>
      <w:ind w:left="1470"/>
    </w:pPr>
    <w:rPr>
      <w:sz w:val="18"/>
    </w:rPr>
  </w:style>
  <w:style w:type="paragraph" w:customStyle="1" w:styleId="11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13">
    <w:name w:val="正文首行缩进两字符"/>
    <w:basedOn w:val="1"/>
    <w:qFormat/>
    <w:uiPriority w:val="0"/>
    <w:pPr>
      <w:spacing w:line="360" w:lineRule="auto"/>
      <w:ind w:firstLine="200" w:firstLineChars="200"/>
    </w:pPr>
  </w:style>
  <w:style w:type="paragraph" w:customStyle="1" w:styleId="114">
    <w:name w:val="纯文本1"/>
    <w:basedOn w:val="1"/>
    <w:qFormat/>
    <w:uiPriority w:val="0"/>
    <w:rPr>
      <w:rFonts w:ascii="宋体" w:hAnsi="Courier New" w:cs="Century"/>
      <w:szCs w:val="21"/>
    </w:rPr>
  </w:style>
  <w:style w:type="paragraph" w:customStyle="1" w:styleId="115">
    <w:name w:val="默认段落字体 Para Char Char Char Char Char Char Char Char Char1 Char Char Char Char"/>
    <w:basedOn w:val="1"/>
    <w:qFormat/>
    <w:uiPriority w:val="0"/>
    <w:rPr>
      <w:rFonts w:ascii="Tahoma" w:hAnsi="Tahoma"/>
      <w:sz w:val="24"/>
      <w:szCs w:val="20"/>
    </w:rPr>
  </w:style>
  <w:style w:type="paragraph" w:customStyle="1" w:styleId="116">
    <w:name w:val="表格"/>
    <w:basedOn w:val="1"/>
    <w:qFormat/>
    <w:uiPriority w:val="0"/>
    <w:pPr>
      <w:spacing w:line="400" w:lineRule="exact"/>
    </w:pPr>
    <w:rPr>
      <w:sz w:val="24"/>
    </w:rPr>
  </w:style>
  <w:style w:type="paragraph" w:customStyle="1" w:styleId="117">
    <w:name w:val="样式 首行缩进:  2 字符"/>
    <w:basedOn w:val="1"/>
    <w:qFormat/>
    <w:uiPriority w:val="0"/>
    <w:pPr>
      <w:spacing w:line="400" w:lineRule="exact"/>
      <w:ind w:firstLine="200" w:firstLineChars="200"/>
    </w:pPr>
    <w:rPr>
      <w:rFonts w:cs="宋体"/>
      <w:sz w:val="24"/>
    </w:rPr>
  </w:style>
  <w:style w:type="paragraph" w:customStyle="1" w:styleId="118">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19">
    <w:name w:val="Char1"/>
    <w:basedOn w:val="1"/>
    <w:qFormat/>
    <w:uiPriority w:val="0"/>
    <w:rPr>
      <w:szCs w:val="21"/>
    </w:rPr>
  </w:style>
  <w:style w:type="paragraph" w:customStyle="1" w:styleId="120">
    <w:name w:val="Table Paragraph"/>
    <w:basedOn w:val="1"/>
    <w:qFormat/>
    <w:uiPriority w:val="1"/>
    <w:pPr>
      <w:jc w:val="left"/>
    </w:pPr>
    <w:rPr>
      <w:rFonts w:ascii="Calibri" w:hAnsi="Calibri"/>
      <w:kern w:val="0"/>
      <w:sz w:val="22"/>
      <w:szCs w:val="22"/>
      <w:lang w:eastAsia="en-US"/>
    </w:rPr>
  </w:style>
  <w:style w:type="paragraph" w:customStyle="1" w:styleId="12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22">
    <w:name w:val="正文段"/>
    <w:basedOn w:val="1"/>
    <w:qFormat/>
    <w:uiPriority w:val="0"/>
    <w:pPr>
      <w:widowControl/>
      <w:snapToGrid w:val="0"/>
      <w:spacing w:after="50" w:afterLines="50"/>
      <w:ind w:firstLine="200" w:firstLineChars="200"/>
    </w:pPr>
    <w:rPr>
      <w:kern w:val="0"/>
      <w:sz w:val="24"/>
      <w:szCs w:val="20"/>
    </w:rPr>
  </w:style>
  <w:style w:type="paragraph" w:customStyle="1" w:styleId="123">
    <w:name w:val="表格文字"/>
    <w:basedOn w:val="1"/>
    <w:qFormat/>
    <w:uiPriority w:val="0"/>
    <w:pPr>
      <w:widowControl/>
      <w:adjustRightInd w:val="0"/>
      <w:spacing w:afterLines="50" w:line="360" w:lineRule="auto"/>
      <w:ind w:firstLine="200" w:firstLineChars="200"/>
      <w:jc w:val="left"/>
      <w:textAlignment w:val="baseline"/>
    </w:pPr>
    <w:rPr>
      <w:rFonts w:ascii="Arial" w:hAnsi="Arial"/>
      <w:kern w:val="0"/>
      <w:sz w:val="24"/>
      <w:szCs w:val="20"/>
    </w:rPr>
  </w:style>
  <w:style w:type="paragraph" w:customStyle="1" w:styleId="12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styleId="125">
    <w:name w:val="List Paragraph"/>
    <w:basedOn w:val="1"/>
    <w:qFormat/>
    <w:uiPriority w:val="34"/>
    <w:pPr>
      <w:ind w:firstLine="420" w:firstLineChars="200"/>
    </w:pPr>
  </w:style>
  <w:style w:type="paragraph" w:customStyle="1" w:styleId="126">
    <w:name w:val="_Style 121"/>
    <w:unhideWhenUsed/>
    <w:qFormat/>
    <w:uiPriority w:val="99"/>
    <w:rPr>
      <w:rFonts w:ascii="Times New Roman" w:hAnsi="Times New Roman" w:eastAsia="宋体" w:cs="Times New Roman"/>
      <w:kern w:val="2"/>
      <w:sz w:val="21"/>
      <w:szCs w:val="24"/>
      <w:lang w:val="en-US" w:eastAsia="zh-CN" w:bidi="ar-SA"/>
    </w:rPr>
  </w:style>
  <w:style w:type="paragraph" w:customStyle="1" w:styleId="127">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28">
    <w:name w:val="标题3（投标须知）"/>
    <w:basedOn w:val="110"/>
    <w:next w:val="129"/>
    <w:qFormat/>
    <w:uiPriority w:val="0"/>
    <w:pPr>
      <w:spacing w:line="240" w:lineRule="auto"/>
      <w:jc w:val="center"/>
    </w:pPr>
    <w:rPr>
      <w:bCs/>
      <w:sz w:val="30"/>
    </w:rPr>
  </w:style>
  <w:style w:type="paragraph" w:customStyle="1" w:styleId="129">
    <w:name w:val="标题4"/>
    <w:basedOn w:val="1"/>
    <w:next w:val="1"/>
    <w:qFormat/>
    <w:uiPriority w:val="0"/>
    <w:pPr>
      <w:ind w:firstLine="176" w:firstLineChars="176"/>
      <w:outlineLvl w:val="3"/>
    </w:pPr>
    <w:rPr>
      <w:rFonts w:ascii="黑体" w:hAnsi="黑体" w:eastAsia="黑体"/>
      <w:b/>
      <w:bCs/>
      <w:sz w:val="24"/>
    </w:rPr>
  </w:style>
  <w:style w:type="paragraph" w:customStyle="1" w:styleId="130">
    <w:name w:val="List Paragraph1"/>
    <w:basedOn w:val="1"/>
    <w:qFormat/>
    <w:uiPriority w:val="99"/>
    <w:rPr>
      <w:sz w:val="20"/>
    </w:rPr>
  </w:style>
  <w:style w:type="paragraph" w:customStyle="1" w:styleId="131">
    <w:name w:val="p15"/>
    <w:basedOn w:val="1"/>
    <w:qFormat/>
    <w:uiPriority w:val="0"/>
    <w:pPr>
      <w:widowControl/>
    </w:pPr>
    <w:rPr>
      <w:rFonts w:ascii="宋体" w:hAnsi="宋体" w:cs="宋体"/>
      <w:kern w:val="0"/>
      <w:szCs w:val="21"/>
    </w:rPr>
  </w:style>
  <w:style w:type="table" w:customStyle="1" w:styleId="132">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33">
    <w:name w:val="font51"/>
    <w:basedOn w:val="50"/>
    <w:qFormat/>
    <w:uiPriority w:val="0"/>
    <w:rPr>
      <w:rFonts w:hint="eastAsia" w:ascii="宋体" w:hAnsi="宋体" w:eastAsia="宋体" w:cs="宋体"/>
      <w:color w:val="000000"/>
      <w:sz w:val="20"/>
      <w:szCs w:val="20"/>
      <w:u w:val="none"/>
    </w:rPr>
  </w:style>
  <w:style w:type="character" w:customStyle="1" w:styleId="134">
    <w:name w:val="font101"/>
    <w:basedOn w:val="50"/>
    <w:qFormat/>
    <w:uiPriority w:val="0"/>
    <w:rPr>
      <w:rFonts w:hint="eastAsia" w:ascii="宋体" w:hAnsi="宋体" w:eastAsia="宋体" w:cs="宋体"/>
      <w:color w:val="000000"/>
      <w:sz w:val="18"/>
      <w:szCs w:val="18"/>
      <w:u w:val="none"/>
    </w:rPr>
  </w:style>
  <w:style w:type="character" w:customStyle="1" w:styleId="135">
    <w:name w:val="font11"/>
    <w:basedOn w:val="50"/>
    <w:qFormat/>
    <w:uiPriority w:val="0"/>
    <w:rPr>
      <w:rFonts w:hint="eastAsia" w:ascii="宋体" w:hAnsi="宋体" w:eastAsia="宋体" w:cs="宋体"/>
      <w:color w:val="000000"/>
      <w:sz w:val="20"/>
      <w:szCs w:val="20"/>
      <w:u w:val="none"/>
    </w:rPr>
  </w:style>
  <w:style w:type="paragraph" w:customStyle="1" w:styleId="136">
    <w:name w:val="null3"/>
    <w:hidden/>
    <w:qFormat/>
    <w:uiPriority w:val="0"/>
    <w:rPr>
      <w:rFonts w:hint="eastAsia" w:asciiTheme="minorHAnsi" w:hAnsiTheme="minorHAnsi" w:eastAsiaTheme="minorEastAsia" w:cstheme="minorBidi"/>
      <w:lang w:val="en-US" w:eastAsia="zh-Hans"/>
    </w:rPr>
  </w:style>
  <w:style w:type="paragraph" w:customStyle="1" w:styleId="137">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https://www.gov.cn/zhengce/content/202509/W020250930645245947614.png" TargetMode="External"/><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222</Pages>
  <Words>21968</Words>
  <Characters>25190</Characters>
  <Lines>960</Lines>
  <Paragraphs>270</Paragraphs>
  <TotalTime>59</TotalTime>
  <ScaleCrop>false</ScaleCrop>
  <LinksUpToDate>false</LinksUpToDate>
  <CharactersWithSpaces>25704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2021-12-31T07:57:00Z</dcterms:created>
  <dc:creator>Administrator</dc:creator>
  <cp:lastModifiedBy>QXL</cp:lastModifiedBy>
  <cp:lastPrinted>2019-09-27T01:36:00Z</cp:lastPrinted>
  <dcterms:modified xsi:type="dcterms:W3CDTF">2026-05-29T00:28:33Z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5424E23B76DB425C81CDFC6BA7B990DD_13</vt:lpwstr>
  </property>
  <property fmtid="{D5CDD505-2E9C-101B-9397-08002B2CF9AE}" pid="4" name="KSOTemplateDocerSaveRecord">
    <vt:lpwstr>eyJoZGlkIjoiNTYwZTQxYjgzMDhjODgzM2MxNDAyM2ZlNzI0Y2Y4NDgiLCJ1c2VySWQiOiI5Njg0NDYzNDQifQ==</vt:lpwstr>
  </property>
</Properties>
</file>