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4BBFC">
      <w:pPr>
        <w:widowControl/>
        <w:spacing w:line="360" w:lineRule="auto"/>
        <w:jc w:val="center"/>
        <w:rPr>
          <w:rFonts w:hint="eastAsia" w:hAnsi="宋体"/>
          <w:color w:val="auto"/>
          <w:kern w:val="0"/>
          <w:szCs w:val="21"/>
          <w:highlight w:val="none"/>
        </w:rPr>
      </w:pPr>
    </w:p>
    <w:p w14:paraId="7E5C7E72">
      <w:pPr>
        <w:widowControl/>
        <w:spacing w:line="360" w:lineRule="auto"/>
        <w:jc w:val="center"/>
        <w:rPr>
          <w:rFonts w:hint="eastAsia" w:hAnsi="宋体"/>
          <w:color w:val="auto"/>
          <w:kern w:val="0"/>
          <w:szCs w:val="21"/>
          <w:highlight w:val="none"/>
        </w:rPr>
      </w:pPr>
      <w:r>
        <w:rPr>
          <w:rFonts w:hAnsi="宋体"/>
          <w:color w:val="auto"/>
          <w:kern w:val="0"/>
          <w:szCs w:val="21"/>
          <w:highlight w:val="none"/>
        </w:rPr>
        <w:drawing>
          <wp:anchor distT="0" distB="0" distL="114300" distR="114300" simplePos="0" relativeHeight="251663360" behindDoc="0" locked="0" layoutInCell="1" allowOverlap="1">
            <wp:simplePos x="0" y="0"/>
            <wp:positionH relativeFrom="column">
              <wp:posOffset>109855</wp:posOffset>
            </wp:positionH>
            <wp:positionV relativeFrom="paragraph">
              <wp:posOffset>151765</wp:posOffset>
            </wp:positionV>
            <wp:extent cx="5419725" cy="1200150"/>
            <wp:effectExtent l="0" t="0" r="9525" b="0"/>
            <wp:wrapNone/>
            <wp:docPr id="5"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03★工作★（硬盘）\2018年项目-2022年项目-招标\5、2022年项目\（2.28投标入库）南宁轨道地产集团有限责任公司2022-2025年招标代理服务\招标公司-名称.png"/>
                    <pic:cNvPicPr>
                      <a:picLocks noChangeAspect="1"/>
                    </pic:cNvPicPr>
                  </pic:nvPicPr>
                  <pic:blipFill>
                    <a:blip r:embed="rId11"/>
                    <a:srcRect r="6451"/>
                    <a:stretch>
                      <a:fillRect/>
                    </a:stretch>
                  </pic:blipFill>
                  <pic:spPr>
                    <a:xfrm>
                      <a:off x="0" y="0"/>
                      <a:ext cx="5419725" cy="1200150"/>
                    </a:xfrm>
                    <a:prstGeom prst="rect">
                      <a:avLst/>
                    </a:prstGeom>
                    <a:noFill/>
                    <a:ln>
                      <a:noFill/>
                    </a:ln>
                  </pic:spPr>
                </pic:pic>
              </a:graphicData>
            </a:graphic>
          </wp:anchor>
        </w:drawing>
      </w:r>
    </w:p>
    <w:p w14:paraId="3D6BDBB1">
      <w:pPr>
        <w:widowControl/>
        <w:spacing w:line="360" w:lineRule="auto"/>
        <w:jc w:val="center"/>
        <w:rPr>
          <w:rFonts w:hint="eastAsia" w:hAnsi="宋体"/>
          <w:color w:val="auto"/>
          <w:kern w:val="0"/>
          <w:szCs w:val="21"/>
          <w:highlight w:val="none"/>
        </w:rPr>
      </w:pPr>
    </w:p>
    <w:p w14:paraId="6DD7EDF0">
      <w:pPr>
        <w:spacing w:line="360" w:lineRule="auto"/>
        <w:jc w:val="center"/>
        <w:rPr>
          <w:rFonts w:hint="eastAsia" w:ascii="宋体" w:hAnsi="宋体"/>
          <w:b/>
          <w:color w:val="auto"/>
          <w:kern w:val="0"/>
          <w:sz w:val="44"/>
          <w:szCs w:val="44"/>
          <w:highlight w:val="none"/>
        </w:rPr>
      </w:pPr>
    </w:p>
    <w:p w14:paraId="0FD00BD3">
      <w:pPr>
        <w:spacing w:line="360" w:lineRule="auto"/>
        <w:jc w:val="center"/>
        <w:rPr>
          <w:rFonts w:hint="eastAsia" w:ascii="宋体" w:hAnsi="宋体"/>
          <w:b/>
          <w:color w:val="auto"/>
          <w:kern w:val="0"/>
          <w:sz w:val="44"/>
          <w:szCs w:val="44"/>
          <w:highlight w:val="none"/>
        </w:rPr>
      </w:pPr>
    </w:p>
    <w:p w14:paraId="3B62460A">
      <w:pPr>
        <w:spacing w:after="159" w:afterLines="50" w:line="360" w:lineRule="auto"/>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广西壮族自治区政府采购</w:t>
      </w:r>
    </w:p>
    <w:p w14:paraId="4425C3CD">
      <w:pPr>
        <w:spacing w:before="120" w:line="360" w:lineRule="auto"/>
        <w:jc w:val="center"/>
        <w:rPr>
          <w:rFonts w:hint="eastAsia" w:ascii="宋体" w:hAnsi="宋体"/>
          <w:b/>
          <w:color w:val="auto"/>
          <w:spacing w:val="20"/>
          <w:sz w:val="72"/>
          <w:szCs w:val="72"/>
          <w:highlight w:val="none"/>
        </w:rPr>
      </w:pPr>
      <w:r>
        <w:rPr>
          <w:color w:val="auto"/>
          <w:kern w:val="0"/>
          <w:sz w:val="20"/>
          <w:szCs w:val="21"/>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1270</wp:posOffset>
                </wp:positionV>
                <wp:extent cx="5209540" cy="0"/>
                <wp:effectExtent l="0" t="28575" r="10160" b="2857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209540" cy="0"/>
                        </a:xfrm>
                        <a:prstGeom prst="straightConnector1">
                          <a:avLst/>
                        </a:prstGeom>
                        <a:noFill/>
                        <a:ln w="57150" cmpd="thinThick">
                          <a:solidFill>
                            <a:srgbClr val="000000"/>
                          </a:solidFill>
                          <a:round/>
                        </a:ln>
                        <a:effectLst/>
                      </wps:spPr>
                      <wps:bodyPr/>
                    </wps:wsp>
                  </a:graphicData>
                </a:graphic>
              </wp:anchor>
            </w:drawing>
          </mc:Choice>
          <mc:Fallback>
            <w:pict>
              <v:shape id="_x0000_s1026" o:spid="_x0000_s1026" o:spt="32" type="#_x0000_t32" style="position:absolute;left:0pt;margin-left:27pt;margin-top:0.1pt;height:0pt;width:410.2pt;z-index:251662336;mso-width-relative:page;mso-height-relative:page;" filled="f" stroked="t" coordsize="21600,21600" o:gfxdata="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pC/b0QAAAAQBAAAPAAAAAAAAAAEAIAAAACIAAABkcnMvZG93bnJl&#10;di54bWxQSwECFAAUAAAACACHTuJA15xNNwQCAADeAwAADgAAAAAAAAABACAAAAAgAQAAZHJzL2Uy&#10;b0RvYy54bWxQSwUGAAAAAAYABgBZAQAAlgUAAAAA&#10;">
                <v:fill on="f" focussize="0,0"/>
                <v:stroke weight="4.5pt" color="#000000" linestyle="thinThick" joinstyle="round"/>
                <v:imagedata o:title=""/>
                <o:lock v:ext="edit" aspectratio="f"/>
              </v:shape>
            </w:pict>
          </mc:Fallback>
        </mc:AlternateContent>
      </w:r>
      <w:r>
        <w:rPr>
          <w:rFonts w:hint="eastAsia" w:ascii="宋体" w:hAnsi="宋体"/>
          <w:b/>
          <w:color w:val="auto"/>
          <w:spacing w:val="20"/>
          <w:sz w:val="72"/>
          <w:szCs w:val="72"/>
          <w:highlight w:val="none"/>
        </w:rPr>
        <w:t>竞争性谈判采购文件</w:t>
      </w:r>
    </w:p>
    <w:p w14:paraId="77D564F6">
      <w:pPr>
        <w:jc w:val="center"/>
        <w:rPr>
          <w:rFonts w:hint="eastAsia" w:ascii="宋体" w:hAnsi="宋体"/>
          <w:b/>
          <w:color w:val="auto"/>
          <w:sz w:val="40"/>
          <w:szCs w:val="32"/>
          <w:highlight w:val="none"/>
        </w:rPr>
      </w:pPr>
      <w:r>
        <w:rPr>
          <w:rFonts w:hint="eastAsia" w:ascii="宋体" w:hAnsi="宋体"/>
          <w:b/>
          <w:color w:val="auto"/>
          <w:sz w:val="40"/>
          <w:szCs w:val="32"/>
          <w:highlight w:val="none"/>
        </w:rPr>
        <w:t>（货物类）</w:t>
      </w:r>
    </w:p>
    <w:p w14:paraId="508F3B3C">
      <w:pPr>
        <w:jc w:val="center"/>
        <w:rPr>
          <w:rFonts w:hint="eastAsia" w:ascii="宋体" w:hAnsi="宋体"/>
          <w:color w:val="auto"/>
          <w:sz w:val="40"/>
          <w:szCs w:val="32"/>
          <w:highlight w:val="none"/>
        </w:rPr>
      </w:pPr>
    </w:p>
    <w:p w14:paraId="21E04F08">
      <w:pPr>
        <w:jc w:val="center"/>
        <w:rPr>
          <w:rFonts w:hint="eastAsia" w:ascii="宋体" w:hAnsi="宋体"/>
          <w:color w:val="auto"/>
          <w:sz w:val="40"/>
          <w:szCs w:val="32"/>
          <w:highlight w:val="none"/>
        </w:rPr>
      </w:pPr>
      <w:r>
        <w:rPr>
          <w:rFonts w:hint="eastAsia" w:ascii="宋体" w:hAnsi="宋体"/>
          <w:color w:val="auto"/>
          <w:sz w:val="40"/>
          <w:szCs w:val="32"/>
          <w:highlight w:val="none"/>
        </w:rPr>
        <w:t>（全流程电子化评标）</w:t>
      </w:r>
    </w:p>
    <w:p w14:paraId="35449E67">
      <w:pPr>
        <w:spacing w:line="360" w:lineRule="auto"/>
        <w:jc w:val="center"/>
        <w:rPr>
          <w:rFonts w:hint="eastAsia" w:ascii="宋体" w:hAnsi="宋体"/>
          <w:b/>
          <w:color w:val="auto"/>
          <w:sz w:val="32"/>
          <w:szCs w:val="32"/>
          <w:highlight w:val="none"/>
        </w:rPr>
      </w:pPr>
    </w:p>
    <w:p w14:paraId="247DAD9C">
      <w:pPr>
        <w:spacing w:before="120" w:line="360" w:lineRule="auto"/>
        <w:ind w:left="2866" w:leftChars="600" w:hanging="1606" w:hangingChars="500"/>
        <w:jc w:val="left"/>
        <w:rPr>
          <w:rFonts w:hint="eastAsia" w:ascii="宋体" w:hAnsi="宋体"/>
          <w:b/>
          <w:color w:val="auto"/>
          <w:sz w:val="32"/>
          <w:szCs w:val="32"/>
          <w:highlight w:val="none"/>
        </w:rPr>
      </w:pPr>
      <w:r>
        <w:rPr>
          <w:rFonts w:hint="eastAsia" w:ascii="宋体" w:hAnsi="宋体"/>
          <w:b/>
          <w:color w:val="auto"/>
          <w:sz w:val="32"/>
          <w:szCs w:val="32"/>
          <w:highlight w:val="none"/>
        </w:rPr>
        <w:t>项目名称：河池学院金山湖校区外国语学院实训室建设项目采购</w:t>
      </w:r>
    </w:p>
    <w:p w14:paraId="047A0B7F">
      <w:pPr>
        <w:spacing w:before="120" w:line="360" w:lineRule="auto"/>
        <w:ind w:left="1260" w:leftChars="600"/>
        <w:jc w:val="left"/>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GXZC2026-J1-001517-JGJD</w:t>
      </w:r>
    </w:p>
    <w:p w14:paraId="5917C819">
      <w:pPr>
        <w:snapToGrid w:val="0"/>
        <w:spacing w:before="120" w:after="120" w:line="360" w:lineRule="auto"/>
        <w:rPr>
          <w:rFonts w:hint="eastAsia" w:ascii="宋体" w:hAnsi="宋体"/>
          <w:b/>
          <w:bCs/>
          <w:color w:val="auto"/>
          <w:w w:val="95"/>
          <w:sz w:val="30"/>
          <w:szCs w:val="30"/>
          <w:highlight w:val="none"/>
        </w:rPr>
      </w:pPr>
    </w:p>
    <w:p w14:paraId="0064536F">
      <w:pPr>
        <w:snapToGrid w:val="0"/>
        <w:spacing w:before="120" w:after="120" w:line="360" w:lineRule="auto"/>
        <w:rPr>
          <w:rFonts w:hint="eastAsia" w:ascii="宋体" w:hAnsi="宋体"/>
          <w:b/>
          <w:bCs/>
          <w:color w:val="auto"/>
          <w:w w:val="95"/>
          <w:sz w:val="30"/>
          <w:szCs w:val="30"/>
          <w:highlight w:val="none"/>
        </w:rPr>
      </w:pPr>
    </w:p>
    <w:p w14:paraId="23E16F77">
      <w:pPr>
        <w:spacing w:line="360" w:lineRule="auto"/>
        <w:ind w:firstLine="643" w:firstLineChars="200"/>
        <w:rPr>
          <w:rFonts w:hint="eastAsia" w:ascii="宋体" w:hAnsi="宋体"/>
          <w:b/>
          <w:color w:val="auto"/>
          <w:sz w:val="32"/>
          <w:szCs w:val="32"/>
          <w:highlight w:val="none"/>
        </w:rPr>
      </w:pPr>
      <w:r>
        <w:rPr>
          <w:rFonts w:hint="eastAsia" w:ascii="宋体" w:hAnsi="宋体"/>
          <w:b/>
          <w:color w:val="auto"/>
          <w:sz w:val="32"/>
          <w:szCs w:val="32"/>
          <w:highlight w:val="none"/>
        </w:rPr>
        <w:t>采购单位：河池学院</w:t>
      </w:r>
    </w:p>
    <w:p w14:paraId="1A7DED2B">
      <w:pPr>
        <w:spacing w:line="600" w:lineRule="auto"/>
        <w:ind w:firstLine="1043" w:firstLineChars="200"/>
        <w:rPr>
          <w:rFonts w:hint="eastAsia" w:ascii="宋体" w:hAnsi="宋体"/>
          <w:b/>
          <w:color w:val="auto"/>
          <w:sz w:val="32"/>
          <w:szCs w:val="32"/>
          <w:highlight w:val="none"/>
        </w:rPr>
      </w:pPr>
      <w:r>
        <w:rPr>
          <w:rFonts w:ascii="宋体" w:hAnsi="宋体"/>
          <w:b/>
          <w:color w:val="auto"/>
          <w:spacing w:val="100"/>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464185</wp:posOffset>
                </wp:positionV>
                <wp:extent cx="5257800" cy="0"/>
                <wp:effectExtent l="0" t="28575" r="0"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ln>
                        <a:effectLst/>
                      </wps:spPr>
                      <wps:bodyPr/>
                    </wps:wsp>
                  </a:graphicData>
                </a:graphic>
              </wp:anchor>
            </w:drawing>
          </mc:Choice>
          <mc:Fallback>
            <w:pict>
              <v:line id="_x0000_s1026" o:spid="_x0000_s1026" o:spt="20" style="position:absolute;left:0pt;margin-left:24pt;margin-top:36.55pt;height:0pt;width:414pt;z-index:251661312;mso-width-relative:page;mso-height-relative:page;" filled="f" stroked="t" coordsize="21600,21600" o:gfxdata="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e25a2AAAAAgBAAAPAAAAAAAAAAEAIAAAACIAAABkcnMvZG93bnJldi54bWxQSwEC&#10;FAAUAAAACACHTuJA3vSUb/QBAADKAwAADgAAAAAAAAABACAAAAAnAQAAZHJzL2Uyb0RvYy54bWxQ&#10;SwUGAAAAAAYABgBZAQAAjQUAAAAA&#10;">
                <v:fill on="f" focussize="0,0"/>
                <v:stroke weight="4.5pt" color="#000000" linestyle="thinThick" joinstyle="round"/>
                <v:imagedata o:title=""/>
                <o:lock v:ext="edit" aspectratio="f"/>
              </v:line>
            </w:pict>
          </mc:Fallback>
        </mc:AlternateContent>
      </w:r>
      <w:r>
        <w:rPr>
          <w:rFonts w:hint="eastAsia" w:ascii="宋体" w:hAnsi="宋体"/>
          <w:b/>
          <w:color w:val="auto"/>
          <w:sz w:val="32"/>
          <w:szCs w:val="32"/>
          <w:highlight w:val="none"/>
        </w:rPr>
        <w:t>采购代理机构：广西建设工程机电设备招标中心有限公司</w:t>
      </w:r>
    </w:p>
    <w:p w14:paraId="6C0050AD">
      <w:pPr>
        <w:pStyle w:val="15"/>
        <w:jc w:val="center"/>
        <w:rPr>
          <w:rFonts w:hint="eastAsia" w:hAnsi="宋体" w:cs="宋体"/>
          <w:b/>
          <w:bCs/>
          <w:color w:val="auto"/>
          <w:sz w:val="72"/>
          <w:szCs w:val="72"/>
          <w:highlight w:val="none"/>
        </w:rPr>
      </w:pPr>
      <w:r>
        <w:rPr>
          <w:rFonts w:hAnsi="宋体"/>
          <w:b/>
          <w:color w:val="auto"/>
          <w:sz w:val="32"/>
          <w:szCs w:val="32"/>
          <w:highlight w:val="none"/>
        </w:rPr>
        <w:t>日期：</w:t>
      </w:r>
      <w:r>
        <w:rPr>
          <w:rFonts w:hint="eastAsia" w:hAnsi="宋体"/>
          <w:b/>
          <w:color w:val="auto"/>
          <w:sz w:val="32"/>
          <w:szCs w:val="32"/>
          <w:highlight w:val="none"/>
        </w:rPr>
        <w:t>2026年</w:t>
      </w:r>
      <w:r>
        <w:rPr>
          <w:rFonts w:hint="eastAsia" w:hAnsi="宋体"/>
          <w:b/>
          <w:color w:val="auto"/>
          <w:sz w:val="32"/>
          <w:szCs w:val="32"/>
          <w:highlight w:val="none"/>
          <w:lang w:val="en-US" w:eastAsia="zh-CN"/>
        </w:rPr>
        <w:t>5</w:t>
      </w:r>
      <w:r>
        <w:rPr>
          <w:rFonts w:hint="eastAsia" w:hAnsi="宋体"/>
          <w:b/>
          <w:color w:val="auto"/>
          <w:sz w:val="32"/>
          <w:szCs w:val="32"/>
          <w:highlight w:val="none"/>
        </w:rPr>
        <w:t>月</w:t>
      </w:r>
      <w:r>
        <w:rPr>
          <w:rFonts w:hint="eastAsia" w:hAnsi="宋体"/>
          <w:b/>
          <w:color w:val="auto"/>
          <w:sz w:val="32"/>
          <w:szCs w:val="32"/>
          <w:highlight w:val="none"/>
          <w:lang w:val="en-US" w:eastAsia="zh-CN"/>
        </w:rPr>
        <w:t>29</w:t>
      </w:r>
      <w:r>
        <w:rPr>
          <w:rFonts w:hint="eastAsia" w:hAnsi="宋体"/>
          <w:b/>
          <w:color w:val="auto"/>
          <w:sz w:val="32"/>
          <w:szCs w:val="32"/>
          <w:highlight w:val="none"/>
        </w:rPr>
        <w:t>日</w:t>
      </w:r>
    </w:p>
    <w:p w14:paraId="2093357F">
      <w:pPr>
        <w:pStyle w:val="15"/>
        <w:jc w:val="center"/>
        <w:rPr>
          <w:rFonts w:hint="eastAsia" w:hAnsi="宋体" w:cs="宋体"/>
          <w:color w:val="auto"/>
          <w:highlight w:val="none"/>
        </w:rPr>
        <w:sectPr>
          <w:headerReference r:id="rId3" w:type="default"/>
          <w:footerReference r:id="rId4" w:type="default"/>
          <w:footerReference r:id="rId5" w:type="even"/>
          <w:pgSz w:w="11905" w:h="16838"/>
          <w:pgMar w:top="1417" w:right="1417" w:bottom="1417" w:left="1417" w:header="850" w:footer="992" w:gutter="0"/>
          <w:pgNumType w:start="0"/>
          <w:cols w:space="720" w:num="1"/>
          <w:titlePg/>
          <w:docGrid w:type="lines" w:linePitch="318" w:charSpace="0"/>
        </w:sectPr>
      </w:pPr>
      <w:r>
        <w:rPr>
          <w:rFonts w:hAnsi="宋体" w:cs="宋体"/>
          <w:b/>
          <w:color w:val="auto"/>
          <w:sz w:val="30"/>
          <w:szCs w:val="72"/>
          <w:highlight w:val="none"/>
        </w:rPr>
        <w:t xml:space="preserve"> </w:t>
      </w:r>
    </w:p>
    <w:p w14:paraId="4A781470">
      <w:pPr>
        <w:spacing w:line="360" w:lineRule="auto"/>
        <w:rPr>
          <w:rFonts w:hint="eastAsia" w:ascii="宋体" w:hAnsi="宋体" w:cs="宋体"/>
          <w:b/>
          <w:color w:val="auto"/>
          <w:sz w:val="44"/>
          <w:szCs w:val="44"/>
          <w:highlight w:val="none"/>
        </w:rPr>
      </w:pPr>
    </w:p>
    <w:p w14:paraId="7BB4FB94">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6924565F">
      <w:pPr>
        <w:spacing w:line="400" w:lineRule="atLeast"/>
        <w:jc w:val="center"/>
        <w:rPr>
          <w:rFonts w:hint="eastAsia" w:ascii="宋体" w:hAnsi="宋体" w:cs="宋体"/>
          <w:b/>
          <w:color w:val="auto"/>
          <w:sz w:val="28"/>
          <w:szCs w:val="28"/>
          <w:highlight w:val="none"/>
        </w:rPr>
      </w:pPr>
    </w:p>
    <w:p w14:paraId="32127339">
      <w:pPr>
        <w:pStyle w:val="19"/>
        <w:tabs>
          <w:tab w:val="right" w:leader="dot" w:pos="9071"/>
        </w:tabs>
        <w:rPr>
          <w:b/>
          <w:bCs/>
          <w:color w:val="auto"/>
          <w:sz w:val="28"/>
          <w:szCs w:val="28"/>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TOC \o "1-3" \h \z \u </w:instrText>
      </w:r>
      <w:r>
        <w:rPr>
          <w:rFonts w:hint="eastAsia" w:ascii="宋体" w:hAnsi="宋体" w:cs="宋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"_Toc31914" </w:instrText>
      </w:r>
      <w:r>
        <w:rPr>
          <w:color w:val="auto"/>
          <w:highlight w:val="none"/>
        </w:rPr>
        <w:fldChar w:fldCharType="separate"/>
      </w:r>
      <w:r>
        <w:rPr>
          <w:rFonts w:ascii="宋体" w:hAnsi="宋体" w:cs="宋体"/>
          <w:b/>
          <w:bCs/>
          <w:color w:val="auto"/>
          <w:sz w:val="28"/>
          <w:szCs w:val="28"/>
          <w:highlight w:val="none"/>
        </w:rPr>
        <w:t xml:space="preserve">第一章 </w:t>
      </w:r>
      <w:r>
        <w:rPr>
          <w:rFonts w:hint="eastAsia" w:ascii="宋体" w:hAnsi="宋体" w:cs="宋体"/>
          <w:b/>
          <w:bCs/>
          <w:color w:val="auto"/>
          <w:sz w:val="28"/>
          <w:szCs w:val="28"/>
          <w:highlight w:val="none"/>
        </w:rPr>
        <w:t>竞争性谈判公告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_Toc31914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b/>
          <w:bCs/>
          <w:color w:val="auto"/>
          <w:sz w:val="28"/>
          <w:szCs w:val="28"/>
          <w:highlight w:val="none"/>
        </w:rPr>
        <w:fldChar w:fldCharType="end"/>
      </w:r>
    </w:p>
    <w:p w14:paraId="08DB1D17">
      <w:pPr>
        <w:pStyle w:val="19"/>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"_Toc26488" </w:instrText>
      </w:r>
      <w:r>
        <w:rPr>
          <w:color w:val="auto"/>
          <w:highlight w:val="none"/>
        </w:rPr>
        <w:fldChar w:fldCharType="separate"/>
      </w:r>
      <w:r>
        <w:rPr>
          <w:rFonts w:hint="eastAsia" w:ascii="宋体" w:hAnsi="宋体" w:cs="宋体"/>
          <w:b/>
          <w:bCs/>
          <w:color w:val="auto"/>
          <w:kern w:val="44"/>
          <w:sz w:val="28"/>
          <w:szCs w:val="28"/>
          <w:highlight w:val="none"/>
        </w:rPr>
        <w:t>第二章 供应商须知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_Toc26488 \h </w:instrText>
      </w:r>
      <w:r>
        <w:rPr>
          <w:b/>
          <w:bCs/>
          <w:color w:val="auto"/>
          <w:sz w:val="28"/>
          <w:szCs w:val="28"/>
          <w:highlight w:val="none"/>
        </w:rPr>
        <w:fldChar w:fldCharType="separate"/>
      </w:r>
      <w:r>
        <w:rPr>
          <w:b/>
          <w:bCs/>
          <w:color w:val="auto"/>
          <w:sz w:val="28"/>
          <w:szCs w:val="28"/>
          <w:highlight w:val="none"/>
        </w:rPr>
        <w:t>6</w:t>
      </w:r>
      <w:r>
        <w:rPr>
          <w:b/>
          <w:bCs/>
          <w:color w:val="auto"/>
          <w:sz w:val="28"/>
          <w:szCs w:val="28"/>
          <w:highlight w:val="none"/>
        </w:rPr>
        <w:fldChar w:fldCharType="end"/>
      </w:r>
      <w:r>
        <w:rPr>
          <w:b/>
          <w:bCs/>
          <w:color w:val="auto"/>
          <w:sz w:val="28"/>
          <w:szCs w:val="28"/>
          <w:highlight w:val="none"/>
        </w:rPr>
        <w:fldChar w:fldCharType="end"/>
      </w:r>
    </w:p>
    <w:p w14:paraId="58F7A47D">
      <w:pPr>
        <w:pStyle w:val="19"/>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"_Toc27583" </w:instrText>
      </w:r>
      <w:r>
        <w:rPr>
          <w:color w:val="auto"/>
          <w:highlight w:val="none"/>
        </w:rPr>
        <w:fldChar w:fldCharType="separate"/>
      </w:r>
      <w:r>
        <w:rPr>
          <w:rFonts w:hint="eastAsia" w:ascii="宋体" w:hAnsi="宋体" w:cs="宋体"/>
          <w:b/>
          <w:bCs/>
          <w:color w:val="auto"/>
          <w:sz w:val="28"/>
          <w:szCs w:val="28"/>
          <w:highlight w:val="none"/>
        </w:rPr>
        <w:t>第三章 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_Toc27583 \h </w:instrText>
      </w:r>
      <w:r>
        <w:rPr>
          <w:b/>
          <w:bCs/>
          <w:color w:val="auto"/>
          <w:sz w:val="28"/>
          <w:szCs w:val="28"/>
          <w:highlight w:val="none"/>
        </w:rPr>
        <w:fldChar w:fldCharType="separate"/>
      </w:r>
      <w:r>
        <w:rPr>
          <w:b/>
          <w:bCs/>
          <w:color w:val="auto"/>
          <w:sz w:val="28"/>
          <w:szCs w:val="28"/>
          <w:highlight w:val="none"/>
        </w:rPr>
        <w:t>31</w:t>
      </w:r>
      <w:r>
        <w:rPr>
          <w:b/>
          <w:bCs/>
          <w:color w:val="auto"/>
          <w:sz w:val="28"/>
          <w:szCs w:val="28"/>
          <w:highlight w:val="none"/>
        </w:rPr>
        <w:fldChar w:fldCharType="end"/>
      </w:r>
      <w:r>
        <w:rPr>
          <w:b/>
          <w:bCs/>
          <w:color w:val="auto"/>
          <w:sz w:val="28"/>
          <w:szCs w:val="28"/>
          <w:highlight w:val="none"/>
        </w:rPr>
        <w:fldChar w:fldCharType="end"/>
      </w:r>
    </w:p>
    <w:p w14:paraId="2F6E44E6">
      <w:pPr>
        <w:pStyle w:val="19"/>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"_Toc3333" </w:instrText>
      </w:r>
      <w:r>
        <w:rPr>
          <w:color w:val="auto"/>
          <w:highlight w:val="none"/>
        </w:rPr>
        <w:fldChar w:fldCharType="separate"/>
      </w:r>
      <w:r>
        <w:rPr>
          <w:rFonts w:hint="eastAsia" w:ascii="宋体" w:hAnsi="宋体" w:cs="宋体"/>
          <w:b/>
          <w:bCs/>
          <w:color w:val="auto"/>
          <w:sz w:val="28"/>
          <w:szCs w:val="28"/>
          <w:highlight w:val="none"/>
        </w:rPr>
        <w:t>第四章  评审程序和评定成交的标准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_Toc3333 \h </w:instrText>
      </w:r>
      <w:r>
        <w:rPr>
          <w:b/>
          <w:bCs/>
          <w:color w:val="auto"/>
          <w:sz w:val="28"/>
          <w:szCs w:val="28"/>
          <w:highlight w:val="none"/>
        </w:rPr>
        <w:fldChar w:fldCharType="separate"/>
      </w:r>
      <w:r>
        <w:rPr>
          <w:b/>
          <w:bCs/>
          <w:color w:val="auto"/>
          <w:sz w:val="28"/>
          <w:szCs w:val="28"/>
          <w:highlight w:val="none"/>
        </w:rPr>
        <w:t>103</w:t>
      </w:r>
      <w:r>
        <w:rPr>
          <w:b/>
          <w:bCs/>
          <w:color w:val="auto"/>
          <w:sz w:val="28"/>
          <w:szCs w:val="28"/>
          <w:highlight w:val="none"/>
        </w:rPr>
        <w:fldChar w:fldCharType="end"/>
      </w:r>
      <w:r>
        <w:rPr>
          <w:b/>
          <w:bCs/>
          <w:color w:val="auto"/>
          <w:sz w:val="28"/>
          <w:szCs w:val="28"/>
          <w:highlight w:val="none"/>
        </w:rPr>
        <w:fldChar w:fldCharType="end"/>
      </w:r>
    </w:p>
    <w:p w14:paraId="3455FE34">
      <w:pPr>
        <w:pStyle w:val="19"/>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"_Toc27214" </w:instrText>
      </w:r>
      <w:r>
        <w:rPr>
          <w:color w:val="auto"/>
          <w:highlight w:val="none"/>
        </w:rPr>
        <w:fldChar w:fldCharType="separate"/>
      </w:r>
      <w:r>
        <w:rPr>
          <w:rFonts w:hint="eastAsia" w:ascii="宋体" w:hAnsi="宋体" w:cs="宋体"/>
          <w:b/>
          <w:bCs/>
          <w:color w:val="auto"/>
          <w:sz w:val="28"/>
          <w:szCs w:val="28"/>
          <w:highlight w:val="none"/>
        </w:rPr>
        <w:t>第五章 响应文件格式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_Toc27214 \h </w:instrText>
      </w:r>
      <w:r>
        <w:rPr>
          <w:b/>
          <w:bCs/>
          <w:color w:val="auto"/>
          <w:sz w:val="28"/>
          <w:szCs w:val="28"/>
          <w:highlight w:val="none"/>
        </w:rPr>
        <w:fldChar w:fldCharType="separate"/>
      </w:r>
      <w:r>
        <w:rPr>
          <w:b/>
          <w:bCs/>
          <w:color w:val="auto"/>
          <w:sz w:val="28"/>
          <w:szCs w:val="28"/>
          <w:highlight w:val="none"/>
        </w:rPr>
        <w:t>110</w:t>
      </w:r>
      <w:r>
        <w:rPr>
          <w:b/>
          <w:bCs/>
          <w:color w:val="auto"/>
          <w:sz w:val="28"/>
          <w:szCs w:val="28"/>
          <w:highlight w:val="none"/>
        </w:rPr>
        <w:fldChar w:fldCharType="end"/>
      </w:r>
      <w:r>
        <w:rPr>
          <w:b/>
          <w:bCs/>
          <w:color w:val="auto"/>
          <w:sz w:val="28"/>
          <w:szCs w:val="28"/>
          <w:highlight w:val="none"/>
        </w:rPr>
        <w:fldChar w:fldCharType="end"/>
      </w:r>
    </w:p>
    <w:p w14:paraId="6205D1C7">
      <w:pPr>
        <w:pStyle w:val="19"/>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"_Toc27857" </w:instrText>
      </w:r>
      <w:r>
        <w:rPr>
          <w:color w:val="auto"/>
          <w:highlight w:val="none"/>
        </w:rPr>
        <w:fldChar w:fldCharType="separate"/>
      </w:r>
      <w:r>
        <w:rPr>
          <w:rFonts w:hint="eastAsia" w:ascii="宋体" w:hAnsi="宋体" w:cs="宋体"/>
          <w:b/>
          <w:bCs/>
          <w:color w:val="auto"/>
          <w:sz w:val="28"/>
          <w:szCs w:val="28"/>
          <w:highlight w:val="none"/>
        </w:rPr>
        <w:t>第六章 合同文本</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_Toc27857 \h </w:instrText>
      </w:r>
      <w:r>
        <w:rPr>
          <w:b/>
          <w:bCs/>
          <w:color w:val="auto"/>
          <w:sz w:val="28"/>
          <w:szCs w:val="28"/>
          <w:highlight w:val="none"/>
        </w:rPr>
        <w:fldChar w:fldCharType="separate"/>
      </w:r>
      <w:r>
        <w:rPr>
          <w:b/>
          <w:bCs/>
          <w:color w:val="auto"/>
          <w:sz w:val="28"/>
          <w:szCs w:val="28"/>
          <w:highlight w:val="none"/>
        </w:rPr>
        <w:t>134</w:t>
      </w:r>
      <w:r>
        <w:rPr>
          <w:b/>
          <w:bCs/>
          <w:color w:val="auto"/>
          <w:sz w:val="28"/>
          <w:szCs w:val="28"/>
          <w:highlight w:val="none"/>
        </w:rPr>
        <w:fldChar w:fldCharType="end"/>
      </w:r>
      <w:r>
        <w:rPr>
          <w:b/>
          <w:bCs/>
          <w:color w:val="auto"/>
          <w:sz w:val="28"/>
          <w:szCs w:val="28"/>
          <w:highlight w:val="none"/>
        </w:rPr>
        <w:fldChar w:fldCharType="end"/>
      </w:r>
    </w:p>
    <w:p w14:paraId="144DA4AD">
      <w:pPr>
        <w:pStyle w:val="20"/>
        <w:tabs>
          <w:tab w:val="right" w:leader="dot" w:pos="8931"/>
          <w:tab w:val="clear" w:pos="8296"/>
        </w:tabs>
        <w:snapToGrid w:val="0"/>
        <w:spacing w:line="400" w:lineRule="atLeast"/>
        <w:ind w:left="0" w:left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fldChar w:fldCharType="end"/>
      </w:r>
    </w:p>
    <w:p w14:paraId="01B32B1D">
      <w:pPr>
        <w:spacing w:line="400" w:lineRule="exact"/>
        <w:jc w:val="left"/>
        <w:rPr>
          <w:rFonts w:hint="eastAsia" w:ascii="宋体" w:hAnsi="宋体" w:cs="宋体"/>
          <w:b/>
          <w:color w:val="auto"/>
          <w:sz w:val="32"/>
          <w:szCs w:val="32"/>
          <w:highlight w:val="none"/>
        </w:rPr>
      </w:pPr>
    </w:p>
    <w:p w14:paraId="518995BB">
      <w:pPr>
        <w:spacing w:line="400" w:lineRule="exact"/>
        <w:jc w:val="center"/>
        <w:rPr>
          <w:rFonts w:hint="eastAsia" w:ascii="宋体" w:hAnsi="宋体" w:cs="宋体"/>
          <w:b/>
          <w:color w:val="auto"/>
          <w:sz w:val="32"/>
          <w:szCs w:val="32"/>
          <w:highlight w:val="none"/>
        </w:rPr>
      </w:pPr>
    </w:p>
    <w:p w14:paraId="2642087F">
      <w:pPr>
        <w:spacing w:line="400" w:lineRule="exact"/>
        <w:jc w:val="center"/>
        <w:rPr>
          <w:rFonts w:hint="eastAsia" w:ascii="宋体" w:hAnsi="宋体" w:cs="宋体"/>
          <w:b/>
          <w:color w:val="auto"/>
          <w:sz w:val="32"/>
          <w:szCs w:val="32"/>
          <w:highlight w:val="none"/>
        </w:rPr>
      </w:pPr>
    </w:p>
    <w:p w14:paraId="4E4CA749">
      <w:pPr>
        <w:spacing w:line="400" w:lineRule="exact"/>
        <w:jc w:val="center"/>
        <w:rPr>
          <w:rFonts w:hint="eastAsia" w:ascii="宋体" w:hAnsi="宋体" w:cs="宋体"/>
          <w:b/>
          <w:color w:val="auto"/>
          <w:sz w:val="32"/>
          <w:szCs w:val="32"/>
          <w:highlight w:val="none"/>
        </w:rPr>
      </w:pPr>
    </w:p>
    <w:p w14:paraId="6DBA695E">
      <w:pPr>
        <w:spacing w:line="400" w:lineRule="exact"/>
        <w:jc w:val="center"/>
        <w:rPr>
          <w:rFonts w:hint="eastAsia" w:ascii="宋体" w:hAnsi="宋体" w:cs="宋体"/>
          <w:b/>
          <w:color w:val="auto"/>
          <w:sz w:val="32"/>
          <w:szCs w:val="32"/>
          <w:highlight w:val="none"/>
        </w:rPr>
      </w:pPr>
    </w:p>
    <w:p w14:paraId="4B78D441">
      <w:pPr>
        <w:spacing w:line="400" w:lineRule="exact"/>
        <w:rPr>
          <w:rFonts w:hint="eastAsia" w:ascii="宋体" w:hAnsi="宋体" w:cs="宋体"/>
          <w:b/>
          <w:color w:val="auto"/>
          <w:sz w:val="32"/>
          <w:szCs w:val="32"/>
          <w:highlight w:val="none"/>
        </w:rPr>
        <w:sectPr>
          <w:headerReference r:id="rId6" w:type="default"/>
          <w:footerReference r:id="rId7" w:type="default"/>
          <w:pgSz w:w="11905" w:h="16838"/>
          <w:pgMar w:top="1417" w:right="1417" w:bottom="1417" w:left="1417" w:header="850" w:footer="992" w:gutter="0"/>
          <w:pgNumType w:start="0"/>
          <w:cols w:space="720" w:num="1"/>
          <w:titlePg/>
          <w:docGrid w:type="lines" w:linePitch="318" w:charSpace="0"/>
        </w:sectPr>
      </w:pPr>
    </w:p>
    <w:p w14:paraId="7573A411">
      <w:pPr>
        <w:pStyle w:val="3"/>
        <w:numPr>
          <w:ilvl w:val="0"/>
          <w:numId w:val="1"/>
        </w:numPr>
        <w:spacing w:before="0" w:after="0" w:line="240" w:lineRule="auto"/>
        <w:jc w:val="center"/>
        <w:rPr>
          <w:rFonts w:hint="eastAsia" w:ascii="宋体" w:hAnsi="宋体" w:cs="宋体"/>
          <w:color w:val="auto"/>
          <w:highlight w:val="none"/>
        </w:rPr>
      </w:pPr>
      <w:bookmarkStart w:id="0" w:name="_Toc31914"/>
      <w:r>
        <w:rPr>
          <w:rFonts w:hint="eastAsia" w:ascii="宋体" w:hAnsi="宋体" w:cs="宋体"/>
          <w:color w:val="auto"/>
          <w:highlight w:val="none"/>
        </w:rPr>
        <w:t>竞争性谈判公告</w:t>
      </w:r>
      <w:bookmarkEnd w:id="0"/>
    </w:p>
    <w:p w14:paraId="706A13F0">
      <w:pPr>
        <w:rPr>
          <w:color w:val="auto"/>
          <w:highlight w:val="none"/>
        </w:rPr>
      </w:pPr>
    </w:p>
    <w:p w14:paraId="308BD074">
      <w:pPr>
        <w:spacing w:line="4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广西建设工程机电设备招标中心有限公司</w:t>
      </w:r>
    </w:p>
    <w:p w14:paraId="7EC8CC20">
      <w:pPr>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河池学院金山湖校区外国语学院实训室建设项目采购</w:t>
      </w:r>
    </w:p>
    <w:p w14:paraId="784BED98">
      <w:pPr>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GXZC2026-J1-001517-JGJD</w:t>
      </w:r>
      <w:r>
        <w:rPr>
          <w:rFonts w:hint="eastAsia" w:ascii="宋体" w:hAnsi="宋体" w:cs="宋体"/>
          <w:b/>
          <w:bCs/>
          <w:color w:val="auto"/>
          <w:sz w:val="28"/>
          <w:szCs w:val="28"/>
          <w:highlight w:val="none"/>
        </w:rPr>
        <w:t>）</w:t>
      </w:r>
    </w:p>
    <w:p w14:paraId="13E6D7BB">
      <w:pPr>
        <w:spacing w:line="400" w:lineRule="exact"/>
        <w:jc w:val="center"/>
        <w:rPr>
          <w:color w:val="auto"/>
          <w:highlight w:val="none"/>
        </w:rPr>
      </w:pPr>
      <w:r>
        <w:rPr>
          <w:rFonts w:hint="eastAsia" w:ascii="宋体" w:hAnsi="宋体" w:cs="宋体"/>
          <w:b/>
          <w:color w:val="auto"/>
          <w:kern w:val="0"/>
          <w:sz w:val="28"/>
          <w:szCs w:val="28"/>
          <w:highlight w:val="none"/>
        </w:rPr>
        <w:t>竞争性谈判公告</w:t>
      </w:r>
    </w:p>
    <w:p w14:paraId="19EEEFFC">
      <w:pPr>
        <w:pStyle w:val="39"/>
        <w:rPr>
          <w:color w:val="auto"/>
          <w:highlight w:val="none"/>
        </w:rPr>
      </w:pPr>
    </w:p>
    <w:p w14:paraId="7E79623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bookmarkStart w:id="1" w:name="_Hlk37430271"/>
      <w:r>
        <w:rPr>
          <w:rFonts w:hint="eastAsia" w:ascii="宋体" w:hAnsi="宋体" w:cs="宋体"/>
          <w:color w:val="auto"/>
          <w:sz w:val="24"/>
          <w:highlight w:val="none"/>
        </w:rPr>
        <w:t>项目概况</w:t>
      </w:r>
    </w:p>
    <w:p w14:paraId="11BA101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河池学院金山湖校区外国语学院实训室建设项目采购 </w:t>
      </w:r>
      <w:r>
        <w:rPr>
          <w:rFonts w:hint="eastAsia" w:ascii="宋体" w:hAnsi="宋体" w:cs="宋体"/>
          <w:color w:val="auto"/>
          <w:sz w:val="24"/>
          <w:highlight w:val="none"/>
        </w:rPr>
        <w:t>项目的潜在供应商应在广西政府采购云平台（https://www.gcy.zfcg.gxzf.gov.cn/）获取（下载）竞争性谈判采购文件，并于2026年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日09时00分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2A07B458">
      <w:pPr>
        <w:spacing w:line="360" w:lineRule="auto"/>
        <w:ind w:firstLine="361" w:firstLineChars="150"/>
        <w:rPr>
          <w:rFonts w:hint="eastAsia" w:ascii="宋体" w:hAnsi="宋体" w:cs="宋体"/>
          <w:b/>
          <w:bCs/>
          <w:color w:val="auto"/>
          <w:sz w:val="24"/>
          <w:highlight w:val="none"/>
        </w:rPr>
      </w:pPr>
      <w:bookmarkStart w:id="2" w:name="_Toc71366047"/>
      <w:bookmarkStart w:id="3" w:name="_Toc35393636"/>
      <w:bookmarkStart w:id="4" w:name="_Toc28359018"/>
      <w:bookmarkStart w:id="5" w:name="_Toc35393805"/>
      <w:bookmarkStart w:id="6" w:name="_Toc28359095"/>
      <w:bookmarkStart w:id="7" w:name="_Toc71365369"/>
      <w:r>
        <w:rPr>
          <w:rFonts w:hint="eastAsia" w:ascii="宋体" w:hAnsi="宋体" w:cs="宋体"/>
          <w:b/>
          <w:bCs/>
          <w:color w:val="auto"/>
          <w:sz w:val="24"/>
          <w:highlight w:val="none"/>
        </w:rPr>
        <w:t>一、项目基本情况</w:t>
      </w:r>
    </w:p>
    <w:p w14:paraId="049E6F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项目名称：河池学院金山湖校区外国语学院实训室建设项目采购</w:t>
      </w:r>
    </w:p>
    <w:p w14:paraId="4D184DA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GXZC2026-J1-001517-JGJD</w:t>
      </w:r>
    </w:p>
    <w:p w14:paraId="38689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采购计划编号：广西政采[2026]9515号</w:t>
      </w:r>
    </w:p>
    <w:p w14:paraId="20BD6C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预算金额（人民币）：壹佰柒拾伍万壹仟肆佰元整（¥1751400.00），其中分标1：陆拾玖万柒仟陆佰元整（¥697600.00），分标2：壹佰零伍万叁仟捌佰元整（¥1053800.00）</w:t>
      </w:r>
    </w:p>
    <w:p w14:paraId="1DE88A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7D2813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分标1：多功能语言实训室设备采购</w:t>
      </w:r>
    </w:p>
    <w:tbl>
      <w:tblPr>
        <w:tblStyle w:val="26"/>
        <w:tblW w:w="9840" w:type="dxa"/>
        <w:jc w:val="center"/>
        <w:tblLayout w:type="fixed"/>
        <w:tblCellMar>
          <w:top w:w="0" w:type="dxa"/>
          <w:left w:w="108" w:type="dxa"/>
          <w:bottom w:w="0" w:type="dxa"/>
          <w:right w:w="108" w:type="dxa"/>
        </w:tblCellMar>
      </w:tblPr>
      <w:tblGrid>
        <w:gridCol w:w="1094"/>
        <w:gridCol w:w="1965"/>
        <w:gridCol w:w="696"/>
        <w:gridCol w:w="721"/>
        <w:gridCol w:w="2530"/>
        <w:gridCol w:w="1417"/>
        <w:gridCol w:w="1417"/>
      </w:tblGrid>
      <w:tr w14:paraId="201D72DD">
        <w:trPr>
          <w:trHeight w:val="90"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056FB417">
            <w:pPr>
              <w:widowControl/>
              <w:jc w:val="center"/>
              <w:textAlignment w:val="center"/>
              <w:rPr>
                <w:rFonts w:hint="eastAsia" w:ascii="宋体" w:hAnsi="宋体" w:cs="宋体"/>
                <w:bCs/>
                <w:color w:val="auto"/>
                <w:sz w:val="24"/>
                <w:highlight w:val="none"/>
              </w:rPr>
            </w:pPr>
            <w:r>
              <w:rPr>
                <w:rFonts w:hint="eastAsia" w:ascii="宋体" w:hAnsi="宋体" w:cs="宋体"/>
                <w:bCs/>
                <w:color w:val="auto"/>
                <w:kern w:val="0"/>
                <w:sz w:val="24"/>
                <w:highlight w:val="none"/>
                <w:lang w:bidi="ar"/>
              </w:rPr>
              <w:t>序号</w:t>
            </w:r>
          </w:p>
        </w:tc>
        <w:tc>
          <w:tcPr>
            <w:tcW w:w="1965" w:type="dxa"/>
            <w:tcBorders>
              <w:top w:val="single" w:color="000000" w:sz="4" w:space="0"/>
              <w:left w:val="single" w:color="000000" w:sz="4" w:space="0"/>
              <w:bottom w:val="single" w:color="000000" w:sz="4" w:space="0"/>
              <w:right w:val="single" w:color="000000" w:sz="4" w:space="0"/>
            </w:tcBorders>
            <w:vAlign w:val="center"/>
          </w:tcPr>
          <w:p w14:paraId="295C8C3B">
            <w:pPr>
              <w:widowControl/>
              <w:jc w:val="center"/>
              <w:textAlignment w:val="center"/>
              <w:rPr>
                <w:rFonts w:hint="eastAsia" w:ascii="宋体" w:hAnsi="宋体" w:cs="宋体"/>
                <w:bCs/>
                <w:color w:val="auto"/>
                <w:sz w:val="24"/>
                <w:highlight w:val="none"/>
              </w:rPr>
            </w:pPr>
            <w:r>
              <w:rPr>
                <w:rFonts w:hint="eastAsia" w:ascii="宋体" w:hAnsi="宋体" w:cs="宋体"/>
                <w:bCs/>
                <w:color w:val="auto"/>
                <w:kern w:val="0"/>
                <w:sz w:val="24"/>
                <w:highlight w:val="none"/>
                <w:lang w:bidi="ar"/>
              </w:rPr>
              <w:t>标的名称</w:t>
            </w:r>
          </w:p>
        </w:tc>
        <w:tc>
          <w:tcPr>
            <w:tcW w:w="696" w:type="dxa"/>
            <w:tcBorders>
              <w:top w:val="single" w:color="000000" w:sz="4" w:space="0"/>
              <w:left w:val="single" w:color="000000" w:sz="4" w:space="0"/>
              <w:bottom w:val="single" w:color="000000" w:sz="4" w:space="0"/>
              <w:right w:val="single" w:color="000000" w:sz="4" w:space="0"/>
            </w:tcBorders>
            <w:vAlign w:val="center"/>
          </w:tcPr>
          <w:p w14:paraId="5E7C7DE9">
            <w:pPr>
              <w:widowControl/>
              <w:jc w:val="center"/>
              <w:textAlignment w:val="center"/>
              <w:rPr>
                <w:rFonts w:hint="eastAsia" w:ascii="宋体" w:hAnsi="宋体" w:cs="宋体"/>
                <w:bCs/>
                <w:color w:val="auto"/>
                <w:sz w:val="24"/>
                <w:highlight w:val="none"/>
              </w:rPr>
            </w:pPr>
            <w:r>
              <w:rPr>
                <w:rFonts w:hint="eastAsia" w:ascii="宋体" w:hAnsi="宋体" w:cs="宋体"/>
                <w:bCs/>
                <w:color w:val="auto"/>
                <w:kern w:val="0"/>
                <w:sz w:val="24"/>
                <w:highlight w:val="none"/>
                <w:lang w:bidi="ar"/>
              </w:rPr>
              <w:t>数量</w:t>
            </w:r>
          </w:p>
        </w:tc>
        <w:tc>
          <w:tcPr>
            <w:tcW w:w="721" w:type="dxa"/>
            <w:tcBorders>
              <w:top w:val="single" w:color="000000" w:sz="4" w:space="0"/>
              <w:left w:val="single" w:color="000000" w:sz="4" w:space="0"/>
              <w:bottom w:val="single" w:color="000000" w:sz="4" w:space="0"/>
              <w:right w:val="single" w:color="000000" w:sz="4" w:space="0"/>
            </w:tcBorders>
            <w:vAlign w:val="center"/>
          </w:tcPr>
          <w:p w14:paraId="68F7429C">
            <w:pPr>
              <w:widowControl/>
              <w:jc w:val="center"/>
              <w:textAlignment w:val="center"/>
              <w:rPr>
                <w:rFonts w:hint="eastAsia" w:ascii="宋体" w:hAnsi="宋体" w:cs="宋体"/>
                <w:bCs/>
                <w:color w:val="auto"/>
                <w:sz w:val="24"/>
                <w:highlight w:val="none"/>
              </w:rPr>
            </w:pPr>
            <w:r>
              <w:rPr>
                <w:rFonts w:hint="eastAsia" w:ascii="宋体" w:hAnsi="宋体" w:cs="宋体"/>
                <w:bCs/>
                <w:color w:val="auto"/>
                <w:kern w:val="0"/>
                <w:sz w:val="24"/>
                <w:highlight w:val="none"/>
                <w:lang w:bidi="ar"/>
              </w:rPr>
              <w:t>单位</w:t>
            </w:r>
          </w:p>
        </w:tc>
        <w:tc>
          <w:tcPr>
            <w:tcW w:w="2530" w:type="dxa"/>
            <w:tcBorders>
              <w:top w:val="single" w:color="000000" w:sz="4" w:space="0"/>
              <w:left w:val="single" w:color="000000" w:sz="4" w:space="0"/>
              <w:bottom w:val="single" w:color="000000" w:sz="4" w:space="0"/>
              <w:right w:val="single" w:color="000000" w:sz="4" w:space="0"/>
            </w:tcBorders>
            <w:vAlign w:val="center"/>
          </w:tcPr>
          <w:p w14:paraId="70C35B3F">
            <w:pPr>
              <w:widowControl/>
              <w:jc w:val="center"/>
              <w:textAlignment w:val="center"/>
              <w:rPr>
                <w:rFonts w:hint="eastAsia" w:ascii="宋体" w:hAnsi="宋体" w:cs="宋体"/>
                <w:bCs/>
                <w:color w:val="auto"/>
                <w:sz w:val="24"/>
                <w:highlight w:val="none"/>
              </w:rPr>
            </w:pPr>
            <w:r>
              <w:rPr>
                <w:rFonts w:hint="eastAsia" w:ascii="宋体" w:hAnsi="宋体" w:cs="宋体"/>
                <w:color w:val="auto"/>
                <w:sz w:val="24"/>
                <w:highlight w:val="none"/>
              </w:rPr>
              <w:t>简要技术需求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11907467">
            <w:pPr>
              <w:widowControl/>
              <w:jc w:val="center"/>
              <w:textAlignment w:val="center"/>
              <w:rPr>
                <w:rFonts w:hint="eastAsia" w:ascii="宋体" w:hAnsi="宋体" w:cs="宋体"/>
                <w:bCs/>
                <w:color w:val="auto"/>
                <w:sz w:val="24"/>
                <w:highlight w:val="none"/>
              </w:rPr>
            </w:pPr>
            <w:r>
              <w:rPr>
                <w:rFonts w:hint="eastAsia" w:ascii="宋体" w:hAnsi="宋体" w:cs="宋体"/>
                <w:bCs/>
                <w:color w:val="auto"/>
                <w:sz w:val="24"/>
                <w:highlight w:val="none"/>
              </w:rPr>
              <w:t>预算单价（元/人民币）</w:t>
            </w:r>
          </w:p>
        </w:tc>
        <w:tc>
          <w:tcPr>
            <w:tcW w:w="1417" w:type="dxa"/>
            <w:tcBorders>
              <w:top w:val="single" w:color="000000" w:sz="4" w:space="0"/>
              <w:left w:val="single" w:color="000000" w:sz="4" w:space="0"/>
              <w:bottom w:val="single" w:color="000000" w:sz="4" w:space="0"/>
              <w:right w:val="single" w:color="000000" w:sz="4" w:space="0"/>
            </w:tcBorders>
          </w:tcPr>
          <w:p w14:paraId="6DCE5846">
            <w:pPr>
              <w:widowControl/>
              <w:jc w:val="center"/>
              <w:textAlignment w:val="center"/>
              <w:rPr>
                <w:rFonts w:hint="eastAsia" w:ascii="宋体" w:hAnsi="宋体" w:cs="宋体"/>
                <w:bCs/>
                <w:color w:val="auto"/>
                <w:sz w:val="24"/>
                <w:highlight w:val="none"/>
              </w:rPr>
            </w:pPr>
            <w:r>
              <w:rPr>
                <w:rFonts w:hint="eastAsia" w:ascii="宋体" w:hAnsi="宋体" w:cs="宋体"/>
                <w:bCs/>
                <w:color w:val="auto"/>
                <w:sz w:val="24"/>
                <w:highlight w:val="none"/>
              </w:rPr>
              <w:t>单项预算合计（元/人民币）</w:t>
            </w:r>
          </w:p>
        </w:tc>
      </w:tr>
      <w:tr w14:paraId="7E1CFC85">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4CC3E7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965" w:type="dxa"/>
            <w:tcBorders>
              <w:top w:val="single" w:color="000000" w:sz="4" w:space="0"/>
              <w:left w:val="single" w:color="000000" w:sz="4" w:space="0"/>
              <w:bottom w:val="single" w:color="000000" w:sz="4" w:space="0"/>
              <w:right w:val="single" w:color="000000" w:sz="4" w:space="0"/>
            </w:tcBorders>
            <w:vAlign w:val="center"/>
          </w:tcPr>
          <w:p w14:paraId="4A84F4DB">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智能化语言教学综合软件包</w:t>
            </w:r>
          </w:p>
        </w:tc>
        <w:tc>
          <w:tcPr>
            <w:tcW w:w="696" w:type="dxa"/>
            <w:tcBorders>
              <w:top w:val="single" w:color="000000" w:sz="4" w:space="0"/>
              <w:left w:val="single" w:color="000000" w:sz="4" w:space="0"/>
              <w:bottom w:val="single" w:color="000000" w:sz="4" w:space="0"/>
              <w:right w:val="single" w:color="000000" w:sz="4" w:space="0"/>
            </w:tcBorders>
            <w:vAlign w:val="center"/>
          </w:tcPr>
          <w:p w14:paraId="69B2540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721" w:type="dxa"/>
            <w:tcBorders>
              <w:top w:val="single" w:color="000000" w:sz="4" w:space="0"/>
              <w:left w:val="single" w:color="000000" w:sz="4" w:space="0"/>
              <w:bottom w:val="single" w:color="000000" w:sz="4" w:space="0"/>
              <w:right w:val="single" w:color="000000" w:sz="4" w:space="0"/>
            </w:tcBorders>
            <w:vAlign w:val="center"/>
          </w:tcPr>
          <w:p w14:paraId="794F05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679AD72E">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3A3DE53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11.8</w:t>
            </w:r>
          </w:p>
        </w:tc>
        <w:tc>
          <w:tcPr>
            <w:tcW w:w="1417" w:type="dxa"/>
            <w:tcBorders>
              <w:top w:val="single" w:color="000000" w:sz="4" w:space="0"/>
              <w:left w:val="single" w:color="000000" w:sz="4" w:space="0"/>
              <w:bottom w:val="single" w:color="000000" w:sz="4" w:space="0"/>
              <w:right w:val="single" w:color="000000" w:sz="4" w:space="0"/>
            </w:tcBorders>
            <w:vAlign w:val="center"/>
          </w:tcPr>
          <w:p w14:paraId="739033B8">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11.8</w:t>
            </w:r>
          </w:p>
        </w:tc>
      </w:tr>
      <w:tr w14:paraId="073BC0CD">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3910831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965" w:type="dxa"/>
            <w:tcBorders>
              <w:top w:val="single" w:color="000000" w:sz="4" w:space="0"/>
              <w:left w:val="single" w:color="000000" w:sz="4" w:space="0"/>
              <w:bottom w:val="single" w:color="000000" w:sz="4" w:space="0"/>
              <w:right w:val="single" w:color="000000" w:sz="4" w:space="0"/>
            </w:tcBorders>
            <w:vAlign w:val="center"/>
          </w:tcPr>
          <w:p w14:paraId="4980C352">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音视频传输主卡</w:t>
            </w:r>
          </w:p>
        </w:tc>
        <w:tc>
          <w:tcPr>
            <w:tcW w:w="696" w:type="dxa"/>
            <w:tcBorders>
              <w:top w:val="single" w:color="000000" w:sz="4" w:space="0"/>
              <w:left w:val="single" w:color="000000" w:sz="4" w:space="0"/>
              <w:bottom w:val="single" w:color="000000" w:sz="4" w:space="0"/>
              <w:right w:val="single" w:color="000000" w:sz="4" w:space="0"/>
            </w:tcBorders>
            <w:vAlign w:val="center"/>
          </w:tcPr>
          <w:p w14:paraId="6BD1F7B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721" w:type="dxa"/>
            <w:tcBorders>
              <w:top w:val="single" w:color="000000" w:sz="4" w:space="0"/>
              <w:left w:val="single" w:color="000000" w:sz="4" w:space="0"/>
              <w:bottom w:val="single" w:color="000000" w:sz="4" w:space="0"/>
              <w:right w:val="single" w:color="000000" w:sz="4" w:space="0"/>
            </w:tcBorders>
            <w:vAlign w:val="center"/>
          </w:tcPr>
          <w:p w14:paraId="7118A93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5A20109F">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1B2A90C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0.75</w:t>
            </w:r>
          </w:p>
        </w:tc>
        <w:tc>
          <w:tcPr>
            <w:tcW w:w="1417" w:type="dxa"/>
            <w:tcBorders>
              <w:top w:val="single" w:color="000000" w:sz="4" w:space="0"/>
              <w:left w:val="single" w:color="000000" w:sz="4" w:space="0"/>
              <w:bottom w:val="single" w:color="000000" w:sz="4" w:space="0"/>
              <w:right w:val="single" w:color="000000" w:sz="4" w:space="0"/>
            </w:tcBorders>
            <w:vAlign w:val="center"/>
          </w:tcPr>
          <w:p w14:paraId="4B012D82">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0.75</w:t>
            </w:r>
          </w:p>
        </w:tc>
      </w:tr>
      <w:tr w14:paraId="4054AD50">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1A60338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965" w:type="dxa"/>
            <w:tcBorders>
              <w:top w:val="single" w:color="000000" w:sz="4" w:space="0"/>
              <w:left w:val="single" w:color="000000" w:sz="4" w:space="0"/>
              <w:bottom w:val="single" w:color="000000" w:sz="4" w:space="0"/>
              <w:right w:val="single" w:color="000000" w:sz="4" w:space="0"/>
            </w:tcBorders>
            <w:vAlign w:val="center"/>
          </w:tcPr>
          <w:p w14:paraId="77A52DE2">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音视频传输交换设备</w:t>
            </w:r>
          </w:p>
        </w:tc>
        <w:tc>
          <w:tcPr>
            <w:tcW w:w="696" w:type="dxa"/>
            <w:tcBorders>
              <w:top w:val="single" w:color="000000" w:sz="4" w:space="0"/>
              <w:left w:val="single" w:color="000000" w:sz="4" w:space="0"/>
              <w:bottom w:val="single" w:color="000000" w:sz="4" w:space="0"/>
              <w:right w:val="single" w:color="000000" w:sz="4" w:space="0"/>
            </w:tcBorders>
            <w:vAlign w:val="center"/>
          </w:tcPr>
          <w:p w14:paraId="16DE3C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721" w:type="dxa"/>
            <w:tcBorders>
              <w:top w:val="single" w:color="000000" w:sz="4" w:space="0"/>
              <w:left w:val="single" w:color="000000" w:sz="4" w:space="0"/>
              <w:bottom w:val="single" w:color="000000" w:sz="4" w:space="0"/>
              <w:right w:val="single" w:color="000000" w:sz="4" w:space="0"/>
            </w:tcBorders>
            <w:vAlign w:val="center"/>
          </w:tcPr>
          <w:p w14:paraId="66C893F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37E1AD18">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67BA52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3.12</w:t>
            </w:r>
          </w:p>
        </w:tc>
        <w:tc>
          <w:tcPr>
            <w:tcW w:w="1417" w:type="dxa"/>
            <w:tcBorders>
              <w:top w:val="single" w:color="000000" w:sz="4" w:space="0"/>
              <w:left w:val="single" w:color="000000" w:sz="4" w:space="0"/>
              <w:bottom w:val="single" w:color="000000" w:sz="4" w:space="0"/>
              <w:right w:val="single" w:color="000000" w:sz="4" w:space="0"/>
            </w:tcBorders>
            <w:vAlign w:val="center"/>
          </w:tcPr>
          <w:p w14:paraId="71F432FB">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3.12</w:t>
            </w:r>
          </w:p>
        </w:tc>
      </w:tr>
      <w:tr w14:paraId="66CFBCB4">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0B899FB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965" w:type="dxa"/>
            <w:tcBorders>
              <w:top w:val="single" w:color="000000" w:sz="4" w:space="0"/>
              <w:left w:val="single" w:color="000000" w:sz="4" w:space="0"/>
              <w:bottom w:val="single" w:color="000000" w:sz="4" w:space="0"/>
              <w:right w:val="single" w:color="000000" w:sz="4" w:space="0"/>
            </w:tcBorders>
            <w:vAlign w:val="center"/>
          </w:tcPr>
          <w:p w14:paraId="39C11E86">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语言学习终端</w:t>
            </w:r>
          </w:p>
        </w:tc>
        <w:tc>
          <w:tcPr>
            <w:tcW w:w="696" w:type="dxa"/>
            <w:tcBorders>
              <w:top w:val="single" w:color="000000" w:sz="4" w:space="0"/>
              <w:left w:val="single" w:color="000000" w:sz="4" w:space="0"/>
              <w:bottom w:val="single" w:color="000000" w:sz="4" w:space="0"/>
              <w:right w:val="single" w:color="000000" w:sz="4" w:space="0"/>
            </w:tcBorders>
            <w:vAlign w:val="center"/>
          </w:tcPr>
          <w:p w14:paraId="40BCDBD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721" w:type="dxa"/>
            <w:tcBorders>
              <w:top w:val="single" w:color="000000" w:sz="4" w:space="0"/>
              <w:left w:val="single" w:color="000000" w:sz="4" w:space="0"/>
              <w:bottom w:val="single" w:color="000000" w:sz="4" w:space="0"/>
              <w:right w:val="single" w:color="000000" w:sz="4" w:space="0"/>
            </w:tcBorders>
            <w:vAlign w:val="center"/>
          </w:tcPr>
          <w:p w14:paraId="284B775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2530" w:type="dxa"/>
            <w:tcBorders>
              <w:top w:val="single" w:color="000000" w:sz="4" w:space="0"/>
              <w:left w:val="single" w:color="000000" w:sz="4" w:space="0"/>
              <w:bottom w:val="single" w:color="000000" w:sz="4" w:space="0"/>
              <w:right w:val="single" w:color="000000" w:sz="4" w:space="0"/>
            </w:tcBorders>
            <w:vAlign w:val="center"/>
          </w:tcPr>
          <w:p w14:paraId="722D2395">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48BAFE1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0.198</w:t>
            </w:r>
          </w:p>
        </w:tc>
        <w:tc>
          <w:tcPr>
            <w:tcW w:w="1417" w:type="dxa"/>
            <w:tcBorders>
              <w:top w:val="single" w:color="000000" w:sz="4" w:space="0"/>
              <w:left w:val="single" w:color="000000" w:sz="4" w:space="0"/>
              <w:bottom w:val="single" w:color="000000" w:sz="4" w:space="0"/>
              <w:right w:val="single" w:color="000000" w:sz="4" w:space="0"/>
            </w:tcBorders>
            <w:vAlign w:val="center"/>
          </w:tcPr>
          <w:p w14:paraId="48B1C497">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8.712</w:t>
            </w:r>
          </w:p>
        </w:tc>
      </w:tr>
      <w:tr w14:paraId="67CBAEA3">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A873C2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965" w:type="dxa"/>
            <w:tcBorders>
              <w:top w:val="single" w:color="000000" w:sz="4" w:space="0"/>
              <w:left w:val="single" w:color="000000" w:sz="4" w:space="0"/>
              <w:bottom w:val="single" w:color="000000" w:sz="4" w:space="0"/>
              <w:right w:val="single" w:color="000000" w:sz="4" w:space="0"/>
            </w:tcBorders>
            <w:vAlign w:val="center"/>
          </w:tcPr>
          <w:p w14:paraId="411B7A30">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学生耳机</w:t>
            </w:r>
          </w:p>
        </w:tc>
        <w:tc>
          <w:tcPr>
            <w:tcW w:w="696" w:type="dxa"/>
            <w:tcBorders>
              <w:top w:val="single" w:color="000000" w:sz="4" w:space="0"/>
              <w:left w:val="single" w:color="000000" w:sz="4" w:space="0"/>
              <w:bottom w:val="single" w:color="000000" w:sz="4" w:space="0"/>
              <w:right w:val="single" w:color="000000" w:sz="4" w:space="0"/>
            </w:tcBorders>
            <w:vAlign w:val="center"/>
          </w:tcPr>
          <w:p w14:paraId="562B4AF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副</w:t>
            </w:r>
          </w:p>
        </w:tc>
        <w:tc>
          <w:tcPr>
            <w:tcW w:w="721" w:type="dxa"/>
            <w:tcBorders>
              <w:top w:val="single" w:color="000000" w:sz="4" w:space="0"/>
              <w:left w:val="single" w:color="000000" w:sz="4" w:space="0"/>
              <w:bottom w:val="single" w:color="000000" w:sz="4" w:space="0"/>
              <w:right w:val="single" w:color="000000" w:sz="4" w:space="0"/>
            </w:tcBorders>
            <w:vAlign w:val="center"/>
          </w:tcPr>
          <w:p w14:paraId="55E8DE0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2530" w:type="dxa"/>
            <w:tcBorders>
              <w:top w:val="single" w:color="000000" w:sz="4" w:space="0"/>
              <w:left w:val="single" w:color="000000" w:sz="4" w:space="0"/>
              <w:bottom w:val="single" w:color="000000" w:sz="4" w:space="0"/>
              <w:right w:val="single" w:color="000000" w:sz="4" w:space="0"/>
            </w:tcBorders>
            <w:vAlign w:val="center"/>
          </w:tcPr>
          <w:p w14:paraId="619A474C">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76AE148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0.012</w:t>
            </w:r>
          </w:p>
        </w:tc>
        <w:tc>
          <w:tcPr>
            <w:tcW w:w="1417" w:type="dxa"/>
            <w:tcBorders>
              <w:top w:val="single" w:color="000000" w:sz="4" w:space="0"/>
              <w:left w:val="single" w:color="000000" w:sz="4" w:space="0"/>
              <w:bottom w:val="single" w:color="000000" w:sz="4" w:space="0"/>
              <w:right w:val="single" w:color="000000" w:sz="4" w:space="0"/>
            </w:tcBorders>
            <w:vAlign w:val="center"/>
          </w:tcPr>
          <w:p w14:paraId="0F55C0A2">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0.528</w:t>
            </w:r>
          </w:p>
        </w:tc>
      </w:tr>
      <w:tr w14:paraId="34FCAAAA">
        <w:tblPrEx>
          <w:tblCellMar>
            <w:top w:w="0" w:type="dxa"/>
            <w:left w:w="108" w:type="dxa"/>
            <w:bottom w:w="0" w:type="dxa"/>
            <w:right w:w="108" w:type="dxa"/>
          </w:tblCellMar>
        </w:tblPrEx>
        <w:trPr>
          <w:trHeight w:val="90"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0BF78E5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965" w:type="dxa"/>
            <w:tcBorders>
              <w:top w:val="single" w:color="000000" w:sz="4" w:space="0"/>
              <w:left w:val="single" w:color="000000" w:sz="4" w:space="0"/>
              <w:bottom w:val="single" w:color="000000" w:sz="4" w:space="0"/>
              <w:right w:val="single" w:color="000000" w:sz="4" w:space="0"/>
            </w:tcBorders>
            <w:vAlign w:val="center"/>
          </w:tcPr>
          <w:p w14:paraId="331D55E2">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教师耳机</w:t>
            </w:r>
          </w:p>
        </w:tc>
        <w:tc>
          <w:tcPr>
            <w:tcW w:w="696" w:type="dxa"/>
            <w:tcBorders>
              <w:top w:val="single" w:color="000000" w:sz="4" w:space="0"/>
              <w:left w:val="single" w:color="000000" w:sz="4" w:space="0"/>
              <w:bottom w:val="single" w:color="000000" w:sz="4" w:space="0"/>
              <w:right w:val="single" w:color="000000" w:sz="4" w:space="0"/>
            </w:tcBorders>
            <w:vAlign w:val="center"/>
          </w:tcPr>
          <w:p w14:paraId="07749F9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副</w:t>
            </w:r>
          </w:p>
        </w:tc>
        <w:tc>
          <w:tcPr>
            <w:tcW w:w="721" w:type="dxa"/>
            <w:tcBorders>
              <w:top w:val="single" w:color="000000" w:sz="4" w:space="0"/>
              <w:left w:val="single" w:color="000000" w:sz="4" w:space="0"/>
              <w:bottom w:val="single" w:color="000000" w:sz="4" w:space="0"/>
              <w:right w:val="single" w:color="000000" w:sz="4" w:space="0"/>
            </w:tcBorders>
            <w:vAlign w:val="center"/>
          </w:tcPr>
          <w:p w14:paraId="201BFBB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6C945F5D">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131B62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0.015</w:t>
            </w:r>
          </w:p>
        </w:tc>
        <w:tc>
          <w:tcPr>
            <w:tcW w:w="1417" w:type="dxa"/>
            <w:tcBorders>
              <w:top w:val="single" w:color="000000" w:sz="4" w:space="0"/>
              <w:left w:val="single" w:color="000000" w:sz="4" w:space="0"/>
              <w:bottom w:val="single" w:color="000000" w:sz="4" w:space="0"/>
              <w:right w:val="single" w:color="000000" w:sz="4" w:space="0"/>
            </w:tcBorders>
            <w:vAlign w:val="center"/>
          </w:tcPr>
          <w:p w14:paraId="1C99025F">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0.015</w:t>
            </w:r>
          </w:p>
        </w:tc>
      </w:tr>
      <w:tr w14:paraId="17A64BAA">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5C2BFF6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965" w:type="dxa"/>
            <w:tcBorders>
              <w:top w:val="single" w:color="000000" w:sz="4" w:space="0"/>
              <w:left w:val="single" w:color="000000" w:sz="4" w:space="0"/>
              <w:bottom w:val="single" w:color="000000" w:sz="4" w:space="0"/>
              <w:right w:val="single" w:color="000000" w:sz="4" w:space="0"/>
            </w:tcBorders>
            <w:vAlign w:val="center"/>
          </w:tcPr>
          <w:p w14:paraId="1EF28689">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教学云终端</w:t>
            </w:r>
          </w:p>
        </w:tc>
        <w:tc>
          <w:tcPr>
            <w:tcW w:w="696" w:type="dxa"/>
            <w:tcBorders>
              <w:top w:val="single" w:color="000000" w:sz="4" w:space="0"/>
              <w:left w:val="single" w:color="000000" w:sz="4" w:space="0"/>
              <w:bottom w:val="single" w:color="000000" w:sz="4" w:space="0"/>
              <w:right w:val="single" w:color="000000" w:sz="4" w:space="0"/>
            </w:tcBorders>
            <w:vAlign w:val="center"/>
          </w:tcPr>
          <w:p w14:paraId="4AA97A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721" w:type="dxa"/>
            <w:tcBorders>
              <w:top w:val="single" w:color="000000" w:sz="4" w:space="0"/>
              <w:left w:val="single" w:color="000000" w:sz="4" w:space="0"/>
              <w:bottom w:val="single" w:color="000000" w:sz="4" w:space="0"/>
              <w:right w:val="single" w:color="000000" w:sz="4" w:space="0"/>
            </w:tcBorders>
            <w:vAlign w:val="center"/>
          </w:tcPr>
          <w:p w14:paraId="62C8F35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2530" w:type="dxa"/>
            <w:tcBorders>
              <w:top w:val="single" w:color="000000" w:sz="4" w:space="0"/>
              <w:left w:val="single" w:color="000000" w:sz="4" w:space="0"/>
              <w:bottom w:val="single" w:color="000000" w:sz="4" w:space="0"/>
              <w:right w:val="single" w:color="000000" w:sz="4" w:space="0"/>
            </w:tcBorders>
            <w:vAlign w:val="center"/>
          </w:tcPr>
          <w:p w14:paraId="522C4678">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79838B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0.604</w:t>
            </w:r>
          </w:p>
        </w:tc>
        <w:tc>
          <w:tcPr>
            <w:tcW w:w="1417" w:type="dxa"/>
            <w:tcBorders>
              <w:top w:val="single" w:color="000000" w:sz="4" w:space="0"/>
              <w:left w:val="single" w:color="000000" w:sz="4" w:space="0"/>
              <w:bottom w:val="single" w:color="000000" w:sz="4" w:space="0"/>
              <w:right w:val="single" w:color="000000" w:sz="4" w:space="0"/>
            </w:tcBorders>
            <w:vAlign w:val="center"/>
          </w:tcPr>
          <w:p w14:paraId="75C4BD7D">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26.576</w:t>
            </w:r>
          </w:p>
        </w:tc>
      </w:tr>
      <w:tr w14:paraId="1C12C9DA">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1B177E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965" w:type="dxa"/>
            <w:tcBorders>
              <w:top w:val="single" w:color="000000" w:sz="4" w:space="0"/>
              <w:left w:val="single" w:color="000000" w:sz="4" w:space="0"/>
              <w:bottom w:val="single" w:color="000000" w:sz="4" w:space="0"/>
              <w:right w:val="single" w:color="000000" w:sz="4" w:space="0"/>
            </w:tcBorders>
            <w:vAlign w:val="center"/>
          </w:tcPr>
          <w:p w14:paraId="7052774B">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全千兆以太网运维交换机</w:t>
            </w:r>
          </w:p>
        </w:tc>
        <w:tc>
          <w:tcPr>
            <w:tcW w:w="696" w:type="dxa"/>
            <w:tcBorders>
              <w:top w:val="single" w:color="000000" w:sz="4" w:space="0"/>
              <w:left w:val="single" w:color="000000" w:sz="4" w:space="0"/>
              <w:bottom w:val="single" w:color="000000" w:sz="4" w:space="0"/>
              <w:right w:val="single" w:color="000000" w:sz="4" w:space="0"/>
            </w:tcBorders>
            <w:vAlign w:val="center"/>
          </w:tcPr>
          <w:p w14:paraId="26B75AE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721" w:type="dxa"/>
            <w:tcBorders>
              <w:top w:val="single" w:color="000000" w:sz="4" w:space="0"/>
              <w:left w:val="single" w:color="000000" w:sz="4" w:space="0"/>
              <w:bottom w:val="single" w:color="000000" w:sz="4" w:space="0"/>
              <w:right w:val="single" w:color="000000" w:sz="4" w:space="0"/>
            </w:tcBorders>
            <w:vAlign w:val="center"/>
          </w:tcPr>
          <w:p w14:paraId="632818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143FED1F">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737867D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0.39</w:t>
            </w:r>
          </w:p>
        </w:tc>
        <w:tc>
          <w:tcPr>
            <w:tcW w:w="1417" w:type="dxa"/>
            <w:tcBorders>
              <w:top w:val="single" w:color="000000" w:sz="4" w:space="0"/>
              <w:left w:val="single" w:color="000000" w:sz="4" w:space="0"/>
              <w:bottom w:val="single" w:color="000000" w:sz="4" w:space="0"/>
              <w:right w:val="single" w:color="000000" w:sz="4" w:space="0"/>
            </w:tcBorders>
            <w:vAlign w:val="center"/>
          </w:tcPr>
          <w:p w14:paraId="6D34C267">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0.39</w:t>
            </w:r>
          </w:p>
        </w:tc>
      </w:tr>
      <w:tr w14:paraId="7587EC10">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17D6815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965" w:type="dxa"/>
            <w:tcBorders>
              <w:top w:val="single" w:color="000000" w:sz="4" w:space="0"/>
              <w:left w:val="single" w:color="000000" w:sz="4" w:space="0"/>
              <w:bottom w:val="single" w:color="000000" w:sz="4" w:space="0"/>
              <w:right w:val="single" w:color="000000" w:sz="4" w:space="0"/>
            </w:tcBorders>
            <w:vAlign w:val="center"/>
          </w:tcPr>
          <w:p w14:paraId="1B2CDBF2">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功率放大器</w:t>
            </w:r>
          </w:p>
        </w:tc>
        <w:tc>
          <w:tcPr>
            <w:tcW w:w="696" w:type="dxa"/>
            <w:tcBorders>
              <w:top w:val="single" w:color="000000" w:sz="4" w:space="0"/>
              <w:left w:val="single" w:color="000000" w:sz="4" w:space="0"/>
              <w:bottom w:val="single" w:color="000000" w:sz="4" w:space="0"/>
              <w:right w:val="single" w:color="000000" w:sz="4" w:space="0"/>
            </w:tcBorders>
            <w:vAlign w:val="center"/>
          </w:tcPr>
          <w:p w14:paraId="22FE97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721" w:type="dxa"/>
            <w:tcBorders>
              <w:top w:val="single" w:color="000000" w:sz="4" w:space="0"/>
              <w:left w:val="single" w:color="000000" w:sz="4" w:space="0"/>
              <w:bottom w:val="single" w:color="000000" w:sz="4" w:space="0"/>
              <w:right w:val="single" w:color="000000" w:sz="4" w:space="0"/>
            </w:tcBorders>
            <w:vAlign w:val="center"/>
          </w:tcPr>
          <w:p w14:paraId="1C0B9E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04C3083F">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49200A3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0.168</w:t>
            </w:r>
          </w:p>
        </w:tc>
        <w:tc>
          <w:tcPr>
            <w:tcW w:w="1417" w:type="dxa"/>
            <w:tcBorders>
              <w:top w:val="single" w:color="000000" w:sz="4" w:space="0"/>
              <w:left w:val="single" w:color="000000" w:sz="4" w:space="0"/>
              <w:bottom w:val="single" w:color="000000" w:sz="4" w:space="0"/>
              <w:right w:val="single" w:color="000000" w:sz="4" w:space="0"/>
            </w:tcBorders>
            <w:vAlign w:val="center"/>
          </w:tcPr>
          <w:p w14:paraId="6D33C134">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0.168</w:t>
            </w:r>
          </w:p>
        </w:tc>
      </w:tr>
      <w:tr w14:paraId="6B6691DD">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7A780B8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965" w:type="dxa"/>
            <w:tcBorders>
              <w:top w:val="single" w:color="000000" w:sz="4" w:space="0"/>
              <w:left w:val="single" w:color="000000" w:sz="4" w:space="0"/>
              <w:bottom w:val="single" w:color="000000" w:sz="4" w:space="0"/>
              <w:right w:val="single" w:color="000000" w:sz="4" w:space="0"/>
            </w:tcBorders>
            <w:vAlign w:val="center"/>
          </w:tcPr>
          <w:p w14:paraId="6A5F6BFF">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音箱</w:t>
            </w:r>
          </w:p>
        </w:tc>
        <w:tc>
          <w:tcPr>
            <w:tcW w:w="696" w:type="dxa"/>
            <w:tcBorders>
              <w:top w:val="single" w:color="000000" w:sz="4" w:space="0"/>
              <w:left w:val="single" w:color="000000" w:sz="4" w:space="0"/>
              <w:bottom w:val="single" w:color="000000" w:sz="4" w:space="0"/>
              <w:right w:val="single" w:color="000000" w:sz="4" w:space="0"/>
            </w:tcBorders>
            <w:vAlign w:val="center"/>
          </w:tcPr>
          <w:p w14:paraId="69BEFE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对</w:t>
            </w:r>
          </w:p>
        </w:tc>
        <w:tc>
          <w:tcPr>
            <w:tcW w:w="721" w:type="dxa"/>
            <w:tcBorders>
              <w:top w:val="single" w:color="000000" w:sz="4" w:space="0"/>
              <w:left w:val="single" w:color="000000" w:sz="4" w:space="0"/>
              <w:bottom w:val="single" w:color="000000" w:sz="4" w:space="0"/>
              <w:right w:val="single" w:color="000000" w:sz="4" w:space="0"/>
            </w:tcBorders>
            <w:vAlign w:val="center"/>
          </w:tcPr>
          <w:p w14:paraId="5F40529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41AE075C">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4C5D22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w:t>
            </w:r>
          </w:p>
        </w:tc>
        <w:tc>
          <w:tcPr>
            <w:tcW w:w="1417" w:type="dxa"/>
            <w:tcBorders>
              <w:top w:val="single" w:color="000000" w:sz="4" w:space="0"/>
              <w:left w:val="single" w:color="000000" w:sz="4" w:space="0"/>
              <w:bottom w:val="single" w:color="000000" w:sz="4" w:space="0"/>
              <w:right w:val="single" w:color="000000" w:sz="4" w:space="0"/>
            </w:tcBorders>
            <w:vAlign w:val="center"/>
          </w:tcPr>
          <w:p w14:paraId="2BFB8693">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w:t>
            </w:r>
          </w:p>
        </w:tc>
      </w:tr>
      <w:tr w14:paraId="2409A5B3">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58F6AAA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1965" w:type="dxa"/>
            <w:tcBorders>
              <w:top w:val="single" w:color="000000" w:sz="4" w:space="0"/>
              <w:left w:val="single" w:color="000000" w:sz="4" w:space="0"/>
              <w:bottom w:val="single" w:color="000000" w:sz="4" w:space="0"/>
              <w:right w:val="single" w:color="000000" w:sz="4" w:space="0"/>
            </w:tcBorders>
            <w:vAlign w:val="center"/>
          </w:tcPr>
          <w:p w14:paraId="09FE44CE">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座充式无线话筒</w:t>
            </w:r>
          </w:p>
        </w:tc>
        <w:tc>
          <w:tcPr>
            <w:tcW w:w="696" w:type="dxa"/>
            <w:tcBorders>
              <w:top w:val="single" w:color="000000" w:sz="4" w:space="0"/>
              <w:left w:val="single" w:color="000000" w:sz="4" w:space="0"/>
              <w:bottom w:val="single" w:color="000000" w:sz="4" w:space="0"/>
              <w:right w:val="single" w:color="000000" w:sz="4" w:space="0"/>
            </w:tcBorders>
            <w:vAlign w:val="center"/>
          </w:tcPr>
          <w:p w14:paraId="7AA24E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721" w:type="dxa"/>
            <w:tcBorders>
              <w:top w:val="single" w:color="000000" w:sz="4" w:space="0"/>
              <w:left w:val="single" w:color="000000" w:sz="4" w:space="0"/>
              <w:bottom w:val="single" w:color="000000" w:sz="4" w:space="0"/>
              <w:right w:val="single" w:color="000000" w:sz="4" w:space="0"/>
            </w:tcBorders>
            <w:vAlign w:val="center"/>
          </w:tcPr>
          <w:p w14:paraId="3FB50E1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1FEB8F69">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AE961F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w:t>
            </w:r>
          </w:p>
        </w:tc>
        <w:tc>
          <w:tcPr>
            <w:tcW w:w="1417" w:type="dxa"/>
            <w:tcBorders>
              <w:top w:val="single" w:color="000000" w:sz="4" w:space="0"/>
              <w:left w:val="single" w:color="000000" w:sz="4" w:space="0"/>
              <w:bottom w:val="single" w:color="000000" w:sz="4" w:space="0"/>
              <w:right w:val="single" w:color="000000" w:sz="4" w:space="0"/>
            </w:tcBorders>
            <w:vAlign w:val="center"/>
          </w:tcPr>
          <w:p w14:paraId="565F6099">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0.22</w:t>
            </w:r>
          </w:p>
        </w:tc>
      </w:tr>
      <w:tr w14:paraId="559389FF">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1268EE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w:t>
            </w:r>
          </w:p>
        </w:tc>
        <w:tc>
          <w:tcPr>
            <w:tcW w:w="1965" w:type="dxa"/>
            <w:tcBorders>
              <w:top w:val="single" w:color="000000" w:sz="4" w:space="0"/>
              <w:left w:val="single" w:color="000000" w:sz="4" w:space="0"/>
              <w:bottom w:val="single" w:color="000000" w:sz="4" w:space="0"/>
              <w:right w:val="single" w:color="000000" w:sz="4" w:space="0"/>
            </w:tcBorders>
            <w:vAlign w:val="center"/>
          </w:tcPr>
          <w:p w14:paraId="5F44392F">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鹅颈话筒</w:t>
            </w:r>
          </w:p>
        </w:tc>
        <w:tc>
          <w:tcPr>
            <w:tcW w:w="696" w:type="dxa"/>
            <w:tcBorders>
              <w:top w:val="single" w:color="000000" w:sz="4" w:space="0"/>
              <w:left w:val="single" w:color="000000" w:sz="4" w:space="0"/>
              <w:bottom w:val="single" w:color="000000" w:sz="4" w:space="0"/>
              <w:right w:val="single" w:color="000000" w:sz="4" w:space="0"/>
            </w:tcBorders>
            <w:vAlign w:val="center"/>
          </w:tcPr>
          <w:p w14:paraId="5752AC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721" w:type="dxa"/>
            <w:tcBorders>
              <w:top w:val="single" w:color="000000" w:sz="4" w:space="0"/>
              <w:left w:val="single" w:color="000000" w:sz="4" w:space="0"/>
              <w:bottom w:val="single" w:color="000000" w:sz="4" w:space="0"/>
              <w:right w:val="single" w:color="000000" w:sz="4" w:space="0"/>
            </w:tcBorders>
            <w:vAlign w:val="center"/>
          </w:tcPr>
          <w:p w14:paraId="199F18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07774125">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50ADE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w:t>
            </w:r>
          </w:p>
        </w:tc>
        <w:tc>
          <w:tcPr>
            <w:tcW w:w="1417" w:type="dxa"/>
            <w:tcBorders>
              <w:top w:val="single" w:color="000000" w:sz="4" w:space="0"/>
              <w:left w:val="single" w:color="000000" w:sz="4" w:space="0"/>
              <w:bottom w:val="single" w:color="000000" w:sz="4" w:space="0"/>
              <w:right w:val="single" w:color="000000" w:sz="4" w:space="0"/>
            </w:tcBorders>
            <w:vAlign w:val="center"/>
          </w:tcPr>
          <w:p w14:paraId="0CFCB40A">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0.04</w:t>
            </w:r>
          </w:p>
        </w:tc>
      </w:tr>
      <w:tr w14:paraId="0C97566B">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1821D57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13</w:t>
            </w:r>
          </w:p>
        </w:tc>
        <w:tc>
          <w:tcPr>
            <w:tcW w:w="1965" w:type="dxa"/>
            <w:tcBorders>
              <w:top w:val="single" w:color="000000" w:sz="4" w:space="0"/>
              <w:left w:val="single" w:color="000000" w:sz="4" w:space="0"/>
              <w:bottom w:val="single" w:color="000000" w:sz="4" w:space="0"/>
              <w:right w:val="single" w:color="000000" w:sz="4" w:space="0"/>
            </w:tcBorders>
            <w:vAlign w:val="center"/>
          </w:tcPr>
          <w:p w14:paraId="65077AFD">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机柜</w:t>
            </w:r>
          </w:p>
        </w:tc>
        <w:tc>
          <w:tcPr>
            <w:tcW w:w="696" w:type="dxa"/>
            <w:tcBorders>
              <w:top w:val="single" w:color="000000" w:sz="4" w:space="0"/>
              <w:left w:val="single" w:color="000000" w:sz="4" w:space="0"/>
              <w:bottom w:val="single" w:color="000000" w:sz="4" w:space="0"/>
              <w:right w:val="single" w:color="000000" w:sz="4" w:space="0"/>
            </w:tcBorders>
            <w:vAlign w:val="center"/>
          </w:tcPr>
          <w:p w14:paraId="6B063BA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721" w:type="dxa"/>
            <w:tcBorders>
              <w:top w:val="single" w:color="000000" w:sz="4" w:space="0"/>
              <w:left w:val="single" w:color="000000" w:sz="4" w:space="0"/>
              <w:bottom w:val="single" w:color="000000" w:sz="4" w:space="0"/>
              <w:right w:val="single" w:color="000000" w:sz="4" w:space="0"/>
            </w:tcBorders>
            <w:vAlign w:val="center"/>
          </w:tcPr>
          <w:p w14:paraId="692BB6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4D17AD4D">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0602EF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0.11</w:t>
            </w:r>
          </w:p>
        </w:tc>
        <w:tc>
          <w:tcPr>
            <w:tcW w:w="1417" w:type="dxa"/>
            <w:tcBorders>
              <w:top w:val="single" w:color="000000" w:sz="4" w:space="0"/>
              <w:left w:val="single" w:color="000000" w:sz="4" w:space="0"/>
              <w:bottom w:val="single" w:color="000000" w:sz="4" w:space="0"/>
              <w:right w:val="single" w:color="000000" w:sz="4" w:space="0"/>
            </w:tcBorders>
            <w:vAlign w:val="center"/>
          </w:tcPr>
          <w:p w14:paraId="24F60129">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0.11</w:t>
            </w:r>
          </w:p>
        </w:tc>
      </w:tr>
      <w:tr w14:paraId="7BDB3161">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4DAF62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14</w:t>
            </w:r>
          </w:p>
        </w:tc>
        <w:tc>
          <w:tcPr>
            <w:tcW w:w="1965" w:type="dxa"/>
            <w:tcBorders>
              <w:top w:val="single" w:color="000000" w:sz="4" w:space="0"/>
              <w:left w:val="single" w:color="000000" w:sz="4" w:space="0"/>
              <w:bottom w:val="single" w:color="000000" w:sz="4" w:space="0"/>
              <w:right w:val="single" w:color="000000" w:sz="4" w:space="0"/>
            </w:tcBorders>
            <w:vAlign w:val="center"/>
          </w:tcPr>
          <w:p w14:paraId="7F22013E">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智能交互一体机</w:t>
            </w:r>
          </w:p>
        </w:tc>
        <w:tc>
          <w:tcPr>
            <w:tcW w:w="696" w:type="dxa"/>
            <w:tcBorders>
              <w:top w:val="single" w:color="000000" w:sz="4" w:space="0"/>
              <w:left w:val="single" w:color="000000" w:sz="4" w:space="0"/>
              <w:bottom w:val="single" w:color="000000" w:sz="4" w:space="0"/>
              <w:right w:val="single" w:color="000000" w:sz="4" w:space="0"/>
            </w:tcBorders>
            <w:vAlign w:val="center"/>
          </w:tcPr>
          <w:p w14:paraId="5696A7E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721" w:type="dxa"/>
            <w:tcBorders>
              <w:top w:val="single" w:color="000000" w:sz="4" w:space="0"/>
              <w:left w:val="single" w:color="000000" w:sz="4" w:space="0"/>
              <w:bottom w:val="single" w:color="000000" w:sz="4" w:space="0"/>
              <w:right w:val="single" w:color="000000" w:sz="4" w:space="0"/>
            </w:tcBorders>
            <w:vAlign w:val="center"/>
          </w:tcPr>
          <w:p w14:paraId="6CB31C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2E484391">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554DC8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2.474</w:t>
            </w:r>
          </w:p>
        </w:tc>
        <w:tc>
          <w:tcPr>
            <w:tcW w:w="1417" w:type="dxa"/>
            <w:tcBorders>
              <w:top w:val="single" w:color="000000" w:sz="4" w:space="0"/>
              <w:left w:val="single" w:color="000000" w:sz="4" w:space="0"/>
              <w:bottom w:val="single" w:color="000000" w:sz="4" w:space="0"/>
              <w:right w:val="single" w:color="000000" w:sz="4" w:space="0"/>
            </w:tcBorders>
            <w:vAlign w:val="center"/>
          </w:tcPr>
          <w:p w14:paraId="439D127E">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2.474</w:t>
            </w:r>
          </w:p>
        </w:tc>
      </w:tr>
      <w:tr w14:paraId="5A48A6BF">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3024CA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15</w:t>
            </w:r>
          </w:p>
        </w:tc>
        <w:tc>
          <w:tcPr>
            <w:tcW w:w="1965" w:type="dxa"/>
            <w:tcBorders>
              <w:top w:val="single" w:color="000000" w:sz="4" w:space="0"/>
              <w:left w:val="single" w:color="000000" w:sz="4" w:space="0"/>
              <w:bottom w:val="single" w:color="000000" w:sz="4" w:space="0"/>
              <w:right w:val="single" w:color="000000" w:sz="4" w:space="0"/>
            </w:tcBorders>
            <w:vAlign w:val="center"/>
          </w:tcPr>
          <w:p w14:paraId="2A426FAA">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光能书写板</w:t>
            </w:r>
          </w:p>
        </w:tc>
        <w:tc>
          <w:tcPr>
            <w:tcW w:w="696" w:type="dxa"/>
            <w:tcBorders>
              <w:top w:val="single" w:color="000000" w:sz="4" w:space="0"/>
              <w:left w:val="single" w:color="000000" w:sz="4" w:space="0"/>
              <w:bottom w:val="single" w:color="000000" w:sz="4" w:space="0"/>
              <w:right w:val="single" w:color="000000" w:sz="4" w:space="0"/>
            </w:tcBorders>
            <w:vAlign w:val="center"/>
          </w:tcPr>
          <w:p w14:paraId="51C2A8E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块</w:t>
            </w:r>
          </w:p>
        </w:tc>
        <w:tc>
          <w:tcPr>
            <w:tcW w:w="721" w:type="dxa"/>
            <w:tcBorders>
              <w:top w:val="single" w:color="000000" w:sz="4" w:space="0"/>
              <w:left w:val="single" w:color="000000" w:sz="4" w:space="0"/>
              <w:bottom w:val="single" w:color="000000" w:sz="4" w:space="0"/>
              <w:right w:val="single" w:color="000000" w:sz="4" w:space="0"/>
            </w:tcBorders>
            <w:vAlign w:val="center"/>
          </w:tcPr>
          <w:p w14:paraId="33D7293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530" w:type="dxa"/>
            <w:tcBorders>
              <w:top w:val="single" w:color="000000" w:sz="4" w:space="0"/>
              <w:left w:val="single" w:color="000000" w:sz="4" w:space="0"/>
              <w:bottom w:val="single" w:color="000000" w:sz="4" w:space="0"/>
              <w:right w:val="single" w:color="000000" w:sz="4" w:space="0"/>
            </w:tcBorders>
            <w:vAlign w:val="center"/>
          </w:tcPr>
          <w:p w14:paraId="6056229D">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637ABAD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w:t>
            </w:r>
          </w:p>
        </w:tc>
        <w:tc>
          <w:tcPr>
            <w:tcW w:w="1417" w:type="dxa"/>
            <w:tcBorders>
              <w:top w:val="single" w:color="000000" w:sz="4" w:space="0"/>
              <w:left w:val="single" w:color="000000" w:sz="4" w:space="0"/>
              <w:bottom w:val="single" w:color="000000" w:sz="4" w:space="0"/>
              <w:right w:val="single" w:color="000000" w:sz="4" w:space="0"/>
            </w:tcBorders>
            <w:vAlign w:val="center"/>
          </w:tcPr>
          <w:p w14:paraId="765FF50B">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1.2</w:t>
            </w:r>
          </w:p>
        </w:tc>
      </w:tr>
      <w:tr w14:paraId="096C3DB7">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3031E20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16</w:t>
            </w:r>
          </w:p>
        </w:tc>
        <w:tc>
          <w:tcPr>
            <w:tcW w:w="1965" w:type="dxa"/>
            <w:tcBorders>
              <w:top w:val="single" w:color="000000" w:sz="4" w:space="0"/>
              <w:left w:val="single" w:color="000000" w:sz="4" w:space="0"/>
              <w:bottom w:val="single" w:color="000000" w:sz="4" w:space="0"/>
              <w:right w:val="single" w:color="000000" w:sz="4" w:space="0"/>
            </w:tcBorders>
            <w:vAlign w:val="center"/>
          </w:tcPr>
          <w:p w14:paraId="04B9DF73">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教师操作管控终端</w:t>
            </w:r>
          </w:p>
        </w:tc>
        <w:tc>
          <w:tcPr>
            <w:tcW w:w="696" w:type="dxa"/>
            <w:tcBorders>
              <w:top w:val="single" w:color="000000" w:sz="4" w:space="0"/>
              <w:left w:val="single" w:color="000000" w:sz="4" w:space="0"/>
              <w:bottom w:val="single" w:color="000000" w:sz="4" w:space="0"/>
              <w:right w:val="single" w:color="000000" w:sz="4" w:space="0"/>
            </w:tcBorders>
            <w:vAlign w:val="center"/>
          </w:tcPr>
          <w:p w14:paraId="69BDE0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721" w:type="dxa"/>
            <w:tcBorders>
              <w:top w:val="single" w:color="000000" w:sz="4" w:space="0"/>
              <w:left w:val="single" w:color="000000" w:sz="4" w:space="0"/>
              <w:bottom w:val="single" w:color="000000" w:sz="4" w:space="0"/>
              <w:right w:val="single" w:color="000000" w:sz="4" w:space="0"/>
            </w:tcBorders>
            <w:vAlign w:val="center"/>
          </w:tcPr>
          <w:p w14:paraId="3451985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394D7927">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6C2D8E3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1.07</w:t>
            </w:r>
          </w:p>
        </w:tc>
        <w:tc>
          <w:tcPr>
            <w:tcW w:w="1417" w:type="dxa"/>
            <w:tcBorders>
              <w:top w:val="single" w:color="000000" w:sz="4" w:space="0"/>
              <w:left w:val="single" w:color="000000" w:sz="4" w:space="0"/>
              <w:bottom w:val="single" w:color="000000" w:sz="4" w:space="0"/>
              <w:right w:val="single" w:color="000000" w:sz="4" w:space="0"/>
            </w:tcBorders>
            <w:vAlign w:val="center"/>
          </w:tcPr>
          <w:p w14:paraId="2AB55435">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1.07</w:t>
            </w:r>
          </w:p>
        </w:tc>
      </w:tr>
      <w:tr w14:paraId="1458D1A1">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18883B6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17</w:t>
            </w:r>
          </w:p>
        </w:tc>
        <w:tc>
          <w:tcPr>
            <w:tcW w:w="1965" w:type="dxa"/>
            <w:tcBorders>
              <w:top w:val="single" w:color="000000" w:sz="4" w:space="0"/>
              <w:left w:val="single" w:color="000000" w:sz="4" w:space="0"/>
              <w:bottom w:val="single" w:color="000000" w:sz="4" w:space="0"/>
              <w:right w:val="single" w:color="000000" w:sz="4" w:space="0"/>
            </w:tcBorders>
            <w:vAlign w:val="center"/>
          </w:tcPr>
          <w:p w14:paraId="3D5B6816">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万兆路由器</w:t>
            </w:r>
          </w:p>
        </w:tc>
        <w:tc>
          <w:tcPr>
            <w:tcW w:w="696" w:type="dxa"/>
            <w:tcBorders>
              <w:top w:val="single" w:color="000000" w:sz="4" w:space="0"/>
              <w:left w:val="single" w:color="000000" w:sz="4" w:space="0"/>
              <w:bottom w:val="single" w:color="000000" w:sz="4" w:space="0"/>
              <w:right w:val="single" w:color="000000" w:sz="4" w:space="0"/>
            </w:tcBorders>
            <w:vAlign w:val="center"/>
          </w:tcPr>
          <w:p w14:paraId="76B4D80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721" w:type="dxa"/>
            <w:tcBorders>
              <w:top w:val="single" w:color="000000" w:sz="4" w:space="0"/>
              <w:left w:val="single" w:color="000000" w:sz="4" w:space="0"/>
              <w:bottom w:val="single" w:color="000000" w:sz="4" w:space="0"/>
              <w:right w:val="single" w:color="000000" w:sz="4" w:space="0"/>
            </w:tcBorders>
            <w:vAlign w:val="center"/>
          </w:tcPr>
          <w:p w14:paraId="12D05BB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5E5A2C01">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4456FD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0.4</w:t>
            </w:r>
          </w:p>
        </w:tc>
        <w:tc>
          <w:tcPr>
            <w:tcW w:w="1417" w:type="dxa"/>
            <w:tcBorders>
              <w:top w:val="single" w:color="000000" w:sz="4" w:space="0"/>
              <w:left w:val="single" w:color="000000" w:sz="4" w:space="0"/>
              <w:bottom w:val="single" w:color="000000" w:sz="4" w:space="0"/>
              <w:right w:val="single" w:color="000000" w:sz="4" w:space="0"/>
            </w:tcBorders>
            <w:vAlign w:val="center"/>
          </w:tcPr>
          <w:p w14:paraId="584CC61B">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0.4</w:t>
            </w:r>
          </w:p>
        </w:tc>
      </w:tr>
      <w:tr w14:paraId="07D6AFB8">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E6EBC7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w:t>
            </w:r>
          </w:p>
        </w:tc>
        <w:tc>
          <w:tcPr>
            <w:tcW w:w="1965" w:type="dxa"/>
            <w:tcBorders>
              <w:top w:val="single" w:color="000000" w:sz="4" w:space="0"/>
              <w:left w:val="single" w:color="000000" w:sz="4" w:space="0"/>
              <w:bottom w:val="single" w:color="000000" w:sz="4" w:space="0"/>
              <w:right w:val="single" w:color="000000" w:sz="4" w:space="0"/>
            </w:tcBorders>
            <w:vAlign w:val="center"/>
          </w:tcPr>
          <w:p w14:paraId="69411D29">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教师控制台</w:t>
            </w:r>
          </w:p>
        </w:tc>
        <w:tc>
          <w:tcPr>
            <w:tcW w:w="696" w:type="dxa"/>
            <w:tcBorders>
              <w:top w:val="single" w:color="000000" w:sz="4" w:space="0"/>
              <w:left w:val="single" w:color="000000" w:sz="4" w:space="0"/>
              <w:bottom w:val="single" w:color="000000" w:sz="4" w:space="0"/>
              <w:right w:val="single" w:color="000000" w:sz="4" w:space="0"/>
            </w:tcBorders>
            <w:vAlign w:val="center"/>
          </w:tcPr>
          <w:p w14:paraId="0208985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721" w:type="dxa"/>
            <w:tcBorders>
              <w:top w:val="single" w:color="000000" w:sz="4" w:space="0"/>
              <w:left w:val="single" w:color="000000" w:sz="4" w:space="0"/>
              <w:bottom w:val="single" w:color="000000" w:sz="4" w:space="0"/>
              <w:right w:val="single" w:color="000000" w:sz="4" w:space="0"/>
            </w:tcBorders>
            <w:vAlign w:val="center"/>
          </w:tcPr>
          <w:p w14:paraId="1ECA2C4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4D10BF36">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1684664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0.168</w:t>
            </w:r>
          </w:p>
        </w:tc>
        <w:tc>
          <w:tcPr>
            <w:tcW w:w="1417" w:type="dxa"/>
            <w:tcBorders>
              <w:top w:val="single" w:color="000000" w:sz="4" w:space="0"/>
              <w:left w:val="single" w:color="000000" w:sz="4" w:space="0"/>
              <w:bottom w:val="single" w:color="000000" w:sz="4" w:space="0"/>
              <w:right w:val="single" w:color="000000" w:sz="4" w:space="0"/>
            </w:tcBorders>
            <w:vAlign w:val="center"/>
          </w:tcPr>
          <w:p w14:paraId="7054FF65">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0.168</w:t>
            </w:r>
          </w:p>
        </w:tc>
      </w:tr>
      <w:tr w14:paraId="289FD41A">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521FDA3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19</w:t>
            </w:r>
          </w:p>
        </w:tc>
        <w:tc>
          <w:tcPr>
            <w:tcW w:w="1965" w:type="dxa"/>
            <w:tcBorders>
              <w:top w:val="single" w:color="000000" w:sz="4" w:space="0"/>
              <w:left w:val="single" w:color="000000" w:sz="4" w:space="0"/>
              <w:bottom w:val="single" w:color="000000" w:sz="4" w:space="0"/>
              <w:right w:val="single" w:color="000000" w:sz="4" w:space="0"/>
            </w:tcBorders>
            <w:vAlign w:val="center"/>
          </w:tcPr>
          <w:p w14:paraId="2B036EE9">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教师椅</w:t>
            </w:r>
          </w:p>
        </w:tc>
        <w:tc>
          <w:tcPr>
            <w:tcW w:w="696" w:type="dxa"/>
            <w:tcBorders>
              <w:top w:val="single" w:color="000000" w:sz="4" w:space="0"/>
              <w:left w:val="single" w:color="000000" w:sz="4" w:space="0"/>
              <w:bottom w:val="single" w:color="000000" w:sz="4" w:space="0"/>
              <w:right w:val="single" w:color="000000" w:sz="4" w:space="0"/>
            </w:tcBorders>
            <w:vAlign w:val="center"/>
          </w:tcPr>
          <w:p w14:paraId="3DC2AEF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721" w:type="dxa"/>
            <w:tcBorders>
              <w:top w:val="single" w:color="000000" w:sz="4" w:space="0"/>
              <w:left w:val="single" w:color="000000" w:sz="4" w:space="0"/>
              <w:bottom w:val="single" w:color="000000" w:sz="4" w:space="0"/>
              <w:right w:val="single" w:color="000000" w:sz="4" w:space="0"/>
            </w:tcBorders>
            <w:vAlign w:val="center"/>
          </w:tcPr>
          <w:p w14:paraId="70BE4CA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4F8ED112">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34F780D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0.056</w:t>
            </w:r>
          </w:p>
        </w:tc>
        <w:tc>
          <w:tcPr>
            <w:tcW w:w="1417" w:type="dxa"/>
            <w:tcBorders>
              <w:top w:val="single" w:color="000000" w:sz="4" w:space="0"/>
              <w:left w:val="single" w:color="000000" w:sz="4" w:space="0"/>
              <w:bottom w:val="single" w:color="000000" w:sz="4" w:space="0"/>
              <w:right w:val="single" w:color="000000" w:sz="4" w:space="0"/>
            </w:tcBorders>
            <w:vAlign w:val="center"/>
          </w:tcPr>
          <w:p w14:paraId="1617C2FB">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0.056</w:t>
            </w:r>
          </w:p>
        </w:tc>
      </w:tr>
      <w:tr w14:paraId="444399F9">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1698B6C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20</w:t>
            </w:r>
          </w:p>
        </w:tc>
        <w:tc>
          <w:tcPr>
            <w:tcW w:w="1965" w:type="dxa"/>
            <w:tcBorders>
              <w:top w:val="single" w:color="000000" w:sz="4" w:space="0"/>
              <w:left w:val="single" w:color="000000" w:sz="4" w:space="0"/>
              <w:bottom w:val="single" w:color="000000" w:sz="4" w:space="0"/>
              <w:right w:val="single" w:color="000000" w:sz="4" w:space="0"/>
            </w:tcBorders>
            <w:vAlign w:val="center"/>
          </w:tcPr>
          <w:p w14:paraId="7BA88EC9">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学生桌（带翻转器）</w:t>
            </w:r>
          </w:p>
        </w:tc>
        <w:tc>
          <w:tcPr>
            <w:tcW w:w="696" w:type="dxa"/>
            <w:tcBorders>
              <w:top w:val="single" w:color="000000" w:sz="4" w:space="0"/>
              <w:left w:val="single" w:color="000000" w:sz="4" w:space="0"/>
              <w:bottom w:val="single" w:color="000000" w:sz="4" w:space="0"/>
              <w:right w:val="single" w:color="000000" w:sz="4" w:space="0"/>
            </w:tcBorders>
            <w:vAlign w:val="center"/>
          </w:tcPr>
          <w:p w14:paraId="0C7AB27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位</w:t>
            </w:r>
          </w:p>
        </w:tc>
        <w:tc>
          <w:tcPr>
            <w:tcW w:w="721" w:type="dxa"/>
            <w:tcBorders>
              <w:top w:val="single" w:color="000000" w:sz="4" w:space="0"/>
              <w:left w:val="single" w:color="000000" w:sz="4" w:space="0"/>
              <w:bottom w:val="single" w:color="000000" w:sz="4" w:space="0"/>
              <w:right w:val="single" w:color="000000" w:sz="4" w:space="0"/>
            </w:tcBorders>
            <w:vAlign w:val="center"/>
          </w:tcPr>
          <w:p w14:paraId="5A1CC25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2530" w:type="dxa"/>
            <w:tcBorders>
              <w:top w:val="single" w:color="000000" w:sz="4" w:space="0"/>
              <w:left w:val="single" w:color="000000" w:sz="4" w:space="0"/>
              <w:bottom w:val="single" w:color="000000" w:sz="4" w:space="0"/>
              <w:right w:val="single" w:color="000000" w:sz="4" w:space="0"/>
            </w:tcBorders>
            <w:vAlign w:val="center"/>
          </w:tcPr>
          <w:p w14:paraId="1C575D6B">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5EA789F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0.0998</w:t>
            </w:r>
          </w:p>
        </w:tc>
        <w:tc>
          <w:tcPr>
            <w:tcW w:w="1417" w:type="dxa"/>
            <w:tcBorders>
              <w:top w:val="single" w:color="000000" w:sz="4" w:space="0"/>
              <w:left w:val="single" w:color="000000" w:sz="4" w:space="0"/>
              <w:bottom w:val="single" w:color="000000" w:sz="4" w:space="0"/>
              <w:right w:val="single" w:color="000000" w:sz="4" w:space="0"/>
            </w:tcBorders>
            <w:vAlign w:val="center"/>
          </w:tcPr>
          <w:p w14:paraId="5C65B0FC">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4.3912</w:t>
            </w:r>
          </w:p>
        </w:tc>
      </w:tr>
      <w:tr w14:paraId="459A48A1">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7076CAE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21</w:t>
            </w:r>
          </w:p>
        </w:tc>
        <w:tc>
          <w:tcPr>
            <w:tcW w:w="1965" w:type="dxa"/>
            <w:tcBorders>
              <w:top w:val="single" w:color="000000" w:sz="4" w:space="0"/>
              <w:left w:val="single" w:color="000000" w:sz="4" w:space="0"/>
              <w:bottom w:val="single" w:color="000000" w:sz="4" w:space="0"/>
              <w:right w:val="single" w:color="000000" w:sz="4" w:space="0"/>
            </w:tcBorders>
            <w:vAlign w:val="center"/>
          </w:tcPr>
          <w:p w14:paraId="1853243D">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学生椅</w:t>
            </w:r>
          </w:p>
        </w:tc>
        <w:tc>
          <w:tcPr>
            <w:tcW w:w="696" w:type="dxa"/>
            <w:tcBorders>
              <w:top w:val="single" w:color="000000" w:sz="4" w:space="0"/>
              <w:left w:val="single" w:color="000000" w:sz="4" w:space="0"/>
              <w:bottom w:val="single" w:color="000000" w:sz="4" w:space="0"/>
              <w:right w:val="single" w:color="000000" w:sz="4" w:space="0"/>
            </w:tcBorders>
            <w:vAlign w:val="center"/>
          </w:tcPr>
          <w:p w14:paraId="48A1F8A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位</w:t>
            </w:r>
          </w:p>
        </w:tc>
        <w:tc>
          <w:tcPr>
            <w:tcW w:w="721" w:type="dxa"/>
            <w:tcBorders>
              <w:top w:val="single" w:color="000000" w:sz="4" w:space="0"/>
              <w:left w:val="single" w:color="000000" w:sz="4" w:space="0"/>
              <w:bottom w:val="single" w:color="000000" w:sz="4" w:space="0"/>
              <w:right w:val="single" w:color="000000" w:sz="4" w:space="0"/>
            </w:tcBorders>
            <w:vAlign w:val="center"/>
          </w:tcPr>
          <w:p w14:paraId="08CDC7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44</w:t>
            </w:r>
          </w:p>
        </w:tc>
        <w:tc>
          <w:tcPr>
            <w:tcW w:w="2530" w:type="dxa"/>
            <w:tcBorders>
              <w:top w:val="single" w:color="000000" w:sz="4" w:space="0"/>
              <w:left w:val="single" w:color="000000" w:sz="4" w:space="0"/>
              <w:bottom w:val="single" w:color="000000" w:sz="4" w:space="0"/>
              <w:right w:val="single" w:color="000000" w:sz="4" w:space="0"/>
            </w:tcBorders>
            <w:vAlign w:val="center"/>
          </w:tcPr>
          <w:p w14:paraId="5966DFD4">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5AA5B11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0.012</w:t>
            </w:r>
          </w:p>
        </w:tc>
        <w:tc>
          <w:tcPr>
            <w:tcW w:w="1417" w:type="dxa"/>
            <w:tcBorders>
              <w:top w:val="single" w:color="000000" w:sz="4" w:space="0"/>
              <w:left w:val="single" w:color="000000" w:sz="4" w:space="0"/>
              <w:bottom w:val="single" w:color="000000" w:sz="4" w:space="0"/>
              <w:right w:val="single" w:color="000000" w:sz="4" w:space="0"/>
            </w:tcBorders>
            <w:vAlign w:val="center"/>
          </w:tcPr>
          <w:p w14:paraId="2186A5FB">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0.528</w:t>
            </w:r>
          </w:p>
        </w:tc>
      </w:tr>
      <w:tr w14:paraId="7FFAE2A5">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AE1160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22</w:t>
            </w:r>
          </w:p>
        </w:tc>
        <w:tc>
          <w:tcPr>
            <w:tcW w:w="1965" w:type="dxa"/>
            <w:tcBorders>
              <w:top w:val="single" w:color="000000" w:sz="4" w:space="0"/>
              <w:left w:val="single" w:color="000000" w:sz="4" w:space="0"/>
              <w:bottom w:val="single" w:color="000000" w:sz="4" w:space="0"/>
              <w:right w:val="single" w:color="000000" w:sz="4" w:space="0"/>
            </w:tcBorders>
            <w:vAlign w:val="center"/>
          </w:tcPr>
          <w:p w14:paraId="38175766">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吸顶式制冷设备（一拖二）</w:t>
            </w:r>
          </w:p>
        </w:tc>
        <w:tc>
          <w:tcPr>
            <w:tcW w:w="696" w:type="dxa"/>
            <w:tcBorders>
              <w:top w:val="single" w:color="000000" w:sz="4" w:space="0"/>
              <w:left w:val="single" w:color="000000" w:sz="4" w:space="0"/>
              <w:bottom w:val="single" w:color="000000" w:sz="4" w:space="0"/>
              <w:right w:val="single" w:color="000000" w:sz="4" w:space="0"/>
            </w:tcBorders>
            <w:vAlign w:val="center"/>
          </w:tcPr>
          <w:p w14:paraId="7280AEC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721" w:type="dxa"/>
            <w:tcBorders>
              <w:top w:val="single" w:color="000000" w:sz="4" w:space="0"/>
              <w:left w:val="single" w:color="000000" w:sz="4" w:space="0"/>
              <w:bottom w:val="single" w:color="000000" w:sz="4" w:space="0"/>
              <w:right w:val="single" w:color="000000" w:sz="4" w:space="0"/>
            </w:tcBorders>
            <w:vAlign w:val="center"/>
          </w:tcPr>
          <w:p w14:paraId="4DBD25F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6C6728C2">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4C93901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2.22</w:t>
            </w:r>
          </w:p>
        </w:tc>
        <w:tc>
          <w:tcPr>
            <w:tcW w:w="1417" w:type="dxa"/>
            <w:tcBorders>
              <w:top w:val="single" w:color="000000" w:sz="4" w:space="0"/>
              <w:left w:val="single" w:color="000000" w:sz="4" w:space="0"/>
              <w:bottom w:val="single" w:color="000000" w:sz="4" w:space="0"/>
              <w:right w:val="single" w:color="000000" w:sz="4" w:space="0"/>
            </w:tcBorders>
            <w:vAlign w:val="center"/>
          </w:tcPr>
          <w:p w14:paraId="540C8944">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2.22</w:t>
            </w:r>
          </w:p>
        </w:tc>
      </w:tr>
      <w:tr w14:paraId="45D53971">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56D5D83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23</w:t>
            </w:r>
          </w:p>
        </w:tc>
        <w:tc>
          <w:tcPr>
            <w:tcW w:w="1965" w:type="dxa"/>
            <w:tcBorders>
              <w:top w:val="single" w:color="000000" w:sz="4" w:space="0"/>
              <w:left w:val="single" w:color="000000" w:sz="4" w:space="0"/>
              <w:bottom w:val="single" w:color="000000" w:sz="4" w:space="0"/>
              <w:right w:val="single" w:color="000000" w:sz="4" w:space="0"/>
            </w:tcBorders>
            <w:vAlign w:val="center"/>
          </w:tcPr>
          <w:p w14:paraId="64D39A34">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环境改造</w:t>
            </w:r>
          </w:p>
        </w:tc>
        <w:tc>
          <w:tcPr>
            <w:tcW w:w="696" w:type="dxa"/>
            <w:tcBorders>
              <w:top w:val="single" w:color="000000" w:sz="4" w:space="0"/>
              <w:left w:val="single" w:color="000000" w:sz="4" w:space="0"/>
              <w:bottom w:val="single" w:color="000000" w:sz="4" w:space="0"/>
              <w:right w:val="single" w:color="000000" w:sz="4" w:space="0"/>
            </w:tcBorders>
            <w:vAlign w:val="center"/>
          </w:tcPr>
          <w:p w14:paraId="24CFA4E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721" w:type="dxa"/>
            <w:tcBorders>
              <w:top w:val="single" w:color="000000" w:sz="4" w:space="0"/>
              <w:left w:val="single" w:color="000000" w:sz="4" w:space="0"/>
              <w:bottom w:val="single" w:color="000000" w:sz="4" w:space="0"/>
              <w:right w:val="single" w:color="000000" w:sz="4" w:space="0"/>
            </w:tcBorders>
            <w:vAlign w:val="center"/>
          </w:tcPr>
          <w:p w14:paraId="4CF59D2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530" w:type="dxa"/>
            <w:tcBorders>
              <w:top w:val="single" w:color="000000" w:sz="4" w:space="0"/>
              <w:left w:val="single" w:color="000000" w:sz="4" w:space="0"/>
              <w:bottom w:val="single" w:color="000000" w:sz="4" w:space="0"/>
              <w:right w:val="single" w:color="000000" w:sz="4" w:space="0"/>
            </w:tcBorders>
            <w:vAlign w:val="center"/>
          </w:tcPr>
          <w:p w14:paraId="059B220A">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B757B9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4.7195</w:t>
            </w:r>
          </w:p>
        </w:tc>
        <w:tc>
          <w:tcPr>
            <w:tcW w:w="1417" w:type="dxa"/>
            <w:tcBorders>
              <w:top w:val="single" w:color="000000" w:sz="4" w:space="0"/>
              <w:left w:val="single" w:color="000000" w:sz="4" w:space="0"/>
              <w:bottom w:val="single" w:color="000000" w:sz="4" w:space="0"/>
              <w:right w:val="single" w:color="000000" w:sz="4" w:space="0"/>
            </w:tcBorders>
            <w:vAlign w:val="center"/>
          </w:tcPr>
          <w:p w14:paraId="55129B1B">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4.7195</w:t>
            </w:r>
          </w:p>
        </w:tc>
      </w:tr>
      <w:tr w14:paraId="298DEA37">
        <w:tblPrEx>
          <w:tblCellMar>
            <w:top w:w="0" w:type="dxa"/>
            <w:left w:w="108" w:type="dxa"/>
            <w:bottom w:w="0" w:type="dxa"/>
            <w:right w:w="108" w:type="dxa"/>
          </w:tblCellMar>
        </w:tblPrEx>
        <w:trPr>
          <w:trHeight w:val="594" w:hRule="atLeast"/>
          <w:jc w:val="center"/>
        </w:trPr>
        <w:tc>
          <w:tcPr>
            <w:tcW w:w="9840" w:type="dxa"/>
            <w:gridSpan w:val="7"/>
            <w:tcBorders>
              <w:top w:val="single" w:color="000000" w:sz="4" w:space="0"/>
              <w:left w:val="single" w:color="000000" w:sz="4" w:space="0"/>
              <w:bottom w:val="single" w:color="000000" w:sz="4" w:space="0"/>
              <w:right w:val="single" w:color="000000" w:sz="4" w:space="0"/>
            </w:tcBorders>
            <w:vAlign w:val="center"/>
          </w:tcPr>
          <w:p w14:paraId="20098DB4">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预算合计金额（人民币大写）</w:t>
            </w:r>
            <w:r>
              <w:rPr>
                <w:rFonts w:hint="eastAsia" w:ascii="宋体" w:hAnsi="宋体" w:cs="宋体"/>
                <w:color w:val="auto"/>
                <w:sz w:val="24"/>
                <w:highlight w:val="none"/>
                <w:u w:val="single"/>
              </w:rPr>
              <w:t xml:space="preserve"> 陆拾玖万柒仟陆佰元整（小写）¥ 697600.00 </w:t>
            </w:r>
          </w:p>
        </w:tc>
      </w:tr>
    </w:tbl>
    <w:p w14:paraId="445EFFD2">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详见采购需求表。</w:t>
      </w:r>
    </w:p>
    <w:p w14:paraId="0B88EB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合同履行期限：详见采购文件。</w:t>
      </w:r>
    </w:p>
    <w:p w14:paraId="1ECC54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本项目是否接受联合体：否。</w:t>
      </w:r>
    </w:p>
    <w:p w14:paraId="1FDA16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分标2：跨境电商多功能理实一体化综合实训室设备采购</w:t>
      </w:r>
    </w:p>
    <w:tbl>
      <w:tblPr>
        <w:tblStyle w:val="26"/>
        <w:tblW w:w="9840" w:type="dxa"/>
        <w:jc w:val="center"/>
        <w:tblLayout w:type="fixed"/>
        <w:tblCellMar>
          <w:top w:w="0" w:type="dxa"/>
          <w:left w:w="108" w:type="dxa"/>
          <w:bottom w:w="0" w:type="dxa"/>
          <w:right w:w="108" w:type="dxa"/>
        </w:tblCellMar>
      </w:tblPr>
      <w:tblGrid>
        <w:gridCol w:w="1094"/>
        <w:gridCol w:w="1965"/>
        <w:gridCol w:w="696"/>
        <w:gridCol w:w="721"/>
        <w:gridCol w:w="2530"/>
        <w:gridCol w:w="1417"/>
        <w:gridCol w:w="1417"/>
      </w:tblGrid>
      <w:tr w14:paraId="3E370B9C">
        <w:tblPrEx>
          <w:tblCellMar>
            <w:top w:w="0" w:type="dxa"/>
            <w:left w:w="108" w:type="dxa"/>
            <w:bottom w:w="0" w:type="dxa"/>
            <w:right w:w="108" w:type="dxa"/>
          </w:tblCellMar>
        </w:tblPrEx>
        <w:trPr>
          <w:trHeight w:val="90"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0C97F41B">
            <w:pPr>
              <w:widowControl/>
              <w:jc w:val="center"/>
              <w:textAlignment w:val="center"/>
              <w:rPr>
                <w:rFonts w:hint="eastAsia" w:ascii="宋体" w:hAnsi="宋体" w:cs="宋体"/>
                <w:bCs/>
                <w:color w:val="auto"/>
                <w:sz w:val="24"/>
                <w:highlight w:val="none"/>
              </w:rPr>
            </w:pPr>
            <w:r>
              <w:rPr>
                <w:rFonts w:hint="eastAsia" w:ascii="宋体" w:hAnsi="宋体" w:cs="宋体"/>
                <w:bCs/>
                <w:color w:val="auto"/>
                <w:kern w:val="0"/>
                <w:sz w:val="24"/>
                <w:highlight w:val="none"/>
                <w:lang w:bidi="ar"/>
              </w:rPr>
              <w:t>序号</w:t>
            </w:r>
          </w:p>
        </w:tc>
        <w:tc>
          <w:tcPr>
            <w:tcW w:w="1965" w:type="dxa"/>
            <w:tcBorders>
              <w:top w:val="single" w:color="000000" w:sz="4" w:space="0"/>
              <w:left w:val="single" w:color="000000" w:sz="4" w:space="0"/>
              <w:bottom w:val="single" w:color="000000" w:sz="4" w:space="0"/>
              <w:right w:val="single" w:color="000000" w:sz="4" w:space="0"/>
            </w:tcBorders>
            <w:vAlign w:val="center"/>
          </w:tcPr>
          <w:p w14:paraId="3C7C63E2">
            <w:pPr>
              <w:widowControl/>
              <w:jc w:val="center"/>
              <w:textAlignment w:val="center"/>
              <w:rPr>
                <w:rFonts w:hint="eastAsia" w:ascii="宋体" w:hAnsi="宋体" w:cs="宋体"/>
                <w:bCs/>
                <w:color w:val="auto"/>
                <w:sz w:val="24"/>
                <w:highlight w:val="none"/>
              </w:rPr>
            </w:pPr>
            <w:r>
              <w:rPr>
                <w:rFonts w:hint="eastAsia" w:ascii="宋体" w:hAnsi="宋体" w:cs="宋体"/>
                <w:bCs/>
                <w:color w:val="auto"/>
                <w:kern w:val="0"/>
                <w:sz w:val="24"/>
                <w:highlight w:val="none"/>
                <w:lang w:bidi="ar"/>
              </w:rPr>
              <w:t>标的名称</w:t>
            </w:r>
          </w:p>
        </w:tc>
        <w:tc>
          <w:tcPr>
            <w:tcW w:w="696" w:type="dxa"/>
            <w:tcBorders>
              <w:top w:val="single" w:color="000000" w:sz="4" w:space="0"/>
              <w:left w:val="single" w:color="000000" w:sz="4" w:space="0"/>
              <w:bottom w:val="single" w:color="000000" w:sz="4" w:space="0"/>
              <w:right w:val="single" w:color="000000" w:sz="4" w:space="0"/>
            </w:tcBorders>
            <w:vAlign w:val="center"/>
          </w:tcPr>
          <w:p w14:paraId="0B10B829">
            <w:pPr>
              <w:widowControl/>
              <w:jc w:val="center"/>
              <w:textAlignment w:val="center"/>
              <w:rPr>
                <w:rFonts w:hint="eastAsia" w:ascii="宋体" w:hAnsi="宋体" w:cs="宋体"/>
                <w:bCs/>
                <w:color w:val="auto"/>
                <w:sz w:val="24"/>
                <w:highlight w:val="none"/>
              </w:rPr>
            </w:pPr>
            <w:r>
              <w:rPr>
                <w:rFonts w:hint="eastAsia" w:ascii="宋体" w:hAnsi="宋体" w:cs="宋体"/>
                <w:bCs/>
                <w:color w:val="auto"/>
                <w:kern w:val="0"/>
                <w:sz w:val="24"/>
                <w:highlight w:val="none"/>
                <w:lang w:bidi="ar"/>
              </w:rPr>
              <w:t>数量</w:t>
            </w:r>
          </w:p>
        </w:tc>
        <w:tc>
          <w:tcPr>
            <w:tcW w:w="721" w:type="dxa"/>
            <w:tcBorders>
              <w:top w:val="single" w:color="000000" w:sz="4" w:space="0"/>
              <w:left w:val="single" w:color="000000" w:sz="4" w:space="0"/>
              <w:bottom w:val="single" w:color="000000" w:sz="4" w:space="0"/>
              <w:right w:val="single" w:color="000000" w:sz="4" w:space="0"/>
            </w:tcBorders>
            <w:vAlign w:val="center"/>
          </w:tcPr>
          <w:p w14:paraId="1B75B551">
            <w:pPr>
              <w:widowControl/>
              <w:jc w:val="center"/>
              <w:textAlignment w:val="center"/>
              <w:rPr>
                <w:rFonts w:hint="eastAsia" w:ascii="宋体" w:hAnsi="宋体" w:cs="宋体"/>
                <w:bCs/>
                <w:color w:val="auto"/>
                <w:sz w:val="24"/>
                <w:highlight w:val="none"/>
              </w:rPr>
            </w:pPr>
            <w:r>
              <w:rPr>
                <w:rFonts w:hint="eastAsia" w:ascii="宋体" w:hAnsi="宋体" w:cs="宋体"/>
                <w:bCs/>
                <w:color w:val="auto"/>
                <w:kern w:val="0"/>
                <w:sz w:val="24"/>
                <w:highlight w:val="none"/>
                <w:lang w:bidi="ar"/>
              </w:rPr>
              <w:t>单位</w:t>
            </w:r>
          </w:p>
        </w:tc>
        <w:tc>
          <w:tcPr>
            <w:tcW w:w="2530" w:type="dxa"/>
            <w:tcBorders>
              <w:top w:val="single" w:color="000000" w:sz="4" w:space="0"/>
              <w:left w:val="single" w:color="000000" w:sz="4" w:space="0"/>
              <w:bottom w:val="single" w:color="000000" w:sz="4" w:space="0"/>
              <w:right w:val="single" w:color="000000" w:sz="4" w:space="0"/>
            </w:tcBorders>
            <w:vAlign w:val="center"/>
          </w:tcPr>
          <w:p w14:paraId="0DB9B5A7">
            <w:pPr>
              <w:widowControl/>
              <w:jc w:val="center"/>
              <w:textAlignment w:val="center"/>
              <w:rPr>
                <w:rFonts w:hint="eastAsia" w:ascii="宋体" w:hAnsi="宋体" w:cs="宋体"/>
                <w:bCs/>
                <w:color w:val="auto"/>
                <w:sz w:val="24"/>
                <w:highlight w:val="none"/>
              </w:rPr>
            </w:pPr>
            <w:r>
              <w:rPr>
                <w:rFonts w:hint="eastAsia" w:ascii="宋体" w:hAnsi="宋体" w:cs="宋体"/>
                <w:color w:val="auto"/>
                <w:sz w:val="24"/>
                <w:highlight w:val="none"/>
              </w:rPr>
              <w:t>简要技术需求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87A7740">
            <w:pPr>
              <w:widowControl/>
              <w:jc w:val="center"/>
              <w:textAlignment w:val="center"/>
              <w:rPr>
                <w:rFonts w:hint="eastAsia" w:ascii="宋体" w:hAnsi="宋体" w:cs="宋体"/>
                <w:bCs/>
                <w:color w:val="auto"/>
                <w:sz w:val="24"/>
                <w:highlight w:val="none"/>
              </w:rPr>
            </w:pPr>
            <w:r>
              <w:rPr>
                <w:rFonts w:hint="eastAsia" w:ascii="宋体" w:hAnsi="宋体" w:cs="宋体"/>
                <w:bCs/>
                <w:color w:val="auto"/>
                <w:sz w:val="24"/>
                <w:highlight w:val="none"/>
              </w:rPr>
              <w:t>预算单价（元/人民币）</w:t>
            </w:r>
          </w:p>
        </w:tc>
        <w:tc>
          <w:tcPr>
            <w:tcW w:w="1417" w:type="dxa"/>
            <w:tcBorders>
              <w:top w:val="single" w:color="000000" w:sz="4" w:space="0"/>
              <w:left w:val="single" w:color="000000" w:sz="4" w:space="0"/>
              <w:bottom w:val="single" w:color="000000" w:sz="4" w:space="0"/>
              <w:right w:val="single" w:color="000000" w:sz="4" w:space="0"/>
            </w:tcBorders>
          </w:tcPr>
          <w:p w14:paraId="7D3D92D6">
            <w:pPr>
              <w:widowControl/>
              <w:jc w:val="center"/>
              <w:textAlignment w:val="center"/>
              <w:rPr>
                <w:rFonts w:hint="eastAsia" w:ascii="宋体" w:hAnsi="宋体" w:cs="宋体"/>
                <w:bCs/>
                <w:color w:val="auto"/>
                <w:sz w:val="24"/>
                <w:highlight w:val="none"/>
              </w:rPr>
            </w:pPr>
            <w:r>
              <w:rPr>
                <w:rFonts w:hint="eastAsia" w:ascii="宋体" w:hAnsi="宋体" w:cs="宋体"/>
                <w:bCs/>
                <w:color w:val="auto"/>
                <w:sz w:val="24"/>
                <w:highlight w:val="none"/>
              </w:rPr>
              <w:t>单项预算合计（元/人民币）</w:t>
            </w:r>
          </w:p>
        </w:tc>
      </w:tr>
      <w:tr w14:paraId="1F5D849E">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0C540D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965" w:type="dxa"/>
            <w:tcBorders>
              <w:top w:val="single" w:color="000000" w:sz="4" w:space="0"/>
              <w:left w:val="single" w:color="000000" w:sz="4" w:space="0"/>
              <w:bottom w:val="single" w:color="000000" w:sz="4" w:space="0"/>
              <w:right w:val="single" w:color="000000" w:sz="4" w:space="0"/>
            </w:tcBorders>
            <w:vAlign w:val="center"/>
          </w:tcPr>
          <w:p w14:paraId="0A55DB97">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ALE数字贸易B2C全流程实训平台软件</w:t>
            </w:r>
          </w:p>
        </w:tc>
        <w:tc>
          <w:tcPr>
            <w:tcW w:w="696" w:type="dxa"/>
            <w:tcBorders>
              <w:top w:val="single" w:color="000000" w:sz="4" w:space="0"/>
              <w:left w:val="single" w:color="000000" w:sz="4" w:space="0"/>
              <w:bottom w:val="single" w:color="000000" w:sz="4" w:space="0"/>
              <w:right w:val="single" w:color="000000" w:sz="4" w:space="0"/>
            </w:tcBorders>
            <w:vAlign w:val="center"/>
          </w:tcPr>
          <w:p w14:paraId="1AD5F50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1D25670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3EEE69CF">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5B5E041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26</w:t>
            </w:r>
          </w:p>
        </w:tc>
        <w:tc>
          <w:tcPr>
            <w:tcW w:w="1417" w:type="dxa"/>
            <w:tcBorders>
              <w:top w:val="single" w:color="000000" w:sz="4" w:space="0"/>
              <w:left w:val="single" w:color="000000" w:sz="4" w:space="0"/>
              <w:bottom w:val="single" w:color="000000" w:sz="4" w:space="0"/>
              <w:right w:val="single" w:color="000000" w:sz="4" w:space="0"/>
            </w:tcBorders>
            <w:vAlign w:val="center"/>
          </w:tcPr>
          <w:p w14:paraId="40D0A52D">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26</w:t>
            </w:r>
          </w:p>
        </w:tc>
      </w:tr>
      <w:tr w14:paraId="472BCA05">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1B56FF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965" w:type="dxa"/>
            <w:tcBorders>
              <w:top w:val="single" w:color="000000" w:sz="4" w:space="0"/>
              <w:left w:val="single" w:color="000000" w:sz="4" w:space="0"/>
              <w:bottom w:val="single" w:color="000000" w:sz="4" w:space="0"/>
              <w:right w:val="single" w:color="000000" w:sz="4" w:space="0"/>
            </w:tcBorders>
            <w:vAlign w:val="center"/>
          </w:tcPr>
          <w:p w14:paraId="0896783C">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智能化语言教学综合软件包</w:t>
            </w:r>
          </w:p>
        </w:tc>
        <w:tc>
          <w:tcPr>
            <w:tcW w:w="696" w:type="dxa"/>
            <w:tcBorders>
              <w:top w:val="single" w:color="000000" w:sz="4" w:space="0"/>
              <w:left w:val="single" w:color="000000" w:sz="4" w:space="0"/>
              <w:bottom w:val="single" w:color="000000" w:sz="4" w:space="0"/>
              <w:right w:val="single" w:color="000000" w:sz="4" w:space="0"/>
            </w:tcBorders>
            <w:vAlign w:val="center"/>
          </w:tcPr>
          <w:p w14:paraId="0F8F4D2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07904D6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45F54526">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6D6AA48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11.8</w:t>
            </w:r>
          </w:p>
        </w:tc>
        <w:tc>
          <w:tcPr>
            <w:tcW w:w="1417" w:type="dxa"/>
            <w:tcBorders>
              <w:top w:val="single" w:color="000000" w:sz="4" w:space="0"/>
              <w:left w:val="single" w:color="000000" w:sz="4" w:space="0"/>
              <w:bottom w:val="single" w:color="000000" w:sz="4" w:space="0"/>
              <w:right w:val="single" w:color="000000" w:sz="4" w:space="0"/>
            </w:tcBorders>
            <w:vAlign w:val="center"/>
          </w:tcPr>
          <w:p w14:paraId="2F360A09">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11.8</w:t>
            </w:r>
          </w:p>
        </w:tc>
      </w:tr>
      <w:tr w14:paraId="59DE939A">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75F1F7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965" w:type="dxa"/>
            <w:tcBorders>
              <w:top w:val="single" w:color="000000" w:sz="4" w:space="0"/>
              <w:left w:val="single" w:color="000000" w:sz="4" w:space="0"/>
              <w:bottom w:val="single" w:color="000000" w:sz="4" w:space="0"/>
              <w:right w:val="single" w:color="000000" w:sz="4" w:space="0"/>
            </w:tcBorders>
            <w:vAlign w:val="center"/>
          </w:tcPr>
          <w:p w14:paraId="5EC3540A">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音视频传输主卡</w:t>
            </w:r>
          </w:p>
        </w:tc>
        <w:tc>
          <w:tcPr>
            <w:tcW w:w="696" w:type="dxa"/>
            <w:tcBorders>
              <w:top w:val="single" w:color="000000" w:sz="4" w:space="0"/>
              <w:left w:val="single" w:color="000000" w:sz="4" w:space="0"/>
              <w:bottom w:val="single" w:color="000000" w:sz="4" w:space="0"/>
              <w:right w:val="single" w:color="000000" w:sz="4" w:space="0"/>
            </w:tcBorders>
            <w:vAlign w:val="center"/>
          </w:tcPr>
          <w:p w14:paraId="067BE73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5A61EBD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2530" w:type="dxa"/>
            <w:tcBorders>
              <w:top w:val="single" w:color="000000" w:sz="4" w:space="0"/>
              <w:left w:val="single" w:color="000000" w:sz="4" w:space="0"/>
              <w:bottom w:val="single" w:color="000000" w:sz="4" w:space="0"/>
              <w:right w:val="single" w:color="000000" w:sz="4" w:space="0"/>
            </w:tcBorders>
            <w:vAlign w:val="center"/>
          </w:tcPr>
          <w:p w14:paraId="79A08BA9">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1F1AD15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0.75</w:t>
            </w:r>
          </w:p>
        </w:tc>
        <w:tc>
          <w:tcPr>
            <w:tcW w:w="1417" w:type="dxa"/>
            <w:tcBorders>
              <w:top w:val="single" w:color="000000" w:sz="4" w:space="0"/>
              <w:left w:val="single" w:color="000000" w:sz="4" w:space="0"/>
              <w:bottom w:val="single" w:color="000000" w:sz="4" w:space="0"/>
              <w:right w:val="single" w:color="000000" w:sz="4" w:space="0"/>
            </w:tcBorders>
            <w:vAlign w:val="center"/>
          </w:tcPr>
          <w:p w14:paraId="62DD2B9A">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0.75</w:t>
            </w:r>
          </w:p>
        </w:tc>
      </w:tr>
      <w:tr w14:paraId="2BB19670">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AD160E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965" w:type="dxa"/>
            <w:tcBorders>
              <w:top w:val="single" w:color="000000" w:sz="4" w:space="0"/>
              <w:left w:val="single" w:color="000000" w:sz="4" w:space="0"/>
              <w:bottom w:val="single" w:color="000000" w:sz="4" w:space="0"/>
              <w:right w:val="single" w:color="000000" w:sz="4" w:space="0"/>
            </w:tcBorders>
            <w:vAlign w:val="center"/>
          </w:tcPr>
          <w:p w14:paraId="5D801FBD">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音视频传输交换设备</w:t>
            </w:r>
          </w:p>
        </w:tc>
        <w:tc>
          <w:tcPr>
            <w:tcW w:w="696" w:type="dxa"/>
            <w:tcBorders>
              <w:top w:val="single" w:color="000000" w:sz="4" w:space="0"/>
              <w:left w:val="single" w:color="000000" w:sz="4" w:space="0"/>
              <w:bottom w:val="single" w:color="000000" w:sz="4" w:space="0"/>
              <w:right w:val="single" w:color="000000" w:sz="4" w:space="0"/>
            </w:tcBorders>
            <w:vAlign w:val="center"/>
          </w:tcPr>
          <w:p w14:paraId="174E85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3A76AC6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75BFAF92">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55BF65E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3.12</w:t>
            </w:r>
          </w:p>
        </w:tc>
        <w:tc>
          <w:tcPr>
            <w:tcW w:w="1417" w:type="dxa"/>
            <w:tcBorders>
              <w:top w:val="single" w:color="000000" w:sz="4" w:space="0"/>
              <w:left w:val="single" w:color="000000" w:sz="4" w:space="0"/>
              <w:bottom w:val="single" w:color="000000" w:sz="4" w:space="0"/>
              <w:right w:val="single" w:color="000000" w:sz="4" w:space="0"/>
            </w:tcBorders>
            <w:vAlign w:val="center"/>
          </w:tcPr>
          <w:p w14:paraId="2AB638E6">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3.12</w:t>
            </w:r>
          </w:p>
        </w:tc>
      </w:tr>
      <w:tr w14:paraId="5B016A18">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56E51A1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965" w:type="dxa"/>
            <w:tcBorders>
              <w:top w:val="single" w:color="000000" w:sz="4" w:space="0"/>
              <w:left w:val="single" w:color="000000" w:sz="4" w:space="0"/>
              <w:bottom w:val="single" w:color="000000" w:sz="4" w:space="0"/>
              <w:right w:val="single" w:color="000000" w:sz="4" w:space="0"/>
            </w:tcBorders>
            <w:vAlign w:val="center"/>
          </w:tcPr>
          <w:p w14:paraId="2E2677D7">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语言学习终端</w:t>
            </w:r>
          </w:p>
        </w:tc>
        <w:tc>
          <w:tcPr>
            <w:tcW w:w="696" w:type="dxa"/>
            <w:tcBorders>
              <w:top w:val="single" w:color="000000" w:sz="4" w:space="0"/>
              <w:left w:val="single" w:color="000000" w:sz="4" w:space="0"/>
              <w:bottom w:val="single" w:color="000000" w:sz="4" w:space="0"/>
              <w:right w:val="single" w:color="000000" w:sz="4" w:space="0"/>
            </w:tcBorders>
            <w:vAlign w:val="center"/>
          </w:tcPr>
          <w:p w14:paraId="14D02F4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w:t>
            </w:r>
          </w:p>
        </w:tc>
        <w:tc>
          <w:tcPr>
            <w:tcW w:w="721" w:type="dxa"/>
            <w:tcBorders>
              <w:top w:val="single" w:color="000000" w:sz="4" w:space="0"/>
              <w:left w:val="single" w:color="000000" w:sz="4" w:space="0"/>
              <w:bottom w:val="single" w:color="000000" w:sz="4" w:space="0"/>
              <w:right w:val="single" w:color="000000" w:sz="4" w:space="0"/>
            </w:tcBorders>
            <w:vAlign w:val="center"/>
          </w:tcPr>
          <w:p w14:paraId="11B264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03D1D42F">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3C5BC0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0.198</w:t>
            </w:r>
          </w:p>
        </w:tc>
        <w:tc>
          <w:tcPr>
            <w:tcW w:w="1417" w:type="dxa"/>
            <w:tcBorders>
              <w:top w:val="single" w:color="000000" w:sz="4" w:space="0"/>
              <w:left w:val="single" w:color="000000" w:sz="4" w:space="0"/>
              <w:bottom w:val="single" w:color="000000" w:sz="4" w:space="0"/>
              <w:right w:val="single" w:color="000000" w:sz="4" w:space="0"/>
            </w:tcBorders>
            <w:vAlign w:val="center"/>
          </w:tcPr>
          <w:p w14:paraId="73CB5825">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8.514</w:t>
            </w:r>
          </w:p>
        </w:tc>
      </w:tr>
      <w:tr w14:paraId="2FCC9283">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04FEED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965" w:type="dxa"/>
            <w:tcBorders>
              <w:top w:val="single" w:color="000000" w:sz="4" w:space="0"/>
              <w:left w:val="single" w:color="000000" w:sz="4" w:space="0"/>
              <w:bottom w:val="single" w:color="000000" w:sz="4" w:space="0"/>
              <w:right w:val="single" w:color="000000" w:sz="4" w:space="0"/>
            </w:tcBorders>
            <w:vAlign w:val="center"/>
          </w:tcPr>
          <w:p w14:paraId="758B6D72">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学生耳机</w:t>
            </w:r>
          </w:p>
        </w:tc>
        <w:tc>
          <w:tcPr>
            <w:tcW w:w="696" w:type="dxa"/>
            <w:tcBorders>
              <w:top w:val="single" w:color="000000" w:sz="4" w:space="0"/>
              <w:left w:val="single" w:color="000000" w:sz="4" w:space="0"/>
              <w:bottom w:val="single" w:color="000000" w:sz="4" w:space="0"/>
              <w:right w:val="single" w:color="000000" w:sz="4" w:space="0"/>
            </w:tcBorders>
            <w:vAlign w:val="center"/>
          </w:tcPr>
          <w:p w14:paraId="00F2B47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w:t>
            </w:r>
          </w:p>
        </w:tc>
        <w:tc>
          <w:tcPr>
            <w:tcW w:w="721" w:type="dxa"/>
            <w:tcBorders>
              <w:top w:val="single" w:color="000000" w:sz="4" w:space="0"/>
              <w:left w:val="single" w:color="000000" w:sz="4" w:space="0"/>
              <w:bottom w:val="single" w:color="000000" w:sz="4" w:space="0"/>
              <w:right w:val="single" w:color="000000" w:sz="4" w:space="0"/>
            </w:tcBorders>
            <w:vAlign w:val="center"/>
          </w:tcPr>
          <w:p w14:paraId="7A01EB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副</w:t>
            </w:r>
          </w:p>
        </w:tc>
        <w:tc>
          <w:tcPr>
            <w:tcW w:w="2530" w:type="dxa"/>
            <w:tcBorders>
              <w:top w:val="single" w:color="000000" w:sz="4" w:space="0"/>
              <w:left w:val="single" w:color="000000" w:sz="4" w:space="0"/>
              <w:bottom w:val="single" w:color="000000" w:sz="4" w:space="0"/>
              <w:right w:val="single" w:color="000000" w:sz="4" w:space="0"/>
            </w:tcBorders>
            <w:vAlign w:val="center"/>
          </w:tcPr>
          <w:p w14:paraId="36A37046">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3716F9E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0.012</w:t>
            </w:r>
          </w:p>
        </w:tc>
        <w:tc>
          <w:tcPr>
            <w:tcW w:w="1417" w:type="dxa"/>
            <w:tcBorders>
              <w:top w:val="single" w:color="000000" w:sz="4" w:space="0"/>
              <w:left w:val="single" w:color="000000" w:sz="4" w:space="0"/>
              <w:bottom w:val="single" w:color="000000" w:sz="4" w:space="0"/>
              <w:right w:val="single" w:color="000000" w:sz="4" w:space="0"/>
            </w:tcBorders>
            <w:vAlign w:val="center"/>
          </w:tcPr>
          <w:p w14:paraId="077F0AC3">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0.516</w:t>
            </w:r>
          </w:p>
        </w:tc>
      </w:tr>
      <w:tr w14:paraId="0FCF95C6">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561D83D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965" w:type="dxa"/>
            <w:tcBorders>
              <w:top w:val="single" w:color="000000" w:sz="4" w:space="0"/>
              <w:left w:val="single" w:color="000000" w:sz="4" w:space="0"/>
              <w:bottom w:val="single" w:color="000000" w:sz="4" w:space="0"/>
              <w:right w:val="single" w:color="000000" w:sz="4" w:space="0"/>
            </w:tcBorders>
            <w:vAlign w:val="center"/>
          </w:tcPr>
          <w:p w14:paraId="45584159">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教师耳机</w:t>
            </w:r>
          </w:p>
        </w:tc>
        <w:tc>
          <w:tcPr>
            <w:tcW w:w="696" w:type="dxa"/>
            <w:tcBorders>
              <w:top w:val="single" w:color="000000" w:sz="4" w:space="0"/>
              <w:left w:val="single" w:color="000000" w:sz="4" w:space="0"/>
              <w:bottom w:val="single" w:color="000000" w:sz="4" w:space="0"/>
              <w:right w:val="single" w:color="000000" w:sz="4" w:space="0"/>
            </w:tcBorders>
            <w:vAlign w:val="center"/>
          </w:tcPr>
          <w:p w14:paraId="65CFD68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7166327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副</w:t>
            </w:r>
          </w:p>
        </w:tc>
        <w:tc>
          <w:tcPr>
            <w:tcW w:w="2530" w:type="dxa"/>
            <w:tcBorders>
              <w:top w:val="single" w:color="000000" w:sz="4" w:space="0"/>
              <w:left w:val="single" w:color="000000" w:sz="4" w:space="0"/>
              <w:bottom w:val="single" w:color="000000" w:sz="4" w:space="0"/>
              <w:right w:val="single" w:color="000000" w:sz="4" w:space="0"/>
            </w:tcBorders>
            <w:vAlign w:val="center"/>
          </w:tcPr>
          <w:p w14:paraId="78ABD4C0">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730DC6F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0.015</w:t>
            </w:r>
          </w:p>
        </w:tc>
        <w:tc>
          <w:tcPr>
            <w:tcW w:w="1417" w:type="dxa"/>
            <w:tcBorders>
              <w:top w:val="single" w:color="000000" w:sz="4" w:space="0"/>
              <w:left w:val="single" w:color="000000" w:sz="4" w:space="0"/>
              <w:bottom w:val="single" w:color="000000" w:sz="4" w:space="0"/>
              <w:right w:val="single" w:color="000000" w:sz="4" w:space="0"/>
            </w:tcBorders>
            <w:vAlign w:val="center"/>
          </w:tcPr>
          <w:p w14:paraId="72966C8F">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0.015</w:t>
            </w:r>
          </w:p>
        </w:tc>
      </w:tr>
      <w:tr w14:paraId="602032F0">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9B18F1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965" w:type="dxa"/>
            <w:tcBorders>
              <w:top w:val="single" w:color="000000" w:sz="4" w:space="0"/>
              <w:left w:val="single" w:color="000000" w:sz="4" w:space="0"/>
              <w:bottom w:val="single" w:color="000000" w:sz="4" w:space="0"/>
              <w:right w:val="single" w:color="000000" w:sz="4" w:space="0"/>
            </w:tcBorders>
            <w:vAlign w:val="center"/>
          </w:tcPr>
          <w:p w14:paraId="1BCB4E1C">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跨境实训终端</w:t>
            </w:r>
          </w:p>
        </w:tc>
        <w:tc>
          <w:tcPr>
            <w:tcW w:w="696" w:type="dxa"/>
            <w:tcBorders>
              <w:top w:val="single" w:color="000000" w:sz="4" w:space="0"/>
              <w:left w:val="single" w:color="000000" w:sz="4" w:space="0"/>
              <w:bottom w:val="single" w:color="000000" w:sz="4" w:space="0"/>
              <w:right w:val="single" w:color="000000" w:sz="4" w:space="0"/>
            </w:tcBorders>
            <w:vAlign w:val="center"/>
          </w:tcPr>
          <w:p w14:paraId="6180391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w:t>
            </w:r>
          </w:p>
        </w:tc>
        <w:tc>
          <w:tcPr>
            <w:tcW w:w="721" w:type="dxa"/>
            <w:tcBorders>
              <w:top w:val="single" w:color="000000" w:sz="4" w:space="0"/>
              <w:left w:val="single" w:color="000000" w:sz="4" w:space="0"/>
              <w:bottom w:val="single" w:color="000000" w:sz="4" w:space="0"/>
              <w:right w:val="single" w:color="000000" w:sz="4" w:space="0"/>
            </w:tcBorders>
            <w:vAlign w:val="center"/>
          </w:tcPr>
          <w:p w14:paraId="0F1B656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290CDFEE">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6DF76EF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0.604</w:t>
            </w:r>
          </w:p>
        </w:tc>
        <w:tc>
          <w:tcPr>
            <w:tcW w:w="1417" w:type="dxa"/>
            <w:tcBorders>
              <w:top w:val="single" w:color="000000" w:sz="4" w:space="0"/>
              <w:left w:val="single" w:color="000000" w:sz="4" w:space="0"/>
              <w:bottom w:val="single" w:color="000000" w:sz="4" w:space="0"/>
              <w:right w:val="single" w:color="000000" w:sz="4" w:space="0"/>
            </w:tcBorders>
            <w:vAlign w:val="center"/>
          </w:tcPr>
          <w:p w14:paraId="486830AD">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25.972</w:t>
            </w:r>
          </w:p>
        </w:tc>
      </w:tr>
      <w:tr w14:paraId="217CC739">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E4F161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965" w:type="dxa"/>
            <w:tcBorders>
              <w:top w:val="single" w:color="000000" w:sz="4" w:space="0"/>
              <w:left w:val="single" w:color="000000" w:sz="4" w:space="0"/>
              <w:bottom w:val="single" w:color="000000" w:sz="4" w:space="0"/>
              <w:right w:val="single" w:color="000000" w:sz="4" w:space="0"/>
            </w:tcBorders>
            <w:vAlign w:val="center"/>
          </w:tcPr>
          <w:p w14:paraId="4B0EBE87">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全千兆以太网运维交换机</w:t>
            </w:r>
          </w:p>
        </w:tc>
        <w:tc>
          <w:tcPr>
            <w:tcW w:w="696" w:type="dxa"/>
            <w:tcBorders>
              <w:top w:val="single" w:color="000000" w:sz="4" w:space="0"/>
              <w:left w:val="single" w:color="000000" w:sz="4" w:space="0"/>
              <w:bottom w:val="single" w:color="000000" w:sz="4" w:space="0"/>
              <w:right w:val="single" w:color="000000" w:sz="4" w:space="0"/>
            </w:tcBorders>
            <w:vAlign w:val="center"/>
          </w:tcPr>
          <w:p w14:paraId="0FB022E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7337B3E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530" w:type="dxa"/>
            <w:tcBorders>
              <w:top w:val="single" w:color="000000" w:sz="4" w:space="0"/>
              <w:left w:val="single" w:color="000000" w:sz="4" w:space="0"/>
              <w:bottom w:val="single" w:color="000000" w:sz="4" w:space="0"/>
              <w:right w:val="single" w:color="000000" w:sz="4" w:space="0"/>
            </w:tcBorders>
            <w:vAlign w:val="center"/>
          </w:tcPr>
          <w:p w14:paraId="3AFEC49F">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5AC9D7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0.39</w:t>
            </w:r>
          </w:p>
        </w:tc>
        <w:tc>
          <w:tcPr>
            <w:tcW w:w="1417" w:type="dxa"/>
            <w:tcBorders>
              <w:top w:val="single" w:color="000000" w:sz="4" w:space="0"/>
              <w:left w:val="single" w:color="000000" w:sz="4" w:space="0"/>
              <w:bottom w:val="single" w:color="000000" w:sz="4" w:space="0"/>
              <w:right w:val="single" w:color="000000" w:sz="4" w:space="0"/>
            </w:tcBorders>
            <w:vAlign w:val="center"/>
          </w:tcPr>
          <w:p w14:paraId="0C6533B1">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0.39</w:t>
            </w:r>
          </w:p>
        </w:tc>
      </w:tr>
      <w:tr w14:paraId="1ACDCAEE">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AF398D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965" w:type="dxa"/>
            <w:tcBorders>
              <w:top w:val="single" w:color="000000" w:sz="4" w:space="0"/>
              <w:left w:val="single" w:color="000000" w:sz="4" w:space="0"/>
              <w:bottom w:val="single" w:color="000000" w:sz="4" w:space="0"/>
              <w:right w:val="single" w:color="000000" w:sz="4" w:space="0"/>
            </w:tcBorders>
            <w:vAlign w:val="center"/>
          </w:tcPr>
          <w:p w14:paraId="7E3B66B7">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功率放大器</w:t>
            </w:r>
          </w:p>
        </w:tc>
        <w:tc>
          <w:tcPr>
            <w:tcW w:w="696" w:type="dxa"/>
            <w:tcBorders>
              <w:top w:val="single" w:color="000000" w:sz="4" w:space="0"/>
              <w:left w:val="single" w:color="000000" w:sz="4" w:space="0"/>
              <w:bottom w:val="single" w:color="000000" w:sz="4" w:space="0"/>
              <w:right w:val="single" w:color="000000" w:sz="4" w:space="0"/>
            </w:tcBorders>
            <w:vAlign w:val="center"/>
          </w:tcPr>
          <w:p w14:paraId="47E068E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07261C0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530" w:type="dxa"/>
            <w:tcBorders>
              <w:top w:val="single" w:color="000000" w:sz="4" w:space="0"/>
              <w:left w:val="single" w:color="000000" w:sz="4" w:space="0"/>
              <w:bottom w:val="single" w:color="000000" w:sz="4" w:space="0"/>
              <w:right w:val="single" w:color="000000" w:sz="4" w:space="0"/>
            </w:tcBorders>
            <w:vAlign w:val="center"/>
          </w:tcPr>
          <w:p w14:paraId="5C0ECAEE">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3E8BECB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0.168</w:t>
            </w:r>
          </w:p>
        </w:tc>
        <w:tc>
          <w:tcPr>
            <w:tcW w:w="1417" w:type="dxa"/>
            <w:tcBorders>
              <w:top w:val="single" w:color="000000" w:sz="4" w:space="0"/>
              <w:left w:val="single" w:color="000000" w:sz="4" w:space="0"/>
              <w:bottom w:val="single" w:color="000000" w:sz="4" w:space="0"/>
              <w:right w:val="single" w:color="000000" w:sz="4" w:space="0"/>
            </w:tcBorders>
            <w:vAlign w:val="center"/>
          </w:tcPr>
          <w:p w14:paraId="19061E86">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0.168</w:t>
            </w:r>
          </w:p>
        </w:tc>
      </w:tr>
      <w:tr w14:paraId="4397BDF2">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3EED48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1965" w:type="dxa"/>
            <w:tcBorders>
              <w:top w:val="single" w:color="000000" w:sz="4" w:space="0"/>
              <w:left w:val="single" w:color="000000" w:sz="4" w:space="0"/>
              <w:bottom w:val="single" w:color="000000" w:sz="4" w:space="0"/>
              <w:right w:val="single" w:color="000000" w:sz="4" w:space="0"/>
            </w:tcBorders>
            <w:vAlign w:val="center"/>
          </w:tcPr>
          <w:p w14:paraId="5C5CA84B">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音箱</w:t>
            </w:r>
          </w:p>
        </w:tc>
        <w:tc>
          <w:tcPr>
            <w:tcW w:w="696" w:type="dxa"/>
            <w:tcBorders>
              <w:top w:val="single" w:color="000000" w:sz="4" w:space="0"/>
              <w:left w:val="single" w:color="000000" w:sz="4" w:space="0"/>
              <w:bottom w:val="single" w:color="000000" w:sz="4" w:space="0"/>
              <w:right w:val="single" w:color="000000" w:sz="4" w:space="0"/>
            </w:tcBorders>
            <w:vAlign w:val="center"/>
          </w:tcPr>
          <w:p w14:paraId="69B130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4D94A30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对</w:t>
            </w:r>
          </w:p>
        </w:tc>
        <w:tc>
          <w:tcPr>
            <w:tcW w:w="2530" w:type="dxa"/>
            <w:tcBorders>
              <w:top w:val="single" w:color="000000" w:sz="4" w:space="0"/>
              <w:left w:val="single" w:color="000000" w:sz="4" w:space="0"/>
              <w:bottom w:val="single" w:color="000000" w:sz="4" w:space="0"/>
              <w:right w:val="single" w:color="000000" w:sz="4" w:space="0"/>
            </w:tcBorders>
            <w:vAlign w:val="center"/>
          </w:tcPr>
          <w:p w14:paraId="5A3FEC1C">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6151C57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0.125</w:t>
            </w:r>
          </w:p>
        </w:tc>
        <w:tc>
          <w:tcPr>
            <w:tcW w:w="1417" w:type="dxa"/>
            <w:tcBorders>
              <w:top w:val="single" w:color="000000" w:sz="4" w:space="0"/>
              <w:left w:val="single" w:color="000000" w:sz="4" w:space="0"/>
              <w:bottom w:val="single" w:color="000000" w:sz="4" w:space="0"/>
              <w:right w:val="single" w:color="000000" w:sz="4" w:space="0"/>
            </w:tcBorders>
            <w:vAlign w:val="center"/>
          </w:tcPr>
          <w:p w14:paraId="19113129">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0.125</w:t>
            </w:r>
          </w:p>
        </w:tc>
      </w:tr>
      <w:tr w14:paraId="19FF5ADC">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F5ED4C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w:t>
            </w:r>
          </w:p>
        </w:tc>
        <w:tc>
          <w:tcPr>
            <w:tcW w:w="1965" w:type="dxa"/>
            <w:tcBorders>
              <w:top w:val="single" w:color="000000" w:sz="4" w:space="0"/>
              <w:left w:val="single" w:color="000000" w:sz="4" w:space="0"/>
              <w:bottom w:val="single" w:color="000000" w:sz="4" w:space="0"/>
              <w:right w:val="single" w:color="000000" w:sz="4" w:space="0"/>
            </w:tcBorders>
            <w:vAlign w:val="center"/>
          </w:tcPr>
          <w:p w14:paraId="64153399">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座充式无线话筒</w:t>
            </w:r>
          </w:p>
        </w:tc>
        <w:tc>
          <w:tcPr>
            <w:tcW w:w="696" w:type="dxa"/>
            <w:tcBorders>
              <w:top w:val="single" w:color="000000" w:sz="4" w:space="0"/>
              <w:left w:val="single" w:color="000000" w:sz="4" w:space="0"/>
              <w:bottom w:val="single" w:color="000000" w:sz="4" w:space="0"/>
              <w:right w:val="single" w:color="000000" w:sz="4" w:space="0"/>
            </w:tcBorders>
            <w:vAlign w:val="center"/>
          </w:tcPr>
          <w:p w14:paraId="1C6970F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141F7B4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16C98B45">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4CF0912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0.22</w:t>
            </w:r>
          </w:p>
        </w:tc>
        <w:tc>
          <w:tcPr>
            <w:tcW w:w="1417" w:type="dxa"/>
            <w:tcBorders>
              <w:top w:val="single" w:color="000000" w:sz="4" w:space="0"/>
              <w:left w:val="single" w:color="000000" w:sz="4" w:space="0"/>
              <w:bottom w:val="single" w:color="000000" w:sz="4" w:space="0"/>
              <w:right w:val="single" w:color="000000" w:sz="4" w:space="0"/>
            </w:tcBorders>
            <w:vAlign w:val="center"/>
          </w:tcPr>
          <w:p w14:paraId="43FE9DFA">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0.22</w:t>
            </w:r>
          </w:p>
        </w:tc>
      </w:tr>
      <w:tr w14:paraId="2C3E5F62">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744D77F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13</w:t>
            </w:r>
          </w:p>
        </w:tc>
        <w:tc>
          <w:tcPr>
            <w:tcW w:w="1965" w:type="dxa"/>
            <w:tcBorders>
              <w:top w:val="single" w:color="000000" w:sz="4" w:space="0"/>
              <w:left w:val="single" w:color="000000" w:sz="4" w:space="0"/>
              <w:bottom w:val="single" w:color="000000" w:sz="4" w:space="0"/>
              <w:right w:val="single" w:color="000000" w:sz="4" w:space="0"/>
            </w:tcBorders>
            <w:vAlign w:val="center"/>
          </w:tcPr>
          <w:p w14:paraId="5B0155D1">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鹅颈话筒</w:t>
            </w:r>
          </w:p>
        </w:tc>
        <w:tc>
          <w:tcPr>
            <w:tcW w:w="696" w:type="dxa"/>
            <w:tcBorders>
              <w:top w:val="single" w:color="000000" w:sz="4" w:space="0"/>
              <w:left w:val="single" w:color="000000" w:sz="4" w:space="0"/>
              <w:bottom w:val="single" w:color="000000" w:sz="4" w:space="0"/>
              <w:right w:val="single" w:color="000000" w:sz="4" w:space="0"/>
            </w:tcBorders>
            <w:vAlign w:val="center"/>
          </w:tcPr>
          <w:p w14:paraId="5D46073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628FD67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530" w:type="dxa"/>
            <w:tcBorders>
              <w:top w:val="single" w:color="000000" w:sz="4" w:space="0"/>
              <w:left w:val="single" w:color="000000" w:sz="4" w:space="0"/>
              <w:bottom w:val="single" w:color="000000" w:sz="4" w:space="0"/>
              <w:right w:val="single" w:color="000000" w:sz="4" w:space="0"/>
            </w:tcBorders>
            <w:vAlign w:val="center"/>
          </w:tcPr>
          <w:p w14:paraId="4322AADB">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4016C6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0.04</w:t>
            </w:r>
          </w:p>
        </w:tc>
        <w:tc>
          <w:tcPr>
            <w:tcW w:w="1417" w:type="dxa"/>
            <w:tcBorders>
              <w:top w:val="single" w:color="000000" w:sz="4" w:space="0"/>
              <w:left w:val="single" w:color="000000" w:sz="4" w:space="0"/>
              <w:bottom w:val="single" w:color="000000" w:sz="4" w:space="0"/>
              <w:right w:val="single" w:color="000000" w:sz="4" w:space="0"/>
            </w:tcBorders>
            <w:vAlign w:val="center"/>
          </w:tcPr>
          <w:p w14:paraId="65A95568">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0.04</w:t>
            </w:r>
          </w:p>
        </w:tc>
      </w:tr>
      <w:tr w14:paraId="6DD1FC7A">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FDDFBF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14</w:t>
            </w:r>
          </w:p>
        </w:tc>
        <w:tc>
          <w:tcPr>
            <w:tcW w:w="1965" w:type="dxa"/>
            <w:tcBorders>
              <w:top w:val="single" w:color="000000" w:sz="4" w:space="0"/>
              <w:left w:val="single" w:color="000000" w:sz="4" w:space="0"/>
              <w:bottom w:val="single" w:color="000000" w:sz="4" w:space="0"/>
              <w:right w:val="single" w:color="000000" w:sz="4" w:space="0"/>
            </w:tcBorders>
            <w:vAlign w:val="center"/>
          </w:tcPr>
          <w:p w14:paraId="3217B92D">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机柜</w:t>
            </w:r>
          </w:p>
        </w:tc>
        <w:tc>
          <w:tcPr>
            <w:tcW w:w="696" w:type="dxa"/>
            <w:tcBorders>
              <w:top w:val="single" w:color="000000" w:sz="4" w:space="0"/>
              <w:left w:val="single" w:color="000000" w:sz="4" w:space="0"/>
              <w:bottom w:val="single" w:color="000000" w:sz="4" w:space="0"/>
              <w:right w:val="single" w:color="000000" w:sz="4" w:space="0"/>
            </w:tcBorders>
            <w:vAlign w:val="center"/>
          </w:tcPr>
          <w:p w14:paraId="5327BE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36CF94F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530" w:type="dxa"/>
            <w:tcBorders>
              <w:top w:val="single" w:color="000000" w:sz="4" w:space="0"/>
              <w:left w:val="single" w:color="000000" w:sz="4" w:space="0"/>
              <w:bottom w:val="single" w:color="000000" w:sz="4" w:space="0"/>
              <w:right w:val="single" w:color="000000" w:sz="4" w:space="0"/>
            </w:tcBorders>
            <w:vAlign w:val="center"/>
          </w:tcPr>
          <w:p w14:paraId="5491AC8E">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7395969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0.11</w:t>
            </w:r>
          </w:p>
        </w:tc>
        <w:tc>
          <w:tcPr>
            <w:tcW w:w="1417" w:type="dxa"/>
            <w:tcBorders>
              <w:top w:val="single" w:color="000000" w:sz="4" w:space="0"/>
              <w:left w:val="single" w:color="000000" w:sz="4" w:space="0"/>
              <w:bottom w:val="single" w:color="000000" w:sz="4" w:space="0"/>
              <w:right w:val="single" w:color="000000" w:sz="4" w:space="0"/>
            </w:tcBorders>
            <w:vAlign w:val="center"/>
          </w:tcPr>
          <w:p w14:paraId="4CBF9C0A">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0.11</w:t>
            </w:r>
          </w:p>
        </w:tc>
      </w:tr>
      <w:tr w14:paraId="4C6D1617">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BCFD42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15</w:t>
            </w:r>
          </w:p>
        </w:tc>
        <w:tc>
          <w:tcPr>
            <w:tcW w:w="1965" w:type="dxa"/>
            <w:tcBorders>
              <w:top w:val="single" w:color="000000" w:sz="4" w:space="0"/>
              <w:left w:val="single" w:color="000000" w:sz="4" w:space="0"/>
              <w:bottom w:val="single" w:color="000000" w:sz="4" w:space="0"/>
              <w:right w:val="single" w:color="000000" w:sz="4" w:space="0"/>
            </w:tcBorders>
            <w:vAlign w:val="center"/>
          </w:tcPr>
          <w:p w14:paraId="5F0A8B25">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分配器</w:t>
            </w:r>
          </w:p>
        </w:tc>
        <w:tc>
          <w:tcPr>
            <w:tcW w:w="696" w:type="dxa"/>
            <w:tcBorders>
              <w:top w:val="single" w:color="000000" w:sz="4" w:space="0"/>
              <w:left w:val="single" w:color="000000" w:sz="4" w:space="0"/>
              <w:bottom w:val="single" w:color="000000" w:sz="4" w:space="0"/>
              <w:right w:val="single" w:color="000000" w:sz="4" w:space="0"/>
            </w:tcBorders>
            <w:vAlign w:val="center"/>
          </w:tcPr>
          <w:p w14:paraId="3289066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4DC654F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530" w:type="dxa"/>
            <w:tcBorders>
              <w:top w:val="single" w:color="000000" w:sz="4" w:space="0"/>
              <w:left w:val="single" w:color="000000" w:sz="4" w:space="0"/>
              <w:bottom w:val="single" w:color="000000" w:sz="4" w:space="0"/>
              <w:right w:val="single" w:color="000000" w:sz="4" w:space="0"/>
            </w:tcBorders>
            <w:vAlign w:val="center"/>
          </w:tcPr>
          <w:p w14:paraId="4CB725A8">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92C7D4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0.03</w:t>
            </w:r>
          </w:p>
        </w:tc>
        <w:tc>
          <w:tcPr>
            <w:tcW w:w="1417" w:type="dxa"/>
            <w:tcBorders>
              <w:top w:val="single" w:color="000000" w:sz="4" w:space="0"/>
              <w:left w:val="single" w:color="000000" w:sz="4" w:space="0"/>
              <w:bottom w:val="single" w:color="000000" w:sz="4" w:space="0"/>
              <w:right w:val="single" w:color="000000" w:sz="4" w:space="0"/>
            </w:tcBorders>
            <w:vAlign w:val="center"/>
          </w:tcPr>
          <w:p w14:paraId="2ACE6E60">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0.03</w:t>
            </w:r>
          </w:p>
        </w:tc>
      </w:tr>
      <w:tr w14:paraId="11822ABF">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0FF5598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16</w:t>
            </w:r>
          </w:p>
        </w:tc>
        <w:tc>
          <w:tcPr>
            <w:tcW w:w="1965" w:type="dxa"/>
            <w:tcBorders>
              <w:top w:val="single" w:color="000000" w:sz="4" w:space="0"/>
              <w:left w:val="single" w:color="000000" w:sz="4" w:space="0"/>
              <w:bottom w:val="single" w:color="000000" w:sz="4" w:space="0"/>
              <w:right w:val="single" w:color="000000" w:sz="4" w:space="0"/>
            </w:tcBorders>
            <w:vAlign w:val="center"/>
          </w:tcPr>
          <w:p w14:paraId="52797753">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光能书写黑板</w:t>
            </w:r>
          </w:p>
        </w:tc>
        <w:tc>
          <w:tcPr>
            <w:tcW w:w="696" w:type="dxa"/>
            <w:tcBorders>
              <w:top w:val="single" w:color="000000" w:sz="4" w:space="0"/>
              <w:left w:val="single" w:color="000000" w:sz="4" w:space="0"/>
              <w:bottom w:val="single" w:color="000000" w:sz="4" w:space="0"/>
              <w:right w:val="single" w:color="000000" w:sz="4" w:space="0"/>
            </w:tcBorders>
            <w:vAlign w:val="center"/>
          </w:tcPr>
          <w:p w14:paraId="18E383B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6B40F82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块</w:t>
            </w:r>
          </w:p>
        </w:tc>
        <w:tc>
          <w:tcPr>
            <w:tcW w:w="2530" w:type="dxa"/>
            <w:tcBorders>
              <w:top w:val="single" w:color="000000" w:sz="4" w:space="0"/>
              <w:left w:val="single" w:color="000000" w:sz="4" w:space="0"/>
              <w:bottom w:val="single" w:color="000000" w:sz="4" w:space="0"/>
              <w:right w:val="single" w:color="000000" w:sz="4" w:space="0"/>
            </w:tcBorders>
            <w:vAlign w:val="center"/>
          </w:tcPr>
          <w:p w14:paraId="367C762A">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5FCDF11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0.6</w:t>
            </w:r>
          </w:p>
        </w:tc>
        <w:tc>
          <w:tcPr>
            <w:tcW w:w="1417" w:type="dxa"/>
            <w:tcBorders>
              <w:top w:val="single" w:color="000000" w:sz="4" w:space="0"/>
              <w:left w:val="single" w:color="000000" w:sz="4" w:space="0"/>
              <w:bottom w:val="single" w:color="000000" w:sz="4" w:space="0"/>
              <w:right w:val="single" w:color="000000" w:sz="4" w:space="0"/>
            </w:tcBorders>
            <w:vAlign w:val="center"/>
          </w:tcPr>
          <w:p w14:paraId="7AA7C6CA">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0.6</w:t>
            </w:r>
          </w:p>
        </w:tc>
      </w:tr>
      <w:tr w14:paraId="75D78689">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9AEA28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17</w:t>
            </w:r>
          </w:p>
        </w:tc>
        <w:tc>
          <w:tcPr>
            <w:tcW w:w="1965" w:type="dxa"/>
            <w:tcBorders>
              <w:top w:val="single" w:color="000000" w:sz="4" w:space="0"/>
              <w:left w:val="single" w:color="000000" w:sz="4" w:space="0"/>
              <w:bottom w:val="single" w:color="000000" w:sz="4" w:space="0"/>
              <w:right w:val="single" w:color="000000" w:sz="4" w:space="0"/>
            </w:tcBorders>
            <w:vAlign w:val="center"/>
          </w:tcPr>
          <w:p w14:paraId="4B9CDC6B">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教师操作管控终端</w:t>
            </w:r>
          </w:p>
        </w:tc>
        <w:tc>
          <w:tcPr>
            <w:tcW w:w="696" w:type="dxa"/>
            <w:tcBorders>
              <w:top w:val="single" w:color="000000" w:sz="4" w:space="0"/>
              <w:left w:val="single" w:color="000000" w:sz="4" w:space="0"/>
              <w:bottom w:val="single" w:color="000000" w:sz="4" w:space="0"/>
              <w:right w:val="single" w:color="000000" w:sz="4" w:space="0"/>
            </w:tcBorders>
            <w:vAlign w:val="center"/>
          </w:tcPr>
          <w:p w14:paraId="5BC0DF7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114AD0D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w:t>
            </w:r>
          </w:p>
        </w:tc>
        <w:tc>
          <w:tcPr>
            <w:tcW w:w="2530" w:type="dxa"/>
            <w:tcBorders>
              <w:top w:val="single" w:color="000000" w:sz="4" w:space="0"/>
              <w:left w:val="single" w:color="000000" w:sz="4" w:space="0"/>
              <w:bottom w:val="single" w:color="000000" w:sz="4" w:space="0"/>
              <w:right w:val="single" w:color="000000" w:sz="4" w:space="0"/>
            </w:tcBorders>
            <w:vAlign w:val="center"/>
          </w:tcPr>
          <w:p w14:paraId="7E39DF47">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D37A29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1.07</w:t>
            </w:r>
          </w:p>
        </w:tc>
        <w:tc>
          <w:tcPr>
            <w:tcW w:w="1417" w:type="dxa"/>
            <w:tcBorders>
              <w:top w:val="single" w:color="000000" w:sz="4" w:space="0"/>
              <w:left w:val="single" w:color="000000" w:sz="4" w:space="0"/>
              <w:bottom w:val="single" w:color="000000" w:sz="4" w:space="0"/>
              <w:right w:val="single" w:color="000000" w:sz="4" w:space="0"/>
            </w:tcBorders>
            <w:vAlign w:val="center"/>
          </w:tcPr>
          <w:p w14:paraId="2A64BDF1">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1.07</w:t>
            </w:r>
          </w:p>
        </w:tc>
      </w:tr>
      <w:tr w14:paraId="7EA21337">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8513A9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w:t>
            </w:r>
          </w:p>
        </w:tc>
        <w:tc>
          <w:tcPr>
            <w:tcW w:w="1965" w:type="dxa"/>
            <w:tcBorders>
              <w:top w:val="single" w:color="000000" w:sz="4" w:space="0"/>
              <w:left w:val="single" w:color="000000" w:sz="4" w:space="0"/>
              <w:bottom w:val="single" w:color="000000" w:sz="4" w:space="0"/>
              <w:right w:val="single" w:color="000000" w:sz="4" w:space="0"/>
            </w:tcBorders>
            <w:vAlign w:val="center"/>
          </w:tcPr>
          <w:p w14:paraId="0F429B30">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 xml:space="preserve">直播实训一体化终端 </w:t>
            </w:r>
          </w:p>
        </w:tc>
        <w:tc>
          <w:tcPr>
            <w:tcW w:w="696" w:type="dxa"/>
            <w:tcBorders>
              <w:top w:val="single" w:color="000000" w:sz="4" w:space="0"/>
              <w:left w:val="single" w:color="000000" w:sz="4" w:space="0"/>
              <w:bottom w:val="single" w:color="000000" w:sz="4" w:space="0"/>
              <w:right w:val="single" w:color="000000" w:sz="4" w:space="0"/>
            </w:tcBorders>
            <w:vAlign w:val="center"/>
          </w:tcPr>
          <w:p w14:paraId="0948477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34EAA7E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29390711">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BD0D41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3.75</w:t>
            </w:r>
          </w:p>
        </w:tc>
        <w:tc>
          <w:tcPr>
            <w:tcW w:w="1417" w:type="dxa"/>
            <w:tcBorders>
              <w:top w:val="single" w:color="000000" w:sz="4" w:space="0"/>
              <w:left w:val="single" w:color="000000" w:sz="4" w:space="0"/>
              <w:bottom w:val="single" w:color="000000" w:sz="4" w:space="0"/>
              <w:right w:val="single" w:color="000000" w:sz="4" w:space="0"/>
            </w:tcBorders>
            <w:vAlign w:val="center"/>
          </w:tcPr>
          <w:p w14:paraId="65656A0B">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3.75</w:t>
            </w:r>
          </w:p>
        </w:tc>
      </w:tr>
      <w:tr w14:paraId="5B3A3D6A">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AC8226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19</w:t>
            </w:r>
          </w:p>
        </w:tc>
        <w:tc>
          <w:tcPr>
            <w:tcW w:w="1965" w:type="dxa"/>
            <w:tcBorders>
              <w:top w:val="single" w:color="000000" w:sz="4" w:space="0"/>
              <w:left w:val="single" w:color="000000" w:sz="4" w:space="0"/>
              <w:bottom w:val="single" w:color="000000" w:sz="4" w:space="0"/>
              <w:right w:val="single" w:color="000000" w:sz="4" w:space="0"/>
            </w:tcBorders>
            <w:vAlign w:val="center"/>
          </w:tcPr>
          <w:p w14:paraId="5ADCF2AE">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导播操控面板</w:t>
            </w:r>
          </w:p>
        </w:tc>
        <w:tc>
          <w:tcPr>
            <w:tcW w:w="696" w:type="dxa"/>
            <w:tcBorders>
              <w:top w:val="single" w:color="000000" w:sz="4" w:space="0"/>
              <w:left w:val="single" w:color="000000" w:sz="4" w:space="0"/>
              <w:bottom w:val="single" w:color="000000" w:sz="4" w:space="0"/>
              <w:right w:val="single" w:color="000000" w:sz="4" w:space="0"/>
            </w:tcBorders>
            <w:vAlign w:val="center"/>
          </w:tcPr>
          <w:p w14:paraId="6956E39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4564E9C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4B6A12D2">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3F60E8B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0.8</w:t>
            </w:r>
          </w:p>
        </w:tc>
        <w:tc>
          <w:tcPr>
            <w:tcW w:w="1417" w:type="dxa"/>
            <w:tcBorders>
              <w:top w:val="single" w:color="000000" w:sz="4" w:space="0"/>
              <w:left w:val="single" w:color="000000" w:sz="4" w:space="0"/>
              <w:bottom w:val="single" w:color="000000" w:sz="4" w:space="0"/>
              <w:right w:val="single" w:color="000000" w:sz="4" w:space="0"/>
            </w:tcBorders>
            <w:vAlign w:val="center"/>
          </w:tcPr>
          <w:p w14:paraId="03CC99F0">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0.8</w:t>
            </w:r>
          </w:p>
        </w:tc>
      </w:tr>
      <w:tr w14:paraId="509B5067">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452F24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20</w:t>
            </w:r>
          </w:p>
        </w:tc>
        <w:tc>
          <w:tcPr>
            <w:tcW w:w="1965" w:type="dxa"/>
            <w:tcBorders>
              <w:top w:val="single" w:color="000000" w:sz="4" w:space="0"/>
              <w:left w:val="single" w:color="000000" w:sz="4" w:space="0"/>
              <w:bottom w:val="single" w:color="000000" w:sz="4" w:space="0"/>
              <w:right w:val="single" w:color="000000" w:sz="4" w:space="0"/>
            </w:tcBorders>
            <w:vAlign w:val="center"/>
          </w:tcPr>
          <w:p w14:paraId="5D26A2A1">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AI智评系统</w:t>
            </w:r>
          </w:p>
        </w:tc>
        <w:tc>
          <w:tcPr>
            <w:tcW w:w="696" w:type="dxa"/>
            <w:tcBorders>
              <w:top w:val="single" w:color="000000" w:sz="4" w:space="0"/>
              <w:left w:val="single" w:color="000000" w:sz="4" w:space="0"/>
              <w:bottom w:val="single" w:color="000000" w:sz="4" w:space="0"/>
              <w:right w:val="single" w:color="000000" w:sz="4" w:space="0"/>
            </w:tcBorders>
            <w:vAlign w:val="center"/>
          </w:tcPr>
          <w:p w14:paraId="2E39E3D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7DE6716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0C99E633">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720DB3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4.5</w:t>
            </w:r>
          </w:p>
        </w:tc>
        <w:tc>
          <w:tcPr>
            <w:tcW w:w="1417" w:type="dxa"/>
            <w:tcBorders>
              <w:top w:val="single" w:color="000000" w:sz="4" w:space="0"/>
              <w:left w:val="single" w:color="000000" w:sz="4" w:space="0"/>
              <w:bottom w:val="single" w:color="000000" w:sz="4" w:space="0"/>
              <w:right w:val="single" w:color="000000" w:sz="4" w:space="0"/>
            </w:tcBorders>
            <w:vAlign w:val="center"/>
          </w:tcPr>
          <w:p w14:paraId="128698A9">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4.5</w:t>
            </w:r>
          </w:p>
        </w:tc>
      </w:tr>
      <w:tr w14:paraId="0D2F266B">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7168646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21</w:t>
            </w:r>
          </w:p>
        </w:tc>
        <w:tc>
          <w:tcPr>
            <w:tcW w:w="1965" w:type="dxa"/>
            <w:tcBorders>
              <w:top w:val="single" w:color="000000" w:sz="4" w:space="0"/>
              <w:left w:val="single" w:color="000000" w:sz="4" w:space="0"/>
              <w:bottom w:val="single" w:color="000000" w:sz="4" w:space="0"/>
              <w:right w:val="single" w:color="000000" w:sz="4" w:space="0"/>
            </w:tcBorders>
            <w:vAlign w:val="center"/>
          </w:tcPr>
          <w:p w14:paraId="4CE15761">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高清微距直播摄像机</w:t>
            </w:r>
          </w:p>
        </w:tc>
        <w:tc>
          <w:tcPr>
            <w:tcW w:w="696" w:type="dxa"/>
            <w:tcBorders>
              <w:top w:val="single" w:color="000000" w:sz="4" w:space="0"/>
              <w:left w:val="single" w:color="000000" w:sz="4" w:space="0"/>
              <w:bottom w:val="single" w:color="000000" w:sz="4" w:space="0"/>
              <w:right w:val="single" w:color="000000" w:sz="4" w:space="0"/>
            </w:tcBorders>
            <w:vAlign w:val="center"/>
          </w:tcPr>
          <w:p w14:paraId="7BE1FD7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27C617F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2530" w:type="dxa"/>
            <w:tcBorders>
              <w:top w:val="single" w:color="000000" w:sz="4" w:space="0"/>
              <w:left w:val="single" w:color="000000" w:sz="4" w:space="0"/>
              <w:bottom w:val="single" w:color="000000" w:sz="4" w:space="0"/>
              <w:right w:val="single" w:color="000000" w:sz="4" w:space="0"/>
            </w:tcBorders>
            <w:vAlign w:val="center"/>
          </w:tcPr>
          <w:p w14:paraId="75927F99">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1036101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0.48</w:t>
            </w:r>
          </w:p>
        </w:tc>
        <w:tc>
          <w:tcPr>
            <w:tcW w:w="1417" w:type="dxa"/>
            <w:tcBorders>
              <w:top w:val="single" w:color="000000" w:sz="4" w:space="0"/>
              <w:left w:val="single" w:color="000000" w:sz="4" w:space="0"/>
              <w:bottom w:val="single" w:color="000000" w:sz="4" w:space="0"/>
              <w:right w:val="single" w:color="000000" w:sz="4" w:space="0"/>
            </w:tcBorders>
            <w:vAlign w:val="center"/>
          </w:tcPr>
          <w:p w14:paraId="0514E202">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0.48</w:t>
            </w:r>
          </w:p>
        </w:tc>
      </w:tr>
      <w:tr w14:paraId="6200702C">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4E1997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22</w:t>
            </w:r>
          </w:p>
        </w:tc>
        <w:tc>
          <w:tcPr>
            <w:tcW w:w="1965" w:type="dxa"/>
            <w:tcBorders>
              <w:top w:val="single" w:color="000000" w:sz="4" w:space="0"/>
              <w:left w:val="single" w:color="000000" w:sz="4" w:space="0"/>
              <w:bottom w:val="single" w:color="000000" w:sz="4" w:space="0"/>
              <w:right w:val="single" w:color="000000" w:sz="4" w:space="0"/>
            </w:tcBorders>
            <w:vAlign w:val="center"/>
          </w:tcPr>
          <w:p w14:paraId="3DC9EFE1">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三脚架</w:t>
            </w:r>
          </w:p>
        </w:tc>
        <w:tc>
          <w:tcPr>
            <w:tcW w:w="696" w:type="dxa"/>
            <w:tcBorders>
              <w:top w:val="single" w:color="000000" w:sz="4" w:space="0"/>
              <w:left w:val="single" w:color="000000" w:sz="4" w:space="0"/>
              <w:bottom w:val="single" w:color="000000" w:sz="4" w:space="0"/>
              <w:right w:val="single" w:color="000000" w:sz="4" w:space="0"/>
            </w:tcBorders>
            <w:vAlign w:val="center"/>
          </w:tcPr>
          <w:p w14:paraId="07046FA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503CC04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付</w:t>
            </w:r>
          </w:p>
        </w:tc>
        <w:tc>
          <w:tcPr>
            <w:tcW w:w="2530" w:type="dxa"/>
            <w:tcBorders>
              <w:top w:val="single" w:color="000000" w:sz="4" w:space="0"/>
              <w:left w:val="single" w:color="000000" w:sz="4" w:space="0"/>
              <w:bottom w:val="single" w:color="000000" w:sz="4" w:space="0"/>
              <w:right w:val="single" w:color="000000" w:sz="4" w:space="0"/>
            </w:tcBorders>
            <w:vAlign w:val="center"/>
          </w:tcPr>
          <w:p w14:paraId="45AA00E5">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5F1308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0.15</w:t>
            </w:r>
          </w:p>
        </w:tc>
        <w:tc>
          <w:tcPr>
            <w:tcW w:w="1417" w:type="dxa"/>
            <w:tcBorders>
              <w:top w:val="single" w:color="000000" w:sz="4" w:space="0"/>
              <w:left w:val="single" w:color="000000" w:sz="4" w:space="0"/>
              <w:bottom w:val="single" w:color="000000" w:sz="4" w:space="0"/>
              <w:right w:val="single" w:color="000000" w:sz="4" w:space="0"/>
            </w:tcBorders>
            <w:vAlign w:val="center"/>
          </w:tcPr>
          <w:p w14:paraId="30DE7A23">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0.15</w:t>
            </w:r>
          </w:p>
        </w:tc>
      </w:tr>
      <w:tr w14:paraId="4ACAEA91">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5DC318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23</w:t>
            </w:r>
          </w:p>
        </w:tc>
        <w:tc>
          <w:tcPr>
            <w:tcW w:w="1965" w:type="dxa"/>
            <w:tcBorders>
              <w:top w:val="single" w:color="000000" w:sz="4" w:space="0"/>
              <w:left w:val="single" w:color="000000" w:sz="4" w:space="0"/>
              <w:bottom w:val="single" w:color="000000" w:sz="4" w:space="0"/>
              <w:right w:val="single" w:color="000000" w:sz="4" w:space="0"/>
            </w:tcBorders>
            <w:vAlign w:val="center"/>
          </w:tcPr>
          <w:p w14:paraId="2B66122B">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无线领夹麦克风</w:t>
            </w:r>
          </w:p>
        </w:tc>
        <w:tc>
          <w:tcPr>
            <w:tcW w:w="696" w:type="dxa"/>
            <w:tcBorders>
              <w:top w:val="single" w:color="000000" w:sz="4" w:space="0"/>
              <w:left w:val="single" w:color="000000" w:sz="4" w:space="0"/>
              <w:bottom w:val="single" w:color="000000" w:sz="4" w:space="0"/>
              <w:right w:val="single" w:color="000000" w:sz="4" w:space="0"/>
            </w:tcBorders>
            <w:vAlign w:val="center"/>
          </w:tcPr>
          <w:p w14:paraId="05D3BF9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2769874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16787C74">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74B1BB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0.138</w:t>
            </w:r>
          </w:p>
        </w:tc>
        <w:tc>
          <w:tcPr>
            <w:tcW w:w="1417" w:type="dxa"/>
            <w:tcBorders>
              <w:top w:val="single" w:color="000000" w:sz="4" w:space="0"/>
              <w:left w:val="single" w:color="000000" w:sz="4" w:space="0"/>
              <w:bottom w:val="single" w:color="000000" w:sz="4" w:space="0"/>
              <w:right w:val="single" w:color="000000" w:sz="4" w:space="0"/>
            </w:tcBorders>
            <w:vAlign w:val="center"/>
          </w:tcPr>
          <w:p w14:paraId="0772664A">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0.138</w:t>
            </w:r>
          </w:p>
        </w:tc>
      </w:tr>
      <w:tr w14:paraId="089B010D">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59593A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24</w:t>
            </w:r>
          </w:p>
        </w:tc>
        <w:tc>
          <w:tcPr>
            <w:tcW w:w="1965" w:type="dxa"/>
            <w:tcBorders>
              <w:top w:val="single" w:color="000000" w:sz="4" w:space="0"/>
              <w:left w:val="single" w:color="000000" w:sz="4" w:space="0"/>
              <w:bottom w:val="single" w:color="000000" w:sz="4" w:space="0"/>
              <w:right w:val="single" w:color="000000" w:sz="4" w:space="0"/>
            </w:tcBorders>
            <w:vAlign w:val="center"/>
          </w:tcPr>
          <w:p w14:paraId="364EDC8A">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电容麦声卡套装</w:t>
            </w:r>
          </w:p>
        </w:tc>
        <w:tc>
          <w:tcPr>
            <w:tcW w:w="696" w:type="dxa"/>
            <w:tcBorders>
              <w:top w:val="single" w:color="000000" w:sz="4" w:space="0"/>
              <w:left w:val="single" w:color="000000" w:sz="4" w:space="0"/>
              <w:bottom w:val="single" w:color="000000" w:sz="4" w:space="0"/>
              <w:right w:val="single" w:color="000000" w:sz="4" w:space="0"/>
            </w:tcBorders>
            <w:vAlign w:val="center"/>
          </w:tcPr>
          <w:p w14:paraId="0A6F76A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7128647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35A35471">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55EB4ED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0.5</w:t>
            </w:r>
          </w:p>
        </w:tc>
        <w:tc>
          <w:tcPr>
            <w:tcW w:w="1417" w:type="dxa"/>
            <w:tcBorders>
              <w:top w:val="single" w:color="000000" w:sz="4" w:space="0"/>
              <w:left w:val="single" w:color="000000" w:sz="4" w:space="0"/>
              <w:bottom w:val="single" w:color="000000" w:sz="4" w:space="0"/>
              <w:right w:val="single" w:color="000000" w:sz="4" w:space="0"/>
            </w:tcBorders>
            <w:vAlign w:val="center"/>
          </w:tcPr>
          <w:p w14:paraId="3F3C5523">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0.5</w:t>
            </w:r>
          </w:p>
        </w:tc>
      </w:tr>
      <w:tr w14:paraId="12B94A84">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3D84015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25</w:t>
            </w:r>
          </w:p>
        </w:tc>
        <w:tc>
          <w:tcPr>
            <w:tcW w:w="1965" w:type="dxa"/>
            <w:tcBorders>
              <w:top w:val="single" w:color="000000" w:sz="4" w:space="0"/>
              <w:left w:val="single" w:color="000000" w:sz="4" w:space="0"/>
              <w:bottom w:val="single" w:color="000000" w:sz="4" w:space="0"/>
              <w:right w:val="single" w:color="000000" w:sz="4" w:space="0"/>
            </w:tcBorders>
            <w:vAlign w:val="center"/>
          </w:tcPr>
          <w:p w14:paraId="0C33B070">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抠像背景套装</w:t>
            </w:r>
          </w:p>
        </w:tc>
        <w:tc>
          <w:tcPr>
            <w:tcW w:w="696" w:type="dxa"/>
            <w:tcBorders>
              <w:top w:val="single" w:color="000000" w:sz="4" w:space="0"/>
              <w:left w:val="single" w:color="000000" w:sz="4" w:space="0"/>
              <w:bottom w:val="single" w:color="000000" w:sz="4" w:space="0"/>
              <w:right w:val="single" w:color="000000" w:sz="4" w:space="0"/>
            </w:tcBorders>
            <w:vAlign w:val="center"/>
          </w:tcPr>
          <w:p w14:paraId="36045FA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60D64E8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188F681D">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5099D68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0.186</w:t>
            </w:r>
          </w:p>
        </w:tc>
        <w:tc>
          <w:tcPr>
            <w:tcW w:w="1417" w:type="dxa"/>
            <w:tcBorders>
              <w:top w:val="single" w:color="000000" w:sz="4" w:space="0"/>
              <w:left w:val="single" w:color="000000" w:sz="4" w:space="0"/>
              <w:bottom w:val="single" w:color="000000" w:sz="4" w:space="0"/>
              <w:right w:val="single" w:color="000000" w:sz="4" w:space="0"/>
            </w:tcBorders>
            <w:vAlign w:val="center"/>
          </w:tcPr>
          <w:p w14:paraId="38C9045E">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0.186</w:t>
            </w:r>
          </w:p>
        </w:tc>
      </w:tr>
      <w:tr w14:paraId="2EE03B7B">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96C5E8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26</w:t>
            </w:r>
          </w:p>
        </w:tc>
        <w:tc>
          <w:tcPr>
            <w:tcW w:w="1965" w:type="dxa"/>
            <w:tcBorders>
              <w:top w:val="single" w:color="000000" w:sz="4" w:space="0"/>
              <w:left w:val="single" w:color="000000" w:sz="4" w:space="0"/>
              <w:bottom w:val="single" w:color="000000" w:sz="4" w:space="0"/>
              <w:right w:val="single" w:color="000000" w:sz="4" w:space="0"/>
            </w:tcBorders>
            <w:vAlign w:val="center"/>
          </w:tcPr>
          <w:p w14:paraId="7D7434B1">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移动补光灯套装</w:t>
            </w:r>
          </w:p>
        </w:tc>
        <w:tc>
          <w:tcPr>
            <w:tcW w:w="696" w:type="dxa"/>
            <w:tcBorders>
              <w:top w:val="single" w:color="000000" w:sz="4" w:space="0"/>
              <w:left w:val="single" w:color="000000" w:sz="4" w:space="0"/>
              <w:bottom w:val="single" w:color="000000" w:sz="4" w:space="0"/>
              <w:right w:val="single" w:color="000000" w:sz="4" w:space="0"/>
            </w:tcBorders>
            <w:vAlign w:val="center"/>
          </w:tcPr>
          <w:p w14:paraId="6E16529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696BB1C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6390761C">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3810074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0.3</w:t>
            </w:r>
          </w:p>
        </w:tc>
        <w:tc>
          <w:tcPr>
            <w:tcW w:w="1417" w:type="dxa"/>
            <w:tcBorders>
              <w:top w:val="single" w:color="000000" w:sz="4" w:space="0"/>
              <w:left w:val="single" w:color="000000" w:sz="4" w:space="0"/>
              <w:bottom w:val="single" w:color="000000" w:sz="4" w:space="0"/>
              <w:right w:val="single" w:color="000000" w:sz="4" w:space="0"/>
            </w:tcBorders>
            <w:vAlign w:val="center"/>
          </w:tcPr>
          <w:p w14:paraId="59F53432">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0.3</w:t>
            </w:r>
          </w:p>
        </w:tc>
      </w:tr>
      <w:tr w14:paraId="03ED6DA8">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6B56A4F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27</w:t>
            </w:r>
          </w:p>
        </w:tc>
        <w:tc>
          <w:tcPr>
            <w:tcW w:w="1965" w:type="dxa"/>
            <w:tcBorders>
              <w:top w:val="single" w:color="000000" w:sz="4" w:space="0"/>
              <w:left w:val="single" w:color="000000" w:sz="4" w:space="0"/>
              <w:bottom w:val="single" w:color="000000" w:sz="4" w:space="0"/>
              <w:right w:val="single" w:color="000000" w:sz="4" w:space="0"/>
            </w:tcBorders>
            <w:vAlign w:val="center"/>
          </w:tcPr>
          <w:p w14:paraId="7602816C">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落地直播环形灯</w:t>
            </w:r>
          </w:p>
        </w:tc>
        <w:tc>
          <w:tcPr>
            <w:tcW w:w="696" w:type="dxa"/>
            <w:tcBorders>
              <w:top w:val="single" w:color="000000" w:sz="4" w:space="0"/>
              <w:left w:val="single" w:color="000000" w:sz="4" w:space="0"/>
              <w:bottom w:val="single" w:color="000000" w:sz="4" w:space="0"/>
              <w:right w:val="single" w:color="000000" w:sz="4" w:space="0"/>
            </w:tcBorders>
            <w:vAlign w:val="center"/>
          </w:tcPr>
          <w:p w14:paraId="592BFE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07C98E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5A761D3C">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04C7D9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0.034</w:t>
            </w:r>
          </w:p>
        </w:tc>
        <w:tc>
          <w:tcPr>
            <w:tcW w:w="1417" w:type="dxa"/>
            <w:tcBorders>
              <w:top w:val="single" w:color="000000" w:sz="4" w:space="0"/>
              <w:left w:val="single" w:color="000000" w:sz="4" w:space="0"/>
              <w:bottom w:val="single" w:color="000000" w:sz="4" w:space="0"/>
              <w:right w:val="single" w:color="000000" w:sz="4" w:space="0"/>
            </w:tcBorders>
            <w:vAlign w:val="center"/>
          </w:tcPr>
          <w:p w14:paraId="1179ACF8">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0.034</w:t>
            </w:r>
          </w:p>
        </w:tc>
      </w:tr>
      <w:tr w14:paraId="27FD31CC">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694736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28</w:t>
            </w:r>
          </w:p>
        </w:tc>
        <w:tc>
          <w:tcPr>
            <w:tcW w:w="1965" w:type="dxa"/>
            <w:tcBorders>
              <w:top w:val="single" w:color="000000" w:sz="4" w:space="0"/>
              <w:left w:val="single" w:color="000000" w:sz="4" w:space="0"/>
              <w:bottom w:val="single" w:color="000000" w:sz="4" w:space="0"/>
              <w:right w:val="single" w:color="000000" w:sz="4" w:space="0"/>
            </w:tcBorders>
            <w:vAlign w:val="center"/>
          </w:tcPr>
          <w:p w14:paraId="481CB468">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直播桌椅</w:t>
            </w:r>
          </w:p>
        </w:tc>
        <w:tc>
          <w:tcPr>
            <w:tcW w:w="696" w:type="dxa"/>
            <w:tcBorders>
              <w:top w:val="single" w:color="000000" w:sz="4" w:space="0"/>
              <w:left w:val="single" w:color="000000" w:sz="4" w:space="0"/>
              <w:bottom w:val="single" w:color="000000" w:sz="4" w:space="0"/>
              <w:right w:val="single" w:color="000000" w:sz="4" w:space="0"/>
            </w:tcBorders>
            <w:vAlign w:val="center"/>
          </w:tcPr>
          <w:p w14:paraId="1041D25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482F6EA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5EB40F92">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3CC642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0.18</w:t>
            </w:r>
          </w:p>
        </w:tc>
        <w:tc>
          <w:tcPr>
            <w:tcW w:w="1417" w:type="dxa"/>
            <w:tcBorders>
              <w:top w:val="single" w:color="000000" w:sz="4" w:space="0"/>
              <w:left w:val="single" w:color="000000" w:sz="4" w:space="0"/>
              <w:bottom w:val="single" w:color="000000" w:sz="4" w:space="0"/>
              <w:right w:val="single" w:color="000000" w:sz="4" w:space="0"/>
            </w:tcBorders>
            <w:vAlign w:val="center"/>
          </w:tcPr>
          <w:p w14:paraId="1CE8BF3C">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0.18</w:t>
            </w:r>
          </w:p>
        </w:tc>
      </w:tr>
      <w:tr w14:paraId="229F40F2">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376C202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29</w:t>
            </w:r>
          </w:p>
        </w:tc>
        <w:tc>
          <w:tcPr>
            <w:tcW w:w="1965" w:type="dxa"/>
            <w:tcBorders>
              <w:top w:val="single" w:color="000000" w:sz="4" w:space="0"/>
              <w:left w:val="single" w:color="000000" w:sz="4" w:space="0"/>
              <w:bottom w:val="single" w:color="000000" w:sz="4" w:space="0"/>
              <w:right w:val="single" w:color="000000" w:sz="4" w:space="0"/>
            </w:tcBorders>
            <w:vAlign w:val="center"/>
          </w:tcPr>
          <w:p w14:paraId="4A1A1EC1">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选品陈列柜</w:t>
            </w:r>
          </w:p>
        </w:tc>
        <w:tc>
          <w:tcPr>
            <w:tcW w:w="696" w:type="dxa"/>
            <w:tcBorders>
              <w:top w:val="single" w:color="000000" w:sz="4" w:space="0"/>
              <w:left w:val="single" w:color="000000" w:sz="4" w:space="0"/>
              <w:bottom w:val="single" w:color="000000" w:sz="4" w:space="0"/>
              <w:right w:val="single" w:color="000000" w:sz="4" w:space="0"/>
            </w:tcBorders>
            <w:vAlign w:val="center"/>
          </w:tcPr>
          <w:p w14:paraId="671AC0D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08657D3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38821AF3">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72509FE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0.253</w:t>
            </w:r>
          </w:p>
        </w:tc>
        <w:tc>
          <w:tcPr>
            <w:tcW w:w="1417" w:type="dxa"/>
            <w:tcBorders>
              <w:top w:val="single" w:color="000000" w:sz="4" w:space="0"/>
              <w:left w:val="single" w:color="000000" w:sz="4" w:space="0"/>
              <w:bottom w:val="single" w:color="000000" w:sz="4" w:space="0"/>
              <w:right w:val="single" w:color="000000" w:sz="4" w:space="0"/>
            </w:tcBorders>
            <w:vAlign w:val="center"/>
          </w:tcPr>
          <w:p w14:paraId="1A1494DA">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0.253</w:t>
            </w:r>
          </w:p>
        </w:tc>
      </w:tr>
      <w:tr w14:paraId="4DC758EB">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528B3DE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30</w:t>
            </w:r>
          </w:p>
        </w:tc>
        <w:tc>
          <w:tcPr>
            <w:tcW w:w="1965" w:type="dxa"/>
            <w:tcBorders>
              <w:top w:val="single" w:color="000000" w:sz="4" w:space="0"/>
              <w:left w:val="single" w:color="000000" w:sz="4" w:space="0"/>
              <w:bottom w:val="single" w:color="000000" w:sz="4" w:space="0"/>
              <w:right w:val="single" w:color="000000" w:sz="4" w:space="0"/>
            </w:tcBorders>
            <w:vAlign w:val="center"/>
          </w:tcPr>
          <w:p w14:paraId="42D2DDC0">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万兆路由器</w:t>
            </w:r>
          </w:p>
        </w:tc>
        <w:tc>
          <w:tcPr>
            <w:tcW w:w="696" w:type="dxa"/>
            <w:tcBorders>
              <w:top w:val="single" w:color="000000" w:sz="4" w:space="0"/>
              <w:left w:val="single" w:color="000000" w:sz="4" w:space="0"/>
              <w:bottom w:val="single" w:color="000000" w:sz="4" w:space="0"/>
              <w:right w:val="single" w:color="000000" w:sz="4" w:space="0"/>
            </w:tcBorders>
            <w:vAlign w:val="center"/>
          </w:tcPr>
          <w:p w14:paraId="2E91DAE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2C86B2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466EF471">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29A4697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0.4</w:t>
            </w:r>
          </w:p>
        </w:tc>
        <w:tc>
          <w:tcPr>
            <w:tcW w:w="1417" w:type="dxa"/>
            <w:tcBorders>
              <w:top w:val="single" w:color="000000" w:sz="4" w:space="0"/>
              <w:left w:val="single" w:color="000000" w:sz="4" w:space="0"/>
              <w:bottom w:val="single" w:color="000000" w:sz="4" w:space="0"/>
              <w:right w:val="single" w:color="000000" w:sz="4" w:space="0"/>
            </w:tcBorders>
            <w:vAlign w:val="center"/>
          </w:tcPr>
          <w:p w14:paraId="236DFE73">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0.4</w:t>
            </w:r>
          </w:p>
        </w:tc>
      </w:tr>
      <w:tr w14:paraId="53430F04">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73AB12B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31</w:t>
            </w:r>
          </w:p>
        </w:tc>
        <w:tc>
          <w:tcPr>
            <w:tcW w:w="1965" w:type="dxa"/>
            <w:tcBorders>
              <w:top w:val="single" w:color="000000" w:sz="4" w:space="0"/>
              <w:left w:val="single" w:color="000000" w:sz="4" w:space="0"/>
              <w:bottom w:val="single" w:color="000000" w:sz="4" w:space="0"/>
              <w:right w:val="single" w:color="000000" w:sz="4" w:space="0"/>
            </w:tcBorders>
            <w:vAlign w:val="center"/>
          </w:tcPr>
          <w:p w14:paraId="04FA3DDE">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教师控制台</w:t>
            </w:r>
          </w:p>
        </w:tc>
        <w:tc>
          <w:tcPr>
            <w:tcW w:w="696" w:type="dxa"/>
            <w:tcBorders>
              <w:top w:val="single" w:color="000000" w:sz="4" w:space="0"/>
              <w:left w:val="single" w:color="000000" w:sz="4" w:space="0"/>
              <w:bottom w:val="single" w:color="000000" w:sz="4" w:space="0"/>
              <w:right w:val="single" w:color="000000" w:sz="4" w:space="0"/>
            </w:tcBorders>
            <w:vAlign w:val="center"/>
          </w:tcPr>
          <w:p w14:paraId="0F242E7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7A17434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2530" w:type="dxa"/>
            <w:tcBorders>
              <w:top w:val="single" w:color="000000" w:sz="4" w:space="0"/>
              <w:left w:val="single" w:color="000000" w:sz="4" w:space="0"/>
              <w:bottom w:val="single" w:color="000000" w:sz="4" w:space="0"/>
              <w:right w:val="single" w:color="000000" w:sz="4" w:space="0"/>
            </w:tcBorders>
            <w:vAlign w:val="center"/>
          </w:tcPr>
          <w:p w14:paraId="697CCF89">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7432A56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0.168</w:t>
            </w:r>
          </w:p>
        </w:tc>
        <w:tc>
          <w:tcPr>
            <w:tcW w:w="1417" w:type="dxa"/>
            <w:tcBorders>
              <w:top w:val="single" w:color="000000" w:sz="4" w:space="0"/>
              <w:left w:val="single" w:color="000000" w:sz="4" w:space="0"/>
              <w:bottom w:val="single" w:color="000000" w:sz="4" w:space="0"/>
              <w:right w:val="single" w:color="000000" w:sz="4" w:space="0"/>
            </w:tcBorders>
            <w:vAlign w:val="center"/>
          </w:tcPr>
          <w:p w14:paraId="55FFD960">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0.168</w:t>
            </w:r>
          </w:p>
        </w:tc>
      </w:tr>
      <w:tr w14:paraId="3B3E2E0B">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EA3EFC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32</w:t>
            </w:r>
          </w:p>
        </w:tc>
        <w:tc>
          <w:tcPr>
            <w:tcW w:w="1965" w:type="dxa"/>
            <w:tcBorders>
              <w:top w:val="single" w:color="000000" w:sz="4" w:space="0"/>
              <w:left w:val="single" w:color="000000" w:sz="4" w:space="0"/>
              <w:bottom w:val="single" w:color="000000" w:sz="4" w:space="0"/>
              <w:right w:val="single" w:color="000000" w:sz="4" w:space="0"/>
            </w:tcBorders>
            <w:vAlign w:val="center"/>
          </w:tcPr>
          <w:p w14:paraId="0233AC7F">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教师椅</w:t>
            </w:r>
          </w:p>
        </w:tc>
        <w:tc>
          <w:tcPr>
            <w:tcW w:w="696" w:type="dxa"/>
            <w:tcBorders>
              <w:top w:val="single" w:color="000000" w:sz="4" w:space="0"/>
              <w:left w:val="single" w:color="000000" w:sz="4" w:space="0"/>
              <w:bottom w:val="single" w:color="000000" w:sz="4" w:space="0"/>
              <w:right w:val="single" w:color="000000" w:sz="4" w:space="0"/>
            </w:tcBorders>
            <w:vAlign w:val="center"/>
          </w:tcPr>
          <w:p w14:paraId="136D44E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61F81CD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2530" w:type="dxa"/>
            <w:tcBorders>
              <w:top w:val="single" w:color="000000" w:sz="4" w:space="0"/>
              <w:left w:val="single" w:color="000000" w:sz="4" w:space="0"/>
              <w:bottom w:val="single" w:color="000000" w:sz="4" w:space="0"/>
              <w:right w:val="single" w:color="000000" w:sz="4" w:space="0"/>
            </w:tcBorders>
            <w:vAlign w:val="center"/>
          </w:tcPr>
          <w:p w14:paraId="06766DCC">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85EE5D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0.056</w:t>
            </w:r>
          </w:p>
        </w:tc>
        <w:tc>
          <w:tcPr>
            <w:tcW w:w="1417" w:type="dxa"/>
            <w:tcBorders>
              <w:top w:val="single" w:color="000000" w:sz="4" w:space="0"/>
              <w:left w:val="single" w:color="000000" w:sz="4" w:space="0"/>
              <w:bottom w:val="single" w:color="000000" w:sz="4" w:space="0"/>
              <w:right w:val="single" w:color="000000" w:sz="4" w:space="0"/>
            </w:tcBorders>
            <w:vAlign w:val="center"/>
          </w:tcPr>
          <w:p w14:paraId="3BA4C59F">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0.056</w:t>
            </w:r>
          </w:p>
        </w:tc>
      </w:tr>
      <w:tr w14:paraId="1659B1F5">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5B79283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33</w:t>
            </w:r>
          </w:p>
        </w:tc>
        <w:tc>
          <w:tcPr>
            <w:tcW w:w="1965" w:type="dxa"/>
            <w:tcBorders>
              <w:top w:val="single" w:color="000000" w:sz="4" w:space="0"/>
              <w:left w:val="single" w:color="000000" w:sz="4" w:space="0"/>
              <w:bottom w:val="single" w:color="000000" w:sz="4" w:space="0"/>
              <w:right w:val="single" w:color="000000" w:sz="4" w:space="0"/>
            </w:tcBorders>
            <w:vAlign w:val="center"/>
          </w:tcPr>
          <w:p w14:paraId="5207FBF3">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学生桌（带翻转器）</w:t>
            </w:r>
          </w:p>
        </w:tc>
        <w:tc>
          <w:tcPr>
            <w:tcW w:w="696" w:type="dxa"/>
            <w:tcBorders>
              <w:top w:val="single" w:color="000000" w:sz="4" w:space="0"/>
              <w:left w:val="single" w:color="000000" w:sz="4" w:space="0"/>
              <w:bottom w:val="single" w:color="000000" w:sz="4" w:space="0"/>
              <w:right w:val="single" w:color="000000" w:sz="4" w:space="0"/>
            </w:tcBorders>
            <w:vAlign w:val="center"/>
          </w:tcPr>
          <w:p w14:paraId="175987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w:t>
            </w:r>
          </w:p>
        </w:tc>
        <w:tc>
          <w:tcPr>
            <w:tcW w:w="721" w:type="dxa"/>
            <w:tcBorders>
              <w:top w:val="single" w:color="000000" w:sz="4" w:space="0"/>
              <w:left w:val="single" w:color="000000" w:sz="4" w:space="0"/>
              <w:bottom w:val="single" w:color="000000" w:sz="4" w:space="0"/>
              <w:right w:val="single" w:color="000000" w:sz="4" w:space="0"/>
            </w:tcBorders>
            <w:vAlign w:val="center"/>
          </w:tcPr>
          <w:p w14:paraId="60BB73E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位</w:t>
            </w:r>
          </w:p>
        </w:tc>
        <w:tc>
          <w:tcPr>
            <w:tcW w:w="2530" w:type="dxa"/>
            <w:tcBorders>
              <w:top w:val="single" w:color="000000" w:sz="4" w:space="0"/>
              <w:left w:val="single" w:color="000000" w:sz="4" w:space="0"/>
              <w:bottom w:val="single" w:color="000000" w:sz="4" w:space="0"/>
              <w:right w:val="single" w:color="000000" w:sz="4" w:space="0"/>
            </w:tcBorders>
            <w:vAlign w:val="center"/>
          </w:tcPr>
          <w:p w14:paraId="12593F41">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4DC632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0.099</w:t>
            </w:r>
          </w:p>
        </w:tc>
        <w:tc>
          <w:tcPr>
            <w:tcW w:w="1417" w:type="dxa"/>
            <w:tcBorders>
              <w:top w:val="single" w:color="000000" w:sz="4" w:space="0"/>
              <w:left w:val="single" w:color="000000" w:sz="4" w:space="0"/>
              <w:bottom w:val="single" w:color="000000" w:sz="4" w:space="0"/>
              <w:right w:val="single" w:color="000000" w:sz="4" w:space="0"/>
            </w:tcBorders>
            <w:vAlign w:val="center"/>
          </w:tcPr>
          <w:p w14:paraId="15D48E09">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4.257</w:t>
            </w:r>
          </w:p>
        </w:tc>
      </w:tr>
      <w:tr w14:paraId="633D7BF0">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0A0CD0C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34</w:t>
            </w:r>
          </w:p>
        </w:tc>
        <w:tc>
          <w:tcPr>
            <w:tcW w:w="1965" w:type="dxa"/>
            <w:tcBorders>
              <w:top w:val="single" w:color="000000" w:sz="4" w:space="0"/>
              <w:left w:val="single" w:color="000000" w:sz="4" w:space="0"/>
              <w:bottom w:val="single" w:color="000000" w:sz="4" w:space="0"/>
              <w:right w:val="single" w:color="000000" w:sz="4" w:space="0"/>
            </w:tcBorders>
            <w:vAlign w:val="center"/>
          </w:tcPr>
          <w:p w14:paraId="28B34FA5">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学生椅</w:t>
            </w:r>
          </w:p>
        </w:tc>
        <w:tc>
          <w:tcPr>
            <w:tcW w:w="696" w:type="dxa"/>
            <w:tcBorders>
              <w:top w:val="single" w:color="000000" w:sz="4" w:space="0"/>
              <w:left w:val="single" w:color="000000" w:sz="4" w:space="0"/>
              <w:bottom w:val="single" w:color="000000" w:sz="4" w:space="0"/>
              <w:right w:val="single" w:color="000000" w:sz="4" w:space="0"/>
            </w:tcBorders>
            <w:vAlign w:val="center"/>
          </w:tcPr>
          <w:p w14:paraId="02033A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43</w:t>
            </w:r>
          </w:p>
        </w:tc>
        <w:tc>
          <w:tcPr>
            <w:tcW w:w="721" w:type="dxa"/>
            <w:tcBorders>
              <w:top w:val="single" w:color="000000" w:sz="4" w:space="0"/>
              <w:left w:val="single" w:color="000000" w:sz="4" w:space="0"/>
              <w:bottom w:val="single" w:color="000000" w:sz="4" w:space="0"/>
              <w:right w:val="single" w:color="000000" w:sz="4" w:space="0"/>
            </w:tcBorders>
            <w:vAlign w:val="center"/>
          </w:tcPr>
          <w:p w14:paraId="50E7CD8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张</w:t>
            </w:r>
          </w:p>
        </w:tc>
        <w:tc>
          <w:tcPr>
            <w:tcW w:w="2530" w:type="dxa"/>
            <w:tcBorders>
              <w:top w:val="single" w:color="000000" w:sz="4" w:space="0"/>
              <w:left w:val="single" w:color="000000" w:sz="4" w:space="0"/>
              <w:bottom w:val="single" w:color="000000" w:sz="4" w:space="0"/>
              <w:right w:val="single" w:color="000000" w:sz="4" w:space="0"/>
            </w:tcBorders>
            <w:vAlign w:val="center"/>
          </w:tcPr>
          <w:p w14:paraId="67C4F1D6">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097E93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0.012</w:t>
            </w:r>
          </w:p>
        </w:tc>
        <w:tc>
          <w:tcPr>
            <w:tcW w:w="1417" w:type="dxa"/>
            <w:tcBorders>
              <w:top w:val="single" w:color="000000" w:sz="4" w:space="0"/>
              <w:left w:val="single" w:color="000000" w:sz="4" w:space="0"/>
              <w:bottom w:val="single" w:color="000000" w:sz="4" w:space="0"/>
              <w:right w:val="single" w:color="000000" w:sz="4" w:space="0"/>
            </w:tcBorders>
            <w:vAlign w:val="center"/>
          </w:tcPr>
          <w:p w14:paraId="57E40FC2">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0.516</w:t>
            </w:r>
          </w:p>
        </w:tc>
      </w:tr>
      <w:tr w14:paraId="54ED3E7B">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48C886B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35</w:t>
            </w:r>
          </w:p>
        </w:tc>
        <w:tc>
          <w:tcPr>
            <w:tcW w:w="1965" w:type="dxa"/>
            <w:tcBorders>
              <w:top w:val="single" w:color="000000" w:sz="4" w:space="0"/>
              <w:left w:val="single" w:color="000000" w:sz="4" w:space="0"/>
              <w:bottom w:val="single" w:color="000000" w:sz="4" w:space="0"/>
              <w:right w:val="single" w:color="000000" w:sz="4" w:space="0"/>
            </w:tcBorders>
            <w:vAlign w:val="center"/>
          </w:tcPr>
          <w:p w14:paraId="4FE432B4">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吸顶式制冷设备（一拖二）</w:t>
            </w:r>
          </w:p>
        </w:tc>
        <w:tc>
          <w:tcPr>
            <w:tcW w:w="696" w:type="dxa"/>
            <w:tcBorders>
              <w:top w:val="single" w:color="000000" w:sz="4" w:space="0"/>
              <w:left w:val="single" w:color="000000" w:sz="4" w:space="0"/>
              <w:bottom w:val="single" w:color="000000" w:sz="4" w:space="0"/>
              <w:right w:val="single" w:color="000000" w:sz="4" w:space="0"/>
            </w:tcBorders>
            <w:vAlign w:val="center"/>
          </w:tcPr>
          <w:p w14:paraId="007A0DA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656A15C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套</w:t>
            </w:r>
          </w:p>
        </w:tc>
        <w:tc>
          <w:tcPr>
            <w:tcW w:w="2530" w:type="dxa"/>
            <w:tcBorders>
              <w:top w:val="single" w:color="000000" w:sz="4" w:space="0"/>
              <w:left w:val="single" w:color="000000" w:sz="4" w:space="0"/>
              <w:bottom w:val="single" w:color="000000" w:sz="4" w:space="0"/>
              <w:right w:val="single" w:color="000000" w:sz="4" w:space="0"/>
            </w:tcBorders>
            <w:vAlign w:val="center"/>
          </w:tcPr>
          <w:p w14:paraId="31D28541">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744EED9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2.22</w:t>
            </w:r>
          </w:p>
        </w:tc>
        <w:tc>
          <w:tcPr>
            <w:tcW w:w="1417" w:type="dxa"/>
            <w:tcBorders>
              <w:top w:val="single" w:color="000000" w:sz="4" w:space="0"/>
              <w:left w:val="single" w:color="000000" w:sz="4" w:space="0"/>
              <w:bottom w:val="single" w:color="000000" w:sz="4" w:space="0"/>
              <w:right w:val="single" w:color="000000" w:sz="4" w:space="0"/>
            </w:tcBorders>
            <w:vAlign w:val="center"/>
          </w:tcPr>
          <w:p w14:paraId="12FED2E4">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2.22</w:t>
            </w:r>
          </w:p>
        </w:tc>
      </w:tr>
      <w:tr w14:paraId="1506F1D8">
        <w:tblPrEx>
          <w:tblCellMar>
            <w:top w:w="0" w:type="dxa"/>
            <w:left w:w="108" w:type="dxa"/>
            <w:bottom w:w="0" w:type="dxa"/>
            <w:right w:w="108" w:type="dxa"/>
          </w:tblCellMar>
        </w:tblPrEx>
        <w:trPr>
          <w:trHeight w:val="161" w:hRule="atLeast"/>
          <w:jc w:val="center"/>
        </w:trPr>
        <w:tc>
          <w:tcPr>
            <w:tcW w:w="1094" w:type="dxa"/>
            <w:tcBorders>
              <w:top w:val="single" w:color="000000" w:sz="4" w:space="0"/>
              <w:left w:val="single" w:color="000000" w:sz="4" w:space="0"/>
              <w:bottom w:val="single" w:color="000000" w:sz="4" w:space="0"/>
              <w:right w:val="single" w:color="000000" w:sz="4" w:space="0"/>
            </w:tcBorders>
            <w:vAlign w:val="center"/>
          </w:tcPr>
          <w:p w14:paraId="2C82E3B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36</w:t>
            </w:r>
          </w:p>
        </w:tc>
        <w:tc>
          <w:tcPr>
            <w:tcW w:w="1965" w:type="dxa"/>
            <w:tcBorders>
              <w:top w:val="single" w:color="000000" w:sz="4" w:space="0"/>
              <w:left w:val="single" w:color="000000" w:sz="4" w:space="0"/>
              <w:bottom w:val="single" w:color="000000" w:sz="4" w:space="0"/>
              <w:right w:val="single" w:color="000000" w:sz="4" w:space="0"/>
            </w:tcBorders>
            <w:vAlign w:val="center"/>
          </w:tcPr>
          <w:p w14:paraId="346737C1">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环境改造</w:t>
            </w:r>
          </w:p>
        </w:tc>
        <w:tc>
          <w:tcPr>
            <w:tcW w:w="696" w:type="dxa"/>
            <w:tcBorders>
              <w:top w:val="single" w:color="000000" w:sz="4" w:space="0"/>
              <w:left w:val="single" w:color="000000" w:sz="4" w:space="0"/>
              <w:bottom w:val="single" w:color="000000" w:sz="4" w:space="0"/>
              <w:right w:val="single" w:color="000000" w:sz="4" w:space="0"/>
            </w:tcBorders>
            <w:vAlign w:val="center"/>
          </w:tcPr>
          <w:p w14:paraId="76D2B12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0BE29D9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w:t>
            </w:r>
          </w:p>
        </w:tc>
        <w:tc>
          <w:tcPr>
            <w:tcW w:w="2530" w:type="dxa"/>
            <w:tcBorders>
              <w:top w:val="single" w:color="000000" w:sz="4" w:space="0"/>
              <w:left w:val="single" w:color="000000" w:sz="4" w:space="0"/>
              <w:bottom w:val="single" w:color="000000" w:sz="4" w:space="0"/>
              <w:right w:val="single" w:color="000000" w:sz="4" w:space="0"/>
            </w:tcBorders>
            <w:vAlign w:val="center"/>
          </w:tcPr>
          <w:p w14:paraId="0FC4E99A">
            <w:pPr>
              <w:jc w:val="center"/>
              <w:rPr>
                <w:rFonts w:hint="eastAsia" w:ascii="宋体" w:hAnsi="宋体" w:cs="宋体"/>
                <w:color w:val="auto"/>
                <w:sz w:val="24"/>
                <w:highlight w:val="none"/>
              </w:rPr>
            </w:pPr>
            <w:r>
              <w:rPr>
                <w:rFonts w:hint="eastAsia" w:ascii="宋体" w:hAnsi="宋体" w:cs="宋体"/>
                <w:color w:val="auto"/>
                <w:sz w:val="24"/>
                <w:highlight w:val="none"/>
              </w:rPr>
              <w:t>详见采购需求</w:t>
            </w:r>
          </w:p>
        </w:tc>
        <w:tc>
          <w:tcPr>
            <w:tcW w:w="1417" w:type="dxa"/>
            <w:tcBorders>
              <w:top w:val="single" w:color="000000" w:sz="4" w:space="0"/>
              <w:left w:val="single" w:color="000000" w:sz="4" w:space="0"/>
              <w:bottom w:val="single" w:color="000000" w:sz="4" w:space="0"/>
              <w:right w:val="single" w:color="000000" w:sz="4" w:space="0"/>
            </w:tcBorders>
            <w:vAlign w:val="center"/>
          </w:tcPr>
          <w:p w14:paraId="1042657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7.05 </w:t>
            </w:r>
          </w:p>
        </w:tc>
        <w:tc>
          <w:tcPr>
            <w:tcW w:w="1417" w:type="dxa"/>
            <w:tcBorders>
              <w:top w:val="single" w:color="000000" w:sz="4" w:space="0"/>
              <w:left w:val="single" w:color="000000" w:sz="4" w:space="0"/>
              <w:bottom w:val="single" w:color="000000" w:sz="4" w:space="0"/>
              <w:right w:val="single" w:color="000000" w:sz="4" w:space="0"/>
            </w:tcBorders>
            <w:vAlign w:val="center"/>
          </w:tcPr>
          <w:p w14:paraId="5E3AE8EF">
            <w:pPr>
              <w:widowControl/>
              <w:jc w:val="center"/>
              <w:textAlignment w:val="center"/>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lang w:bidi="ar"/>
              </w:rPr>
              <w:t>7.0505</w:t>
            </w:r>
          </w:p>
        </w:tc>
      </w:tr>
      <w:tr w14:paraId="1B40098E">
        <w:tblPrEx>
          <w:tblCellMar>
            <w:top w:w="0" w:type="dxa"/>
            <w:left w:w="108" w:type="dxa"/>
            <w:bottom w:w="0" w:type="dxa"/>
            <w:right w:w="108" w:type="dxa"/>
          </w:tblCellMar>
        </w:tblPrEx>
        <w:trPr>
          <w:trHeight w:val="594" w:hRule="atLeast"/>
          <w:jc w:val="center"/>
        </w:trPr>
        <w:tc>
          <w:tcPr>
            <w:tcW w:w="9840" w:type="dxa"/>
            <w:gridSpan w:val="7"/>
            <w:tcBorders>
              <w:top w:val="single" w:color="000000" w:sz="4" w:space="0"/>
              <w:left w:val="single" w:color="000000" w:sz="4" w:space="0"/>
              <w:bottom w:val="single" w:color="000000" w:sz="4" w:space="0"/>
              <w:right w:val="single" w:color="000000" w:sz="4" w:space="0"/>
            </w:tcBorders>
            <w:vAlign w:val="center"/>
          </w:tcPr>
          <w:p w14:paraId="467896D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预算合计金额（人民币大写）</w:t>
            </w:r>
            <w:r>
              <w:rPr>
                <w:rFonts w:hint="eastAsia" w:ascii="宋体" w:hAnsi="宋体" w:cs="宋体"/>
                <w:color w:val="auto"/>
                <w:sz w:val="24"/>
                <w:highlight w:val="none"/>
                <w:u w:val="single"/>
              </w:rPr>
              <w:t xml:space="preserve"> 壹佰零伍万叁仟捌佰元整（小写）¥ 1053800.00</w:t>
            </w:r>
          </w:p>
        </w:tc>
      </w:tr>
    </w:tbl>
    <w:p w14:paraId="02BB56B2">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详见采购需求表。</w:t>
      </w:r>
    </w:p>
    <w:p w14:paraId="67F990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合同履行期限：详见采购文件。</w:t>
      </w:r>
    </w:p>
    <w:p w14:paraId="6C26946B">
      <w:pPr>
        <w:spacing w:line="360" w:lineRule="auto"/>
        <w:ind w:firstLine="360" w:firstLineChars="150"/>
        <w:rPr>
          <w:rFonts w:hint="eastAsia" w:ascii="宋体" w:hAnsi="宋体" w:cs="宋体"/>
          <w:b/>
          <w:bCs/>
          <w:color w:val="auto"/>
          <w:sz w:val="24"/>
          <w:highlight w:val="none"/>
        </w:rPr>
      </w:pPr>
      <w:r>
        <w:rPr>
          <w:rFonts w:hint="eastAsia" w:ascii="宋体" w:hAnsi="宋体" w:cs="宋体"/>
          <w:color w:val="auto"/>
          <w:sz w:val="24"/>
          <w:highlight w:val="none"/>
        </w:rPr>
        <w:t>本项目是否接受联合体：否。</w:t>
      </w:r>
    </w:p>
    <w:p w14:paraId="1F18B027">
      <w:pPr>
        <w:spacing w:line="360" w:lineRule="auto"/>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二、申请人的资格条件：</w:t>
      </w:r>
    </w:p>
    <w:p w14:paraId="112A9592">
      <w:pPr>
        <w:spacing w:line="360" w:lineRule="auto"/>
        <w:ind w:firstLine="480" w:firstLineChars="200"/>
        <w:rPr>
          <w:rFonts w:hint="eastAsia" w:ascii="宋体" w:hAnsi="宋体" w:cs="宋体"/>
          <w:color w:val="auto"/>
          <w:sz w:val="24"/>
          <w:highlight w:val="none"/>
        </w:rPr>
      </w:pPr>
      <w:bookmarkStart w:id="8" w:name="_Hlk51746371"/>
      <w:r>
        <w:rPr>
          <w:rFonts w:hint="eastAsia" w:ascii="宋体" w:hAnsi="宋体" w:cs="宋体"/>
          <w:color w:val="auto"/>
          <w:sz w:val="24"/>
          <w:highlight w:val="none"/>
        </w:rPr>
        <w:t>1.满足《中华人民共和国政府采购法》第二十二条规定；</w:t>
      </w:r>
    </w:p>
    <w:p w14:paraId="29B8CDDE">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olor w:val="auto"/>
          <w:sz w:val="24"/>
          <w:highlight w:val="none"/>
        </w:rPr>
        <w:t>专门面向中小企业采购（</w:t>
      </w:r>
      <w:r>
        <w:rPr>
          <w:rFonts w:hint="eastAsia" w:ascii="宋体" w:hAnsi="宋体"/>
          <w:color w:val="auto"/>
          <w:sz w:val="24"/>
          <w:highlight w:val="none"/>
        </w:rPr>
        <w:sym w:font="Wingdings" w:char="00A8"/>
      </w:r>
      <w:r>
        <w:rPr>
          <w:rFonts w:hint="eastAsia" w:ascii="宋体" w:hAnsi="宋体"/>
          <w:color w:val="auto"/>
          <w:sz w:val="24"/>
          <w:highlight w:val="none"/>
        </w:rPr>
        <w:t>是</w:t>
      </w:r>
      <w:r>
        <w:rPr>
          <w:rFonts w:hint="eastAsia" w:ascii="宋体" w:hAnsi="宋体"/>
          <w:color w:val="auto"/>
          <w:sz w:val="24"/>
          <w:highlight w:val="none"/>
        </w:rPr>
        <w:sym w:font="Wingdings" w:char="00FE"/>
      </w:r>
      <w:r>
        <w:rPr>
          <w:rFonts w:hint="eastAsia" w:ascii="宋体" w:hAnsi="宋体"/>
          <w:color w:val="auto"/>
          <w:sz w:val="24"/>
          <w:highlight w:val="none"/>
        </w:rPr>
        <w:t>否）；</w:t>
      </w:r>
    </w:p>
    <w:p w14:paraId="31BE90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bookmarkEnd w:id="8"/>
      <w:r>
        <w:rPr>
          <w:rFonts w:hint="eastAsia" w:ascii="宋体" w:hAnsi="宋体" w:cs="宋体"/>
          <w:color w:val="auto"/>
          <w:sz w:val="24"/>
          <w:highlight w:val="none"/>
        </w:rPr>
        <w:t>无。</w:t>
      </w:r>
    </w:p>
    <w:p w14:paraId="76BDF3FA">
      <w:pPr>
        <w:spacing w:line="360" w:lineRule="auto"/>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三、获取竞争性谈判采购文件</w:t>
      </w:r>
    </w:p>
    <w:p w14:paraId="7045B9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时间2026年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日至2026年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日，每天上午00:00至12:00，下午12:00至23:59（北京时间，法定节假日除外）</w:t>
      </w:r>
    </w:p>
    <w:p w14:paraId="3DDA06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地点：广西政府采购云平台（https://www.gcy.zfcg.gxzf.gov.cn/）。</w:t>
      </w:r>
    </w:p>
    <w:p w14:paraId="7036C0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https://www.gcy.zfcg.gxzf.gov.cn/）下载竞争性谈判采购文件（操作路径：登录广西政府采购云平台-项目采购-获取采购文件-找到本项目-点击“申请获取采购文件”），电子响应文件制作需要基于广西政府采购云平台获取的竞争性谈判采购文件编制。</w:t>
      </w:r>
    </w:p>
    <w:p w14:paraId="7F8D3E18">
      <w:pPr>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售价：0元。</w:t>
      </w:r>
    </w:p>
    <w:p w14:paraId="68940F55">
      <w:pPr>
        <w:spacing w:line="360" w:lineRule="auto"/>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四、响应文件提交</w:t>
      </w:r>
    </w:p>
    <w:p w14:paraId="131D30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1.首次响应文件提交截止时间：2026年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日09点00分（北京时间）</w:t>
      </w:r>
    </w:p>
    <w:p w14:paraId="61D5E6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2.地点：通过广西政府采购云平台在线提交。</w:t>
      </w:r>
    </w:p>
    <w:p w14:paraId="660375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为全流程电子化项目，没有现场递交响应文件及现场开标环节，通过广西政府采购云平台（https://www.gcy.zfcg.gxzf.gov.cn/）实行在线电子投标，供应商应先安装“广西政府采购云平台投标客户端”（请自行前往广西政府采购云平台进行下载），并按照本项目采购文件和广西政府采购云平台的要求使用CA认证编制、加密响应文件后在首次响应文件提交截止时间前上传至 广西政府采购云平台，供应商在广西政府采购云平台提交电子版响应文件时，请填写参加远程开标活动经办人联系方式，如在谈判评审过程中有电子询标，应在规定的时间内对电子询标函进行澄清回复。</w:t>
      </w:r>
    </w:p>
    <w:p w14:paraId="2DCFD4D3">
      <w:pPr>
        <w:spacing w:line="360" w:lineRule="auto"/>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五、开启</w:t>
      </w:r>
    </w:p>
    <w:p w14:paraId="192460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1.首次响应文件开启时间：2026年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日09点00分（北京时间）</w:t>
      </w:r>
    </w:p>
    <w:p w14:paraId="238FF0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2.地点：本项目将在广西政府采购云平台电子开标大厅解密、开启。</w:t>
      </w:r>
    </w:p>
    <w:p w14:paraId="63F9CAEA">
      <w:pPr>
        <w:spacing w:line="360" w:lineRule="auto"/>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六、公告期限</w:t>
      </w:r>
    </w:p>
    <w:p w14:paraId="00EA4D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自本公告发布之日起3个工作日。</w:t>
      </w:r>
    </w:p>
    <w:p w14:paraId="37B850D3">
      <w:pPr>
        <w:spacing w:line="360" w:lineRule="auto"/>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七、其他补充事宜</w:t>
      </w:r>
    </w:p>
    <w:p w14:paraId="350178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1.竞标保证金（须足额交纳）：分标1：6900.00元；分标2：10500元（交纳注意事项详见供应商须知前附表）。</w:t>
      </w:r>
    </w:p>
    <w:p w14:paraId="148561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C0B16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07924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4.网上查询地址：中国政府采购网（www.ccgp.gov.cn）、广西政府采购网（zfcg.gxzf.gov.cn）、河池学院网站（http://www.gxibvc.net）。</w:t>
      </w:r>
    </w:p>
    <w:p w14:paraId="328B8A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5.本项目需要落实的政府采购政策：</w:t>
      </w:r>
    </w:p>
    <w:p w14:paraId="2E4BF1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（1）政府采购促进中小企业发展。</w:t>
      </w:r>
    </w:p>
    <w:p w14:paraId="3282D8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（2）政府采购支持采用本国产品的政策。</w:t>
      </w:r>
    </w:p>
    <w:p w14:paraId="60C9E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（3）强制采购节能产品；优先采购节能产品、环境标志产品。</w:t>
      </w:r>
    </w:p>
    <w:p w14:paraId="3D80A9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（4）政府采购促进残疾人就业政策。</w:t>
      </w:r>
    </w:p>
    <w:p w14:paraId="0BE631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（5）政府采购支持监狱企业发展。</w:t>
      </w:r>
    </w:p>
    <w:p w14:paraId="19156A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（6）扶持不发达地区和少数民族地区政策</w:t>
      </w:r>
    </w:p>
    <w:p w14:paraId="65B596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6.谈判注意事项：</w:t>
      </w:r>
    </w:p>
    <w:p w14:paraId="024FB7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文件提交方式：本项目为全流程电子化政府采购项目，通过广西政府采购云平台（https://www.gcy.zfcg.gxzf.gov.cn/）实行在线电子竞争性谈判，供应商应先安装“广西政府采购云平台电子交易客户端”（请自行前往广西政府采购云平台进行下载），并按照本项目竞争性谈判采购文件和广西政府采购云平台的要求编制、加密后在首次响应文件提交截止时间前通过网络上传至广西政府采购云平台，</w:t>
      </w:r>
      <w:r>
        <w:rPr>
          <w:rFonts w:hint="eastAsia" w:ascii="宋体" w:hAnsi="宋体" w:cs="宋体"/>
          <w:b/>
          <w:color w:val="auto"/>
          <w:sz w:val="24"/>
          <w:highlight w:val="none"/>
        </w:rPr>
        <w:t>供应商在广西政府采购云平台提交电子版响应文件时，请填写参加远程开标活动经办人联系方式。</w:t>
      </w:r>
    </w:p>
    <w:p w14:paraId="473CEA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07088D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6E2075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（4）为确保网上操作合法、有效和安全，请供应商确保在参与电子竞争性谈判过程中能够对相关数据电文进行加密和使用电子签章，妥善保管CA数字证书并使用有效的CA数字证书参与整个采购活动。</w:t>
      </w:r>
    </w:p>
    <w:p w14:paraId="6E57A642">
      <w:pPr>
        <w:spacing w:line="360" w:lineRule="auto"/>
        <w:ind w:firstLine="482" w:firstLineChars="200"/>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33922A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7.CA证书在线解密：首次响应文件开启时，须要供应商携带制作响应文件时用来加密的有效数字证书（CA认证）登录广西政府采购云平台电子开标大厅现场按规定时间对加密的响应文件进行解密，否则后果自负。</w:t>
      </w:r>
    </w:p>
    <w:p w14:paraId="097C6D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8.供应商需要在具备有摄像头及语音功能且互联网网络状况良好的电脑登录广西政府采购云平台远程开标大厅参与本次谈判，否则后果自负。</w:t>
      </w:r>
    </w:p>
    <w:p w14:paraId="057D6B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color w:val="auto"/>
          <w:sz w:val="24"/>
          <w:highlight w:val="none"/>
        </w:rPr>
        <w:t>95763</w:t>
      </w:r>
      <w:r>
        <w:rPr>
          <w:rFonts w:hint="eastAsia" w:ascii="宋体" w:hAnsi="宋体" w:cs="宋体"/>
          <w:color w:val="auto"/>
          <w:sz w:val="24"/>
          <w:highlight w:val="none"/>
        </w:rPr>
        <w:t>获取热线服务帮助。</w:t>
      </w:r>
    </w:p>
    <w:p w14:paraId="379D3C1D">
      <w:pPr>
        <w:spacing w:line="360" w:lineRule="auto"/>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八、凡对本次采购提出询问，请按以下方式联系。</w:t>
      </w:r>
      <w:bookmarkEnd w:id="2"/>
      <w:bookmarkEnd w:id="3"/>
      <w:bookmarkEnd w:id="4"/>
      <w:bookmarkEnd w:id="5"/>
      <w:bookmarkEnd w:id="6"/>
      <w:bookmarkEnd w:id="7"/>
    </w:p>
    <w:p w14:paraId="2617F78F">
      <w:pPr>
        <w:spacing w:line="360" w:lineRule="auto"/>
        <w:ind w:firstLine="482" w:firstLineChars="200"/>
        <w:rPr>
          <w:rFonts w:hint="eastAsia" w:ascii="宋体" w:hAnsi="宋体" w:cs="宋体"/>
          <w:b/>
          <w:bCs/>
          <w:color w:val="auto"/>
          <w:sz w:val="24"/>
          <w:highlight w:val="none"/>
        </w:rPr>
      </w:pPr>
      <w:bookmarkStart w:id="9" w:name="_Toc35393806"/>
      <w:bookmarkStart w:id="10" w:name="_Toc28359019"/>
      <w:bookmarkStart w:id="11" w:name="_Toc35393637"/>
      <w:bookmarkStart w:id="12" w:name="_Toc28359096"/>
      <w:r>
        <w:rPr>
          <w:rFonts w:hint="eastAsia" w:ascii="宋体" w:hAnsi="宋体" w:cs="宋体"/>
          <w:b/>
          <w:bCs/>
          <w:color w:val="auto"/>
          <w:sz w:val="24"/>
          <w:highlight w:val="none"/>
        </w:rPr>
        <w:t>1.采购人信息</w:t>
      </w:r>
    </w:p>
    <w:p w14:paraId="0080E6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称：河池学院</w:t>
      </w:r>
    </w:p>
    <w:p w14:paraId="6C1082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地址：广西河池市宜州区龙江路42号</w:t>
      </w:r>
    </w:p>
    <w:p w14:paraId="505FB1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彭</w:t>
      </w:r>
      <w:r>
        <w:rPr>
          <w:rFonts w:hint="eastAsia" w:ascii="宋体" w:hAnsi="宋体" w:cs="宋体"/>
          <w:color w:val="auto"/>
          <w:sz w:val="24"/>
          <w:highlight w:val="none"/>
        </w:rPr>
        <w:t xml:space="preserve">湖             联系电话：0778-3147831  </w:t>
      </w:r>
      <w:bookmarkStart w:id="38" w:name="_GoBack"/>
      <w:bookmarkEnd w:id="38"/>
    </w:p>
    <w:p w14:paraId="0217181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2.采购代理机构信息</w:t>
      </w:r>
    </w:p>
    <w:p w14:paraId="4B04B7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称：广西建设工程机电设备招标中心有限公司</w:t>
      </w:r>
      <w:r>
        <w:rPr>
          <w:rFonts w:ascii="宋体" w:hAnsi="宋体" w:cs="宋体"/>
          <w:color w:val="auto"/>
          <w:sz w:val="24"/>
          <w:highlight w:val="none"/>
        </w:rPr>
        <w:t xml:space="preserve"> </w:t>
      </w:r>
    </w:p>
    <w:p w14:paraId="0EFAAE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址：广西壮族自治区南宁市青秀区枫林路18号广西国控大厦裙楼三层</w:t>
      </w:r>
    </w:p>
    <w:p w14:paraId="4209D9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联系人：刘雅婷、谭琦辉、钟颜襄   联系电话：0771-2821389</w:t>
      </w:r>
      <w:r>
        <w:rPr>
          <w:rFonts w:ascii="宋体" w:hAnsi="宋体" w:cs="宋体"/>
          <w:color w:val="auto"/>
          <w:sz w:val="24"/>
          <w:highlight w:val="none"/>
        </w:rPr>
        <w:t xml:space="preserve"> </w:t>
      </w:r>
    </w:p>
    <w:p w14:paraId="0EF1EDB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3.项目联系方式</w:t>
      </w:r>
    </w:p>
    <w:p w14:paraId="723859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联系人：刘雅婷、谭琦辉、钟颜襄   联系电话：0771-2821389</w:t>
      </w:r>
      <w:r>
        <w:rPr>
          <w:rFonts w:ascii="宋体" w:hAnsi="宋体" w:cs="宋体"/>
          <w:color w:val="auto"/>
          <w:sz w:val="24"/>
          <w:highlight w:val="none"/>
        </w:rPr>
        <w:t xml:space="preserve"> </w:t>
      </w:r>
      <w:bookmarkEnd w:id="9"/>
      <w:bookmarkEnd w:id="10"/>
      <w:bookmarkEnd w:id="11"/>
      <w:bookmarkEnd w:id="12"/>
    </w:p>
    <w:p w14:paraId="76C3A2D7">
      <w:pPr>
        <w:spacing w:line="360" w:lineRule="auto"/>
        <w:ind w:firstLine="4200" w:firstLineChars="1750"/>
        <w:rPr>
          <w:rFonts w:hint="eastAsia" w:ascii="宋体" w:hAnsi="宋体" w:cs="宋体"/>
          <w:color w:val="auto"/>
          <w:sz w:val="24"/>
          <w:highlight w:val="none"/>
        </w:rPr>
      </w:pPr>
      <w:r>
        <w:rPr>
          <w:rFonts w:hint="eastAsia" w:ascii="宋体" w:hAnsi="宋体" w:cs="宋体"/>
          <w:color w:val="auto"/>
          <w:sz w:val="24"/>
          <w:highlight w:val="none"/>
        </w:rPr>
        <w:t>广西建设工程机电设备招标中心有限公司</w:t>
      </w:r>
    </w:p>
    <w:bookmarkEnd w:id="1"/>
    <w:p w14:paraId="4A4B08B7">
      <w:pPr>
        <w:pStyle w:val="3"/>
        <w:spacing w:before="0" w:after="0" w:line="360" w:lineRule="auto"/>
        <w:jc w:val="center"/>
        <w:rPr>
          <w:rFonts w:hint="eastAsia" w:ascii="宋体" w:hAnsi="宋体" w:cs="宋体"/>
          <w:color w:val="auto"/>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b w:val="0"/>
          <w:bCs w:val="0"/>
          <w:color w:val="auto"/>
          <w:sz w:val="24"/>
          <w:highlight w:val="none"/>
        </w:rPr>
        <w:t xml:space="preserve"> </w:t>
      </w:r>
      <w:bookmarkStart w:id="13" w:name="_Toc26488"/>
      <w:r>
        <w:rPr>
          <w:rFonts w:hint="eastAsia" w:ascii="宋体" w:hAnsi="宋体" w:cs="宋体"/>
          <w:b w:val="0"/>
          <w:bCs w:val="0"/>
          <w:color w:val="auto"/>
          <w:sz w:val="24"/>
          <w:highlight w:val="none"/>
        </w:rPr>
        <w:t>2026年</w:t>
      </w: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29</w:t>
      </w:r>
      <w:r>
        <w:rPr>
          <w:rFonts w:hint="eastAsia" w:ascii="宋体" w:hAnsi="宋体" w:cs="宋体"/>
          <w:b w:val="0"/>
          <w:bCs w:val="0"/>
          <w:color w:val="auto"/>
          <w:sz w:val="24"/>
          <w:highlight w:val="none"/>
        </w:rPr>
        <w:t>日</w:t>
      </w:r>
      <w:r>
        <w:rPr>
          <w:rFonts w:hint="eastAsia" w:ascii="宋体" w:hAnsi="宋体" w:cs="宋体"/>
          <w:color w:val="auto"/>
          <w:highlight w:val="none"/>
        </w:rPr>
        <w:br w:type="page"/>
      </w:r>
      <w:r>
        <w:rPr>
          <w:rFonts w:hint="eastAsia" w:ascii="宋体" w:hAnsi="宋体" w:cs="宋体"/>
          <w:color w:val="auto"/>
          <w:highlight w:val="none"/>
        </w:rPr>
        <w:t>第二章 供应商须知</w:t>
      </w:r>
      <w:bookmarkEnd w:id="13"/>
    </w:p>
    <w:p w14:paraId="3B9A4300">
      <w:pPr>
        <w:spacing w:line="400" w:lineRule="exact"/>
        <w:jc w:val="center"/>
        <w:rPr>
          <w:rFonts w:hint="eastAsia" w:ascii="宋体" w:hAnsi="宋体" w:cs="宋体"/>
          <w:b/>
          <w:color w:val="auto"/>
          <w:sz w:val="32"/>
          <w:szCs w:val="32"/>
          <w:highlight w:val="none"/>
        </w:rPr>
      </w:pPr>
    </w:p>
    <w:p w14:paraId="28092DC5">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032D9F15">
      <w:pPr>
        <w:spacing w:line="400" w:lineRule="exact"/>
        <w:jc w:val="center"/>
        <w:rPr>
          <w:rFonts w:hint="eastAsia" w:ascii="宋体" w:hAnsi="宋体" w:cs="宋体"/>
          <w:b/>
          <w:color w:val="auto"/>
          <w:sz w:val="32"/>
          <w:szCs w:val="32"/>
          <w:highlight w:val="none"/>
        </w:rPr>
      </w:pPr>
    </w:p>
    <w:tbl>
      <w:tblPr>
        <w:tblStyle w:val="26"/>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8181"/>
      </w:tblGrid>
      <w:tr w14:paraId="2119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hRule="atLeast"/>
          <w:jc w:val="center"/>
        </w:trPr>
        <w:tc>
          <w:tcPr>
            <w:tcW w:w="991" w:type="dxa"/>
            <w:vAlign w:val="center"/>
          </w:tcPr>
          <w:p w14:paraId="083CAB2B">
            <w:pPr>
              <w:spacing w:line="5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条款号</w:t>
            </w:r>
          </w:p>
        </w:tc>
        <w:tc>
          <w:tcPr>
            <w:tcW w:w="8181" w:type="dxa"/>
            <w:vAlign w:val="center"/>
          </w:tcPr>
          <w:p w14:paraId="1A7F4F7E">
            <w:pPr>
              <w:spacing w:line="5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14:paraId="7FA44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61EF7534">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181" w:type="dxa"/>
            <w:vAlign w:val="center"/>
          </w:tcPr>
          <w:p w14:paraId="3A704217">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供应商的资格条件：详见竞争性谈判公告</w:t>
            </w:r>
          </w:p>
        </w:tc>
      </w:tr>
      <w:tr w14:paraId="1D1C7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5C5C5B61">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p>
        </w:tc>
        <w:tc>
          <w:tcPr>
            <w:tcW w:w="8181" w:type="dxa"/>
            <w:vAlign w:val="center"/>
          </w:tcPr>
          <w:p w14:paraId="5E2A7021">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是否接受联合体参与: 详见竞争性谈判公告</w:t>
            </w:r>
          </w:p>
        </w:tc>
      </w:tr>
      <w:tr w14:paraId="716F8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1" w:type="dxa"/>
            <w:vAlign w:val="center"/>
          </w:tcPr>
          <w:p w14:paraId="6926216B">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p>
        </w:tc>
        <w:tc>
          <w:tcPr>
            <w:tcW w:w="8181" w:type="dxa"/>
            <w:vAlign w:val="center"/>
          </w:tcPr>
          <w:p w14:paraId="76DCF0B7">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如接受联合体参与，要求如下：</w:t>
            </w:r>
          </w:p>
          <w:p w14:paraId="150B9D6F">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两个以上供应商可以组成一个联合体，以一个供应商的身份共同参与竞争性谈判，联合体供应商的名称应统一按“XXX 公司与 XXX 公司的联合体”的规则填写。</w:t>
            </w:r>
            <w:r>
              <w:rPr>
                <w:rFonts w:hint="eastAsia" w:asciiTheme="minorEastAsia" w:hAnsiTheme="minorEastAsia" w:eastAsiaTheme="minorEastAsia" w:cstheme="minorEastAsia"/>
                <w:color w:val="auto"/>
                <w:sz w:val="24"/>
                <w:highlight w:val="none"/>
              </w:rPr>
              <w:tab/>
            </w:r>
          </w:p>
          <w:p w14:paraId="79A37606">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以联合体形式参与竞争性谈判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谈判公告“申请人的资格条件”第3点 “3、本项目的特定资格要求”的要求。</w:t>
            </w:r>
          </w:p>
          <w:p w14:paraId="0EF3C80F">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联合体参与竞争性谈判的，须提供《联合体参与竞争性谈判协议书》（格式后附），协议书必须明确主体方（或者牵头方）并明确约定联合体各方承担的工作和相应的责任（各方承担责任与义务的分工必须符合采购需求，否则，联合体响应无效），并将《联合体参与竞争性谈判协议书》放入响应文件。联合体各方必须共同与采购人签订采购合同，就采购合同约定的事项对采购人承担连带责任。</w:t>
            </w:r>
            <w:r>
              <w:rPr>
                <w:rFonts w:hint="eastAsia" w:asciiTheme="minorEastAsia" w:hAnsiTheme="minorEastAsia" w:eastAsiaTheme="minorEastAsia" w:cstheme="minorEastAsia"/>
                <w:color w:val="auto"/>
                <w:sz w:val="24"/>
                <w:highlight w:val="none"/>
              </w:rPr>
              <w:tab/>
            </w:r>
          </w:p>
          <w:p w14:paraId="394E8EF0">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以联合体形式参加政府采购活动的，联合体各方不得再单独参加或者与其他供应商另外组成联合体参加同一合同项下的政府采购活动，否则与之相关的响应文件作废。</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ab/>
            </w:r>
          </w:p>
          <w:p w14:paraId="15CE5C77">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联合体中有同类资质的供应商按照联合体分工承担相同工作的，应当按照资质等级较低的供应商确定资质等级。</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ab/>
            </w:r>
          </w:p>
          <w:p w14:paraId="28BDFB74">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联合体参与竞争性谈判的业绩、履约能力按照联合体各方其中较高的一方认定并计算（竞争性谈判采购文件另有规定的除外）。</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ab/>
            </w:r>
          </w:p>
          <w:p w14:paraId="1B6449CA">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联合体各方均应按照竞争性谈判采购文件的规定提交资格证明文件。</w:t>
            </w:r>
          </w:p>
        </w:tc>
      </w:tr>
      <w:tr w14:paraId="6FD1D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991" w:type="dxa"/>
            <w:vAlign w:val="center"/>
          </w:tcPr>
          <w:p w14:paraId="5F139D62">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w:t>
            </w:r>
          </w:p>
        </w:tc>
        <w:tc>
          <w:tcPr>
            <w:tcW w:w="8181" w:type="dxa"/>
            <w:vAlign w:val="center"/>
          </w:tcPr>
          <w:p w14:paraId="0E89A0D5">
            <w:pPr>
              <w:pStyle w:val="9"/>
              <w:spacing w:line="50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本项目不允许分包。</w:t>
            </w:r>
          </w:p>
          <w:p w14:paraId="50EBB1E4">
            <w:pPr>
              <w:pStyle w:val="9"/>
              <w:spacing w:line="50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本项目允许分包：</w:t>
            </w:r>
          </w:p>
          <w:p w14:paraId="7D145F9A">
            <w:pPr>
              <w:pStyle w:val="9"/>
              <w:spacing w:line="500" w:lineRule="exact"/>
              <w:jc w:val="both"/>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分包内容：</w:t>
            </w:r>
            <w:r>
              <w:rPr>
                <w:rFonts w:hint="eastAsia" w:asciiTheme="minorEastAsia" w:hAnsiTheme="minorEastAsia" w:eastAsiaTheme="minorEastAsia" w:cstheme="minorEastAsia"/>
                <w:color w:val="auto"/>
                <w:sz w:val="24"/>
                <w:highlight w:val="none"/>
                <w:u w:val="single"/>
              </w:rPr>
              <w:t>/</w:t>
            </w:r>
          </w:p>
          <w:p w14:paraId="11A486BE">
            <w:pPr>
              <w:pStyle w:val="9"/>
              <w:spacing w:line="500" w:lineRule="exact"/>
              <w:jc w:val="both"/>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分包金额或者比例：</w:t>
            </w:r>
            <w:r>
              <w:rPr>
                <w:rFonts w:hint="eastAsia" w:asciiTheme="minorEastAsia" w:hAnsiTheme="minorEastAsia" w:eastAsiaTheme="minorEastAsia" w:cstheme="minorEastAsia"/>
                <w:color w:val="auto"/>
                <w:sz w:val="24"/>
                <w:highlight w:val="none"/>
                <w:u w:val="single"/>
              </w:rPr>
              <w:t>/</w:t>
            </w:r>
          </w:p>
        </w:tc>
      </w:tr>
      <w:tr w14:paraId="1CB1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991" w:type="dxa"/>
            <w:vAlign w:val="center"/>
          </w:tcPr>
          <w:p w14:paraId="60C3B1A7">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7.8</w:t>
            </w:r>
          </w:p>
        </w:tc>
        <w:tc>
          <w:tcPr>
            <w:tcW w:w="8181" w:type="dxa"/>
            <w:vAlign w:val="center"/>
          </w:tcPr>
          <w:p w14:paraId="4E834316">
            <w:pPr>
              <w:pStyle w:val="9"/>
              <w:spacing w:line="40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是否适用支持本国产品：☑是/□否</w:t>
            </w:r>
          </w:p>
        </w:tc>
      </w:tr>
      <w:tr w14:paraId="31C6E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60A16274">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12.1.1</w:t>
            </w:r>
          </w:p>
        </w:tc>
        <w:tc>
          <w:tcPr>
            <w:tcW w:w="8181" w:type="dxa"/>
            <w:vAlign w:val="center"/>
          </w:tcPr>
          <w:p w14:paraId="2A4AE98A">
            <w:pPr>
              <w:snapToGrid w:val="0"/>
              <w:spacing w:line="5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资格证明文件</w:t>
            </w:r>
          </w:p>
          <w:p w14:paraId="16EE0E1B">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供应商为法人或者其他组织的，证明文件为其营业执照复印件（如营业执照或者事业单位法人证书或者执业许可证等）；供应商为自然人的，证明文件为其身份证复印件；（</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459FD369">
            <w:pPr>
              <w:spacing w:line="500" w:lineRule="exact"/>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供应商依法缴纳税收的相关材料（截至首次响应文件提交截止之日半年内任意连续三个月的依法缴纳税收的凭据复印件；依法免税的，必须提供相应文件证明。从成立之日起到首次响应文件提交截止之日不足要求月数的，只需提供从成立之日起的依法缴纳税收相应证明文件）；（</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1F7E466D">
            <w:pPr>
              <w:spacing w:line="500" w:lineRule="exact"/>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供应商依法缴纳社会保障资金的相关材料（截至首次响应文件提交截止之日半年内任意连续三个月的依法缴纳社会保障资金的缴费凭证（专用收据或者社会保险缴纳清单）复印件；依法不需要缴纳社会保障资金的，必须提供相应文件</w:t>
            </w:r>
            <w:r>
              <w:rPr>
                <w:rFonts w:hint="eastAsia" w:asciiTheme="minorEastAsia" w:hAnsiTheme="minorEastAsia" w:eastAsiaTheme="minorEastAsia" w:cstheme="minorEastAsia"/>
                <w:color w:val="auto"/>
                <w:sz w:val="24"/>
                <w:highlight w:val="none"/>
              </w:rPr>
              <w:t>证明。从成立之日起到首次响应文件提交截止之日不足要求月数的只需提供从成立之日起一个月的依法缴纳社会保障资金的相应证明文件）；（</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4A6090EC">
            <w:pPr>
              <w:spacing w:line="500" w:lineRule="exact"/>
              <w:contextualSpacing/>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供应商财务状况报告（提供2024年或2025年财务状况报告复印件，或者银行出具的资信证明（资信证明应在有效期内，未注明有效期的，银行出具时间至首次响应文件提交截止之日不超过一年）；供应商成立不满一年的应按提供首次响应文件提交截止之日上一个月的财务状况报告复印件）</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
                <w:color w:val="auto"/>
                <w:sz w:val="24"/>
                <w:highlight w:val="none"/>
              </w:rPr>
              <w:t>除自然人外必须提供，否则响应文件</w:t>
            </w:r>
            <w:r>
              <w:rPr>
                <w:rFonts w:hint="eastAsia" w:asciiTheme="minorEastAsia" w:hAnsiTheme="minorEastAsia" w:eastAsiaTheme="minorEastAsia" w:cstheme="minorEastAsia"/>
                <w:b/>
                <w:color w:val="auto"/>
                <w:sz w:val="24"/>
                <w:highlight w:val="none"/>
              </w:rPr>
              <w:t>按无效响应处理</w:t>
            </w:r>
            <w:r>
              <w:rPr>
                <w:rFonts w:hint="eastAsia" w:asciiTheme="minorEastAsia" w:hAnsiTheme="minorEastAsia" w:eastAsiaTheme="minorEastAsia" w:cstheme="minorEastAsia"/>
                <w:bCs/>
                <w:color w:val="auto"/>
                <w:sz w:val="24"/>
                <w:highlight w:val="none"/>
              </w:rPr>
              <w:t>）</w:t>
            </w:r>
          </w:p>
          <w:p w14:paraId="75A498F4">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供应商直接控股、管理关系信息表（格式后附）；（</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468CC612">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参与竞争性谈判声明（格式后附）；（</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21977D14">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竞争性谈判公告中特定资格要求的资格证明材料；（</w:t>
            </w:r>
            <w:r>
              <w:rPr>
                <w:rFonts w:hint="eastAsia" w:asciiTheme="minorEastAsia" w:hAnsiTheme="minorEastAsia" w:eastAsiaTheme="minorEastAsia" w:cstheme="minorEastAsia"/>
                <w:b/>
                <w:bCs/>
                <w:color w:val="auto"/>
                <w:sz w:val="24"/>
                <w:highlight w:val="none"/>
              </w:rPr>
              <w:t>公告如有则必</w:t>
            </w:r>
            <w:r>
              <w:rPr>
                <w:rFonts w:hint="eastAsia" w:asciiTheme="minorEastAsia" w:hAnsiTheme="minorEastAsia" w:eastAsiaTheme="minorEastAsia" w:cstheme="minorEastAsia"/>
                <w:b/>
                <w:color w:val="auto"/>
                <w:sz w:val="24"/>
                <w:highlight w:val="none"/>
              </w:rPr>
              <w:t>须提供，否则响应文件按无效响应处理</w:t>
            </w:r>
            <w:r>
              <w:rPr>
                <w:rFonts w:hint="eastAsia" w:asciiTheme="minorEastAsia" w:hAnsiTheme="minorEastAsia" w:eastAsiaTheme="minorEastAsia" w:cstheme="minorEastAsia"/>
                <w:color w:val="auto"/>
                <w:sz w:val="24"/>
                <w:highlight w:val="none"/>
              </w:rPr>
              <w:t>）</w:t>
            </w:r>
          </w:p>
          <w:p w14:paraId="4BA62841">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除谈判文件规定必须提供以外，供应商认为需要提供的其他证明材料。</w:t>
            </w:r>
          </w:p>
          <w:p w14:paraId="40632419">
            <w:pPr>
              <w:snapToGrid w:val="0"/>
              <w:spacing w:line="5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【注】</w:t>
            </w:r>
            <w:r>
              <w:rPr>
                <w:rFonts w:hint="eastAsia" w:asciiTheme="minorEastAsia" w:hAnsiTheme="minorEastAsia" w:eastAsiaTheme="minorEastAsia" w:cstheme="minorEastAsia"/>
                <w:bCs/>
                <w:color w:val="auto"/>
                <w:sz w:val="24"/>
                <w:highlight w:val="none"/>
              </w:rPr>
              <w:t>1.以上标明“必须提供”的材料属于复印件的，必须加盖供应商公章，否则响应文件按无效响应处理。</w:t>
            </w:r>
          </w:p>
          <w:p w14:paraId="366CAECC">
            <w:pPr>
              <w:snapToGrid w:val="0"/>
              <w:spacing w:line="5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2.参与竞争性谈判声明必须由法定代表人在规定签章处逐一签字并加盖供应商公章，否则响应文件按无效响应处理。</w:t>
            </w:r>
          </w:p>
          <w:p w14:paraId="027A882D">
            <w:pPr>
              <w:snapToGrid w:val="0"/>
              <w:spacing w:line="5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rPr>
              <w:t>3.供应商直接控股、管理关系信息表必须由法定代表人或者委托代理人在规定签章处逐一签字并加盖供应商公章，否则响应文件按无效响应处理。</w:t>
            </w:r>
          </w:p>
        </w:tc>
      </w:tr>
      <w:tr w14:paraId="2560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restart"/>
            <w:vAlign w:val="center"/>
          </w:tcPr>
          <w:p w14:paraId="365CD148">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12.1.2</w:t>
            </w:r>
          </w:p>
        </w:tc>
        <w:tc>
          <w:tcPr>
            <w:tcW w:w="8181" w:type="dxa"/>
            <w:vAlign w:val="center"/>
          </w:tcPr>
          <w:p w14:paraId="21D58E9A">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报价文件</w:t>
            </w:r>
          </w:p>
          <w:p w14:paraId="18CC5C7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无串通参与竞争性谈判行为的承诺函（格式后附）；（</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73036B96">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竞争性谈判报价表（格式后附）；（</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65434217">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中小企业声明函（或残疾人福利性单位声明函或监狱企业声明函，残疾人福利性单位或监狱企业视同小微企业）</w:t>
            </w:r>
            <w:r>
              <w:rPr>
                <w:rFonts w:hint="eastAsia" w:asciiTheme="minorEastAsia" w:hAnsiTheme="minorEastAsia" w:eastAsiaTheme="minorEastAsia" w:cstheme="minorEastAsia"/>
                <w:color w:val="auto"/>
                <w:sz w:val="24"/>
                <w:highlight w:val="none"/>
              </w:rPr>
              <w:t>或《关于符合本国产品标准的声明函》（格式后附）；</w:t>
            </w:r>
          </w:p>
          <w:p w14:paraId="604B5C12">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bCs/>
                <w:color w:val="auto"/>
                <w:sz w:val="24"/>
                <w:highlight w:val="none"/>
              </w:rPr>
              <w:t>.供应商</w:t>
            </w:r>
            <w:r>
              <w:rPr>
                <w:rFonts w:hint="eastAsia" w:asciiTheme="minorEastAsia" w:hAnsiTheme="minorEastAsia" w:eastAsiaTheme="minorEastAsia" w:cstheme="minorEastAsia"/>
                <w:color w:val="auto"/>
                <w:sz w:val="24"/>
                <w:highlight w:val="none"/>
              </w:rPr>
              <w:t>针对报价需要说明的</w:t>
            </w:r>
            <w:r>
              <w:rPr>
                <w:rFonts w:hint="eastAsia" w:asciiTheme="minorEastAsia" w:hAnsiTheme="minorEastAsia" w:eastAsiaTheme="minorEastAsia" w:cstheme="minorEastAsia"/>
                <w:color w:val="auto"/>
                <w:sz w:val="24"/>
                <w:highlight w:val="none"/>
              </w:rPr>
              <w:t>其他文件和说明（格式自拟）。</w:t>
            </w:r>
          </w:p>
          <w:p w14:paraId="46181813">
            <w:pPr>
              <w:spacing w:line="5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color w:val="auto"/>
                <w:sz w:val="24"/>
                <w:highlight w:val="none"/>
              </w:rPr>
              <w:t>：以上标明“必须提供”材料复印件的，必须加盖供应商公章，否则响应文件按无效响应处理。</w:t>
            </w:r>
          </w:p>
        </w:tc>
      </w:tr>
      <w:tr w14:paraId="3F7F1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91" w:type="dxa"/>
            <w:vMerge w:val="continue"/>
            <w:vAlign w:val="center"/>
          </w:tcPr>
          <w:p w14:paraId="7CBE25C8">
            <w:pPr>
              <w:spacing w:line="500" w:lineRule="exact"/>
              <w:jc w:val="center"/>
              <w:rPr>
                <w:rFonts w:hint="eastAsia" w:asciiTheme="minorEastAsia" w:hAnsiTheme="minorEastAsia" w:eastAsiaTheme="minorEastAsia" w:cstheme="minorEastAsia"/>
                <w:color w:val="auto"/>
                <w:sz w:val="24"/>
                <w:highlight w:val="none"/>
              </w:rPr>
            </w:pPr>
          </w:p>
        </w:tc>
        <w:tc>
          <w:tcPr>
            <w:tcW w:w="8181" w:type="dxa"/>
            <w:vAlign w:val="center"/>
          </w:tcPr>
          <w:p w14:paraId="25BC6344">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商务技术文件</w:t>
            </w:r>
          </w:p>
          <w:p w14:paraId="4738FA0D">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法定代表人身份证明及法定代表人有效身份证正反面复印件（格式后附）；（</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6FDD9019">
            <w:pPr>
              <w:spacing w:line="5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授权委托书及委托代理人有效身份证正反面复印件（格式后附）；（</w:t>
            </w:r>
            <w:r>
              <w:rPr>
                <w:rFonts w:hint="eastAsia" w:asciiTheme="minorEastAsia" w:hAnsiTheme="minorEastAsia" w:eastAsiaTheme="minorEastAsia" w:cstheme="minorEastAsia"/>
                <w:b/>
                <w:color w:val="auto"/>
                <w:sz w:val="24"/>
                <w:highlight w:val="none"/>
              </w:rPr>
              <w:t>委托时必须提供，否则响应文件按无效响应处理</w:t>
            </w:r>
            <w:r>
              <w:rPr>
                <w:rFonts w:hint="eastAsia" w:asciiTheme="minorEastAsia" w:hAnsiTheme="minorEastAsia" w:eastAsiaTheme="minorEastAsia" w:cstheme="minorEastAsia"/>
                <w:color w:val="auto"/>
                <w:sz w:val="24"/>
                <w:highlight w:val="none"/>
              </w:rPr>
              <w:t>）</w:t>
            </w:r>
          </w:p>
          <w:p w14:paraId="21EE04F2">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谈判保证金提交凭证；（</w:t>
            </w:r>
            <w:r>
              <w:rPr>
                <w:rFonts w:hint="eastAsia" w:asciiTheme="minorEastAsia" w:hAnsiTheme="minorEastAsia" w:eastAsiaTheme="minorEastAsia" w:cstheme="minorEastAsia"/>
                <w:b/>
                <w:bCs/>
                <w:color w:val="auto"/>
                <w:sz w:val="24"/>
                <w:highlight w:val="none"/>
              </w:rPr>
              <w:t>如要求提交谈判保证金的则必须提供</w:t>
            </w:r>
            <w:r>
              <w:rPr>
                <w:rFonts w:hint="eastAsia" w:asciiTheme="minorEastAsia" w:hAnsiTheme="minorEastAsia" w:eastAsiaTheme="minorEastAsia" w:cstheme="minorEastAsia"/>
                <w:b/>
                <w:color w:val="auto"/>
                <w:sz w:val="24"/>
                <w:highlight w:val="none"/>
              </w:rPr>
              <w:t>，否则响应文件按无效响应处理</w:t>
            </w:r>
            <w:r>
              <w:rPr>
                <w:rFonts w:hint="eastAsia" w:asciiTheme="minorEastAsia" w:hAnsiTheme="minorEastAsia" w:eastAsiaTheme="minorEastAsia" w:cstheme="minorEastAsia"/>
                <w:color w:val="auto"/>
                <w:sz w:val="24"/>
                <w:highlight w:val="none"/>
              </w:rPr>
              <w:t>）</w:t>
            </w:r>
          </w:p>
          <w:p w14:paraId="4340871D">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商务要求偏离表（格式后附）；（</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1D8C3D27">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售后服务承诺（格式自拟）；（</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2812BDF0">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货物配置清单（均不含报价）（格式后附）；（</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720D5F9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技术偏离表（格式后附）；（</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06187DDF">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对应采购需求的技术要求、商务要求提供的其他文件资料（格式自拟）；</w:t>
            </w:r>
          </w:p>
          <w:p w14:paraId="74A1840A">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供应商认为需要提供的其他有关资料。</w:t>
            </w:r>
          </w:p>
          <w:p w14:paraId="73535E07">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【注】</w:t>
            </w:r>
            <w:r>
              <w:rPr>
                <w:rFonts w:hint="eastAsia" w:asciiTheme="minorEastAsia" w:hAnsiTheme="minorEastAsia" w:eastAsiaTheme="minorEastAsia" w:cstheme="minorEastAsia"/>
                <w:color w:val="auto"/>
                <w:sz w:val="24"/>
                <w:highlight w:val="none"/>
              </w:rPr>
              <w:t>1.法定代表人授权委托书必须由法定代表人及委托代理人签字，并加盖供应商公章，否则做无效响应处理。</w:t>
            </w:r>
          </w:p>
          <w:p w14:paraId="604B300C">
            <w:pPr>
              <w:spacing w:line="5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2.以上标明“必须提供”材料复印件的，必须加盖供应商公章，否则响应文件按无效响应处理。</w:t>
            </w:r>
          </w:p>
        </w:tc>
      </w:tr>
      <w:tr w14:paraId="33319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0AF363A6">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w:t>
            </w:r>
          </w:p>
        </w:tc>
        <w:tc>
          <w:tcPr>
            <w:tcW w:w="8181" w:type="dxa"/>
            <w:vAlign w:val="center"/>
          </w:tcPr>
          <w:p w14:paraId="364293EC">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谈判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成交供应商承担。合同履行过程中，采购人不再支付合同以外的其他费用。（采购需求另有约定的，从其约定）</w:t>
            </w:r>
          </w:p>
        </w:tc>
      </w:tr>
      <w:tr w14:paraId="5824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114FA292">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p>
        </w:tc>
        <w:tc>
          <w:tcPr>
            <w:tcW w:w="8181" w:type="dxa"/>
            <w:vAlign w:val="center"/>
          </w:tcPr>
          <w:p w14:paraId="371C6A3F">
            <w:pPr>
              <w:pStyle w:val="8"/>
              <w:widowControl w:val="0"/>
              <w:tabs>
                <w:tab w:val="clear" w:pos="454"/>
              </w:tabs>
              <w:snapToGrid w:val="0"/>
              <w:spacing w:after="0" w:afterLines="0" w:line="500" w:lineRule="exact"/>
              <w:ind w:left="324" w:hanging="324" w:hangingChars="135"/>
              <w:jc w:val="both"/>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rPr>
              <w:t xml:space="preserve">竞争性谈判有效期：首次响应文件提交截止之日起60天内。 </w:t>
            </w:r>
          </w:p>
        </w:tc>
      </w:tr>
      <w:tr w14:paraId="27FB1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991" w:type="dxa"/>
            <w:vAlign w:val="center"/>
          </w:tcPr>
          <w:p w14:paraId="138D32C0">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w:t>
            </w:r>
          </w:p>
        </w:tc>
        <w:tc>
          <w:tcPr>
            <w:tcW w:w="8181" w:type="dxa"/>
            <w:vAlign w:val="center"/>
          </w:tcPr>
          <w:p w14:paraId="2AE0A89F">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本项目不收取谈判保证金。</w:t>
            </w:r>
          </w:p>
          <w:p w14:paraId="07B1B06F">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本项目收取谈判保证金。</w:t>
            </w:r>
            <w:bookmarkStart w:id="14" w:name="_Toc8224"/>
          </w:p>
          <w:p w14:paraId="46CA4F8A">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谈判保证金（人民币）：详见竞争性谈判公告。</w:t>
            </w:r>
            <w:bookmarkEnd w:id="14"/>
          </w:p>
          <w:p w14:paraId="5A5A4A55">
            <w:pPr>
              <w:spacing w:line="50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保证金专用银行账号：</w:t>
            </w:r>
          </w:p>
          <w:p w14:paraId="54E2799E">
            <w:pPr>
              <w:spacing w:line="500" w:lineRule="exac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sz w:val="24"/>
                <w:highlight w:val="none"/>
              </w:rPr>
              <w:t>开户名称：广西建设工程机电设备招标中心有</w:t>
            </w:r>
            <w:r>
              <w:rPr>
                <w:rFonts w:hint="eastAsia" w:asciiTheme="minorEastAsia" w:hAnsiTheme="minorEastAsia" w:eastAsiaTheme="minorEastAsia" w:cstheme="minorEastAsia"/>
                <w:b/>
                <w:bCs/>
                <w:color w:val="auto"/>
                <w:kern w:val="0"/>
                <w:sz w:val="24"/>
                <w:highlight w:val="none"/>
              </w:rPr>
              <w:t>限公司</w:t>
            </w:r>
          </w:p>
          <w:p w14:paraId="0F607AF8">
            <w:pPr>
              <w:snapToGrid w:val="0"/>
              <w:spacing w:line="500" w:lineRule="exac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开户银行：招商银行南宁分行营业部</w:t>
            </w:r>
          </w:p>
          <w:p w14:paraId="035A2409">
            <w:pPr>
              <w:snapToGrid w:val="0"/>
              <w:spacing w:line="500" w:lineRule="exac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银行账号：7719 0142 3310 201</w:t>
            </w:r>
          </w:p>
          <w:p w14:paraId="342519A1">
            <w:pPr>
              <w:snapToGrid w:val="0"/>
              <w:spacing w:line="5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谈判保证金的交纳方式：</w:t>
            </w:r>
            <w:r>
              <w:rPr>
                <w:rFonts w:hint="eastAsia" w:asciiTheme="minorEastAsia" w:hAnsiTheme="minorEastAsia" w:eastAsiaTheme="minorEastAsia" w:cstheme="minorEastAsia"/>
                <w:color w:val="auto"/>
                <w:sz w:val="24"/>
                <w:highlight w:val="none"/>
              </w:rPr>
              <w:t>银行转账、支票、汇票、本票、保函等非现金方式</w:t>
            </w:r>
            <w:r>
              <w:rPr>
                <w:rFonts w:hint="eastAsia" w:asciiTheme="minorEastAsia" w:hAnsiTheme="minorEastAsia" w:eastAsiaTheme="minorEastAsia" w:cstheme="minorEastAsia"/>
                <w:color w:val="auto"/>
                <w:kern w:val="0"/>
                <w:sz w:val="24"/>
                <w:highlight w:val="none"/>
              </w:rPr>
              <w:t>，禁止采用现钞方式。采用银行转账方式的，在响应文件提交截止时间前交至指定账户并且到账；采用支票、汇票、本票或者保函方式的，在响应文件提交截止时间前，供应商必须提交支票、汇票、本票或者保函原件。否则视为无效谈判保证金。</w:t>
            </w:r>
          </w:p>
          <w:p w14:paraId="0E54FD59">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相关要求：</w:t>
            </w:r>
          </w:p>
          <w:p w14:paraId="6D87FA39">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1.谈判保证金采用银行转账交纳方式的，在响应文件提交截止时间前交至指定账户并且到账，供应商应将银行转账底单的复印件作为谈判保证金提交凭证，放置于报价商务技术文件中，</w:t>
            </w:r>
            <w:r>
              <w:rPr>
                <w:rFonts w:hint="eastAsia" w:asciiTheme="minorEastAsia" w:hAnsiTheme="minorEastAsia" w:eastAsiaTheme="minorEastAsia" w:cstheme="minorEastAsia"/>
                <w:b/>
                <w:color w:val="auto"/>
                <w:sz w:val="24"/>
                <w:highlight w:val="none"/>
              </w:rPr>
              <w:t>否则响应文件按无效响应处理</w:t>
            </w:r>
            <w:r>
              <w:rPr>
                <w:rFonts w:hint="eastAsia" w:asciiTheme="minorEastAsia" w:hAnsiTheme="minorEastAsia" w:eastAsiaTheme="minorEastAsia" w:cstheme="minorEastAsia"/>
                <w:color w:val="auto"/>
                <w:sz w:val="24"/>
                <w:highlight w:val="none"/>
              </w:rPr>
              <w:t>。</w:t>
            </w:r>
          </w:p>
          <w:p w14:paraId="14975412">
            <w:pPr>
              <w:snapToGrid w:val="0"/>
              <w:spacing w:line="5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2.谈判保证金采用</w:t>
            </w:r>
            <w:r>
              <w:rPr>
                <w:rFonts w:hint="eastAsia" w:asciiTheme="minorEastAsia" w:hAnsiTheme="minorEastAsia" w:eastAsiaTheme="minorEastAsia" w:cstheme="minorEastAsia"/>
                <w:color w:val="auto"/>
                <w:kern w:val="0"/>
                <w:sz w:val="24"/>
                <w:highlight w:val="none"/>
              </w:rPr>
              <w:t>支票、汇票、本票或者</w:t>
            </w:r>
            <w:r>
              <w:rPr>
                <w:rFonts w:hint="eastAsia" w:asciiTheme="minorEastAsia" w:hAnsiTheme="minorEastAsia" w:eastAsiaTheme="minorEastAsia" w:cstheme="minorEastAsia"/>
                <w:color w:val="auto"/>
                <w:sz w:val="24"/>
                <w:highlight w:val="none"/>
              </w:rPr>
              <w:t>保函交纳方式的，供应商应将</w:t>
            </w:r>
            <w:r>
              <w:rPr>
                <w:rFonts w:hint="eastAsia" w:asciiTheme="minorEastAsia" w:hAnsiTheme="minorEastAsia" w:eastAsiaTheme="minorEastAsia" w:cstheme="minorEastAsia"/>
                <w:color w:val="auto"/>
                <w:kern w:val="0"/>
                <w:sz w:val="24"/>
                <w:highlight w:val="none"/>
              </w:rPr>
              <w:t>支票、汇票、本票或者</w:t>
            </w:r>
            <w:r>
              <w:rPr>
                <w:rFonts w:hint="eastAsia" w:asciiTheme="minorEastAsia" w:hAnsiTheme="minorEastAsia" w:eastAsiaTheme="minorEastAsia" w:cstheme="minorEastAsia"/>
                <w:color w:val="auto"/>
                <w:sz w:val="24"/>
                <w:highlight w:val="none"/>
              </w:rPr>
              <w:t>保函的复印件作为谈判保证金提交凭证，放置于报价商务技术文件中，</w:t>
            </w:r>
            <w:r>
              <w:rPr>
                <w:rFonts w:hint="eastAsia" w:asciiTheme="minorEastAsia" w:hAnsiTheme="minorEastAsia" w:eastAsiaTheme="minorEastAsia" w:cstheme="minorEastAsia"/>
                <w:b/>
                <w:color w:val="auto"/>
                <w:sz w:val="24"/>
                <w:highlight w:val="none"/>
              </w:rPr>
              <w:t>否则响应文件按无效响应处理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供应商必须在首次响应文件提交截止时间前将</w:t>
            </w:r>
            <w:r>
              <w:rPr>
                <w:rFonts w:hint="eastAsia" w:asciiTheme="minorEastAsia" w:hAnsiTheme="minorEastAsia" w:eastAsiaTheme="minorEastAsia" w:cstheme="minorEastAsia"/>
                <w:color w:val="auto"/>
                <w:kern w:val="0"/>
                <w:sz w:val="24"/>
                <w:highlight w:val="none"/>
              </w:rPr>
              <w:t>支票、汇票、本票或者</w:t>
            </w:r>
            <w:r>
              <w:rPr>
                <w:rFonts w:hint="eastAsia" w:asciiTheme="minorEastAsia" w:hAnsiTheme="minorEastAsia" w:eastAsiaTheme="minorEastAsia" w:cstheme="minorEastAsia"/>
                <w:b/>
                <w:color w:val="auto"/>
                <w:sz w:val="24"/>
                <w:highlight w:val="none"/>
              </w:rPr>
              <w:t>保函原件提交给采购代理机构，由采购代理机构向供应商出具回执，并妥善保管。</w:t>
            </w:r>
          </w:p>
          <w:p w14:paraId="0C80F7A8">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3.供应商为联合体的，可以由联合体中的一方或者多方共同交纳谈判保证金，其交纳的保证金对联合体各方均具有约束力。</w:t>
            </w:r>
          </w:p>
          <w:p w14:paraId="4AA99596">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【备注】</w:t>
            </w:r>
            <w:r>
              <w:rPr>
                <w:rFonts w:hint="eastAsia" w:asciiTheme="minorEastAsia" w:hAnsiTheme="minorEastAsia" w:eastAsiaTheme="minorEastAsia" w:cstheme="minorEastAsia"/>
                <w:color w:val="auto"/>
                <w:sz w:val="24"/>
                <w:highlight w:val="none"/>
              </w:rPr>
              <w:t>1.首次响应文件提交截止时间后提交的，或者未足额交纳的，或者保函额度不足的，视为无效谈判保证金。</w:t>
            </w:r>
          </w:p>
          <w:p w14:paraId="66DC861D">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2.供应商采用现钞方式或者从个人账户（自然人参与竞争性谈判除外）转出的谈判保证金，视为无效谈判保证金。</w:t>
            </w:r>
          </w:p>
          <w:p w14:paraId="3511F295">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3.保函有效期短于竞争性谈判有效期的，视为无效谈判保证金。</w:t>
            </w:r>
          </w:p>
          <w:p w14:paraId="0C941520">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4.谈判保证金采用保函为有条件保函的，视为无效谈判保证金。</w:t>
            </w:r>
          </w:p>
        </w:tc>
      </w:tr>
      <w:tr w14:paraId="3A00B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6761BEBF">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w:t>
            </w:r>
          </w:p>
        </w:tc>
        <w:tc>
          <w:tcPr>
            <w:tcW w:w="8181" w:type="dxa"/>
            <w:vAlign w:val="center"/>
          </w:tcPr>
          <w:p w14:paraId="2BDF8BBE">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响应文件应按资格证明文件、报价商务技术文件分别编制，</w:t>
            </w:r>
            <w:r>
              <w:rPr>
                <w:rFonts w:hint="eastAsia" w:asciiTheme="minorEastAsia" w:hAnsiTheme="minorEastAsia" w:eastAsiaTheme="minorEastAsia" w:cstheme="minorEastAsia"/>
                <w:color w:val="auto"/>
                <w:sz w:val="24"/>
                <w:highlight w:val="none"/>
                <w:lang w:bidi="ar"/>
              </w:rPr>
              <w:t>并按广西政府采购云平台的要求编制、加密、上传。</w:t>
            </w:r>
          </w:p>
        </w:tc>
      </w:tr>
      <w:tr w14:paraId="0AD4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47725727">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w:t>
            </w:r>
          </w:p>
        </w:tc>
        <w:tc>
          <w:tcPr>
            <w:tcW w:w="8181" w:type="dxa"/>
            <w:vAlign w:val="center"/>
          </w:tcPr>
          <w:p w14:paraId="08865999">
            <w:pPr>
              <w:spacing w:line="500" w:lineRule="exact"/>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首次响应文件提交截止时间：详见竞争性谈判公告。</w:t>
            </w:r>
          </w:p>
          <w:p w14:paraId="252801AC">
            <w:pPr>
              <w:spacing w:line="500" w:lineRule="exact"/>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首次响应文件提交地点：详见竞争性谈判公告。</w:t>
            </w:r>
          </w:p>
        </w:tc>
      </w:tr>
      <w:tr w14:paraId="3EB6A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27B0EEB5">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w:t>
            </w:r>
          </w:p>
        </w:tc>
        <w:tc>
          <w:tcPr>
            <w:tcW w:w="8181" w:type="dxa"/>
            <w:vAlign w:val="center"/>
          </w:tcPr>
          <w:p w14:paraId="49C25152">
            <w:pPr>
              <w:snapToGrid w:val="0"/>
              <w:spacing w:line="50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谈判小组的人数：3人。</w:t>
            </w:r>
          </w:p>
        </w:tc>
      </w:tr>
      <w:tr w14:paraId="1C23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1" w:type="dxa"/>
            <w:vAlign w:val="center"/>
          </w:tcPr>
          <w:p w14:paraId="7F2A4763">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w:t>
            </w:r>
          </w:p>
        </w:tc>
        <w:tc>
          <w:tcPr>
            <w:tcW w:w="8181" w:type="dxa"/>
            <w:vAlign w:val="center"/>
          </w:tcPr>
          <w:p w14:paraId="140197A7">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采购代理机构将依托电子交易平台发起开始解密指令，</w:t>
            </w:r>
            <w:r>
              <w:rPr>
                <w:rFonts w:hint="eastAsia" w:asciiTheme="minorEastAsia" w:hAnsiTheme="minorEastAsia" w:eastAsiaTheme="minorEastAsia" w:cstheme="minorEastAsia"/>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Theme="minorEastAsia" w:hAnsiTheme="minorEastAsia" w:eastAsiaTheme="minorEastAsia" w:cstheme="minorEastAsia"/>
                <w:b/>
                <w:bCs/>
                <w:color w:val="auto"/>
                <w:sz w:val="24"/>
                <w:highlight w:val="none"/>
              </w:rPr>
              <w:t>响应文件未按时解密的，视为响应文件无效。</w:t>
            </w:r>
          </w:p>
        </w:tc>
      </w:tr>
      <w:tr w14:paraId="3A87E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restart"/>
            <w:vAlign w:val="center"/>
          </w:tcPr>
          <w:p w14:paraId="203F4E86">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w:t>
            </w:r>
          </w:p>
        </w:tc>
        <w:tc>
          <w:tcPr>
            <w:tcW w:w="8181" w:type="dxa"/>
            <w:vAlign w:val="center"/>
          </w:tcPr>
          <w:p w14:paraId="37B42FB1">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商务要求评审中允许负偏离的条</w:t>
            </w:r>
            <w:r>
              <w:rPr>
                <w:rFonts w:hint="eastAsia" w:asciiTheme="minorEastAsia" w:hAnsiTheme="minorEastAsia" w:eastAsiaTheme="minorEastAsia" w:cstheme="minorEastAsia"/>
                <w:color w:val="auto"/>
                <w:sz w:val="24"/>
                <w:highlight w:val="none"/>
              </w:rPr>
              <w:t>款数为</w:t>
            </w:r>
            <w:r>
              <w:rPr>
                <w:rFonts w:hint="eastAsia" w:asciiTheme="minorEastAsia" w:hAnsiTheme="minorEastAsia" w:eastAsiaTheme="minorEastAsia" w:cstheme="minorEastAsia"/>
                <w:color w:val="auto"/>
                <w:sz w:val="24"/>
                <w:highlight w:val="none"/>
                <w:u w:val="single"/>
              </w:rPr>
              <w:t xml:space="preserve">  0  </w:t>
            </w:r>
            <w:r>
              <w:rPr>
                <w:rFonts w:hint="eastAsia" w:asciiTheme="minorEastAsia" w:hAnsiTheme="minorEastAsia" w:eastAsiaTheme="minorEastAsia" w:cstheme="minorEastAsia"/>
                <w:color w:val="auto"/>
                <w:sz w:val="24"/>
                <w:highlight w:val="none"/>
              </w:rPr>
              <w:t>项。</w:t>
            </w:r>
          </w:p>
          <w:p w14:paraId="169657F2">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技术要求评审中允许负偏离的条款数为</w:t>
            </w:r>
            <w:r>
              <w:rPr>
                <w:rFonts w:hint="eastAsia" w:asciiTheme="minorEastAsia" w:hAnsiTheme="minorEastAsia" w:eastAsiaTheme="minorEastAsia" w:cstheme="minorEastAsia"/>
                <w:color w:val="auto"/>
                <w:sz w:val="24"/>
                <w:highlight w:val="none"/>
                <w:u w:val="single"/>
              </w:rPr>
              <w:t xml:space="preserve">  2</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w:t>
            </w:r>
          </w:p>
        </w:tc>
      </w:tr>
      <w:tr w14:paraId="6B99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continue"/>
            <w:vAlign w:val="center"/>
          </w:tcPr>
          <w:p w14:paraId="09EA6826">
            <w:pPr>
              <w:spacing w:line="500" w:lineRule="exact"/>
              <w:jc w:val="center"/>
              <w:rPr>
                <w:rFonts w:hint="eastAsia" w:asciiTheme="minorEastAsia" w:hAnsiTheme="minorEastAsia" w:eastAsiaTheme="minorEastAsia" w:cstheme="minorEastAsia"/>
                <w:color w:val="auto"/>
                <w:sz w:val="24"/>
                <w:highlight w:val="none"/>
              </w:rPr>
            </w:pPr>
          </w:p>
        </w:tc>
        <w:tc>
          <w:tcPr>
            <w:tcW w:w="8181" w:type="dxa"/>
            <w:vAlign w:val="center"/>
          </w:tcPr>
          <w:p w14:paraId="00AA1E4D">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谈判的顺序：按“广西政府采购云平台”系统的编号顺序。</w:t>
            </w:r>
          </w:p>
          <w:p w14:paraId="19590EB2">
            <w:pPr>
              <w:snapToGrid w:val="0"/>
              <w:spacing w:line="5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符合谈判资格的供应商必须在接到谈判通知后规定时间内参加谈判，未在规定时间内参加谈判的视同放弃参加谈判权利，其响应文件按无效响应处理。</w:t>
            </w:r>
          </w:p>
          <w:p w14:paraId="08958847">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参与谈判前，供应商法定代表人或者委托代理人必须向谈判小组出示本人有效证件原件[有效证件可以是身份证（含临时身份证明）或者护照的其中一项。</w:t>
            </w:r>
          </w:p>
        </w:tc>
      </w:tr>
      <w:tr w14:paraId="0AFE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continue"/>
            <w:vAlign w:val="center"/>
          </w:tcPr>
          <w:p w14:paraId="048C38D5">
            <w:pPr>
              <w:spacing w:line="500" w:lineRule="exact"/>
              <w:jc w:val="center"/>
              <w:rPr>
                <w:rFonts w:hint="eastAsia" w:asciiTheme="minorEastAsia" w:hAnsiTheme="minorEastAsia" w:eastAsiaTheme="minorEastAsia" w:cstheme="minorEastAsia"/>
                <w:color w:val="auto"/>
                <w:sz w:val="24"/>
                <w:highlight w:val="none"/>
              </w:rPr>
            </w:pPr>
          </w:p>
        </w:tc>
        <w:tc>
          <w:tcPr>
            <w:tcW w:w="8181" w:type="dxa"/>
            <w:vAlign w:val="center"/>
          </w:tcPr>
          <w:p w14:paraId="126CF9B4">
            <w:pPr>
              <w:spacing w:line="500" w:lineRule="exact"/>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评审价相同时，按照最后报价由低到高顺序依次推荐；最后报价相同的，按以下原则确定成交候选人的顺序：</w:t>
            </w:r>
          </w:p>
          <w:p w14:paraId="79B43C50">
            <w:pPr>
              <w:spacing w:line="500" w:lineRule="exact"/>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p w14:paraId="127AC5AC">
            <w:pPr>
              <w:spacing w:line="500" w:lineRule="exact"/>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□由谈判小组推荐代表随机抽取。</w:t>
            </w:r>
          </w:p>
        </w:tc>
      </w:tr>
      <w:tr w14:paraId="6D378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4F5ECC62">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w:t>
            </w:r>
          </w:p>
        </w:tc>
        <w:tc>
          <w:tcPr>
            <w:tcW w:w="8181" w:type="dxa"/>
            <w:vAlign w:val="center"/>
          </w:tcPr>
          <w:p w14:paraId="2557B679">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p>
          <w:p w14:paraId="02D3AA17">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本项目不收取履约保证金。</w:t>
            </w:r>
          </w:p>
          <w:p w14:paraId="0D30E9B5">
            <w:pPr>
              <w:pStyle w:val="9"/>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本项目收取履约保证金：详见商务条款。</w:t>
            </w:r>
          </w:p>
          <w:p w14:paraId="288284D2">
            <w:pPr>
              <w:autoSpaceDE w:val="0"/>
              <w:autoSpaceDN w:val="0"/>
              <w:snapToGrid w:val="0"/>
              <w:spacing w:line="360" w:lineRule="auto"/>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履约保证金递交方式：详见商务条款。</w:t>
            </w:r>
          </w:p>
          <w:p w14:paraId="322E4260">
            <w:pPr>
              <w:autoSpaceDE w:val="0"/>
              <w:autoSpaceDN w:val="0"/>
              <w:snapToGrid w:val="0"/>
              <w:spacing w:line="360" w:lineRule="auto"/>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履约保证金退付方式、时间及条件详见商务条款。</w:t>
            </w:r>
          </w:p>
          <w:p w14:paraId="33B51C27">
            <w:pPr>
              <w:autoSpaceDE w:val="0"/>
              <w:autoSpaceDN w:val="0"/>
              <w:snapToGrid w:val="0"/>
              <w:spacing w:line="360" w:lineRule="auto"/>
              <w:textAlignment w:val="bottom"/>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p w14:paraId="4605DA00">
            <w:pPr>
              <w:autoSpaceDE w:val="0"/>
              <w:autoSpaceDN w:val="0"/>
              <w:snapToGrid w:val="0"/>
              <w:spacing w:line="360" w:lineRule="auto"/>
              <w:textAlignment w:val="bottom"/>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根据《广西壮族自治区财政厅关于持续优化政府采购营商环境推动高质量发展的通知》（桂财采〔2024〕55号），采购文件要求中标人或者成交供应商提交履约保证金的，履约保证金数额不得超过政府采购合同金额的5%，对中小企业收取的履约保证金数额不得超过政府采购合同金额的2%。</w:t>
            </w:r>
          </w:p>
          <w:p w14:paraId="6988FB51">
            <w:pPr>
              <w:autoSpaceDE w:val="0"/>
              <w:autoSpaceDN w:val="0"/>
              <w:snapToGrid w:val="0"/>
              <w:spacing w:line="360" w:lineRule="auto"/>
              <w:textAlignment w:val="bottom"/>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2.履约保证金必须足额缴纳，或出具的保函额度必须足额且保函有效期不能低于合同履行期限（即签订采购合同之日起至履行完合同约定的权利及义务之日止），否则视为无效履约保证金。</w:t>
            </w:r>
          </w:p>
          <w:p w14:paraId="471E3555">
            <w:pPr>
              <w:autoSpaceDE w:val="0"/>
              <w:autoSpaceDN w:val="0"/>
              <w:snapToGrid w:val="0"/>
              <w:spacing w:line="360" w:lineRule="auto"/>
              <w:textAlignment w:val="bottom"/>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3.采用保函的，必须为无条件保函，否则视为无效履约保证金。</w:t>
            </w:r>
          </w:p>
          <w:p w14:paraId="6CF0CEB9">
            <w:pPr>
              <w:autoSpaceDE w:val="0"/>
              <w:autoSpaceDN w:val="0"/>
              <w:snapToGrid w:val="0"/>
              <w:spacing w:line="360" w:lineRule="auto"/>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4.供应商为联合体的，由联合体任意一方按规定提交的履约保证金，视为有效履约保证金。</w:t>
            </w:r>
          </w:p>
        </w:tc>
      </w:tr>
      <w:tr w14:paraId="1009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91" w:type="dxa"/>
            <w:vAlign w:val="center"/>
          </w:tcPr>
          <w:p w14:paraId="0777219E">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w:t>
            </w:r>
          </w:p>
        </w:tc>
        <w:tc>
          <w:tcPr>
            <w:tcW w:w="8181" w:type="dxa"/>
            <w:vAlign w:val="center"/>
          </w:tcPr>
          <w:p w14:paraId="005159AF">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签订合同携带的证明材料： </w:t>
            </w:r>
          </w:p>
          <w:p w14:paraId="4BEA334A">
            <w:pPr>
              <w:autoSpaceDE w:val="0"/>
              <w:autoSpaceDN w:val="0"/>
              <w:snapToGrid w:val="0"/>
              <w:spacing w:line="500" w:lineRule="exact"/>
              <w:textAlignment w:val="bottom"/>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委托代理人负责签订合同的，须携带授权委托书及委托代理人身份证原件等其他资格证件。</w:t>
            </w:r>
          </w:p>
          <w:p w14:paraId="72BE77DF">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法定代表人负责签订合同的，须携带法定代表人身份证明原件及身份证原件等其他证明材料。</w:t>
            </w:r>
          </w:p>
        </w:tc>
      </w:tr>
      <w:tr w14:paraId="52F0F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91" w:type="dxa"/>
            <w:vAlign w:val="center"/>
          </w:tcPr>
          <w:p w14:paraId="5A7FDD14">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w:t>
            </w:r>
          </w:p>
        </w:tc>
        <w:tc>
          <w:tcPr>
            <w:tcW w:w="8181" w:type="dxa"/>
            <w:vAlign w:val="center"/>
          </w:tcPr>
          <w:p w14:paraId="765125A0">
            <w:pPr>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接收质疑函方式：以纸质书面形式。</w:t>
            </w:r>
          </w:p>
          <w:p w14:paraId="221D5167">
            <w:pPr>
              <w:pStyle w:val="15"/>
              <w:snapToGrid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广西建设工程机电设备招标中心有限公司，</w:t>
            </w:r>
          </w:p>
          <w:p w14:paraId="59C8B402">
            <w:pPr>
              <w:pStyle w:val="15"/>
              <w:snapToGrid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质疑联系人：刘雅婷；联系电话：0771-2821389</w:t>
            </w:r>
          </w:p>
          <w:p w14:paraId="03AE9788">
            <w:pPr>
              <w:pStyle w:val="15"/>
              <w:snapToGrid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highlight w:val="none"/>
              </w:rPr>
              <w:t>广西壮族自治区南宁市青秀区枫林路18号广西国控大厦裙楼三层</w:t>
            </w:r>
          </w:p>
          <w:p w14:paraId="5BF7F7F9">
            <w:pPr>
              <w:pStyle w:val="15"/>
              <w:snapToGrid w:val="0"/>
              <w:spacing w:line="500" w:lineRule="exac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业务时间： 工作日（上午8:00-12:00；下午15:00-18:00）。</w:t>
            </w:r>
          </w:p>
        </w:tc>
      </w:tr>
      <w:tr w14:paraId="59E2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1" w:type="dxa"/>
            <w:vAlign w:val="center"/>
          </w:tcPr>
          <w:p w14:paraId="00EC6B84">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w:t>
            </w:r>
          </w:p>
        </w:tc>
        <w:tc>
          <w:tcPr>
            <w:tcW w:w="8181" w:type="dxa"/>
            <w:vAlign w:val="center"/>
          </w:tcPr>
          <w:p w14:paraId="08E550EB">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1.采购代理服务费支付方式：本项目的招标代理服务费按以下收费标准向成交供应商收取。</w:t>
            </w:r>
          </w:p>
          <w:p w14:paraId="605DF00F">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采购代理服务费收取标准：</w:t>
            </w:r>
          </w:p>
          <w:p w14:paraId="0ECF46A2">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项目成交金额为计费额，按本采购文件之供应商须知正文第32.2条规定的收费计算标准（货物类）采用差额定率累进法计算出收费基准价格，采购代理服务费收费以收费基准价格收取。单个项目（或分标）招标代理服务费不达陆仟元整（¥6000.00元）的，按陆仟元整（¥6000.00元）计算。</w:t>
            </w:r>
          </w:p>
          <w:p w14:paraId="40D5621C">
            <w:pPr>
              <w:pStyle w:val="15"/>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采购代理服务费专用银行信息：</w:t>
            </w:r>
          </w:p>
          <w:p w14:paraId="55219AEC">
            <w:pPr>
              <w:pStyle w:val="15"/>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开户名称：广西建设工程机电设备招标中心有限公司</w:t>
            </w:r>
          </w:p>
          <w:p w14:paraId="054125E8">
            <w:pPr>
              <w:pStyle w:val="15"/>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开户银行：招商银行南宁分行营业部</w:t>
            </w:r>
          </w:p>
          <w:p w14:paraId="2F57E46A">
            <w:pPr>
              <w:pStyle w:val="15"/>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银行账号：7719 0142 3310 201</w:t>
            </w:r>
          </w:p>
        </w:tc>
      </w:tr>
      <w:tr w14:paraId="4E8E9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991" w:type="dxa"/>
            <w:vAlign w:val="center"/>
          </w:tcPr>
          <w:p w14:paraId="5F7B8989">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w:t>
            </w:r>
          </w:p>
        </w:tc>
        <w:tc>
          <w:tcPr>
            <w:tcW w:w="8181" w:type="dxa"/>
            <w:vAlign w:val="center"/>
          </w:tcPr>
          <w:p w14:paraId="21582BA2">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解释：构成本谈判文件的各个组成文件应互为解释，互为说明；除谈判文件中有特别规定外，仅适用于竞争性谈判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09505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5" w:hRule="atLeast"/>
          <w:jc w:val="center"/>
        </w:trPr>
        <w:tc>
          <w:tcPr>
            <w:tcW w:w="991" w:type="dxa"/>
            <w:vAlign w:val="center"/>
          </w:tcPr>
          <w:p w14:paraId="4F5DC008">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w:t>
            </w:r>
          </w:p>
        </w:tc>
        <w:tc>
          <w:tcPr>
            <w:tcW w:w="8181" w:type="dxa"/>
            <w:vAlign w:val="center"/>
          </w:tcPr>
          <w:p w14:paraId="5A9CDA3B">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谈判文件中描述供应商的“公章”是指根据我国对公章的管理规定，用供应商法定主体名称制作的印章或供应商通过指定电子化政府采购平台办理数字证书（CA认证）获得的以法定主体名称制作的电子印章。除本谈判文件有特殊规定外，供应商的财务章、部门章、分公司章、工会章、合同章、竞争性谈判专用章、业务专用章及银行的转账章、现金收讫章、现金付讫章等其他形式印章均不能代替公章。</w:t>
            </w:r>
          </w:p>
          <w:p w14:paraId="4E6CF5C8">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2.供应商为其他组织或者自然人时，本谈判文件规定的法定代表人指负责人或者自然人。本谈判文件所称负责人是指参加竞争性谈判的其他组织</w:t>
            </w:r>
            <w:r>
              <w:rPr>
                <w:rFonts w:hint="eastAsia" w:asciiTheme="minorEastAsia" w:hAnsiTheme="minorEastAsia" w:eastAsiaTheme="minorEastAsia" w:cstheme="minorEastAsia"/>
                <w:bCs/>
                <w:color w:val="auto"/>
                <w:sz w:val="24"/>
                <w:szCs w:val="24"/>
                <w:highlight w:val="none"/>
              </w:rPr>
              <w:t>营业执照或者执业许可证等证照上</w:t>
            </w:r>
            <w:r>
              <w:rPr>
                <w:rFonts w:hint="eastAsia" w:asciiTheme="minorEastAsia" w:hAnsiTheme="minorEastAsia" w:eastAsiaTheme="minorEastAsia" w:cstheme="minorEastAsia"/>
                <w:color w:val="auto"/>
                <w:sz w:val="24"/>
                <w:szCs w:val="24"/>
                <w:highlight w:val="none"/>
              </w:rPr>
              <w:t>的负责人，本谈判文件所称自然人指参与竞争性谈判的自然人本人，</w:t>
            </w:r>
            <w:r>
              <w:rPr>
                <w:rFonts w:hint="eastAsia" w:asciiTheme="minorEastAsia" w:hAnsiTheme="minorEastAsia" w:eastAsiaTheme="minorEastAsia" w:cstheme="minorEastAsia"/>
                <w:bCs/>
                <w:color w:val="auto"/>
                <w:sz w:val="24"/>
                <w:szCs w:val="24"/>
                <w:highlight w:val="none"/>
              </w:rPr>
              <w:t>且应具备独立承担民事责任能力，自然人应当为年满18岁以上成年人（十六周岁以上的未成年人，以自己的劳动收入为主要生活来源的，视为完全民事行为能力人）。</w:t>
            </w:r>
          </w:p>
          <w:p w14:paraId="451DC628">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谈判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2247D7D5">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92FBE0D">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5.自然人参与竞争性谈判的，谈判文件规定盖章的地方自然人可以加盖手指指印。</w:t>
            </w:r>
          </w:p>
          <w:p w14:paraId="779AD0FC">
            <w:pPr>
              <w:pStyle w:val="15"/>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6.本谈判文件所称的“以上”“以下”“以内”“届满”，包括本数；所称的“不满”“超过”“以外”，不包括本数。</w:t>
            </w:r>
          </w:p>
        </w:tc>
      </w:tr>
    </w:tbl>
    <w:p w14:paraId="6981804E">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2"/>
          <w:szCs w:val="32"/>
          <w:highlight w:val="none"/>
        </w:rPr>
        <w:br w:type="page"/>
      </w:r>
      <w:r>
        <w:rPr>
          <w:rFonts w:hint="eastAsia" w:ascii="宋体" w:hAnsi="宋体" w:cs="宋体"/>
          <w:b/>
          <w:color w:val="auto"/>
          <w:sz w:val="36"/>
          <w:szCs w:val="36"/>
          <w:highlight w:val="none"/>
        </w:rPr>
        <w:t>供应商须知正文</w:t>
      </w:r>
    </w:p>
    <w:p w14:paraId="28242407">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一、总则</w:t>
      </w:r>
    </w:p>
    <w:p w14:paraId="0D86E568">
      <w:pPr>
        <w:spacing w:line="400" w:lineRule="exact"/>
        <w:rPr>
          <w:rFonts w:hint="eastAsia" w:ascii="宋体" w:hAnsi="宋体" w:cs="宋体"/>
          <w:color w:val="auto"/>
          <w:szCs w:val="21"/>
          <w:highlight w:val="none"/>
        </w:rPr>
      </w:pPr>
    </w:p>
    <w:p w14:paraId="0B1B777D">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1.适用范围</w:t>
      </w:r>
    </w:p>
    <w:p w14:paraId="37C3AC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8BAF6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本竞争性谈判采购文件（以下简称谈判文件）适用于本项目的所有采购程序和环节（法律、法规另有规定的，从其规定）。</w:t>
      </w:r>
    </w:p>
    <w:p w14:paraId="67989762">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2.定义</w:t>
      </w:r>
    </w:p>
    <w:p w14:paraId="63F48B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2.1“采购人”是指依法进行采购的国家机关、事业单位、团体组织。</w:t>
      </w:r>
    </w:p>
    <w:p w14:paraId="37A8F092">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2.2“采购代理机构”</w:t>
      </w:r>
      <w:r>
        <w:rPr>
          <w:rFonts w:hint="eastAsia" w:ascii="宋体" w:hAnsi="宋体" w:cs="宋体"/>
          <w:b/>
          <w:color w:val="auto"/>
          <w:sz w:val="24"/>
          <w:highlight w:val="none"/>
        </w:rPr>
        <w:t>是指政府采购集中采购机构和集中采购机构以外的采购代理机构。</w:t>
      </w:r>
    </w:p>
    <w:p w14:paraId="6721D2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17A794A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2.4“货物”是指各种形态和种类的物品，包括原材料、燃料、设备、产品等。</w:t>
      </w:r>
    </w:p>
    <w:p w14:paraId="12FF2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w:t>
      </w:r>
      <w:r>
        <w:rPr>
          <w:rFonts w:hint="eastAsia" w:hAnsi="宋体" w:cs="宋体"/>
          <w:color w:val="auto"/>
          <w:sz w:val="24"/>
          <w:highlight w:val="none"/>
        </w:rPr>
        <w:t>竞争性谈判</w:t>
      </w:r>
      <w:r>
        <w:rPr>
          <w:rFonts w:hint="eastAsia" w:ascii="宋体" w:hAnsi="宋体" w:cs="宋体"/>
          <w:color w:val="auto"/>
          <w:sz w:val="24"/>
          <w:highlight w:val="none"/>
        </w:rPr>
        <w:t>”是指按照本项目竞争性谈判公告或者邀请函规定的方式供应商获取谈判文件、提交响应文件并希望获得标的的行为。</w:t>
      </w:r>
    </w:p>
    <w:p w14:paraId="60B1A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2.6“售后服务” 是指包含但不限于供应商须承担的备品备件、包装、运输、装卸、保险、货到就位以及安装、调试、培训、保修和其他类似的义务。</w:t>
      </w:r>
    </w:p>
    <w:p w14:paraId="1AB938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2.7“书面形式”是指合同书、信件和数据电文（包括电报、电传、传真、电子数据交换和电子邮件）等可以有形地表现所载内容的形式。</w:t>
      </w:r>
    </w:p>
    <w:p w14:paraId="4EC044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2.8“响应文件”</w:t>
      </w:r>
      <w:r>
        <w:rPr>
          <w:rFonts w:hint="eastAsia" w:ascii="宋体" w:hAnsi="宋体" w:cs="宋体"/>
          <w:color w:val="auto"/>
          <w:spacing w:val="-6"/>
          <w:sz w:val="24"/>
          <w:highlight w:val="none"/>
        </w:rPr>
        <w:t>是指：供应商根据本谈判文件要求，编制包含报价、技术和服务等所有内容的文件。</w:t>
      </w:r>
    </w:p>
    <w:p w14:paraId="410356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 “实质性要求”是指采购需求中带“▲”的条款或者不能负偏离的条款或者已经指明不满足按响应文件按无效响应处理的条款。</w:t>
      </w:r>
    </w:p>
    <w:p w14:paraId="382B66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2.10“正偏离”，是指响应文件对谈判文件“采购需求”中有关条款作出优于条款要求并有利于采购人的响应情形；</w:t>
      </w:r>
    </w:p>
    <w:p w14:paraId="7403FA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2.11“负偏离”，是指响应文件对谈判文件“采购需求”中有关条款作出的响应不满足条款要求，导致采购人要求不能得到满足的情形。</w:t>
      </w:r>
    </w:p>
    <w:p w14:paraId="57AAD0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2.12“允许负偏离的条款”是指采购需求中的不属于“实质性要求”的条款。</w:t>
      </w:r>
    </w:p>
    <w:p w14:paraId="4F1C4B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2.13“首次报价”是指供应商提交的首次响应文件中的</w:t>
      </w:r>
      <w:r>
        <w:rPr>
          <w:rFonts w:hint="eastAsia" w:hAnsi="宋体" w:cs="宋体"/>
          <w:color w:val="auto"/>
          <w:sz w:val="24"/>
          <w:highlight w:val="none"/>
        </w:rPr>
        <w:t>竞争性谈判</w:t>
      </w:r>
      <w:r>
        <w:rPr>
          <w:rFonts w:hint="eastAsia" w:ascii="宋体" w:hAnsi="宋体" w:cs="宋体"/>
          <w:color w:val="auto"/>
          <w:sz w:val="24"/>
          <w:highlight w:val="none"/>
        </w:rPr>
        <w:t>报价。</w:t>
      </w:r>
    </w:p>
    <w:p w14:paraId="0B7F3489">
      <w:pPr>
        <w:spacing w:line="360" w:lineRule="auto"/>
        <w:ind w:firstLine="643" w:firstLineChars="200"/>
        <w:contextualSpacing/>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3.供应商的资格条件</w:t>
      </w:r>
    </w:p>
    <w:p w14:paraId="2A0F294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22AFB43B">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4.竞争性谈判费用</w:t>
      </w:r>
    </w:p>
    <w:p w14:paraId="49A205B0">
      <w:pPr>
        <w:spacing w:line="360" w:lineRule="auto"/>
        <w:ind w:firstLine="480" w:firstLineChars="200"/>
        <w:rPr>
          <w:rFonts w:hint="eastAsia" w:ascii="宋体" w:hAnsi="宋体" w:cs="宋体"/>
          <w:color w:val="auto"/>
          <w:sz w:val="24"/>
          <w:highlight w:val="none"/>
        </w:rPr>
      </w:pPr>
      <w:r>
        <w:rPr>
          <w:rFonts w:hint="eastAsia" w:hAnsi="宋体" w:cs="宋体"/>
          <w:color w:val="auto"/>
          <w:sz w:val="24"/>
          <w:highlight w:val="none"/>
        </w:rPr>
        <w:t>竞争性谈判</w:t>
      </w:r>
      <w:r>
        <w:rPr>
          <w:rFonts w:hint="eastAsia" w:ascii="宋体" w:hAnsi="宋体" w:cs="宋体"/>
          <w:color w:val="auto"/>
          <w:sz w:val="24"/>
          <w:highlight w:val="none"/>
        </w:rPr>
        <w:t>费用：供应商应承担参与本次采购活动有关的所有费用，包括但不限于获取谈判文件、勘查现场、编制和提交响应文件、参加谈判与应答、签订合同等，不论</w:t>
      </w:r>
      <w:r>
        <w:rPr>
          <w:rFonts w:hint="eastAsia" w:hAnsi="宋体" w:cs="宋体"/>
          <w:color w:val="auto"/>
          <w:sz w:val="24"/>
          <w:highlight w:val="none"/>
        </w:rPr>
        <w:t>竞争性谈判</w:t>
      </w:r>
      <w:r>
        <w:rPr>
          <w:rFonts w:hint="eastAsia" w:ascii="宋体" w:hAnsi="宋体" w:cs="宋体"/>
          <w:color w:val="auto"/>
          <w:sz w:val="24"/>
          <w:highlight w:val="none"/>
        </w:rPr>
        <w:t>结果如何，均应自行承担。</w:t>
      </w:r>
    </w:p>
    <w:p w14:paraId="67C10B00">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5.联合体参与竞争性谈判</w:t>
      </w:r>
    </w:p>
    <w:p w14:paraId="73CFE5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5.1本项目是否接受联合体参与</w:t>
      </w:r>
      <w:r>
        <w:rPr>
          <w:rFonts w:hint="eastAsia" w:hAnsi="宋体" w:cs="宋体"/>
          <w:color w:val="auto"/>
          <w:sz w:val="24"/>
          <w:highlight w:val="none"/>
        </w:rPr>
        <w:t>竞争性谈判</w:t>
      </w:r>
      <w:r>
        <w:rPr>
          <w:rFonts w:hint="eastAsia" w:ascii="宋体" w:hAnsi="宋体" w:cs="宋体"/>
          <w:color w:val="auto"/>
          <w:sz w:val="24"/>
          <w:highlight w:val="none"/>
        </w:rPr>
        <w:t>，详见“供应商须知前附表”。</w:t>
      </w:r>
    </w:p>
    <w:p w14:paraId="09A72B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bCs/>
          <w:color w:val="auto"/>
          <w:sz w:val="24"/>
          <w:highlight w:val="none"/>
        </w:rPr>
        <w:t>如接受联合体参与</w:t>
      </w:r>
      <w:r>
        <w:rPr>
          <w:rFonts w:hint="eastAsia" w:hAnsi="宋体" w:cs="宋体"/>
          <w:color w:val="auto"/>
          <w:sz w:val="24"/>
          <w:highlight w:val="none"/>
        </w:rPr>
        <w:t>竞争性谈判</w:t>
      </w:r>
      <w:r>
        <w:rPr>
          <w:rFonts w:hint="eastAsia" w:ascii="宋体" w:hAnsi="宋体" w:cs="宋体"/>
          <w:bCs/>
          <w:color w:val="auto"/>
          <w:sz w:val="24"/>
          <w:highlight w:val="none"/>
        </w:rPr>
        <w:t>，</w:t>
      </w:r>
      <w:r>
        <w:rPr>
          <w:rFonts w:hint="eastAsia" w:ascii="宋体" w:hAnsi="宋体" w:cs="宋体"/>
          <w:color w:val="auto"/>
          <w:sz w:val="24"/>
          <w:highlight w:val="none"/>
        </w:rPr>
        <w:t>具体要求详见“供应商须知前附表”。</w:t>
      </w:r>
    </w:p>
    <w:p w14:paraId="6D47DA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w:t>
      </w:r>
      <w:bookmarkStart w:id="15" w:name="_Hlk65857072"/>
      <w:r>
        <w:rPr>
          <w:rFonts w:hint="eastAsia" w:ascii="宋体" w:hAnsi="宋体" w:cs="宋体"/>
          <w:color w:val="auto"/>
          <w:sz w:val="24"/>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5"/>
    </w:p>
    <w:p w14:paraId="7886B244">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6.转包与分包             </w:t>
      </w:r>
    </w:p>
    <w:p w14:paraId="6271DC1A">
      <w:pPr>
        <w:pStyle w:val="6"/>
        <w:keepNext w:val="0"/>
        <w:keepLines w:val="0"/>
        <w:spacing w:before="0" w:after="0" w:line="360" w:lineRule="auto"/>
        <w:ind w:firstLine="480" w:firstLineChars="200"/>
        <w:rPr>
          <w:rFonts w:hint="eastAsia" w:ascii="宋体" w:hAnsi="宋体" w:cs="宋体"/>
          <w:b w:val="0"/>
          <w:color w:val="auto"/>
          <w:sz w:val="24"/>
          <w:szCs w:val="24"/>
          <w:highlight w:val="none"/>
        </w:rPr>
      </w:pPr>
      <w:bookmarkStart w:id="16" w:name="_Toc254970532"/>
      <w:bookmarkStart w:id="17" w:name="_Toc254970673"/>
      <w:r>
        <w:rPr>
          <w:rFonts w:hint="eastAsia" w:ascii="宋体" w:hAnsi="宋体" w:cs="宋体"/>
          <w:b w:val="0"/>
          <w:color w:val="auto"/>
          <w:sz w:val="24"/>
          <w:szCs w:val="24"/>
          <w:highlight w:val="none"/>
        </w:rPr>
        <w:t>6.1本项目不允许转包。</w:t>
      </w:r>
    </w:p>
    <w:p w14:paraId="4515C5F5">
      <w:pPr>
        <w:pStyle w:val="6"/>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F583326">
      <w:pPr>
        <w:pStyle w:val="6"/>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25AF2F45">
      <w:pPr>
        <w:spacing w:line="360" w:lineRule="auto"/>
        <w:ind w:firstLine="643" w:firstLineChars="200"/>
        <w:rPr>
          <w:rFonts w:hint="eastAsia" w:ascii="宋体" w:hAnsi="宋体" w:cs="宋体"/>
          <w:color w:val="auto"/>
          <w:sz w:val="24"/>
          <w:highlight w:val="none"/>
        </w:rPr>
      </w:pPr>
      <w:r>
        <w:rPr>
          <w:rFonts w:hint="eastAsia" w:ascii="宋体" w:hAnsi="宋体" w:cs="宋体"/>
          <w:b/>
          <w:bCs/>
          <w:color w:val="auto"/>
          <w:sz w:val="32"/>
          <w:szCs w:val="32"/>
          <w:highlight w:val="none"/>
        </w:rPr>
        <w:t>7.特别说明</w:t>
      </w:r>
      <w:bookmarkEnd w:id="16"/>
      <w:bookmarkEnd w:id="17"/>
      <w:bookmarkStart w:id="18" w:name="_8.1提供相同品牌产品且通过资格审查、符合性审查的不同投标人参加同一合"/>
      <w:bookmarkEnd w:id="18"/>
    </w:p>
    <w:p w14:paraId="4CB524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1</w:t>
      </w:r>
      <w:r>
        <w:rPr>
          <w:rFonts w:hint="eastAsia" w:ascii="宋体" w:hAnsi="宋体" w:cs="宋体"/>
          <w:color w:val="auto"/>
          <w:sz w:val="24"/>
          <w:highlight w:val="none"/>
        </w:rPr>
        <w:t>如果本谈判文件要求提供供应商或制造商的资格、信誉、荣誉、业绩与企业认证等材料的，资格、信誉、荣誉、业绩与企业认证等必须为供应商或者制造商所拥有或自身获得 。</w:t>
      </w:r>
    </w:p>
    <w:p w14:paraId="5C3DE3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2</w:t>
      </w:r>
      <w:r>
        <w:rPr>
          <w:rFonts w:hint="eastAsia" w:ascii="宋体" w:hAnsi="宋体" w:cs="宋体"/>
          <w:color w:val="auto"/>
          <w:sz w:val="24"/>
          <w:highlight w:val="none"/>
        </w:rPr>
        <w:t>供应商应仔细阅读谈判文件的所有内容，按照谈判文件的要求提交响应文件，并对所提供的全部资料的真实性承担法律责任。</w:t>
      </w:r>
    </w:p>
    <w:p w14:paraId="4D4E98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3</w:t>
      </w:r>
      <w:r>
        <w:rPr>
          <w:rFonts w:hint="eastAsia" w:ascii="宋体" w:hAnsi="宋体" w:cs="宋体"/>
          <w:color w:val="auto"/>
          <w:sz w:val="24"/>
          <w:highlight w:val="none"/>
        </w:rPr>
        <w:t>供应商在参与</w:t>
      </w:r>
      <w:r>
        <w:rPr>
          <w:rFonts w:hint="eastAsia" w:hAnsi="宋体" w:cs="宋体"/>
          <w:color w:val="auto"/>
          <w:sz w:val="24"/>
          <w:highlight w:val="none"/>
        </w:rPr>
        <w:t>竞争性谈判</w:t>
      </w:r>
      <w:r>
        <w:rPr>
          <w:rFonts w:hint="eastAsia" w:ascii="宋体" w:hAnsi="宋体" w:cs="宋体"/>
          <w:color w:val="auto"/>
          <w:sz w:val="24"/>
          <w:highlight w:val="none"/>
        </w:rPr>
        <w:t>活动中提供任何虚假材料,其响应文件按无效响应处理，并报监管部门查处；签订合同后发现的, 采购人有权单方解除合同，成交供应商须依法赔偿采购人，且民事赔偿并不免除违法供应商的行政与刑事责任。</w:t>
      </w:r>
    </w:p>
    <w:p w14:paraId="5B3099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4</w:t>
      </w:r>
      <w:r>
        <w:rPr>
          <w:rFonts w:hint="eastAsia" w:ascii="宋体" w:hAnsi="宋体" w:cs="宋体"/>
          <w:color w:val="auto"/>
          <w:sz w:val="24"/>
          <w:highlight w:val="none"/>
        </w:rPr>
        <w:t>在政府采购活动中，采购人员及相关人员与供应商有下列利害关系之一的，应当回避：</w:t>
      </w:r>
    </w:p>
    <w:p w14:paraId="728011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3627E8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340668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74EC49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27DB6A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27972C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w:t>
      </w:r>
      <w:r>
        <w:rPr>
          <w:rFonts w:hint="eastAsia" w:ascii="宋体" w:hAnsi="宋体" w:cs="宋体"/>
          <w:color w:val="auto"/>
          <w:sz w:val="24"/>
          <w:highlight w:val="none"/>
        </w:rPr>
        <w:t>回避人员应当回避。</w:t>
      </w:r>
    </w:p>
    <w:p w14:paraId="6D8F84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5</w:t>
      </w:r>
      <w:r>
        <w:rPr>
          <w:rFonts w:hint="eastAsia" w:ascii="宋体" w:hAnsi="宋体" w:cs="宋体"/>
          <w:color w:val="auto"/>
          <w:sz w:val="24"/>
          <w:highlight w:val="none"/>
        </w:rPr>
        <w:t>有下列情形之一的视为供应商相互串通参与</w:t>
      </w:r>
      <w:r>
        <w:rPr>
          <w:rFonts w:hint="eastAsia" w:hAnsi="宋体" w:cs="宋体"/>
          <w:color w:val="auto"/>
          <w:sz w:val="24"/>
          <w:highlight w:val="none"/>
        </w:rPr>
        <w:t>竞争性谈判</w:t>
      </w:r>
      <w:r>
        <w:rPr>
          <w:rFonts w:hint="eastAsia" w:ascii="宋体" w:hAnsi="宋体" w:cs="宋体"/>
          <w:color w:val="auto"/>
          <w:sz w:val="24"/>
          <w:highlight w:val="none"/>
        </w:rPr>
        <w:t>，响应文件将被视为无效：</w:t>
      </w:r>
    </w:p>
    <w:p w14:paraId="35D239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r>
        <w:rPr>
          <w:rFonts w:hint="eastAsia" w:ascii="宋体" w:hAnsi="宋体" w:cs="宋体"/>
          <w:color w:val="auto"/>
          <w:sz w:val="24"/>
          <w:highlight w:val="none"/>
          <w:shd w:val="clear" w:color="auto" w:fill="FFFFFF"/>
        </w:rPr>
        <w:t>或者上传提交响应文件硬件设备CPU编号、硬盘编号、网卡地址一致的情况；</w:t>
      </w:r>
    </w:p>
    <w:p w14:paraId="5D0385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w:t>
      </w:r>
      <w:r>
        <w:rPr>
          <w:rFonts w:hint="eastAsia" w:hAnsi="宋体" w:cs="宋体"/>
          <w:color w:val="auto"/>
          <w:sz w:val="24"/>
          <w:highlight w:val="none"/>
        </w:rPr>
        <w:t>竞争性谈判</w:t>
      </w:r>
      <w:r>
        <w:rPr>
          <w:rFonts w:hint="eastAsia" w:ascii="宋体" w:hAnsi="宋体" w:cs="宋体"/>
          <w:color w:val="auto"/>
          <w:sz w:val="24"/>
          <w:highlight w:val="none"/>
        </w:rPr>
        <w:t>事宜；</w:t>
      </w:r>
    </w:p>
    <w:p w14:paraId="6B3180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651356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31F5A7B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382F64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（6）不同供应商的谈判保证金从同一单位或者个人账户转出；</w:t>
      </w:r>
    </w:p>
    <w:p w14:paraId="0D3BFA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（7）供应商之间协商报价等响应文件的</w:t>
      </w:r>
      <w:r>
        <w:rPr>
          <w:rFonts w:hint="eastAsia" w:ascii="宋体" w:hAnsi="宋体" w:cs="宋体"/>
          <w:color w:val="auto"/>
          <w:sz w:val="24"/>
          <w:highlight w:val="none"/>
        </w:rPr>
        <w:t>实质性内容；</w:t>
      </w:r>
    </w:p>
    <w:p w14:paraId="5116FF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（8）供应商之间约定成交供应商；</w:t>
      </w:r>
    </w:p>
    <w:p w14:paraId="7A4B96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（9）供应商之间约定部分供应商放弃参与竞争性谈判或者成交；</w:t>
      </w:r>
    </w:p>
    <w:p w14:paraId="40C6E7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（10）属于同一集团、协会、商会等组织成员的供应商按照该组织要求协同参与竞争性谈判；</w:t>
      </w:r>
    </w:p>
    <w:p w14:paraId="29B68C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（11）供应商之间为谋取成交或者排斥特定供应商而采取的其他联合行动。</w:t>
      </w:r>
    </w:p>
    <w:p w14:paraId="5B32D7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6</w:t>
      </w:r>
      <w:r>
        <w:rPr>
          <w:rFonts w:hint="eastAsia" w:ascii="宋体" w:hAnsi="宋体" w:cs="宋体"/>
          <w:color w:val="auto"/>
          <w:sz w:val="24"/>
          <w:highlight w:val="none"/>
        </w:rPr>
        <w:t>供应商有下列情形之一的，属于恶意串通行为</w:t>
      </w:r>
      <w:bookmarkStart w:id="19" w:name="_Hlk54682620"/>
      <w:r>
        <w:rPr>
          <w:rFonts w:hint="eastAsia" w:ascii="宋体" w:hAnsi="宋体" w:cs="宋体"/>
          <w:color w:val="auto"/>
          <w:sz w:val="24"/>
          <w:highlight w:val="none"/>
        </w:rPr>
        <w:t>，将报同级监督管理部门</w:t>
      </w:r>
      <w:bookmarkEnd w:id="19"/>
      <w:r>
        <w:rPr>
          <w:rFonts w:hint="eastAsia" w:ascii="宋体" w:hAnsi="宋体" w:cs="宋体"/>
          <w:color w:val="auto"/>
          <w:sz w:val="24"/>
          <w:highlight w:val="none"/>
        </w:rPr>
        <w:t>：</w:t>
      </w:r>
    </w:p>
    <w:p w14:paraId="4887C0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AE9A2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FFB3A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33F934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7A7154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w:t>
      </w:r>
      <w:r>
        <w:rPr>
          <w:rFonts w:hint="eastAsia" w:hAnsi="宋体" w:cs="宋体"/>
          <w:color w:val="auto"/>
          <w:sz w:val="24"/>
          <w:highlight w:val="none"/>
        </w:rPr>
        <w:t>竞争性谈判</w:t>
      </w:r>
      <w:r>
        <w:rPr>
          <w:rFonts w:hint="eastAsia" w:ascii="宋体" w:hAnsi="宋体" w:cs="宋体"/>
          <w:color w:val="auto"/>
          <w:sz w:val="24"/>
          <w:highlight w:val="none"/>
        </w:rPr>
        <w:t>；</w:t>
      </w:r>
    </w:p>
    <w:p w14:paraId="68BCCC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DF53D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34554BD2">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7.7</w:t>
      </w:r>
      <w:r>
        <w:rPr>
          <w:rFonts w:hint="eastAsia" w:ascii="宋体" w:hAnsi="宋体" w:cs="宋体"/>
          <w:color w:val="auto"/>
          <w:sz w:val="24"/>
          <w:highlight w:val="none"/>
        </w:rPr>
        <w:t>单一产品采购项目，提供相同品牌产品的不同供应商参加同一合同项下</w:t>
      </w:r>
      <w:r>
        <w:rPr>
          <w:rFonts w:hint="eastAsia" w:hAnsi="宋体" w:cs="宋体"/>
          <w:color w:val="auto"/>
          <w:sz w:val="24"/>
          <w:highlight w:val="none"/>
        </w:rPr>
        <w:t>竞争性谈判</w:t>
      </w:r>
      <w:r>
        <w:rPr>
          <w:rFonts w:hint="eastAsia" w:ascii="宋体" w:hAnsi="宋体" w:cs="宋体"/>
          <w:color w:val="auto"/>
          <w:sz w:val="24"/>
          <w:highlight w:val="none"/>
        </w:rPr>
        <w:t>的，以其中通过资格审查、符合性审查、谈判且最后报价最低的参加报价评审；最后报价相同的，按照前附表第2</w:t>
      </w:r>
      <w:r>
        <w:rPr>
          <w:rFonts w:ascii="宋体" w:hAnsi="宋体" w:cs="宋体"/>
          <w:color w:val="auto"/>
          <w:sz w:val="24"/>
          <w:highlight w:val="none"/>
        </w:rPr>
        <w:t>6</w:t>
      </w:r>
      <w:r>
        <w:rPr>
          <w:rFonts w:hint="eastAsia" w:ascii="宋体" w:hAnsi="宋体" w:cs="宋体"/>
          <w:color w:val="auto"/>
          <w:sz w:val="24"/>
          <w:highlight w:val="none"/>
        </w:rPr>
        <w:t>条规定确定一个参加评审的供应商，其他响应文件作无效处理。</w:t>
      </w:r>
    </w:p>
    <w:p w14:paraId="474A7C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非单一产品采购项目，多家供应商提供的核心产品品牌相同的，按前款规定处理；多家供应商提供的所有产品品牌相同，按前款处理。</w:t>
      </w:r>
    </w:p>
    <w:p w14:paraId="0FA6539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7.8.对本国产品的支持政策</w:t>
      </w:r>
    </w:p>
    <w:p w14:paraId="7AE12E4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7.8.1本国产品标准</w:t>
      </w:r>
    </w:p>
    <w:p w14:paraId="2BBA428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“本国产品标准的产品”是指：符合《国务院办公厅关于在政府采购中实施本国产品标准及相关政策的通知》（国办发〔2025〕34号）规定的本国产品标准的产品。</w:t>
      </w:r>
    </w:p>
    <w:p w14:paraId="2395EC2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本国产品标准的产品应当符合以下条件：</w:t>
      </w:r>
    </w:p>
    <w:p w14:paraId="4991BB8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76D52E8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①为确保产品在运输或者储存期间保持某种状态而进行的操作；</w:t>
      </w:r>
    </w:p>
    <w:p w14:paraId="6B67834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②为产品运输或者销售进行的包装或者展示；</w:t>
      </w:r>
    </w:p>
    <w:p w14:paraId="7D24338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③在产品或者其包装上粘贴或者印刷品牌、标志、标识以及其他用于区别的标记；</w:t>
      </w:r>
    </w:p>
    <w:p w14:paraId="70D8A75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④简单的上漆、磨光和分装；</w:t>
      </w:r>
    </w:p>
    <w:p w14:paraId="4297A4F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⑤其他不属于属性改变的情形；</w:t>
      </w:r>
    </w:p>
    <w:p w14:paraId="4EA090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中国境内生产的组件成本占比达到规定比例。</w:t>
      </w:r>
    </w:p>
    <w:p w14:paraId="00C68AF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①产品在中国境内生产的组件成本占比应当达到规定比例，计算公式为：产品在中国境内生产的组件成本/产品总成本≥规定比例；</w:t>
      </w:r>
    </w:p>
    <w:p w14:paraId="5BCD45E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②产品在中国境内生产的组件成本，按照《中国境内生产的组件成本核算基本规则》（见第七章15.6中的附件）计算；</w:t>
      </w:r>
    </w:p>
    <w:p w14:paraId="6CFF562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③中国境内生产的组件成本占比相关要求实施前，符合第（一）项条件的产品在政府采购活动中视同本国产品。</w:t>
      </w:r>
    </w:p>
    <w:p w14:paraId="1A9A0EE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特定产品的关键组件和工序在中国境内完成。</w:t>
      </w:r>
    </w:p>
    <w:p w14:paraId="233ABF3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①对特定产品，在符合第（一）项和第（二）项条件的基础上，应当符合财政部会同有关行业主管部门确定的其关键组件、关键工序在中国境内生产、完成等要求；</w:t>
      </w:r>
    </w:p>
    <w:p w14:paraId="1FC647C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②特定产品的关键组件、关键工序符合相关要求实施前，符合第（一）项和第（二）项条件的产品在政府采购活动中视同本国产品。</w:t>
      </w:r>
    </w:p>
    <w:p w14:paraId="14BD140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7.8.2本国产品标准的适用范围</w:t>
      </w:r>
    </w:p>
    <w:p w14:paraId="34B6563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是否适用对本国产品的支持政策详见供应商须知前附表。</w:t>
      </w:r>
    </w:p>
    <w:p w14:paraId="5216579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中华人民共和国缔结或者共同参加的国际条约、协定对政府采购中本国产品政策另有规定的，按照有关条约、协定执行。</w:t>
      </w:r>
    </w:p>
    <w:p w14:paraId="3E2C27D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7.8.3价格评审优惠既有本国产品又有非本国产品参与竞争的，依法对本国产品给予价格评审优惠，对本国产品的报价给予20%的价格扣除，用扣除后的价格参与评审。</w:t>
      </w:r>
    </w:p>
    <w:p w14:paraId="3F01E62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E67D9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价格扣除比例在第四章评审方法及标准中规定。</w:t>
      </w:r>
    </w:p>
    <w:p w14:paraId="136C0E0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7.8.4政策执行要求</w:t>
      </w:r>
    </w:p>
    <w:p w14:paraId="3361E62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7.8.4.1产品在中国境内生产的组件成本核算规则：产品在中国境内生产的组件成本，按照《中国境内生产的组件成本核算基本规则》计算。</w:t>
      </w:r>
    </w:p>
    <w:p w14:paraId="4DC80D7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《中国境内生产的组件成本核算基本规则》</w:t>
      </w:r>
    </w:p>
    <w:p w14:paraId="0EB93BC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33778A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1.产品的一级组件是指直接组成产品的组件。产品的二级组件是指直接组成产品一级组件的组件。一级组件不可分解的，视同二级组件。</w:t>
      </w:r>
    </w:p>
    <w:p w14:paraId="321C17A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2.二级组件在中国境内生产的，其全部成本计入中国境内生产的组件成本；二级组件不在中国境内生产的，其成本不计入中国境内生产的组件成本。</w:t>
      </w:r>
    </w:p>
    <w:p w14:paraId="7AC32C4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3.产品总成本和组件成本以相关会计核算数据、采购合同、进货记录等为基础进行计算。</w:t>
      </w:r>
    </w:p>
    <w:p w14:paraId="2C8610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4.需要对成本核算规则予以进一步明确的其他有关事项，由财政部会同有关部门另行规定。</w:t>
      </w:r>
    </w:p>
    <w:p w14:paraId="2E22E3E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7.8.4.2证明材料要求：供应商需在竞标文件中对其提供的产品出具《关于符合本国产品标准的声明函》（样式见竞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B8D96DF">
      <w:pPr>
        <w:pStyle w:val="2"/>
        <w:rPr>
          <w:color w:val="auto"/>
          <w:highlight w:val="none"/>
        </w:rPr>
      </w:pPr>
    </w:p>
    <w:p w14:paraId="51E191D9">
      <w:pPr>
        <w:spacing w:line="360" w:lineRule="auto"/>
        <w:ind w:firstLine="477" w:firstLineChars="199"/>
        <w:jc w:val="center"/>
        <w:rPr>
          <w:rFonts w:hint="eastAsia" w:ascii="宋体" w:hAnsi="宋体" w:cs="宋体"/>
          <w:color w:val="auto"/>
          <w:sz w:val="24"/>
          <w:szCs w:val="32"/>
          <w:highlight w:val="none"/>
        </w:rPr>
      </w:pPr>
      <w:bookmarkStart w:id="20" w:name="_Toc254970534"/>
      <w:bookmarkStart w:id="21" w:name="_Toc254970675"/>
    </w:p>
    <w:p w14:paraId="55A50B72">
      <w:pPr>
        <w:spacing w:line="360" w:lineRule="auto"/>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二、谈判文件</w:t>
      </w:r>
      <w:bookmarkEnd w:id="20"/>
      <w:bookmarkEnd w:id="21"/>
    </w:p>
    <w:p w14:paraId="37B4F78C">
      <w:pPr>
        <w:spacing w:line="360" w:lineRule="auto"/>
        <w:jc w:val="center"/>
        <w:rPr>
          <w:rFonts w:hint="eastAsia" w:ascii="宋体" w:hAnsi="宋体" w:cs="宋体"/>
          <w:color w:val="auto"/>
          <w:sz w:val="24"/>
          <w:highlight w:val="none"/>
        </w:rPr>
      </w:pPr>
    </w:p>
    <w:p w14:paraId="34897540">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8.谈判文件的构成</w:t>
      </w:r>
    </w:p>
    <w:p w14:paraId="1863E55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（1）竞争性谈判公告；</w:t>
      </w:r>
    </w:p>
    <w:p w14:paraId="4B62840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（2）供应商须知； </w:t>
      </w:r>
    </w:p>
    <w:p w14:paraId="1D6F4A8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（3）采购需求；</w:t>
      </w:r>
    </w:p>
    <w:p w14:paraId="518AAB9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（4）响应文件格式；</w:t>
      </w:r>
    </w:p>
    <w:p w14:paraId="4FE52FB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（5）合同文本；</w:t>
      </w:r>
    </w:p>
    <w:p w14:paraId="26658A3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（6）评审程序和评定成交的标准。</w:t>
      </w:r>
    </w:p>
    <w:p w14:paraId="2073C23C">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9.供应商的询问</w:t>
      </w:r>
    </w:p>
    <w:p w14:paraId="13EF4D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14:paraId="5E77D342">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10.谈判文件的澄清和修改</w:t>
      </w:r>
    </w:p>
    <w:p w14:paraId="35F069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提交首次响应文件截止之日前，采购人、采购代理机构可以对已发出的谈判文件进行必要的澄清或者修改，澄清或者修改的内容作为谈判文件的组成部分。澄清或者修改将在原公告发布媒体上发布更正公告。澄清或者修改的内容可能影响响应文件编制的，采购人、采购代理机构或者谈判小组应当在提交首次响应文件截止之日</w:t>
      </w:r>
      <w:r>
        <w:rPr>
          <w:rFonts w:ascii="宋体" w:hAnsi="宋体" w:cs="宋体"/>
          <w:color w:val="auto"/>
          <w:sz w:val="24"/>
          <w:highlight w:val="none"/>
        </w:rPr>
        <w:t>3个工作日前，在原公告发布媒体上发布更正公告</w:t>
      </w:r>
      <w:r>
        <w:rPr>
          <w:rFonts w:hint="eastAsia" w:ascii="宋体" w:hAnsi="宋体" w:cs="宋体"/>
          <w:color w:val="auto"/>
          <w:sz w:val="24"/>
          <w:highlight w:val="none"/>
        </w:rPr>
        <w:t>；不足</w:t>
      </w:r>
      <w:r>
        <w:rPr>
          <w:rFonts w:ascii="宋体" w:hAnsi="宋体" w:cs="宋体"/>
          <w:color w:val="auto"/>
          <w:sz w:val="24"/>
          <w:highlight w:val="none"/>
        </w:rPr>
        <w:t>3个工作日的，应当顺延提交首次响应文件截止</w:t>
      </w:r>
      <w:r>
        <w:rPr>
          <w:rFonts w:hint="eastAsia" w:ascii="宋体" w:hAnsi="宋体" w:cs="宋体"/>
          <w:color w:val="auto"/>
          <w:sz w:val="24"/>
          <w:highlight w:val="none"/>
        </w:rPr>
        <w:t>时间。</w:t>
      </w:r>
    </w:p>
    <w:p w14:paraId="62FC503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szCs w:val="32"/>
          <w:highlight w:val="none"/>
        </w:rPr>
        <w:t>10.2采购人和采购代理机构可以视采购具体情况，变更</w:t>
      </w:r>
      <w:r>
        <w:rPr>
          <w:rFonts w:hint="eastAsia" w:ascii="宋体" w:hAnsi="宋体" w:cs="宋体"/>
          <w:color w:val="auto"/>
          <w:sz w:val="24"/>
          <w:highlight w:val="none"/>
        </w:rPr>
        <w:t>首次响应文件提交截止时间</w:t>
      </w:r>
      <w:r>
        <w:rPr>
          <w:rFonts w:hint="eastAsia" w:ascii="宋体" w:hAnsi="宋体" w:cs="宋体"/>
          <w:color w:val="auto"/>
          <w:sz w:val="24"/>
          <w:szCs w:val="32"/>
          <w:highlight w:val="none"/>
        </w:rPr>
        <w:t>，并</w:t>
      </w:r>
      <w:r>
        <w:rPr>
          <w:rFonts w:hint="eastAsia" w:ascii="宋体" w:hAnsi="宋体" w:cs="宋体"/>
          <w:color w:val="auto"/>
          <w:sz w:val="24"/>
          <w:highlight w:val="none"/>
        </w:rPr>
        <w:t>在原公告发布媒体上发布更正公告。</w:t>
      </w:r>
    </w:p>
    <w:p w14:paraId="049E95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10.3谈判文件澄清、答复、修改、补充的内容为谈判文件的组成部分。当谈判文件与谈判文件的澄清、答复、修改、补充通知就同一内容的表述不一致时，以最后发出的文件为准。</w:t>
      </w:r>
    </w:p>
    <w:p w14:paraId="52E357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10.4响应文件未按谈判文件的澄清、修改后的内容编制的，其响应文件作无效响应处理。</w:t>
      </w:r>
    </w:p>
    <w:p w14:paraId="7696A85B">
      <w:pPr>
        <w:spacing w:line="360" w:lineRule="auto"/>
        <w:ind w:firstLine="480" w:firstLineChars="200"/>
        <w:rPr>
          <w:rFonts w:hint="eastAsia" w:ascii="宋体" w:hAnsi="宋体" w:cs="宋体"/>
          <w:color w:val="auto"/>
          <w:sz w:val="24"/>
          <w:highlight w:val="none"/>
        </w:rPr>
      </w:pPr>
    </w:p>
    <w:p w14:paraId="0CC5AC2A">
      <w:pPr>
        <w:spacing w:line="360" w:lineRule="auto"/>
        <w:rPr>
          <w:rFonts w:hint="eastAsia" w:ascii="宋体" w:hAnsi="宋体" w:cs="宋体"/>
          <w:color w:val="auto"/>
          <w:sz w:val="24"/>
          <w:highlight w:val="none"/>
        </w:rPr>
      </w:pPr>
    </w:p>
    <w:p w14:paraId="166A798A">
      <w:pPr>
        <w:spacing w:line="360" w:lineRule="auto"/>
        <w:jc w:val="center"/>
        <w:rPr>
          <w:rFonts w:hint="eastAsia" w:ascii="宋体" w:hAnsi="宋体" w:cs="宋体"/>
          <w:b/>
          <w:color w:val="auto"/>
          <w:sz w:val="24"/>
          <w:highlight w:val="none"/>
        </w:rPr>
      </w:pPr>
      <w:r>
        <w:rPr>
          <w:rFonts w:hint="eastAsia" w:ascii="宋体" w:hAnsi="宋体" w:cs="宋体"/>
          <w:b/>
          <w:color w:val="auto"/>
          <w:sz w:val="40"/>
          <w:szCs w:val="40"/>
          <w:highlight w:val="none"/>
        </w:rPr>
        <w:t>三、响应文件的编制</w:t>
      </w:r>
    </w:p>
    <w:p w14:paraId="0DC5520B">
      <w:pPr>
        <w:spacing w:line="360" w:lineRule="auto"/>
        <w:rPr>
          <w:rFonts w:hint="eastAsia" w:ascii="宋体" w:hAnsi="宋体" w:cs="宋体"/>
          <w:color w:val="auto"/>
          <w:sz w:val="24"/>
          <w:highlight w:val="none"/>
        </w:rPr>
      </w:pPr>
    </w:p>
    <w:p w14:paraId="65E9183B">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11.响应文件的编制原则</w:t>
      </w:r>
    </w:p>
    <w:p w14:paraId="3A537E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供应商必须按照谈判文件的要求编制响应文件，并对其提交的响应文件的真实性、合法性承担法律责任。响应文件必须对谈判文件作出实质性响应。</w:t>
      </w:r>
    </w:p>
    <w:p w14:paraId="3016B048">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12.响应文件的组成</w:t>
      </w:r>
    </w:p>
    <w:p w14:paraId="717576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12.1响应文件由资格证明文件、报价商务技术文件两部分组成。</w:t>
      </w:r>
    </w:p>
    <w:p w14:paraId="4251C22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12.1.1资格证明文件：详见“供应商须知前附表”</w:t>
      </w:r>
    </w:p>
    <w:p w14:paraId="5591742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12.1.2报价商务技术文件：详见“供应商须知前附表”</w:t>
      </w:r>
    </w:p>
    <w:p w14:paraId="482117C4">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13.计量单位</w:t>
      </w:r>
    </w:p>
    <w:p w14:paraId="389984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谈判文件已有明确规定的，使用谈判文件规定的计量单位；谈判文件没有规定的，应采用中华人民共和国法定计量单位，货币种类为人民币，否则视同未响应。</w:t>
      </w:r>
    </w:p>
    <w:p w14:paraId="7486D60C">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14.竞争性谈判的风险</w:t>
      </w:r>
    </w:p>
    <w:p w14:paraId="73CE86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供应商没有按照谈判文件要求提供全部资料，或者供应商没有对谈判文件在各方面作出实质性响应可能导致其响应文件按无效响应处理，是供应商应当考虑的风险。</w:t>
      </w:r>
    </w:p>
    <w:p w14:paraId="5516CE86">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15.竞争性谈判报价</w:t>
      </w:r>
    </w:p>
    <w:p w14:paraId="66FDD9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w:t>
      </w:r>
      <w:r>
        <w:rPr>
          <w:rFonts w:hint="eastAsia" w:hAnsi="宋体" w:cs="宋体"/>
          <w:color w:val="auto"/>
          <w:sz w:val="24"/>
          <w:highlight w:val="none"/>
        </w:rPr>
        <w:t>竞争性谈判</w:t>
      </w:r>
      <w:r>
        <w:rPr>
          <w:rFonts w:hint="eastAsia" w:ascii="宋体" w:hAnsi="宋体" w:cs="宋体"/>
          <w:color w:val="auto"/>
          <w:sz w:val="24"/>
          <w:highlight w:val="none"/>
        </w:rPr>
        <w:t>报价应按谈判文件中“</w:t>
      </w:r>
      <w:r>
        <w:rPr>
          <w:rFonts w:hint="eastAsia" w:hAnsi="宋体" w:cs="宋体"/>
          <w:color w:val="auto"/>
          <w:sz w:val="24"/>
          <w:highlight w:val="none"/>
        </w:rPr>
        <w:t>竞争性谈判</w:t>
      </w:r>
      <w:r>
        <w:rPr>
          <w:rFonts w:hint="eastAsia" w:ascii="宋体" w:hAnsi="宋体" w:cs="宋体"/>
          <w:color w:val="auto"/>
          <w:sz w:val="24"/>
          <w:highlight w:val="none"/>
        </w:rPr>
        <w:t>报价表”格式填写。</w:t>
      </w:r>
    </w:p>
    <w:p w14:paraId="338810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w:t>
      </w:r>
      <w:r>
        <w:rPr>
          <w:rFonts w:hint="eastAsia" w:hAnsi="宋体" w:cs="宋体"/>
          <w:color w:val="auto"/>
          <w:sz w:val="24"/>
          <w:highlight w:val="none"/>
        </w:rPr>
        <w:t>竞争性谈判</w:t>
      </w:r>
      <w:r>
        <w:rPr>
          <w:rFonts w:hint="eastAsia" w:ascii="宋体" w:hAnsi="宋体" w:cs="宋体"/>
          <w:color w:val="auto"/>
          <w:sz w:val="24"/>
          <w:highlight w:val="none"/>
        </w:rPr>
        <w:t>报价的内容详见“供应商须知前附表”。</w:t>
      </w:r>
    </w:p>
    <w:p w14:paraId="05DC07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w:t>
      </w:r>
      <w:r>
        <w:rPr>
          <w:rFonts w:hint="eastAsia" w:hAnsi="宋体" w:cs="宋体"/>
          <w:color w:val="auto"/>
          <w:sz w:val="24"/>
          <w:highlight w:val="none"/>
        </w:rPr>
        <w:t>竞争性谈判</w:t>
      </w:r>
      <w:r>
        <w:rPr>
          <w:rFonts w:hint="eastAsia" w:ascii="宋体" w:hAnsi="宋体" w:cs="宋体"/>
          <w:color w:val="auto"/>
          <w:sz w:val="24"/>
          <w:highlight w:val="none"/>
        </w:rPr>
        <w:t>报价要求</w:t>
      </w:r>
    </w:p>
    <w:p w14:paraId="652812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15.3.1供应商的</w:t>
      </w:r>
      <w:r>
        <w:rPr>
          <w:rFonts w:hint="eastAsia" w:hAnsi="宋体" w:cs="宋体"/>
          <w:color w:val="auto"/>
          <w:sz w:val="24"/>
          <w:highlight w:val="none"/>
        </w:rPr>
        <w:t>竞争性谈判</w:t>
      </w:r>
      <w:r>
        <w:rPr>
          <w:rFonts w:hint="eastAsia" w:ascii="宋体" w:hAnsi="宋体" w:cs="宋体"/>
          <w:color w:val="auto"/>
          <w:sz w:val="24"/>
          <w:highlight w:val="none"/>
        </w:rPr>
        <w:t>报价应符合以下要求，否则响应文件按无效响应处理：</w:t>
      </w:r>
    </w:p>
    <w:p w14:paraId="4D5D22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（1）供应商必须就“采购需求”中所需</w:t>
      </w:r>
      <w:r>
        <w:rPr>
          <w:rFonts w:hint="eastAsia" w:hAnsi="宋体" w:cs="宋体"/>
          <w:color w:val="auto"/>
          <w:sz w:val="24"/>
          <w:highlight w:val="none"/>
        </w:rPr>
        <w:t>竞争性谈判</w:t>
      </w:r>
      <w:r>
        <w:rPr>
          <w:rFonts w:hint="eastAsia" w:ascii="宋体" w:hAnsi="宋体" w:cs="宋体"/>
          <w:color w:val="auto"/>
          <w:sz w:val="24"/>
          <w:highlight w:val="none"/>
        </w:rPr>
        <w:t>的每个分标的全部内容分别作完整唯一总价报价，不得存在漏项报价；</w:t>
      </w:r>
    </w:p>
    <w:p w14:paraId="090F382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（2）供应商必须就所需</w:t>
      </w:r>
      <w:r>
        <w:rPr>
          <w:rFonts w:hint="eastAsia" w:hAnsi="宋体" w:cs="宋体"/>
          <w:color w:val="auto"/>
          <w:sz w:val="24"/>
          <w:highlight w:val="none"/>
        </w:rPr>
        <w:t>竞争性谈判</w:t>
      </w:r>
      <w:r>
        <w:rPr>
          <w:rFonts w:hint="eastAsia" w:ascii="宋体" w:hAnsi="宋体" w:cs="宋体"/>
          <w:color w:val="auto"/>
          <w:sz w:val="24"/>
          <w:highlight w:val="none"/>
        </w:rPr>
        <w:t>的分标的单项内容作唯一报价。</w:t>
      </w:r>
    </w:p>
    <w:p w14:paraId="27E8F4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w:t>
      </w:r>
      <w:r>
        <w:rPr>
          <w:rFonts w:hint="eastAsia" w:hAnsi="宋体" w:cs="宋体"/>
          <w:color w:val="auto"/>
          <w:sz w:val="24"/>
          <w:highlight w:val="none"/>
        </w:rPr>
        <w:t>竞争性谈判</w:t>
      </w:r>
      <w:r>
        <w:rPr>
          <w:rFonts w:hint="eastAsia" w:ascii="宋体" w:hAnsi="宋体" w:cs="宋体"/>
          <w:color w:val="auto"/>
          <w:sz w:val="24"/>
          <w:highlight w:val="none"/>
        </w:rPr>
        <w:t>报价（包含首次报价、最后报价）超过所参与</w:t>
      </w:r>
      <w:r>
        <w:rPr>
          <w:rFonts w:hint="eastAsia" w:hAnsi="宋体" w:cs="宋体"/>
          <w:color w:val="auto"/>
          <w:sz w:val="24"/>
          <w:highlight w:val="none"/>
        </w:rPr>
        <w:t>竞争性谈判</w:t>
      </w:r>
      <w:r>
        <w:rPr>
          <w:rFonts w:hint="eastAsia" w:ascii="宋体" w:hAnsi="宋体" w:cs="宋体"/>
          <w:color w:val="auto"/>
          <w:sz w:val="24"/>
          <w:highlight w:val="none"/>
        </w:rPr>
        <w:t>分标规定的采购预算金额或者最高限价的，其响应文件将按无效响应处理。</w:t>
      </w:r>
    </w:p>
    <w:p w14:paraId="2EEC1FF1">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15.3.3</w:t>
      </w:r>
      <w:r>
        <w:rPr>
          <w:rFonts w:hint="eastAsia" w:hAnsi="宋体" w:cs="宋体"/>
          <w:color w:val="auto"/>
          <w:sz w:val="24"/>
          <w:highlight w:val="none"/>
        </w:rPr>
        <w:t>竞争性谈判</w:t>
      </w:r>
      <w:r>
        <w:rPr>
          <w:rFonts w:hint="eastAsia" w:ascii="宋体" w:hAnsi="宋体" w:cs="宋体"/>
          <w:color w:val="auto"/>
          <w:sz w:val="24"/>
          <w:highlight w:val="none"/>
        </w:rPr>
        <w:t>报价（包含首次报价、最后报价）超过分项采购预算金额或者最高限价的，其响应文件将作无效处理。</w:t>
      </w:r>
    </w:p>
    <w:p w14:paraId="33921FDE">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16.竞争性谈判有效期</w:t>
      </w:r>
    </w:p>
    <w:p w14:paraId="07DD4D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hAnsi="宋体" w:cs="宋体"/>
          <w:color w:val="auto"/>
          <w:sz w:val="24"/>
          <w:highlight w:val="none"/>
        </w:rPr>
        <w:t>竞争性谈判</w:t>
      </w:r>
      <w:r>
        <w:rPr>
          <w:rFonts w:hint="eastAsia" w:ascii="宋体" w:hAnsi="宋体" w:cs="宋体"/>
          <w:color w:val="auto"/>
          <w:sz w:val="24"/>
          <w:highlight w:val="none"/>
        </w:rPr>
        <w:t>有效期是指为保证采购人有足够的时间在提交响应文件后完成评审、确定成交供应商、合同签订等工作而要求供应商提交的响应文件在一定时间内保持有效的期限。</w:t>
      </w:r>
    </w:p>
    <w:p w14:paraId="4FFDCC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w:t>
      </w:r>
      <w:r>
        <w:rPr>
          <w:rFonts w:hint="eastAsia" w:hAnsi="宋体" w:cs="宋体"/>
          <w:color w:val="auto"/>
          <w:sz w:val="24"/>
          <w:highlight w:val="none"/>
        </w:rPr>
        <w:t>竞争性谈判</w:t>
      </w:r>
      <w:r>
        <w:rPr>
          <w:rFonts w:hint="eastAsia" w:ascii="宋体" w:hAnsi="宋体" w:cs="宋体"/>
          <w:color w:val="auto"/>
          <w:sz w:val="24"/>
          <w:highlight w:val="none"/>
        </w:rPr>
        <w:t>有效期应由供应商按“供应商须知前附表”规定的期限作出响应。</w:t>
      </w:r>
    </w:p>
    <w:p w14:paraId="568B97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16.3供应商的响应文件在</w:t>
      </w:r>
      <w:r>
        <w:rPr>
          <w:rFonts w:hint="eastAsia" w:hAnsi="宋体" w:cs="宋体"/>
          <w:color w:val="auto"/>
          <w:sz w:val="24"/>
          <w:highlight w:val="none"/>
        </w:rPr>
        <w:t>竞争性谈判</w:t>
      </w:r>
      <w:r>
        <w:rPr>
          <w:rFonts w:hint="eastAsia" w:ascii="宋体" w:hAnsi="宋体" w:cs="宋体"/>
          <w:color w:val="auto"/>
          <w:sz w:val="24"/>
          <w:highlight w:val="none"/>
        </w:rPr>
        <w:t>有效期内均保持有效。</w:t>
      </w:r>
    </w:p>
    <w:p w14:paraId="444A65B7">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17.谈判保证金</w:t>
      </w:r>
    </w:p>
    <w:p w14:paraId="752CEE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17.1供应商须按“供应商须知前附表”的规定提交谈判保证金。</w:t>
      </w:r>
    </w:p>
    <w:p w14:paraId="57CE45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17.2谈判保证金的退还</w:t>
      </w:r>
    </w:p>
    <w:p w14:paraId="1F46B4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未</w:t>
      </w:r>
      <w:r>
        <w:rPr>
          <w:rFonts w:hint="eastAsia" w:ascii="宋体" w:hAnsi="宋体" w:cs="宋体"/>
          <w:color w:val="auto"/>
          <w:spacing w:val="-6"/>
          <w:sz w:val="24"/>
          <w:highlight w:val="none"/>
        </w:rPr>
        <w:t>成交</w:t>
      </w:r>
      <w:r>
        <w:rPr>
          <w:rFonts w:hint="eastAsia" w:ascii="宋体" w:hAnsi="宋体" w:cs="宋体"/>
          <w:color w:val="auto"/>
          <w:sz w:val="24"/>
          <w:highlight w:val="none"/>
        </w:rPr>
        <w:t xml:space="preserve">供应商的谈判保证金自成交通知书发出之日起5个工作日内退还；成交供应商的谈判保证金自签订合同之日起5个工作日内退还。 </w:t>
      </w:r>
    </w:p>
    <w:p w14:paraId="7696F8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17.3谈判保证金不计息。</w:t>
      </w:r>
    </w:p>
    <w:p w14:paraId="18D1E1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17.4供应商有下列情形之一的，谈判保证金将不予退还： </w:t>
      </w:r>
    </w:p>
    <w:p w14:paraId="46B565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（1）供应商在提交首次响应文件截止时间后撤回响应文件的，但在提交最后报价之前退出谈判的情况除外；</w:t>
      </w:r>
    </w:p>
    <w:p w14:paraId="381534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（2）未按规定提交履约保证金的；</w:t>
      </w:r>
    </w:p>
    <w:p w14:paraId="2094C3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062754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（4）除因不可抗力或者谈判文件认可的情形以外，成交供应商不与采购人签订合同的；</w:t>
      </w:r>
    </w:p>
    <w:p w14:paraId="2DE571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5639BE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（6）法律法规规定的其他情形。</w:t>
      </w:r>
    </w:p>
    <w:p w14:paraId="004CCD5A">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18.响应文件编制的要求</w:t>
      </w:r>
    </w:p>
    <w:p w14:paraId="1D6E9B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18.1供应商应按本谈判文件规定的格式和顺序编制、装订响应文件并标注页码，响应文件内容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szCs w:val="32"/>
          <w:highlight w:val="none"/>
        </w:rPr>
        <w:t>由此引发的</w:t>
      </w:r>
      <w:r>
        <w:rPr>
          <w:rFonts w:hint="eastAsia" w:ascii="宋体" w:hAnsi="宋体" w:cs="宋体"/>
          <w:color w:val="auto"/>
          <w:spacing w:val="-6"/>
          <w:sz w:val="24"/>
          <w:highlight w:val="none"/>
        </w:rPr>
        <w:t>后果由供应商承担。</w:t>
      </w:r>
    </w:p>
    <w:p w14:paraId="374906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18.2响应文件应按资格证明文件、报价商务技术文件分别编制电子文件，</w:t>
      </w:r>
      <w:r>
        <w:rPr>
          <w:rFonts w:hint="eastAsia" w:ascii="宋体" w:hAnsi="宋体" w:cs="宋体"/>
          <w:color w:val="auto"/>
          <w:sz w:val="24"/>
          <w:highlight w:val="none"/>
          <w:lang w:bidi="ar"/>
        </w:rPr>
        <w:t>并按广西政府采购云平台的要求编制、加密、上传。</w:t>
      </w:r>
    </w:p>
    <w:p w14:paraId="078E65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w:t>
      </w:r>
      <w:bookmarkStart w:id="22" w:name="_Hlk65832699"/>
      <w:r>
        <w:rPr>
          <w:rFonts w:hint="eastAsia" w:ascii="宋体" w:hAnsi="宋体" w:cs="宋体"/>
          <w:color w:val="auto"/>
          <w:sz w:val="24"/>
          <w:highlight w:val="none"/>
        </w:rPr>
        <w:t>3响应文件须由供应商在规定位置盖公章并签字</w:t>
      </w:r>
      <w:bookmarkStart w:id="23" w:name="_Hlk65832569"/>
      <w:r>
        <w:rPr>
          <w:rFonts w:hint="eastAsia" w:ascii="宋体" w:hAnsi="宋体" w:cs="宋体"/>
          <w:color w:val="auto"/>
          <w:sz w:val="24"/>
          <w:highlight w:val="none"/>
        </w:rPr>
        <w:t>（具体以供应商须知前附表或响应文件格式规定为准）</w:t>
      </w:r>
      <w:bookmarkEnd w:id="22"/>
      <w:bookmarkEnd w:id="23"/>
      <w:r>
        <w:rPr>
          <w:rFonts w:hint="eastAsia" w:ascii="宋体" w:hAnsi="宋体" w:cs="宋体"/>
          <w:color w:val="auto"/>
          <w:sz w:val="24"/>
          <w:highlight w:val="none"/>
        </w:rPr>
        <w:t>，否则其响应文件按无效响应处理。</w:t>
      </w:r>
    </w:p>
    <w:p w14:paraId="7CC6DB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73D0E7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048B021">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color w:val="auto"/>
          <w:sz w:val="32"/>
          <w:szCs w:val="32"/>
          <w:highlight w:val="none"/>
        </w:rPr>
        <w:t>19.响应文件的加密、解密</w:t>
      </w:r>
    </w:p>
    <w:p w14:paraId="6F99B7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19.1电子响应文件编制完成后，供应商应按广西政府采购云平台的要求进行加密，并在规定时间内解密，否则，由此产生的后果由供应商自行负责。</w:t>
      </w:r>
    </w:p>
    <w:p w14:paraId="77268CED">
      <w:pPr>
        <w:pStyle w:val="39"/>
        <w:ind w:firstLine="480" w:firstLineChars="200"/>
        <w:rPr>
          <w:color w:val="auto"/>
          <w:highlight w:val="none"/>
        </w:rPr>
      </w:pPr>
      <w:r>
        <w:rPr>
          <w:rFonts w:hint="eastAsia" w:ascii="宋体" w:hAnsi="宋体" w:cs="宋体"/>
          <w:color w:val="auto"/>
          <w:sz w:val="24"/>
          <w:highlight w:val="none"/>
        </w:rPr>
        <w:t>19.</w:t>
      </w:r>
      <w:r>
        <w:rPr>
          <w:rFonts w:ascii="宋体" w:hAnsi="宋体" w:cs="宋体"/>
          <w:color w:val="auto"/>
          <w:sz w:val="24"/>
          <w:highlight w:val="none"/>
        </w:rPr>
        <w:t>2</w:t>
      </w:r>
      <w:r>
        <w:rPr>
          <w:rFonts w:hint="eastAsia" w:ascii="宋体" w:hAnsi="宋体" w:cs="宋体"/>
          <w:color w:val="auto"/>
          <w:sz w:val="24"/>
          <w:highlight w:val="none"/>
        </w:rPr>
        <w:t>本项目不接受电子备份响应文件。</w:t>
      </w:r>
    </w:p>
    <w:p w14:paraId="1CF9609A">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20.响应文件的提交</w:t>
      </w:r>
    </w:p>
    <w:p w14:paraId="25FBBB34">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454989C4">
      <w:pPr>
        <w:widowControl/>
        <w:spacing w:line="360" w:lineRule="auto"/>
        <w:ind w:firstLine="480" w:firstLineChars="200"/>
        <w:rPr>
          <w:rFonts w:hint="eastAsia" w:ascii="宋体" w:hAnsi="宋体" w:cs="宋体"/>
          <w:b/>
          <w:color w:val="auto"/>
          <w:sz w:val="24"/>
          <w:highlight w:val="none"/>
          <w:lang w:bidi="ar"/>
        </w:rPr>
      </w:pPr>
      <w:r>
        <w:rPr>
          <w:rFonts w:hint="eastAsia" w:ascii="宋体" w:hAnsi="宋体" w:cs="宋体"/>
          <w:color w:val="auto"/>
          <w:sz w:val="24"/>
          <w:highlight w:val="none"/>
        </w:rPr>
        <w:t>20.</w:t>
      </w:r>
      <w:r>
        <w:rPr>
          <w:rFonts w:ascii="宋体" w:hAnsi="宋体" w:cs="宋体"/>
          <w:color w:val="auto"/>
          <w:sz w:val="24"/>
          <w:highlight w:val="none"/>
        </w:rPr>
        <w:t>2</w:t>
      </w:r>
      <w:r>
        <w:rPr>
          <w:rFonts w:hint="eastAsia" w:ascii="宋体" w:hAnsi="宋体" w:cs="宋体"/>
          <w:color w:val="auto"/>
          <w:sz w:val="24"/>
          <w:highlight w:val="none"/>
          <w:lang w:bidi="ar"/>
        </w:rPr>
        <w:t>本项目为全流程电子化政府采购项目，通过广西政府采购云平台（https://www.gcy.zfcg.gxzf.gov.cn/）实行在线电子竞争性谈判，供应商应先安装“广西政府采购云平台电子交易客户端”（请自行前往广西政府采购云平台进行下载），并按照本项目竞争性谈判文件和广西政府采购云平台的要求编制、加密后在首次响应文件提交截止时间前通过网络上传至广西政府采购云平台，</w:t>
      </w:r>
      <w:r>
        <w:rPr>
          <w:rFonts w:hint="eastAsia" w:ascii="宋体" w:hAnsi="宋体" w:cs="宋体"/>
          <w:b/>
          <w:color w:val="auto"/>
          <w:sz w:val="24"/>
          <w:highlight w:val="none"/>
          <w:lang w:bidi="ar"/>
        </w:rPr>
        <w:t>供应商在广西政府采购云平台提交电子版响应文件时，请填写参加远程开标活动经办人联系方式。</w:t>
      </w:r>
    </w:p>
    <w:p w14:paraId="3136EFCF">
      <w:pPr>
        <w:pStyle w:val="6"/>
        <w:keepNext w:val="0"/>
        <w:keepLines w:val="0"/>
        <w:spacing w:before="0" w:after="0" w:line="360" w:lineRule="auto"/>
        <w:ind w:firstLine="480" w:firstLineChars="200"/>
        <w:jc w:val="left"/>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20.</w:t>
      </w:r>
      <w:r>
        <w:rPr>
          <w:rFonts w:ascii="宋体" w:hAnsi="宋体" w:cs="宋体"/>
          <w:b w:val="0"/>
          <w:color w:val="auto"/>
          <w:sz w:val="24"/>
          <w:szCs w:val="24"/>
          <w:highlight w:val="none"/>
        </w:rPr>
        <w:t>3</w:t>
      </w:r>
      <w:r>
        <w:rPr>
          <w:rFonts w:hint="eastAsia" w:ascii="宋体" w:hAnsi="宋体" w:cs="宋体"/>
          <w:b w:val="0"/>
          <w:color w:val="auto"/>
          <w:sz w:val="24"/>
          <w:szCs w:val="24"/>
          <w:highlight w:val="none"/>
        </w:rPr>
        <w:t>未在规定时间内上传或者未按广西政府采购云平台的要求编制、加密的电子响应文件，广西政府采购云平台将拒收。</w:t>
      </w:r>
    </w:p>
    <w:p w14:paraId="239A963E">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w:t>
      </w:r>
      <w:r>
        <w:rPr>
          <w:rFonts w:ascii="宋体" w:hAnsi="宋体" w:cs="宋体"/>
          <w:color w:val="auto"/>
          <w:sz w:val="24"/>
          <w:highlight w:val="none"/>
        </w:rPr>
        <w:t>4</w:t>
      </w:r>
      <w:r>
        <w:rPr>
          <w:rFonts w:hint="eastAsia" w:ascii="宋体" w:hAnsi="宋体" w:cs="宋体"/>
          <w:color w:val="auto"/>
          <w:sz w:val="24"/>
          <w:highlight w:val="none"/>
        </w:rPr>
        <w:t>电子响应文件提交方式见“竞争性谈判公告”中“四、响应文件提交”。</w:t>
      </w:r>
    </w:p>
    <w:p w14:paraId="7C828B48">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21.首次响应文件的补充、修改与撤回</w:t>
      </w:r>
    </w:p>
    <w:p w14:paraId="3726434A">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51F04AB8">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22.首次响应文件的退回</w:t>
      </w:r>
    </w:p>
    <w:p w14:paraId="0A6F50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6B77FDC0">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23.截止时间后的撤回</w:t>
      </w:r>
    </w:p>
    <w:p w14:paraId="754EB2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23.1供应商在首次响应文件提交截止时间后书面通知采购人、采购代理机构书面撤回响应文件的，将根据本须知正文17.4的规定不予退还其谈判保证金。</w:t>
      </w:r>
    </w:p>
    <w:p w14:paraId="671BF27E">
      <w:pPr>
        <w:spacing w:line="360" w:lineRule="auto"/>
        <w:ind w:firstLine="480" w:firstLineChars="200"/>
        <w:rPr>
          <w:rFonts w:hint="eastAsia" w:ascii="宋体" w:hAnsi="宋体" w:cs="宋体"/>
          <w:color w:val="auto"/>
          <w:sz w:val="24"/>
          <w:highlight w:val="none"/>
        </w:rPr>
      </w:pPr>
    </w:p>
    <w:p w14:paraId="3632AB9C">
      <w:pPr>
        <w:spacing w:line="360" w:lineRule="auto"/>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四、评审及谈判</w:t>
      </w:r>
    </w:p>
    <w:p w14:paraId="50EE3F5C">
      <w:pPr>
        <w:spacing w:line="360" w:lineRule="auto"/>
        <w:ind w:firstLine="420"/>
        <w:rPr>
          <w:rFonts w:hint="eastAsia" w:ascii="宋体" w:hAnsi="宋体" w:cs="宋体"/>
          <w:color w:val="auto"/>
          <w:sz w:val="24"/>
          <w:highlight w:val="none"/>
        </w:rPr>
      </w:pPr>
    </w:p>
    <w:p w14:paraId="5F019565">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24.谈判小组成立</w:t>
      </w:r>
    </w:p>
    <w:p w14:paraId="5ACD2F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CB2FC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9897BDE">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25.首次响应文件的开启</w:t>
      </w:r>
    </w:p>
    <w:p w14:paraId="3A61D0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25.1首次响应文件由谈判小组或者采购代理机构在“供应商须知前附表”规定的时间开启。</w:t>
      </w:r>
    </w:p>
    <w:p w14:paraId="5599402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响应文件未按时解密的，视为响应文件无效。</w:t>
      </w:r>
      <w:r>
        <w:rPr>
          <w:rFonts w:hint="eastAsia" w:ascii="宋体" w:hAnsi="宋体" w:cs="宋体"/>
          <w:color w:val="auto"/>
          <w:sz w:val="24"/>
          <w:highlight w:val="none"/>
        </w:rPr>
        <w:t>（解密异常情况处理：详见本章26.2电子交易活动的中止。）</w:t>
      </w:r>
    </w:p>
    <w:p w14:paraId="733E33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25.3成功解密响应文件的供应商不足3家的，不得谈判。</w:t>
      </w:r>
    </w:p>
    <w:p w14:paraId="345D505F">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26.评审程序和评定成交的标准</w:t>
      </w:r>
    </w:p>
    <w:p w14:paraId="7AE10F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26.1谈判小组按照“第四章  评审程序和评定成交的标准”规定的评审程序对响应文件进行评审，并按照评定成交的标准推荐成交候选供应商。</w:t>
      </w:r>
    </w:p>
    <w:p w14:paraId="272AC3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26.2电子交易活动的中止。采购过程中出现以下情形，导致电子交易平台无法正常运行，或者无法保证电子交易的公平、公正和安全时，采购机构可中止电子交易活动：</w:t>
      </w:r>
    </w:p>
    <w:p w14:paraId="2E8E04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194F0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08E345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11E4C6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10AB67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）其他无法保证电子交易的公平、公正和安全的情况。</w:t>
      </w:r>
    </w:p>
    <w:p w14:paraId="1AABF9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26.3出现以上情形，不影响采购公平、公正性的，采购代理机构可以待上述情形消除后继续组织电子交易活动；影响或可能影响采购公平、公正性的，经采购代理机构确认后，应当重新采购。</w:t>
      </w:r>
    </w:p>
    <w:p w14:paraId="529607FC">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27.确定成交供应商及结果公告</w:t>
      </w:r>
    </w:p>
    <w:p w14:paraId="60BD39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660F181">
      <w:pPr>
        <w:pStyle w:val="9"/>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27.2采购代理机构应当在成交供应商确定后2个工作日内，在省级以上财政部门指定的媒体上公告成交结果，同时向成交供应商发出成交通知书。</w:t>
      </w:r>
      <w:r>
        <w:rPr>
          <w:rFonts w:hint="eastAsia" w:ascii="宋体" w:hAnsi="宋体" w:cs="宋体"/>
          <w:b/>
          <w:color w:val="auto"/>
          <w:kern w:val="0"/>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kern w:val="0"/>
          <w:sz w:val="24"/>
          <w:highlight w:val="none"/>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 w:val="24"/>
          <w:highlight w:val="none"/>
        </w:rPr>
        <w:t>成交供应商享受《政府采购促进中小企业发展管理办法》（财库〔2020〕46号）规定的中小企业扶持政策的，采购人、采购代理机构应当随成交结果公开成交供应商的《中小企业声明函》。</w:t>
      </w:r>
    </w:p>
    <w:p w14:paraId="601DBA21">
      <w:pPr>
        <w:pStyle w:val="9"/>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27.3出现下列情形之一的，采购人或者采购代理机构应当终止竞争性谈判采购活动，发布项目终止公告并说明原因，重新开展采购活动：</w:t>
      </w:r>
    </w:p>
    <w:p w14:paraId="6F7A5CC7">
      <w:pPr>
        <w:pStyle w:val="9"/>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（一）因情况变化，不再符合规定的竞争性谈判采购方式适用情形的；</w:t>
      </w:r>
    </w:p>
    <w:p w14:paraId="44462180">
      <w:pPr>
        <w:pStyle w:val="9"/>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（二）出现影响采购公正的违法、违规行为的；</w:t>
      </w:r>
    </w:p>
    <w:p w14:paraId="517FF1DB">
      <w:pPr>
        <w:pStyle w:val="9"/>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（三）在采购过程中符合竞争要求的供应商或者报价未超过采购预算的供应商不足3家的，但“第四章 评审程序和评定成交的标准”第3.7条规定的情形除外。</w:t>
      </w:r>
    </w:p>
    <w:p w14:paraId="346E4DE7">
      <w:pPr>
        <w:pStyle w:val="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27.4在采购活动中因重大变故，采购任务取消的，采购人或者采购代理机构应当终止采购活动，通知所有参加采购活动的供应商。</w:t>
      </w:r>
    </w:p>
    <w:p w14:paraId="06AF6D9D">
      <w:pPr>
        <w:pStyle w:val="9"/>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27.5</w:t>
      </w:r>
      <w:r>
        <w:rPr>
          <w:rFonts w:hint="eastAsia" w:ascii="宋体" w:hAnsi="宋体" w:cs="宋体"/>
          <w:color w:val="auto"/>
          <w:sz w:val="24"/>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130CD995">
      <w:pPr>
        <w:pStyle w:val="9"/>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除因不可抗力外，成交供应商不与采购人签订合同的，除不予退还其谈判保证金外，若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6F03EFC9">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28.履约保证金</w:t>
      </w:r>
    </w:p>
    <w:p w14:paraId="0512D6E0">
      <w:pPr>
        <w:pStyle w:val="9"/>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28.1履约保证金的金额、提交方式、退付的时间和条件详见 “供应商须知前附表”。</w:t>
      </w:r>
    </w:p>
    <w:p w14:paraId="3ECA15BC">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28.2在履约保证金退还日期前，若成交供应商的开户名称、开户银行、账号有变动的，请以书面形式通知履约保证金收取单位，否则由此产生的后果由成交供应商自负。</w:t>
      </w:r>
    </w:p>
    <w:p w14:paraId="69B09646">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29.签订合同</w:t>
      </w:r>
    </w:p>
    <w:p w14:paraId="3681F87C">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33268CF5">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29.2 签订合同时间：按成交通知书的规定与采购人签订政府采购合同（最长不能超过25日）。</w:t>
      </w:r>
    </w:p>
    <w:p w14:paraId="68FA59A9">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29.3成交供应商拒绝与采购人签订合同的，按照本文件之《供应商须知正文》第27.5条的规定执行。</w:t>
      </w:r>
    </w:p>
    <w:p w14:paraId="674E8D3F">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30.政府采购合同公告</w:t>
      </w:r>
    </w:p>
    <w:p w14:paraId="4B8D96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1D1E7EA">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31.询问、质疑和投诉</w:t>
      </w:r>
    </w:p>
    <w:p w14:paraId="3CBAB494">
      <w:pPr>
        <w:pStyle w:val="7"/>
        <w:spacing w:line="360" w:lineRule="auto"/>
        <w:rPr>
          <w:rFonts w:hint="eastAsia" w:ascii="宋体" w:hAnsi="宋体" w:cs="宋体"/>
          <w:color w:val="auto"/>
          <w:sz w:val="24"/>
          <w:szCs w:val="24"/>
          <w:highlight w:val="none"/>
        </w:rPr>
      </w:pPr>
      <w:r>
        <w:rPr>
          <w:rFonts w:hint="eastAsia" w:ascii="宋体" w:hAnsi="宋体" w:cs="宋体"/>
          <w:color w:val="auto"/>
          <w:sz w:val="24"/>
          <w:szCs w:val="22"/>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 w:val="24"/>
          <w:szCs w:val="24"/>
          <w:highlight w:val="none"/>
        </w:rPr>
        <w:t>但答复的内容不得涉及商业秘密。</w:t>
      </w:r>
    </w:p>
    <w:p w14:paraId="61AE70EC">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31.2供应商认为谈判文件、采购过程或者成交结果使自己的合法权益受到损害的，应当在知道或者应知其权益受到损害之日起7个工作日内，以纸质书面形式向采购人、采购代理机构提出质疑，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auto"/>
          <w:sz w:val="24"/>
          <w:szCs w:val="32"/>
          <w:highlight w:val="none"/>
          <w:shd w:val="clear" w:color="auto" w:fill="FFFFFF"/>
        </w:rPr>
        <w:t>接收质疑函的方式、联系部门、联系电话和通讯地址等信息</w:t>
      </w:r>
      <w:r>
        <w:rPr>
          <w:rFonts w:hint="eastAsia" w:ascii="宋体" w:hAnsi="宋体" w:cs="宋体"/>
          <w:color w:val="auto"/>
          <w:sz w:val="24"/>
          <w:highlight w:val="none"/>
        </w:rPr>
        <w:t>详见“供应商须知前附表”</w:t>
      </w:r>
      <w:r>
        <w:rPr>
          <w:rFonts w:hint="eastAsia" w:ascii="宋体" w:hAnsi="宋体" w:cs="宋体"/>
          <w:color w:val="auto"/>
          <w:sz w:val="24"/>
          <w:szCs w:val="32"/>
          <w:highlight w:val="none"/>
        </w:rPr>
        <w:t>。供应商应当在法定质疑期内一次性提出针对同一采购程序环节的质疑。具体质疑起算时间如下：</w:t>
      </w:r>
    </w:p>
    <w:p w14:paraId="7C2F01CC">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（1）对可以质疑的谈判文件提出质疑的，为获取谈判文件之日；</w:t>
      </w:r>
    </w:p>
    <w:p w14:paraId="3264D6D0">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（2）对采购过程提出质疑的，为各采购程序环节结束之日；</w:t>
      </w:r>
    </w:p>
    <w:p w14:paraId="6191AC06">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（3）对成交结果提出质疑的，为成交结果公告期限届满之日。</w:t>
      </w:r>
    </w:p>
    <w:p w14:paraId="2C814071">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591F5DB">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szCs w:val="32"/>
          <w:highlight w:val="none"/>
        </w:rPr>
        <w:t>（质疑函格式后附）</w:t>
      </w:r>
      <w:r>
        <w:rPr>
          <w:rFonts w:hint="eastAsia" w:ascii="宋体" w:hAnsi="宋体" w:cs="宋体"/>
          <w:color w:val="auto"/>
          <w:sz w:val="24"/>
          <w:szCs w:val="32"/>
          <w:highlight w:val="none"/>
        </w:rPr>
        <w:t>：</w:t>
      </w:r>
    </w:p>
    <w:p w14:paraId="7B91C558">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（1）供应商的姓名或者名称、地址、邮编、联系人及联系电话；</w:t>
      </w:r>
    </w:p>
    <w:p w14:paraId="224CCBAA">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（2）质疑项目的名称、编号；</w:t>
      </w:r>
    </w:p>
    <w:p w14:paraId="772DF49F">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（3）具体、明确的质疑事项和与质疑事项相关的请求；</w:t>
      </w:r>
    </w:p>
    <w:p w14:paraId="390E7CFC">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（4）事实依据；</w:t>
      </w:r>
    </w:p>
    <w:p w14:paraId="7BDDA7E2">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（5）必要的法律依据；</w:t>
      </w:r>
    </w:p>
    <w:p w14:paraId="017E8F3A">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（6）提出质疑的日期。</w:t>
      </w:r>
    </w:p>
    <w:p w14:paraId="6F495CF0">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供应商为自然人的，应当由本人签字；供应商为法人或者其他组织的，应当由法定代表人、主要负责人，或者其委托代理人签字或者盖章，并加盖公章。</w:t>
      </w:r>
    </w:p>
    <w:p w14:paraId="6C7F5E38">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31.5采购人、采购代理机构认为供应商质疑不成立，或者成立但未对成交结果构成影响的，继续开展采购活动；认为供应商质疑成立且影响或者可能影响成交结果的，按照下列情况处理：</w:t>
      </w:r>
    </w:p>
    <w:p w14:paraId="6D4E7976">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（1）对采购文件提出的质疑，依法通过澄清或者修改可以继续开展采购活动的，澄清或者修改采购文件后继续开展采购活动；否则应当修改采购文件后重新开展采购活动。</w:t>
      </w:r>
    </w:p>
    <w:p w14:paraId="76968C17">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（2）对采购过程或者成交结果提出的质疑，合格供应商符合法定数量时，可以从合格的成交候选人中另行确定成交供应商的，应当依法另行确定成交供应商；否则应当重新开展采购活动。</w:t>
      </w:r>
    </w:p>
    <w:p w14:paraId="088941AC">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质疑答复导致成交结果改变的，采购人或者采购代理机构应当将有关情况书面报告本级财政部门。</w:t>
      </w:r>
    </w:p>
    <w:p w14:paraId="14A92BF1">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szCs w:val="32"/>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90788D4">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32.其他内容</w:t>
      </w:r>
    </w:p>
    <w:p w14:paraId="71190368">
      <w:pPr>
        <w:tabs>
          <w:tab w:val="left" w:pos="283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67A4972D">
      <w:pPr>
        <w:tabs>
          <w:tab w:val="left" w:pos="283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32.2代理服务费收费计算标准：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C10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Borders>
              <w:tl2br w:val="single" w:color="auto" w:sz="4" w:space="0"/>
            </w:tcBorders>
          </w:tcPr>
          <w:p w14:paraId="304896D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费率</w:t>
            </w:r>
          </w:p>
          <w:p w14:paraId="6BD00C8C">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金额（人民币）</w:t>
            </w:r>
          </w:p>
        </w:tc>
        <w:tc>
          <w:tcPr>
            <w:tcW w:w="1659" w:type="dxa"/>
            <w:vAlign w:val="center"/>
          </w:tcPr>
          <w:p w14:paraId="277E5185">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货物类</w:t>
            </w:r>
          </w:p>
        </w:tc>
        <w:tc>
          <w:tcPr>
            <w:tcW w:w="1532" w:type="dxa"/>
            <w:vAlign w:val="center"/>
          </w:tcPr>
          <w:p w14:paraId="340A1C2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服务类</w:t>
            </w:r>
          </w:p>
        </w:tc>
        <w:tc>
          <w:tcPr>
            <w:tcW w:w="1546" w:type="dxa"/>
            <w:vAlign w:val="center"/>
          </w:tcPr>
          <w:p w14:paraId="02E5FC6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工程类</w:t>
            </w:r>
          </w:p>
        </w:tc>
      </w:tr>
      <w:tr w14:paraId="473E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64EE1A9">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659" w:type="dxa"/>
          </w:tcPr>
          <w:p w14:paraId="0B33E61E">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1.5%</w:t>
            </w:r>
          </w:p>
        </w:tc>
        <w:tc>
          <w:tcPr>
            <w:tcW w:w="1532" w:type="dxa"/>
          </w:tcPr>
          <w:p w14:paraId="610FB894">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1.5%</w:t>
            </w:r>
          </w:p>
        </w:tc>
        <w:tc>
          <w:tcPr>
            <w:tcW w:w="1546" w:type="dxa"/>
          </w:tcPr>
          <w:p w14:paraId="332901FF">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w:t>
            </w:r>
          </w:p>
        </w:tc>
      </w:tr>
      <w:tr w14:paraId="3E3A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1E66863">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100～500万元</w:t>
            </w:r>
          </w:p>
        </w:tc>
        <w:tc>
          <w:tcPr>
            <w:tcW w:w="1659" w:type="dxa"/>
          </w:tcPr>
          <w:p w14:paraId="3F3F7EB3">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1532" w:type="dxa"/>
          </w:tcPr>
          <w:p w14:paraId="01EC5F9D">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0.8%</w:t>
            </w:r>
          </w:p>
        </w:tc>
        <w:tc>
          <w:tcPr>
            <w:tcW w:w="1546" w:type="dxa"/>
          </w:tcPr>
          <w:p w14:paraId="641CC18E">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0.7%</w:t>
            </w:r>
          </w:p>
        </w:tc>
      </w:tr>
      <w:tr w14:paraId="0EED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E67CD4">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500～1000万元</w:t>
            </w:r>
          </w:p>
        </w:tc>
        <w:tc>
          <w:tcPr>
            <w:tcW w:w="1659" w:type="dxa"/>
          </w:tcPr>
          <w:p w14:paraId="4B4FAA68">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0.8%</w:t>
            </w:r>
          </w:p>
        </w:tc>
        <w:tc>
          <w:tcPr>
            <w:tcW w:w="1532" w:type="dxa"/>
          </w:tcPr>
          <w:p w14:paraId="4A492602">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0.45%</w:t>
            </w:r>
          </w:p>
        </w:tc>
        <w:tc>
          <w:tcPr>
            <w:tcW w:w="1546" w:type="dxa"/>
          </w:tcPr>
          <w:p w14:paraId="7343E67A">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0.55%</w:t>
            </w:r>
          </w:p>
        </w:tc>
      </w:tr>
      <w:tr w14:paraId="6985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337DC6D">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1000～5000万元</w:t>
            </w:r>
          </w:p>
        </w:tc>
        <w:tc>
          <w:tcPr>
            <w:tcW w:w="1659" w:type="dxa"/>
          </w:tcPr>
          <w:p w14:paraId="2110240E">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0.5%</w:t>
            </w:r>
          </w:p>
        </w:tc>
        <w:tc>
          <w:tcPr>
            <w:tcW w:w="1532" w:type="dxa"/>
          </w:tcPr>
          <w:p w14:paraId="0343FA7E">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0.25%</w:t>
            </w:r>
          </w:p>
        </w:tc>
        <w:tc>
          <w:tcPr>
            <w:tcW w:w="1546" w:type="dxa"/>
          </w:tcPr>
          <w:p w14:paraId="61ED593C">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0.35%</w:t>
            </w:r>
          </w:p>
        </w:tc>
      </w:tr>
      <w:tr w14:paraId="4EE2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C59B93">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5000万元～1亿元</w:t>
            </w:r>
          </w:p>
        </w:tc>
        <w:tc>
          <w:tcPr>
            <w:tcW w:w="1659" w:type="dxa"/>
          </w:tcPr>
          <w:p w14:paraId="6CEE223A">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0.25%</w:t>
            </w:r>
          </w:p>
        </w:tc>
        <w:tc>
          <w:tcPr>
            <w:tcW w:w="1532" w:type="dxa"/>
          </w:tcPr>
          <w:p w14:paraId="06A40462">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0.1%</w:t>
            </w:r>
          </w:p>
        </w:tc>
        <w:tc>
          <w:tcPr>
            <w:tcW w:w="1546" w:type="dxa"/>
          </w:tcPr>
          <w:p w14:paraId="5D48DA13">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0.2%</w:t>
            </w:r>
          </w:p>
        </w:tc>
      </w:tr>
      <w:tr w14:paraId="5F52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1BBBB33">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1～5亿元</w:t>
            </w:r>
          </w:p>
        </w:tc>
        <w:tc>
          <w:tcPr>
            <w:tcW w:w="1659" w:type="dxa"/>
          </w:tcPr>
          <w:p w14:paraId="4A09971A">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0.05%</w:t>
            </w:r>
          </w:p>
        </w:tc>
        <w:tc>
          <w:tcPr>
            <w:tcW w:w="1532" w:type="dxa"/>
          </w:tcPr>
          <w:p w14:paraId="6CF698C9">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0.05%</w:t>
            </w:r>
          </w:p>
        </w:tc>
        <w:tc>
          <w:tcPr>
            <w:tcW w:w="1546" w:type="dxa"/>
          </w:tcPr>
          <w:p w14:paraId="4B5036C7">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0.05%</w:t>
            </w:r>
          </w:p>
        </w:tc>
      </w:tr>
      <w:tr w14:paraId="5B23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3C1C2B6">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5～10亿元</w:t>
            </w:r>
          </w:p>
        </w:tc>
        <w:tc>
          <w:tcPr>
            <w:tcW w:w="1659" w:type="dxa"/>
          </w:tcPr>
          <w:p w14:paraId="6B57A3B2">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0.035%</w:t>
            </w:r>
          </w:p>
        </w:tc>
        <w:tc>
          <w:tcPr>
            <w:tcW w:w="1532" w:type="dxa"/>
          </w:tcPr>
          <w:p w14:paraId="1C2FCCF1">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0.035%</w:t>
            </w:r>
          </w:p>
        </w:tc>
        <w:tc>
          <w:tcPr>
            <w:tcW w:w="1546" w:type="dxa"/>
          </w:tcPr>
          <w:p w14:paraId="70D5F4F7">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0.035%</w:t>
            </w:r>
          </w:p>
        </w:tc>
      </w:tr>
      <w:tr w14:paraId="33F9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22AAAC9">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10～50亿元</w:t>
            </w:r>
          </w:p>
        </w:tc>
        <w:tc>
          <w:tcPr>
            <w:tcW w:w="1659" w:type="dxa"/>
          </w:tcPr>
          <w:p w14:paraId="39E68A3B">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0.008%</w:t>
            </w:r>
          </w:p>
        </w:tc>
        <w:tc>
          <w:tcPr>
            <w:tcW w:w="1532" w:type="dxa"/>
          </w:tcPr>
          <w:p w14:paraId="5C51CF87">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0.008%</w:t>
            </w:r>
          </w:p>
        </w:tc>
        <w:tc>
          <w:tcPr>
            <w:tcW w:w="1546" w:type="dxa"/>
          </w:tcPr>
          <w:p w14:paraId="49935392">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0.008%</w:t>
            </w:r>
          </w:p>
        </w:tc>
      </w:tr>
      <w:tr w14:paraId="76AB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5105E44">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50～100亿元</w:t>
            </w:r>
          </w:p>
        </w:tc>
        <w:tc>
          <w:tcPr>
            <w:tcW w:w="1659" w:type="dxa"/>
          </w:tcPr>
          <w:p w14:paraId="2FFD12A6">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0.006%</w:t>
            </w:r>
          </w:p>
        </w:tc>
        <w:tc>
          <w:tcPr>
            <w:tcW w:w="1532" w:type="dxa"/>
          </w:tcPr>
          <w:p w14:paraId="1AC129C6">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0.006%</w:t>
            </w:r>
          </w:p>
        </w:tc>
        <w:tc>
          <w:tcPr>
            <w:tcW w:w="1546" w:type="dxa"/>
          </w:tcPr>
          <w:p w14:paraId="7F6C3EA2">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0.006%</w:t>
            </w:r>
          </w:p>
        </w:tc>
      </w:tr>
      <w:tr w14:paraId="03B1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6C13106">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100亿元以上</w:t>
            </w:r>
          </w:p>
        </w:tc>
        <w:tc>
          <w:tcPr>
            <w:tcW w:w="1659" w:type="dxa"/>
          </w:tcPr>
          <w:p w14:paraId="2C8291F7">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0.004%</w:t>
            </w:r>
          </w:p>
        </w:tc>
        <w:tc>
          <w:tcPr>
            <w:tcW w:w="1532" w:type="dxa"/>
          </w:tcPr>
          <w:p w14:paraId="282681F4">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0.004%</w:t>
            </w:r>
          </w:p>
        </w:tc>
        <w:tc>
          <w:tcPr>
            <w:tcW w:w="1546" w:type="dxa"/>
          </w:tcPr>
          <w:p w14:paraId="68544395">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0.004%</w:t>
            </w:r>
          </w:p>
        </w:tc>
      </w:tr>
    </w:tbl>
    <w:p w14:paraId="4E3DF922">
      <w:pPr>
        <w:spacing w:line="360" w:lineRule="auto"/>
        <w:ind w:firstLine="480" w:firstLineChars="200"/>
        <w:contextualSpacing/>
        <w:rPr>
          <w:rFonts w:hint="eastAsia" w:ascii="楷体" w:hAnsi="楷体" w:eastAsia="楷体" w:cs="宋体"/>
          <w:color w:val="auto"/>
          <w:sz w:val="24"/>
          <w:highlight w:val="none"/>
        </w:rPr>
      </w:pPr>
      <w:r>
        <w:rPr>
          <w:rFonts w:hint="eastAsia" w:ascii="楷体" w:hAnsi="楷体" w:eastAsia="楷体" w:cs="宋体"/>
          <w:color w:val="auto"/>
          <w:sz w:val="24"/>
          <w:highlight w:val="none"/>
        </w:rPr>
        <w:t>注：</w:t>
      </w:r>
      <w:r>
        <w:rPr>
          <w:rFonts w:ascii="楷体" w:hAnsi="楷体" w:eastAsia="楷体" w:cs="宋体"/>
          <w:color w:val="auto"/>
          <w:sz w:val="24"/>
          <w:highlight w:val="none"/>
        </w:rPr>
        <w:t xml:space="preserve"> </w:t>
      </w:r>
    </w:p>
    <w:p w14:paraId="3A8B6E76">
      <w:pPr>
        <w:spacing w:line="360" w:lineRule="auto"/>
        <w:ind w:firstLine="480" w:firstLineChars="200"/>
        <w:contextualSpacing/>
        <w:rPr>
          <w:rFonts w:hint="eastAsia"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121967EE">
      <w:pPr>
        <w:spacing w:line="360" w:lineRule="auto"/>
        <w:ind w:firstLine="480" w:firstLineChars="200"/>
        <w:contextualSpacing/>
        <w:rPr>
          <w:rFonts w:hint="eastAsia"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73B4DEBD">
      <w:pPr>
        <w:spacing w:line="360" w:lineRule="auto"/>
        <w:ind w:firstLine="480" w:firstLineChars="200"/>
        <w:contextualSpacing/>
        <w:rPr>
          <w:rFonts w:hint="eastAsia" w:ascii="楷体" w:hAnsi="楷体" w:eastAsia="楷体" w:cs="宋体"/>
          <w:color w:val="auto"/>
          <w:sz w:val="24"/>
          <w:highlight w:val="none"/>
        </w:rPr>
      </w:pPr>
      <w:r>
        <w:rPr>
          <w:rFonts w:hint="eastAsia" w:ascii="楷体" w:hAnsi="楷体" w:eastAsia="楷体" w:cs="宋体"/>
          <w:color w:val="auto"/>
          <w:sz w:val="24"/>
          <w:highlight w:val="none"/>
        </w:rPr>
        <w:t>例如：某货物采购代理业务成交金额或者暂定价为</w:t>
      </w:r>
      <w:r>
        <w:rPr>
          <w:rFonts w:ascii="楷体" w:hAnsi="楷体" w:eastAsia="楷体" w:cs="宋体"/>
          <w:color w:val="auto"/>
          <w:sz w:val="24"/>
          <w:highlight w:val="none"/>
        </w:rPr>
        <w:t>150万元，计算采购代理收费额如下：</w:t>
      </w:r>
    </w:p>
    <w:p w14:paraId="7CD1EB39">
      <w:pPr>
        <w:spacing w:line="360" w:lineRule="auto"/>
        <w:ind w:firstLine="480" w:firstLineChars="200"/>
        <w:contextualSpacing/>
        <w:rPr>
          <w:rFonts w:hint="eastAsia"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l.5 %＝ 1.5 </w:t>
      </w:r>
      <w:r>
        <w:rPr>
          <w:rFonts w:hint="eastAsia" w:ascii="楷体" w:hAnsi="楷体" w:eastAsia="楷体" w:cs="宋体"/>
          <w:color w:val="auto"/>
          <w:sz w:val="24"/>
          <w:highlight w:val="none"/>
        </w:rPr>
        <w:t>万元</w:t>
      </w:r>
    </w:p>
    <w:p w14:paraId="1C39DF92">
      <w:pPr>
        <w:spacing w:line="360" w:lineRule="auto"/>
        <w:ind w:firstLine="480" w:firstLineChars="200"/>
        <w:contextualSpacing/>
        <w:rPr>
          <w:rFonts w:hint="eastAsia"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1.1%＝ 0.55 </w:t>
      </w:r>
      <w:r>
        <w:rPr>
          <w:rFonts w:hint="eastAsia" w:ascii="楷体" w:hAnsi="楷体" w:eastAsia="楷体" w:cs="宋体"/>
          <w:color w:val="auto"/>
          <w:sz w:val="24"/>
          <w:highlight w:val="none"/>
        </w:rPr>
        <w:t>万元</w:t>
      </w:r>
    </w:p>
    <w:p w14:paraId="7342B33C">
      <w:pPr>
        <w:spacing w:line="360" w:lineRule="auto"/>
        <w:ind w:firstLine="480" w:firstLineChars="200"/>
        <w:contextualSpacing/>
        <w:rPr>
          <w:rFonts w:hint="eastAsia"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0.55＝ 2.05 </w:t>
      </w:r>
      <w:r>
        <w:rPr>
          <w:rFonts w:hint="eastAsia" w:ascii="楷体" w:hAnsi="楷体" w:eastAsia="楷体" w:cs="宋体"/>
          <w:color w:val="auto"/>
          <w:sz w:val="24"/>
          <w:highlight w:val="none"/>
        </w:rPr>
        <w:t>（万元）</w:t>
      </w:r>
    </w:p>
    <w:p w14:paraId="60E304C6">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003B0310">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33.1本谈判文件解释规则详见“供应商须知前附表”。</w:t>
      </w:r>
    </w:p>
    <w:p w14:paraId="72F13C3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kern w:val="0"/>
          <w:sz w:val="24"/>
          <w:highlight w:val="none"/>
        </w:rPr>
        <w:t>33.2 其他事</w:t>
      </w:r>
      <w:r>
        <w:rPr>
          <w:rFonts w:hint="eastAsia" w:ascii="宋体" w:hAnsi="宋体" w:cs="宋体"/>
          <w:color w:val="auto"/>
          <w:sz w:val="24"/>
          <w:highlight w:val="none"/>
        </w:rPr>
        <w:t>项详见“供应商须知前附表”。</w:t>
      </w:r>
    </w:p>
    <w:p w14:paraId="2B9F63FF">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33.3</w:t>
      </w:r>
      <w:bookmarkStart w:id="24" w:name="_Hlk65857140"/>
      <w:r>
        <w:rPr>
          <w:rFonts w:hint="eastAsia" w:hAnsi="宋体" w:cs="宋体"/>
          <w:color w:val="auto"/>
          <w:sz w:val="24"/>
          <w:szCs w:val="24"/>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CCBEC0E">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562B9453">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60E619AE">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67406C4">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C34963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依据本谈判文件规定享受扶持政策获得政府采购合同的，小微企业不得将合同分包给大中型企业，中型企业不得将合同分包给大型企业。</w:t>
      </w:r>
      <w:bookmarkEnd w:id="24"/>
    </w:p>
    <w:p w14:paraId="6874D144">
      <w:pPr>
        <w:pStyle w:val="3"/>
        <w:spacing w:before="0" w:after="0" w:line="360" w:lineRule="auto"/>
        <w:jc w:val="center"/>
        <w:rPr>
          <w:rFonts w:hint="eastAsia" w:ascii="宋体" w:hAnsi="宋体" w:cs="宋体"/>
          <w:color w:val="auto"/>
          <w:sz w:val="32"/>
          <w:szCs w:val="32"/>
          <w:highlight w:val="none"/>
        </w:rPr>
      </w:pPr>
      <w:r>
        <w:rPr>
          <w:rFonts w:hint="eastAsia" w:ascii="宋体" w:hAnsi="宋体" w:cs="宋体"/>
          <w:bCs w:val="0"/>
          <w:color w:val="auto"/>
          <w:sz w:val="24"/>
          <w:szCs w:val="24"/>
          <w:highlight w:val="none"/>
        </w:rPr>
        <w:br w:type="page"/>
      </w:r>
      <w:bookmarkStart w:id="25" w:name="_Toc27583"/>
      <w:r>
        <w:rPr>
          <w:rFonts w:hint="eastAsia" w:ascii="宋体" w:hAnsi="宋体" w:cs="宋体"/>
          <w:color w:val="auto"/>
          <w:highlight w:val="none"/>
        </w:rPr>
        <w:t>第三章 采购需求</w:t>
      </w:r>
      <w:bookmarkEnd w:id="25"/>
    </w:p>
    <w:p w14:paraId="648D0A7F">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说明：</w:t>
      </w:r>
    </w:p>
    <w:p w14:paraId="11D8A074">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ascii="宋体" w:hAnsi="宋体" w:cs="宋体"/>
          <w:color w:val="auto"/>
          <w:sz w:val="24"/>
          <w:highlight w:val="none"/>
        </w:rPr>
        <w:t>.</w:t>
      </w:r>
      <w:r>
        <w:rPr>
          <w:bCs/>
          <w:color w:val="auto"/>
          <w:sz w:val="24"/>
          <w:highlight w:val="none"/>
        </w:rPr>
        <w:t>采购需求中如出现品牌、型号或者生产厂家等均仅起参考作用，不属于指定品牌、型号或者生产厂家的情形，</w:t>
      </w:r>
      <w:r>
        <w:rPr>
          <w:rFonts w:hint="eastAsia"/>
          <w:bCs/>
          <w:color w:val="auto"/>
          <w:sz w:val="24"/>
          <w:highlight w:val="none"/>
        </w:rPr>
        <w:t>供应商</w:t>
      </w:r>
      <w:r>
        <w:rPr>
          <w:bCs/>
          <w:color w:val="auto"/>
          <w:sz w:val="24"/>
          <w:highlight w:val="none"/>
        </w:rPr>
        <w:t>可参照或者选用其他相当的品牌、型号或者生产供应商替代。但</w:t>
      </w:r>
      <w:r>
        <w:rPr>
          <w:rFonts w:hint="eastAsia"/>
          <w:bCs/>
          <w:color w:val="auto"/>
          <w:sz w:val="24"/>
          <w:highlight w:val="none"/>
        </w:rPr>
        <w:t>供应商提供</w:t>
      </w:r>
      <w:r>
        <w:rPr>
          <w:bCs/>
          <w:color w:val="auto"/>
          <w:sz w:val="24"/>
          <w:highlight w:val="none"/>
        </w:rPr>
        <w:t>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3E902E59">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ascii="宋体" w:hAnsi="宋体" w:cs="宋体"/>
          <w:color w:val="auto"/>
          <w:sz w:val="24"/>
          <w:highlight w:val="none"/>
        </w:rPr>
        <w:t>.</w:t>
      </w:r>
      <w:r>
        <w:rPr>
          <w:bCs/>
          <w:color w:val="auto"/>
          <w:sz w:val="24"/>
          <w:highlight w:val="none"/>
        </w:rPr>
        <w:t>凡在“技术要求”中表述为“标配”或“标准配置”的设备，</w:t>
      </w:r>
      <w:r>
        <w:rPr>
          <w:rFonts w:hint="eastAsia"/>
          <w:bCs/>
          <w:color w:val="auto"/>
          <w:sz w:val="24"/>
          <w:highlight w:val="none"/>
        </w:rPr>
        <w:t>供应商</w:t>
      </w:r>
      <w:r>
        <w:rPr>
          <w:bCs/>
          <w:color w:val="auto"/>
          <w:sz w:val="24"/>
          <w:highlight w:val="none"/>
        </w:rPr>
        <w:t>应在</w:t>
      </w:r>
      <w:r>
        <w:rPr>
          <w:rFonts w:hint="eastAsia" w:ascii="宋体" w:hAnsi="宋体" w:cs="宋体"/>
          <w:color w:val="auto"/>
          <w:sz w:val="24"/>
          <w:highlight w:val="none"/>
          <w:lang w:bidi="ar"/>
        </w:rPr>
        <w:t>竞争性谈判</w:t>
      </w:r>
      <w:r>
        <w:rPr>
          <w:bCs/>
          <w:color w:val="auto"/>
          <w:sz w:val="24"/>
          <w:highlight w:val="none"/>
        </w:rPr>
        <w:t>设备性能配置清单中将其标配参数详细列明。</w:t>
      </w:r>
    </w:p>
    <w:p w14:paraId="3C4EEC9E">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ascii="宋体" w:hAnsi="宋体" w:cs="宋体"/>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highlight w:val="none"/>
        </w:rPr>
        <w:t>★</w:t>
      </w:r>
      <w:r>
        <w:rPr>
          <w:bCs/>
          <w:color w:val="auto"/>
          <w:sz w:val="24"/>
          <w:highlight w:val="none"/>
        </w:rPr>
        <w:t>”的（详见本章后附的节能产品政府采购品目清单），</w:t>
      </w:r>
      <w:r>
        <w:rPr>
          <w:rFonts w:hint="eastAsia"/>
          <w:bCs/>
          <w:color w:val="auto"/>
          <w:sz w:val="24"/>
          <w:highlight w:val="none"/>
        </w:rPr>
        <w:t>供应商参与</w:t>
      </w:r>
      <w:r>
        <w:rPr>
          <w:rFonts w:hint="eastAsia" w:ascii="宋体" w:hAnsi="宋体" w:cs="宋体"/>
          <w:color w:val="auto"/>
          <w:sz w:val="24"/>
          <w:highlight w:val="none"/>
          <w:lang w:bidi="ar"/>
        </w:rPr>
        <w:t>竞争性谈判</w:t>
      </w:r>
      <w:r>
        <w:rPr>
          <w:rFonts w:hint="eastAsia"/>
          <w:bCs/>
          <w:color w:val="auto"/>
          <w:sz w:val="24"/>
          <w:highlight w:val="none"/>
        </w:rPr>
        <w:t>提供的</w:t>
      </w:r>
      <w:r>
        <w:rPr>
          <w:bCs/>
          <w:color w:val="auto"/>
          <w:sz w:val="24"/>
          <w:highlight w:val="none"/>
        </w:rPr>
        <w:t>货物必须使用政府强制采购的节能产品，</w:t>
      </w:r>
      <w:r>
        <w:rPr>
          <w:rFonts w:hint="eastAsia"/>
          <w:bCs/>
          <w:color w:val="auto"/>
          <w:sz w:val="24"/>
          <w:highlight w:val="none"/>
        </w:rPr>
        <w:t>供应商必须在响应文件（商务及技术文件）中提供所投产品的节能产品认证证书复印件（加盖投标人电子签章），</w:t>
      </w:r>
      <w:r>
        <w:rPr>
          <w:bCs/>
          <w:color w:val="auto"/>
          <w:sz w:val="24"/>
          <w:highlight w:val="none"/>
        </w:rPr>
        <w:t>否则</w:t>
      </w:r>
      <w:r>
        <w:rPr>
          <w:rFonts w:hint="eastAsia"/>
          <w:bCs/>
          <w:color w:val="auto"/>
          <w:sz w:val="24"/>
          <w:highlight w:val="none"/>
        </w:rPr>
        <w:t>响应</w:t>
      </w:r>
      <w:r>
        <w:rPr>
          <w:bCs/>
          <w:color w:val="auto"/>
          <w:sz w:val="24"/>
          <w:highlight w:val="none"/>
        </w:rPr>
        <w:t>文件作无效处理。</w:t>
      </w:r>
    </w:p>
    <w:p w14:paraId="3AD82C89">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ascii="宋体" w:hAnsi="宋体" w:cs="宋体"/>
          <w:color w:val="auto"/>
          <w:sz w:val="24"/>
          <w:highlight w:val="none"/>
        </w:rPr>
        <w:t>.</w:t>
      </w:r>
      <w:r>
        <w:rPr>
          <w:bCs/>
          <w:color w:val="auto"/>
          <w:sz w:val="24"/>
          <w:highlight w:val="none"/>
        </w:rPr>
        <w:t>如</w:t>
      </w:r>
      <w:r>
        <w:rPr>
          <w:rFonts w:hint="eastAsia"/>
          <w:bCs/>
          <w:color w:val="auto"/>
          <w:sz w:val="24"/>
          <w:highlight w:val="none"/>
        </w:rPr>
        <w:t>供应商参与</w:t>
      </w:r>
      <w:r>
        <w:rPr>
          <w:rFonts w:hint="eastAsia" w:ascii="宋体" w:hAnsi="宋体" w:cs="宋体"/>
          <w:color w:val="auto"/>
          <w:sz w:val="24"/>
          <w:highlight w:val="none"/>
          <w:lang w:bidi="ar"/>
        </w:rPr>
        <w:t>竞争性谈判提供的</w:t>
      </w:r>
      <w:r>
        <w:rPr>
          <w:bCs/>
          <w:color w:val="auto"/>
          <w:sz w:val="24"/>
          <w:highlight w:val="none"/>
        </w:rPr>
        <w:t>产品存在侵犯他人的知识产权或者专利成果行为的，由</w:t>
      </w:r>
      <w:r>
        <w:rPr>
          <w:rFonts w:hint="eastAsia"/>
          <w:bCs/>
          <w:color w:val="auto"/>
          <w:sz w:val="24"/>
          <w:highlight w:val="none"/>
        </w:rPr>
        <w:t>供应商</w:t>
      </w:r>
      <w:r>
        <w:rPr>
          <w:bCs/>
          <w:color w:val="auto"/>
          <w:sz w:val="24"/>
          <w:highlight w:val="none"/>
        </w:rPr>
        <w:t>自行承担相应法律责任。</w:t>
      </w:r>
    </w:p>
    <w:p w14:paraId="12315405">
      <w:pPr>
        <w:spacing w:line="360" w:lineRule="auto"/>
        <w:ind w:left="-10" w:leftChars="-5" w:right="2" w:rightChars="1" w:firstLine="480" w:firstLineChars="200"/>
        <w:rPr>
          <w:bCs/>
          <w:color w:val="auto"/>
          <w:sz w:val="24"/>
          <w:highlight w:val="none"/>
        </w:rPr>
      </w:pPr>
      <w:r>
        <w:rPr>
          <w:bCs/>
          <w:color w:val="auto"/>
          <w:sz w:val="24"/>
          <w:highlight w:val="none"/>
        </w:rPr>
        <w:t>5</w:t>
      </w:r>
      <w:r>
        <w:rPr>
          <w:rFonts w:hint="eastAsia" w:ascii="宋体" w:hAnsi="宋体" w:cs="宋体"/>
          <w:color w:val="auto"/>
          <w:sz w:val="24"/>
          <w:highlight w:val="none"/>
        </w:rPr>
        <w:t>.“</w:t>
      </w:r>
      <w:r>
        <w:rPr>
          <w:bCs/>
          <w:color w:val="auto"/>
          <w:sz w:val="24"/>
          <w:highlight w:val="none"/>
        </w:rPr>
        <w:t>实质性要求</w:t>
      </w:r>
      <w:r>
        <w:rPr>
          <w:rFonts w:hint="eastAsia" w:ascii="宋体" w:hAnsi="宋体" w:cs="宋体"/>
          <w:color w:val="auto"/>
          <w:sz w:val="24"/>
          <w:highlight w:val="none"/>
        </w:rPr>
        <w:t>”</w:t>
      </w:r>
      <w:r>
        <w:rPr>
          <w:bCs/>
          <w:color w:val="auto"/>
          <w:sz w:val="24"/>
          <w:highlight w:val="none"/>
        </w:rPr>
        <w:t>是指</w:t>
      </w:r>
      <w:r>
        <w:rPr>
          <w:rFonts w:hint="eastAsia"/>
          <w:bCs/>
          <w:color w:val="auto"/>
          <w:sz w:val="24"/>
          <w:highlight w:val="none"/>
        </w:rPr>
        <w:t>采购文件</w:t>
      </w:r>
      <w:r>
        <w:rPr>
          <w:bCs/>
          <w:color w:val="auto"/>
          <w:sz w:val="24"/>
          <w:highlight w:val="none"/>
        </w:rPr>
        <w:t>中已经指明不满足则</w:t>
      </w:r>
      <w:r>
        <w:rPr>
          <w:rFonts w:hint="eastAsia" w:ascii="宋体" w:hAnsi="宋体" w:cs="宋体"/>
          <w:color w:val="auto"/>
          <w:sz w:val="24"/>
          <w:highlight w:val="none"/>
          <w:lang w:bidi="ar"/>
        </w:rPr>
        <w:t>竞争性谈判</w:t>
      </w:r>
      <w:r>
        <w:rPr>
          <w:bCs/>
          <w:color w:val="auto"/>
          <w:sz w:val="24"/>
          <w:highlight w:val="none"/>
        </w:rPr>
        <w:t>无效的条款，或者不</w:t>
      </w:r>
      <w:r>
        <w:rPr>
          <w:rFonts w:hint="eastAsia"/>
          <w:bCs/>
          <w:color w:val="auto"/>
          <w:sz w:val="24"/>
          <w:highlight w:val="none"/>
        </w:rPr>
        <w:t>容许</w:t>
      </w:r>
      <w:r>
        <w:rPr>
          <w:bCs/>
          <w:color w:val="auto"/>
          <w:sz w:val="24"/>
          <w:highlight w:val="none"/>
        </w:rPr>
        <w:t>负偏离的条款，或者采购需求中带</w:t>
      </w:r>
      <w:r>
        <w:rPr>
          <w:rFonts w:hint="eastAsia"/>
          <w:bCs/>
          <w:color w:val="auto"/>
          <w:sz w:val="24"/>
          <w:highlight w:val="none"/>
        </w:rPr>
        <w:t>“▲”</w:t>
      </w:r>
      <w:r>
        <w:rPr>
          <w:bCs/>
          <w:color w:val="auto"/>
          <w:sz w:val="24"/>
          <w:highlight w:val="none"/>
        </w:rPr>
        <w:t>的条款。</w:t>
      </w:r>
      <w:r>
        <w:rPr>
          <w:rFonts w:hint="eastAsia"/>
          <w:bCs/>
          <w:color w:val="auto"/>
          <w:sz w:val="24"/>
          <w:highlight w:val="none"/>
        </w:rPr>
        <w:t>分标1：未标注“</w:t>
      </w:r>
      <w:r>
        <w:rPr>
          <w:rFonts w:hint="eastAsia" w:ascii="Segoe UI Symbol" w:hAnsi="Segoe UI Symbol" w:cs="Segoe UI Symbol"/>
          <w:bCs/>
          <w:color w:val="auto"/>
          <w:sz w:val="24"/>
          <w:highlight w:val="none"/>
        </w:rPr>
        <w:t>▲</w:t>
      </w:r>
      <w:r>
        <w:rPr>
          <w:rFonts w:hint="eastAsia"/>
          <w:bCs/>
          <w:color w:val="auto"/>
          <w:sz w:val="24"/>
          <w:highlight w:val="none"/>
        </w:rPr>
        <w:t>”号的非实质性条款要求可允许</w:t>
      </w:r>
      <w:r>
        <w:rPr>
          <w:rFonts w:hint="eastAsia"/>
          <w:bCs/>
          <w:color w:val="auto"/>
          <w:sz w:val="24"/>
          <w:highlight w:val="none"/>
          <w:u w:val="single"/>
        </w:rPr>
        <w:t xml:space="preserve"> 2 </w:t>
      </w:r>
      <w:r>
        <w:rPr>
          <w:rFonts w:hint="eastAsia"/>
          <w:bCs/>
          <w:color w:val="auto"/>
          <w:sz w:val="24"/>
          <w:highlight w:val="none"/>
        </w:rPr>
        <w:t>项负偏离，</w:t>
      </w:r>
      <w:r>
        <w:rPr>
          <w:rFonts w:hint="eastAsia"/>
          <w:bCs/>
          <w:color w:val="auto"/>
          <w:sz w:val="24"/>
          <w:highlight w:val="none"/>
          <w:u w:val="single"/>
        </w:rPr>
        <w:t xml:space="preserve"> 3 </w:t>
      </w:r>
      <w:r>
        <w:rPr>
          <w:rFonts w:hint="eastAsia"/>
          <w:bCs/>
          <w:color w:val="auto"/>
          <w:sz w:val="24"/>
          <w:highlight w:val="none"/>
        </w:rPr>
        <w:t>项以上（含</w:t>
      </w:r>
      <w:r>
        <w:rPr>
          <w:rFonts w:hint="eastAsia"/>
          <w:bCs/>
          <w:color w:val="auto"/>
          <w:sz w:val="24"/>
          <w:highlight w:val="none"/>
          <w:u w:val="single"/>
        </w:rPr>
        <w:t xml:space="preserve"> 3 </w:t>
      </w:r>
      <w:r>
        <w:rPr>
          <w:rFonts w:hint="eastAsia"/>
          <w:bCs/>
          <w:color w:val="auto"/>
          <w:sz w:val="24"/>
          <w:highlight w:val="none"/>
        </w:rPr>
        <w:t>项）负偏离的</w:t>
      </w:r>
      <w:r>
        <w:rPr>
          <w:rFonts w:hint="eastAsia" w:ascii="宋体" w:hAnsi="宋体" w:cs="宋体"/>
          <w:color w:val="auto"/>
          <w:sz w:val="24"/>
          <w:highlight w:val="none"/>
          <w:lang w:bidi="ar"/>
        </w:rPr>
        <w:t>竞争性谈判</w:t>
      </w:r>
      <w:r>
        <w:rPr>
          <w:rFonts w:hint="eastAsia"/>
          <w:bCs/>
          <w:color w:val="auto"/>
          <w:sz w:val="24"/>
          <w:highlight w:val="none"/>
        </w:rPr>
        <w:t>无效</w:t>
      </w:r>
      <w:r>
        <w:rPr>
          <w:rFonts w:hint="eastAsia" w:ascii="宋体" w:hAnsi="宋体" w:cs="宋体"/>
          <w:color w:val="auto"/>
          <w:sz w:val="24"/>
          <w:highlight w:val="none"/>
          <w:u w:val="single"/>
        </w:rPr>
        <w:t>；</w:t>
      </w:r>
      <w:r>
        <w:rPr>
          <w:rFonts w:hint="eastAsia"/>
          <w:bCs/>
          <w:color w:val="auto"/>
          <w:sz w:val="24"/>
          <w:highlight w:val="none"/>
        </w:rPr>
        <w:t>分标2：未标注“</w:t>
      </w:r>
      <w:r>
        <w:rPr>
          <w:rFonts w:hint="eastAsia" w:ascii="Segoe UI Symbol" w:hAnsi="Segoe UI Symbol" w:cs="Segoe UI Symbol"/>
          <w:bCs/>
          <w:color w:val="auto"/>
          <w:sz w:val="24"/>
          <w:highlight w:val="none"/>
        </w:rPr>
        <w:t>▲</w:t>
      </w:r>
      <w:r>
        <w:rPr>
          <w:rFonts w:hint="eastAsia"/>
          <w:bCs/>
          <w:color w:val="auto"/>
          <w:sz w:val="24"/>
          <w:highlight w:val="none"/>
        </w:rPr>
        <w:t>”号的非实质性条款要求可允许</w:t>
      </w:r>
      <w:r>
        <w:rPr>
          <w:rFonts w:hint="eastAsia"/>
          <w:bCs/>
          <w:color w:val="auto"/>
          <w:sz w:val="24"/>
          <w:highlight w:val="none"/>
          <w:u w:val="single"/>
        </w:rPr>
        <w:t xml:space="preserve"> 2 </w:t>
      </w:r>
      <w:r>
        <w:rPr>
          <w:rFonts w:hint="eastAsia"/>
          <w:bCs/>
          <w:color w:val="auto"/>
          <w:sz w:val="24"/>
          <w:highlight w:val="none"/>
        </w:rPr>
        <w:t>项负偏离，</w:t>
      </w:r>
      <w:r>
        <w:rPr>
          <w:rFonts w:hint="eastAsia"/>
          <w:bCs/>
          <w:color w:val="auto"/>
          <w:sz w:val="24"/>
          <w:highlight w:val="none"/>
          <w:u w:val="single"/>
        </w:rPr>
        <w:t xml:space="preserve"> 3 </w:t>
      </w:r>
      <w:r>
        <w:rPr>
          <w:rFonts w:hint="eastAsia"/>
          <w:bCs/>
          <w:color w:val="auto"/>
          <w:sz w:val="24"/>
          <w:highlight w:val="none"/>
        </w:rPr>
        <w:t>项以上（含</w:t>
      </w:r>
      <w:r>
        <w:rPr>
          <w:rFonts w:hint="eastAsia"/>
          <w:bCs/>
          <w:color w:val="auto"/>
          <w:sz w:val="24"/>
          <w:highlight w:val="none"/>
          <w:u w:val="single"/>
        </w:rPr>
        <w:t xml:space="preserve"> 3 </w:t>
      </w:r>
      <w:r>
        <w:rPr>
          <w:rFonts w:hint="eastAsia"/>
          <w:bCs/>
          <w:color w:val="auto"/>
          <w:sz w:val="24"/>
          <w:highlight w:val="none"/>
        </w:rPr>
        <w:t>项）负偏离的</w:t>
      </w:r>
      <w:r>
        <w:rPr>
          <w:rFonts w:hint="eastAsia" w:ascii="宋体" w:hAnsi="宋体" w:cs="宋体"/>
          <w:color w:val="auto"/>
          <w:sz w:val="24"/>
          <w:highlight w:val="none"/>
          <w:lang w:bidi="ar"/>
        </w:rPr>
        <w:t>竞争性谈判</w:t>
      </w:r>
      <w:r>
        <w:rPr>
          <w:rFonts w:hint="eastAsia"/>
          <w:bCs/>
          <w:color w:val="auto"/>
          <w:sz w:val="24"/>
          <w:highlight w:val="none"/>
        </w:rPr>
        <w:t>无效。</w:t>
      </w:r>
    </w:p>
    <w:p w14:paraId="7EB4BA66">
      <w:pPr>
        <w:spacing w:line="360" w:lineRule="auto"/>
        <w:ind w:left="-10" w:leftChars="-5" w:right="2" w:rightChars="1" w:firstLine="480" w:firstLineChars="200"/>
        <w:rPr>
          <w:bCs/>
          <w:color w:val="auto"/>
          <w:sz w:val="24"/>
          <w:highlight w:val="none"/>
        </w:rPr>
      </w:pPr>
      <w:r>
        <w:rPr>
          <w:bCs/>
          <w:color w:val="auto"/>
          <w:sz w:val="24"/>
          <w:highlight w:val="none"/>
        </w:rPr>
        <w:t>项目所属行业：工业</w:t>
      </w:r>
    </w:p>
    <w:tbl>
      <w:tblPr>
        <w:tblStyle w:val="26"/>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0"/>
        <w:gridCol w:w="680"/>
        <w:gridCol w:w="700"/>
        <w:gridCol w:w="5845"/>
      </w:tblGrid>
      <w:tr w14:paraId="5609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9441" w:type="dxa"/>
            <w:gridSpan w:val="5"/>
            <w:vAlign w:val="center"/>
          </w:tcPr>
          <w:p w14:paraId="765FD8B5">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分标1：多功能语言实训室设备采购</w:t>
            </w:r>
          </w:p>
        </w:tc>
      </w:tr>
      <w:tr w14:paraId="22DC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796" w:type="dxa"/>
            <w:vAlign w:val="center"/>
          </w:tcPr>
          <w:p w14:paraId="46DE3D5B">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420" w:type="dxa"/>
            <w:vAlign w:val="center"/>
          </w:tcPr>
          <w:p w14:paraId="56E4B6C1">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标的名称</w:t>
            </w:r>
          </w:p>
        </w:tc>
        <w:tc>
          <w:tcPr>
            <w:tcW w:w="680" w:type="dxa"/>
            <w:vAlign w:val="center"/>
          </w:tcPr>
          <w:p w14:paraId="1F43FD21">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700" w:type="dxa"/>
            <w:vAlign w:val="center"/>
          </w:tcPr>
          <w:p w14:paraId="0E52ADD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5845" w:type="dxa"/>
            <w:vAlign w:val="center"/>
          </w:tcPr>
          <w:p w14:paraId="14E4A6B8">
            <w:pPr>
              <w:spacing w:line="400" w:lineRule="exact"/>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技术参数及性能（配置）要求</w:t>
            </w:r>
          </w:p>
        </w:tc>
      </w:tr>
      <w:tr w14:paraId="109C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031340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20" w:type="dxa"/>
            <w:vAlign w:val="center"/>
          </w:tcPr>
          <w:p w14:paraId="14ACFE7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智能化语言教学综合软件包</w:t>
            </w:r>
          </w:p>
        </w:tc>
        <w:tc>
          <w:tcPr>
            <w:tcW w:w="680" w:type="dxa"/>
            <w:vAlign w:val="center"/>
          </w:tcPr>
          <w:p w14:paraId="4BAABEF9">
            <w:pPr>
              <w:widowControl/>
              <w:spacing w:line="40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00" w:type="dxa"/>
            <w:vAlign w:val="center"/>
          </w:tcPr>
          <w:p w14:paraId="706D3996">
            <w:pPr>
              <w:widowControl/>
              <w:spacing w:line="40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5845" w:type="dxa"/>
            <w:vAlign w:val="center"/>
          </w:tcPr>
          <w:p w14:paraId="2947153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对外语听说读写译均有专业的教学系统设计，既可以作为英语自主学习室，智能化的语言教学室，又可用作听说教学室、口译教学室、自习辅导教学室，同时还可以用作协作式教学室，同时配备大学口语考试等，也可以作为无纸化考场。</w:t>
            </w:r>
          </w:p>
          <w:p w14:paraId="2706DF2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一、语言智能化教学软件要求</w:t>
            </w:r>
          </w:p>
          <w:p w14:paraId="4DAB25F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1、智能化英语教学软件</w:t>
            </w:r>
          </w:p>
          <w:p w14:paraId="39DC764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▲1）智能化桌面定制：可以定制系统桌面、记录课程进度，支持第三方应用关联；能够选择继续上一堂课的内容和模式。</w:t>
            </w:r>
          </w:p>
          <w:p w14:paraId="59B2842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2）教学资源智能识别：可以自动识别目录文件夹、电脑桌面、移动设备中的教学文本、音频、视频等素材。</w:t>
            </w:r>
          </w:p>
          <w:p w14:paraId="3085418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▲3）智能化分析：可以对资源进行“重点知识点”、“难度系数”的智能化分析，分析结果自动标亮并匹配知识点课件。</w:t>
            </w:r>
          </w:p>
          <w:p w14:paraId="0330DFE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4）文本转音频：可以将系统自带或外部导入的word、text等文本自动生成配套音频。</w:t>
            </w:r>
          </w:p>
          <w:p w14:paraId="050B137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多媒体教学：可以使用屏幕广播、语音广播、黑屏肃静、示范教学、师生对讲、小组讨论、监视监听、座位显示、资料显示、电子画笔、文件下发与收集、学生录音、课堂录制、随堂提问、短信互动、遮挡板、计时器、百科查看等教学功能。</w:t>
            </w:r>
          </w:p>
          <w:p w14:paraId="14F66E9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▲6）教学智能匹配：可以根据资料来源、类型、内容关键字为教师推荐教学模式，支持教学模式切换；如教材类资料为课文讲解模式、音频类资料为听力讲解模式。</w:t>
            </w:r>
          </w:p>
          <w:p w14:paraId="4CFD3D5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7）重难点标注：支持学生课前资料预览、重难点知识标注，教师端可以自动统计标注知识点、标注人数并匹配知识点课件。(软件设计需体现如下：①学生可对老师下发的文本内不懂的难点内容(如重点单词、短语、语句)进行标注；②教师端自动统计标注知识点、标注人数并匹配知识点课件。③老师端能实时直观体现标注内容及全班标注情况方便老师进行讲评。</w:t>
            </w:r>
            <w:r>
              <w:rPr>
                <w:rFonts w:hint="eastAsia" w:ascii="宋体" w:hAnsi="宋体" w:cs="宋体"/>
                <w:color w:val="auto"/>
                <w:szCs w:val="21"/>
                <w:highlight w:val="none"/>
              </w:rPr>
              <w:t>要求现场演示①-③项功能</w:t>
            </w:r>
            <w:r>
              <w:rPr>
                <w:rFonts w:hint="eastAsia" w:ascii="宋体" w:hAnsi="宋体" w:cs="宋体"/>
                <w:color w:val="auto"/>
                <w:szCs w:val="21"/>
                <w:highlight w:val="none"/>
              </w:rPr>
              <w:t>)</w:t>
            </w:r>
          </w:p>
          <w:p w14:paraId="7C0CB77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跟读训练：支持学生跟读训练，可设定播放次数、跟读方式，可以切换手动跟读或自动领读；跟读结束后，以图表形式自动统计跟读结果，教师可对学生跟读录音进行讲评，全班每个学生每句的跟读情况均能示范讲解。</w:t>
            </w:r>
          </w:p>
          <w:p w14:paraId="0EE6E06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9）听写训练：支持学生听写训练，可以设定听写内容、听写播放间隔、遍数；可以自动统计练习结果，教师可以进行讲评。(软件设计需体现如下：①老师可以任选自己手头上WORD或TXT文档听写；②能设置听写的次数，听写内容之间的间隔等；③听写结束教师端反馈每个学生的听写成绩及全班最高分和最低分等；④可以反馈出每个听写内容的正确率或难易情况。</w:t>
            </w:r>
            <w:r>
              <w:rPr>
                <w:rFonts w:hint="eastAsia" w:ascii="宋体" w:hAnsi="宋体" w:cs="宋体"/>
                <w:color w:val="auto"/>
                <w:szCs w:val="21"/>
                <w:highlight w:val="none"/>
              </w:rPr>
              <w:t>要求现场演示①-④项功能)</w:t>
            </w:r>
          </w:p>
          <w:p w14:paraId="4A3C255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10）填空练习：支持学生填空练习，可以设定练习资料、试题内容、试题答案；可以自动统计练习结果，教师可以进行点评。</w:t>
            </w:r>
          </w:p>
          <w:p w14:paraId="0071447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11）复听：支持学生复听练习，教师可以查看学生复听进度及复听统计情况；教师可进行讲评。(软件设计需体现如下：①听力音频进行自动分句；②对听力内容学生可各自复听；③老师端能反馈全班复听情况，如哪些句子有复听，每一句复听的次数；④老师可直接定位到听力难点句子进行讲评。</w:t>
            </w:r>
            <w:r>
              <w:rPr>
                <w:rFonts w:hint="eastAsia" w:ascii="宋体" w:hAnsi="宋体" w:cs="宋体"/>
                <w:color w:val="auto"/>
                <w:szCs w:val="21"/>
                <w:highlight w:val="none"/>
              </w:rPr>
              <w:t>要求现场演示①-④项功能)</w:t>
            </w:r>
          </w:p>
          <w:p w14:paraId="145D26A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12）听力选择：支持学生听力选择练习，教师可以选取听写资料或自编听力题目，并控制作答过程和进度，系统可以自动统计作答结果，教师可以对作答详情进行讲评。</w:t>
            </w:r>
          </w:p>
          <w:p w14:paraId="549FE9A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13）朗读训练：支持学生朗读训练，教师可以控制朗读时的学生录音，控制暂停或者继续，可以自动录音，学生可以自听、互听，教师可以进行讲评。</w:t>
            </w:r>
          </w:p>
          <w:p w14:paraId="15D4422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14）口头表达：支持学生口头表达训练，教师可控制口头表达时的学生录音，可以自动录音，学生可以自听、互听，教师可以进行讲评。</w:t>
            </w:r>
          </w:p>
          <w:p w14:paraId="0AFA285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15）小组讨论：支持学生小组讨论训练，教师可以控制学生小组讨论过程，学生或小组可以自听、互听，教师可进行讲评，小组讨论的录音码流量≥350KBPS。(软件设计需体现如下：①小组间可以讨论通话，相互听到声音，讨论后能自听小组内的讨论自纠；②有互听设计相互学习；③能看到现场的小组录音的文件格式，以及当场验证讨论录音文件的码流量能看到是≥350KBPS。</w:t>
            </w:r>
            <w:r>
              <w:rPr>
                <w:rFonts w:hint="eastAsia" w:ascii="宋体" w:hAnsi="宋体" w:cs="宋体"/>
                <w:color w:val="auto"/>
                <w:szCs w:val="21"/>
                <w:highlight w:val="none"/>
              </w:rPr>
              <w:t>要求现场演示①-③项功能)</w:t>
            </w:r>
          </w:p>
          <w:p w14:paraId="39EB1DA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16）智能语音评测：学生可以进行口语发音练习，可以从“完整性”、“准确性”、“韵律性”、“流利度”进行综合评分，全班学生得分状况以图表形式同步反馈至教师端，教师可根据反馈结果进行针对性讲评；全班每个学生每句的跟读情况均能示范讲解。(软件设计需体现如下：①学生口语发音时，系统根据学生跟读完整性、韵律性、准确性和流利度等维度智能评分并进行统计分析；②全班学生得分状况以图表形式同步反馈至教师端，教师可根据反馈结果进行针对性讲评；③全班每个学生每句的跟读情况均能示范讲解。</w:t>
            </w:r>
            <w:r>
              <w:rPr>
                <w:rFonts w:hint="eastAsia" w:ascii="宋体" w:hAnsi="宋体" w:cs="宋体"/>
                <w:color w:val="auto"/>
                <w:szCs w:val="21"/>
                <w:highlight w:val="none"/>
              </w:rPr>
              <w:t>要求现场演示①-③项功能)</w:t>
            </w:r>
          </w:p>
          <w:p w14:paraId="0BDC528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2、口译教学软件</w:t>
            </w:r>
          </w:p>
          <w:p w14:paraId="1E57B36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1）口译教学工具：可以使用百宝箱，师生对讲、监听监视、短信互动、示范教学等口译教学工具。</w:t>
            </w:r>
          </w:p>
          <w:p w14:paraId="2589670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2）素材选取：可从配备的资源库、本地电脑或移动设备选择教学资源。</w:t>
            </w:r>
          </w:p>
          <w:p w14:paraId="2341783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3）影子训练模式：可以模拟同声传译场景。</w:t>
            </w:r>
          </w:p>
          <w:p w14:paraId="21AEA51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4）短期记忆模式：可以模拟交替传译场景。</w:t>
            </w:r>
          </w:p>
          <w:p w14:paraId="43FF15A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▲5）译、原音同步：可以自动打开录制功能，录制学生译音，学生口译和源音同步录制，音频播放中途可进行复述回放或源音回放。</w:t>
            </w:r>
          </w:p>
          <w:p w14:paraId="2BEF76E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6）译、原音异步：可以播放源音，中途暂停，可以自动打开录制功能，录制学生译音，并可以回放源音。</w:t>
            </w:r>
          </w:p>
          <w:p w14:paraId="1CB1225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7）译、原音比对：训练结束后，可以回放源音、译音进行比对。</w:t>
            </w:r>
          </w:p>
          <w:p w14:paraId="527FDDD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8）干扰音设置：可模拟下雨声、会场声、翻页声、脚步声等真实场景干扰音，可以调节音量大小。</w:t>
            </w:r>
          </w:p>
          <w:p w14:paraId="0E6F5B3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9）变速设置：可以调节播放速度，但不变调。</w:t>
            </w:r>
          </w:p>
          <w:p w14:paraId="610A8D4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10）教师讲评：可以自动记录录音结果，教师可以查看原音、复述音和混音，教师可以进行播放讲评。</w:t>
            </w:r>
          </w:p>
          <w:p w14:paraId="6CDB40F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3、写作式教学软件</w:t>
            </w:r>
          </w:p>
          <w:p w14:paraId="325787C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1）多渠道资料选取：支持教师从系统配备的资源库中选择上课课件，也可从本地电脑、U盘上选择个人资料作为上课素材。</w:t>
            </w:r>
          </w:p>
          <w:p w14:paraId="63011E3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▲2）协作形式设置：具有教师设定具体协作形式的功能，支持将学生分为小组写作、个人写作两种形式，任务类型包括“命题写作”、“仿写”、“翻译”。</w:t>
            </w:r>
          </w:p>
          <w:p w14:paraId="3CF1B31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▲3）布置协作任务：具有多种类型的题目选取的功能，教师可将资料原文直接作为题目，也可手动输入编辑题目或从资料中任意选取内容作为题目。</w:t>
            </w:r>
          </w:p>
          <w:p w14:paraId="1F6F9A2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▲4）互评方式设置：老师可选择系统智能的对学生写作结果进行评估，也可设置小组互评，以小组为单位相互之间对各自的协作成果进行评价打分，支持“一评一”、“二评一”“三评一”多种互评方式。</w:t>
            </w:r>
          </w:p>
          <w:p w14:paraId="1778764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5）分组设置：具有分组形式进行设置的功能，支持调整小组人数，可随机分组，也可按照座位相邻形式进行分组。</w:t>
            </w:r>
          </w:p>
          <w:p w14:paraId="035E1B3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小组协作作答：学生小组成员之间可通过语音、文字进行沟通；小组组长可形成小组协作作答结果，并将作答成果分享给小组所有成员；教学过程中，教师可对学生进行监控、监听或者直接加入小组，辅导学生完成任务。</w:t>
            </w:r>
          </w:p>
          <w:p w14:paraId="4C4616B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7）教师讲评：系统可自动评估学生作答结果，教师根据系统评估结果及互评统计结果对写作资料及学生作答进行讲解；讲解参考范文中涉及的关键词等相关知识时，可调用知识点课件。</w:t>
            </w:r>
          </w:p>
          <w:p w14:paraId="37E35F1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8）学生成绩导出：具有按照分组导出学生成绩的功能。</w:t>
            </w:r>
          </w:p>
          <w:p w14:paraId="28C4276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4、英语自主训练软件</w:t>
            </w:r>
          </w:p>
          <w:p w14:paraId="0827CAA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听力训练：可以选择听写、听力选择、等级听力训练三种模式。听写训练中，学生可以设置播放次数和播放语速，支持中途暂停，重新听写，单词比对、错误单词标注。听力选择及等级听力训练时，学生可以设置播放次数和播放语速，系统自动给出评测成绩，学生可以查看历史训练记录。</w:t>
            </w:r>
          </w:p>
          <w:p w14:paraId="7994FE7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口语训练：可以选择跟读、朗读和配音训练三种模式。跟读、朗读训练时，学生可以自主设置次数、播放语速、文本显示方式、打分模式，有声纹显示，会显示哪句正在进行跟读；训练结束后，可以自动统计训练成绩，可以查看训练详情，对比录音与原音及单句得分。配音训练时，学生可设置每句配音次数，可选择字幕显示、打分模式，有声纹显示，会显示哪句正在进行配音；训练结束后，可以自动统计训练成绩，可以查看训练详情，对比录音与原音及单句得分，可以重新训练，学生可以查看历史训练记录。</w:t>
            </w:r>
          </w:p>
          <w:p w14:paraId="63F2163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3）阅读训练：具有选答模式，训练完成后，可以对客观题目自动批改，显示测试的得分情况，可以查看历史训练记录。</w:t>
            </w:r>
          </w:p>
          <w:p w14:paraId="594BC5E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4）写作训练：可以选择篇章写作模式。连词成句中，学生将单词混乱的句子重组通顺；篇章写作，根据题目要求写作文。学生可以查看历史训练记录。</w:t>
            </w:r>
          </w:p>
          <w:p w14:paraId="4AF3FB0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电子资源阅读：可以按照资源类型、学科类别选择资料进行在线阅读，可以关键词检索，在线收藏、评论，主界面可以展示最新资源、推荐资源、热门资源、排行靠前资源；可以记录个人足迹、学习行为，包括收藏资料、关注老师、阅览行为、学习资源类型及学习时长等数据。</w:t>
            </w:r>
          </w:p>
          <w:p w14:paraId="0CF2C3D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5、多媒体教学软件</w:t>
            </w:r>
          </w:p>
          <w:p w14:paraId="584EF53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教学工具：具有屏幕广播、语音广播、黑屏肃静、显示学生座位信息、呼叫、电子画笔、电子教鞭、白板、师生对话、预习反馈、分班教学、百科、随堂测试、抢答、电子表决、外设控制、倒计时、遮挡板、互联网访问、学生录音、视频直播、远程命令、网页/程序限制、课堂文字提问、监听学生、学生演示、课堂加分等功能。</w:t>
            </w:r>
          </w:p>
          <w:p w14:paraId="6821A24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2）教学定制：用户可根据自身需要对呈现在主界面上的左右栏教学工具进行定制，在工具条风格下提供讲解课、测试课、讨论课的工具一键切换功能。</w:t>
            </w:r>
          </w:p>
          <w:p w14:paraId="6D5B8E8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3）思维轴：具有分步讲解、指定学生作答的功能。</w:t>
            </w:r>
          </w:p>
          <w:p w14:paraId="6C78B4B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4）可视化对讲：支持老师选择一个或多个学生进行语音对讲/文字交流，对讲时老师可以选择是否开启可视化。</w:t>
            </w:r>
          </w:p>
          <w:p w14:paraId="6DBA26F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5）资料分屏对比（显示资料）： 支持单屏、1/2屏、1/4屏三种显示方式切换显示，可结合使用“屏幕广播”、“话音广播”、“电子画笔”教学工具进行讲解，支持文本、音视频资料显示。</w:t>
            </w:r>
          </w:p>
          <w:p w14:paraId="1977065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▲6）学生浏览反馈：具有老师下发指定文本资料给学生浏览或预习，学生可对资料中的重难点进行标注的功能，系统实时统计学生所标注的内容和次数，并以列表展示。</w:t>
            </w:r>
          </w:p>
          <w:p w14:paraId="063AFB4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7）分班教学：具有多人对讲、协同作业，并根据学生水平进行个性化分组，分派不同的学习任务的功能，支持教师融合对讲、画板、文字等即时互动方式参与任意组别进行互动。</w:t>
            </w:r>
          </w:p>
          <w:p w14:paraId="1FC63A5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▲8）远程遥控和遥控转播：教师可远程控制任意学生桌面进行语音通话，实现单独授课，也可将操作过程实时广播给其他学生。</w:t>
            </w:r>
          </w:p>
          <w:p w14:paraId="12B9F9C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9）多人示范教学：支持老师指定1-4个学生进行示范，操作屏幕图像同步、广播给其他学生；支持老师选择单个学生控制并在教师机演示、或控制学生机辅助学生操作，教师可对示范学生的屏幕进行录制保存。</w:t>
            </w:r>
          </w:p>
          <w:p w14:paraId="03AEE6D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10）文件服务：系统根据班级信息，建立公共目录和学生私有目录；学生点名认证后即可查看文件列表，删除、上传或下载各自私有目录的文件；教师可以在教师机查看管理本班级所有目录下的文件。</w:t>
            </w:r>
          </w:p>
          <w:p w14:paraId="67D9658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11）全屏风格/工具条风格：主界面支持全屏风格和工具条风格两种显示模式，主界面上提供一键快速切换入口。</w:t>
            </w:r>
          </w:p>
          <w:p w14:paraId="1A19773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12）小组讨论：可将全班划分为多个小组，每组2、3、4、5、8人，具有多人语音、文字讨论、协同写作、协同板书的功能，支持小组互评、互听、指定代表发言，老师可对讨论结果进行讲评。</w:t>
            </w:r>
          </w:p>
          <w:p w14:paraId="5E002EA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13）学生监控：老师可查看所有学生机操作屏幕的缩略图，并能监听学生机的话音，双击即可放大查看。</w:t>
            </w:r>
          </w:p>
          <w:p w14:paraId="480AD88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14）音、视频教学：可将教学所用音视频同步、广播至所有学生位，支持音视频自动分句、支持变速不变调。</w:t>
            </w:r>
          </w:p>
          <w:p w14:paraId="632138F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15）文件点播：具有点播资源下发至所有学生位的功能，支持教师查看点播次数。</w:t>
            </w:r>
          </w:p>
          <w:p w14:paraId="0C931C9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16）课堂测试：支持发布随堂作业、课堂抢答，具有客观题计算机自动批改的功能，教师可查看作答进度、学生作答情况、学生卷面，并以饼状图显示答题情况，支持教师对表现优秀的学生进行课堂加分。</w:t>
            </w:r>
          </w:p>
          <w:p w14:paraId="02BDBEC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▲17）教学录制：支持“画中画”方式录制教师机屏幕+摄像头+语音，在示范、对讲、监视，录音过程支持录像功能，可对学生课堂展示进行保存、回放、讲评和分享。</w:t>
            </w:r>
          </w:p>
          <w:p w14:paraId="444CA8E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18）文件下发和收集：支持教师将自己的教案（PPT、音频、视频）一键下发至单一、部分或全体学生，具有一键式收集学生上交的文档的功能。 </w:t>
            </w:r>
          </w:p>
          <w:p w14:paraId="4BF903E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6、网络化自习辅导软件</w:t>
            </w:r>
          </w:p>
          <w:p w14:paraId="2B18BA0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1）自习辅导工具：具有“语音广播”、“屏幕广播”、“黑屏肃静”、“师生对讲”、“监视”、“短信互动”、“随堂提问”、“电子画笔”等自习辅导教学工具使用的功能。</w:t>
            </w:r>
          </w:p>
          <w:p w14:paraId="6EA5359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2）资料选取与统计：老师可从图文教材库，多媒体教程库，公共媒体库、本地电脑上选择资料作为自习资料供学生自由选择、点播学习；学生自习时，教师可以通过系统查看学生学习情况及资料使用统计情况。</w:t>
            </w:r>
          </w:p>
          <w:p w14:paraId="5306EC8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3）自习进度查看：学生可查看当前自习进度，能根据进度选择学习内容，可返回上一篇及切换学习资料。</w:t>
            </w:r>
          </w:p>
          <w:p w14:paraId="4BABDF5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4）电子词典：可具有单词查找、单词释义查看的功能。</w:t>
            </w:r>
          </w:p>
          <w:p w14:paraId="1BA2E0B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5）课堂笔记：具有课堂笔记记录、桌面内容自动截屏至文档、截屏图片缩放、本地图片插入、表格插入的功能，登录学生账号可查找历史记录。</w:t>
            </w:r>
          </w:p>
          <w:p w14:paraId="5293D8D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6）呼叫老师：自习过程中，学生可呼叫老师提供帮助，师生可通过语音及文字进行互动。</w:t>
            </w:r>
          </w:p>
          <w:p w14:paraId="0CF1D24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7）自习监管：教师可随机监视学生桌面，对学生行为进行管理。</w:t>
            </w:r>
          </w:p>
          <w:p w14:paraId="341D779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8）跟踪辅导：教师可通过监视到的学生学习内容及情况对学生进行辅导，支持通过文字对话、语音对话进行辅导。</w:t>
            </w:r>
          </w:p>
          <w:p w14:paraId="6980B3D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9）课堂加分：进行点名后，教师可通过课堂加分功能给学生自习课加分。</w:t>
            </w:r>
          </w:p>
          <w:p w14:paraId="09811C5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7、英语随堂测试软件：</w:t>
            </w:r>
          </w:p>
          <w:p w14:paraId="39294DD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1）听力试题制作：教师可选择音频资料、音频文本混合资料制作试题，试题类型包括单选题和填空题，可进行试题添加、编辑、预览和删除。</w:t>
            </w:r>
          </w:p>
          <w:p w14:paraId="009CCE5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2）听力测试：教师下发试题，并播放音频资料，学生进行试题作答，教师可以通过互动教学工具监控学生的作答情况。</w:t>
            </w:r>
          </w:p>
          <w:p w14:paraId="1AA5664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3）听力成绩评阅及统计：系统可自动批改并统计学生听力作答结果，统计项包括错误率、平均分、最高分和最低分，教室可导出学习成绩。</w:t>
            </w:r>
          </w:p>
          <w:p w14:paraId="565291B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4）听力测试讲解：根据作答统计结果，教师可借助互动教学工具对错误率较高的句子、关键词进行讲解。</w:t>
            </w:r>
          </w:p>
          <w:p w14:paraId="38AD9EA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▲5）口语领读测试：具有手动跟读、自动领读功能，手动跟读由教师手动控制播放跟读进度，自动领读由电脑自动播放测试资料，可设定领读次数，学生端进行跟读并录音。</w:t>
            </w:r>
          </w:p>
          <w:p w14:paraId="77ABEAB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▲6）智能口语评测及统计：系统自动批改并统计学生口语测试结果，统计项包括平均分、最高分和最低分；教师可导出学生成绩。</w:t>
            </w:r>
          </w:p>
          <w:p w14:paraId="1958795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7）口语测试讲解：根据作答统计结果，教师可借助互动教学工具课件对口语资料和学生口语录音进行讲解。</w:t>
            </w:r>
          </w:p>
          <w:p w14:paraId="72332EF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8）阅读试题编辑：阅读测试时，系统支持教师根据训练资料自编试题，题型包括单选、多选、填空题，并支持根据试题制作相应答题卡。</w:t>
            </w:r>
          </w:p>
          <w:p w14:paraId="309D439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9）阅读测试：阅读测试时，支持老师对资料显示方式、测试时间、阅读速度进行设置，系统自动统计学生作答详情，内容包括错误率、平均分、最高分和最低分；教师可进行讲解；教师可导出学生成绩。</w:t>
            </w:r>
          </w:p>
          <w:p w14:paraId="1C3803B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8、网络化教室口语考试软件 </w:t>
            </w:r>
          </w:p>
          <w:p w14:paraId="2BF2DB2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口语试卷制作：可以提供专业英语四级、专业英语八级、专业俄语四级、专业俄语八级、大学英语四六级考试、中国汉语水平、全国翻译资格水平、商务汉语水平、高等教育自学考试、外销人员从业资格等考试模板，同时支持自定义的问答式、讨论式口语考试、口译测试试卷的设计制作。可以新建、查看、修改试卷，从本地选择音频、文本或图片组成试题，可以设置答题准备时间和答题时间，制作讨论式口语试卷时，可以设置题目类型为二人讨论/三人讨论/问答式。</w:t>
            </w:r>
          </w:p>
          <w:p w14:paraId="1ECEE51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2）考前检测：可以对耳机、讨论形式、学生位展示形式进行确认。</w:t>
            </w:r>
          </w:p>
          <w:p w14:paraId="0237E02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3）考生认证：可以显示学生姓名、学号、座位号。</w:t>
            </w:r>
          </w:p>
          <w:p w14:paraId="349FEDF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口语考试：可以进行专业英语四级、专业英语八级、专业俄语四级、专业俄语八级、大学英语四六级、中国汉语水平、全国翻译资格水平、商务汉语水平、高等教育自学考试、外销人员从业资格、问答式口语、讨论式口语等多种类型的口语考试。可以从本地或题库提取试题，并能设置考场信息及阅卷信息。</w:t>
            </w:r>
          </w:p>
          <w:p w14:paraId="767A2CB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考试音质要求：全班学生同时进行单人或多人讨论式口语考试时，全班考生的考试录音均能完整录制，音质清晰饱满，学生口语考试时录音必须能自动生成无损无压缩格式文件，不接受有损压缩格式文件，考试录音文件码量达350KBPS以上；</w:t>
            </w:r>
          </w:p>
          <w:p w14:paraId="4811B06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6）考后音频处理：可以将口语考试的考生音频进行合并，并把考试结果转录至其他存储设备中。</w:t>
            </w:r>
          </w:p>
          <w:p w14:paraId="69AA714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7）口语阅卷：可以对考试结果进行评阅，可以进行考生音频播放、分数编辑、保存、成绩打印等操作。</w:t>
            </w:r>
          </w:p>
          <w:p w14:paraId="4AC7D02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8）口语试卷管理：可预览试卷信息，可以删除已存在的试卷。</w:t>
            </w:r>
          </w:p>
          <w:p w14:paraId="6E889C6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9、电子资源库管理软件</w:t>
            </w:r>
          </w:p>
          <w:p w14:paraId="09E5763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1）资源分类展示 可以按“多学科资源库”、公共图书馆”、“优秀教师”、“最新资源”、“推荐资源”、“排行榜”、“新闻活动”、“分类资源”、“热门标签”等分类模块查询所需资源。</w:t>
            </w:r>
          </w:p>
          <w:p w14:paraId="42F4B81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2）站内资源检索 可以按照“资源类型”、“资料分类”、“学科分类”、“年级分类”查询资料，可以按照时间、阅读量关键词检索进行查询。</w:t>
            </w:r>
          </w:p>
          <w:p w14:paraId="4146B58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3）学习网址链接 可以按“我的网址”、“推荐网址”、“在线学习”、“考试网站”、“报考指南”、“排行榜”快速链接到各类学习网站。</w:t>
            </w:r>
          </w:p>
          <w:p w14:paraId="50AEC2D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4）学习足迹记录 可以查看学生学习收藏资料，总学习时长和关注教师，以图表形式展示“学习资料的类型数量”、“每日学习时长”、“每日行为统计”等数据。</w:t>
            </w:r>
          </w:p>
          <w:p w14:paraId="5B75F19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5）新闻活动及公告管理 可以添加公告、新闻、活动，并查看相关的标题、状态、作者、创建时间、和点击数。</w:t>
            </w:r>
          </w:p>
          <w:p w14:paraId="56C3451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6）网址管理 可以编辑网址类型，添加网址；可以查看到网址的网站名称、简介、状态、创建人、创建时间、点击数等信息。</w:t>
            </w:r>
          </w:p>
          <w:p w14:paraId="1C3E658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7）资源建设</w:t>
            </w:r>
          </w:p>
          <w:p w14:paraId="20C92A7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大数据展示 可以展示资源占用空间比例和各种格式资源所占比例，以图表形式展示资源建设数量排行榜。</w:t>
            </w:r>
          </w:p>
          <w:p w14:paraId="606F8CF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▲8）资源使用</w:t>
            </w:r>
          </w:p>
          <w:p w14:paraId="3280E41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大数据展示 可以对资源阅览行为进行统计，可以查看资源被阅览、下载、收藏、评分、关注的次数，也可以看到学习过的资源类型比例。</w:t>
            </w:r>
          </w:p>
          <w:p w14:paraId="15BAE47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▲9）资源使用</w:t>
            </w:r>
          </w:p>
          <w:p w14:paraId="3DDBF6E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排行统计 可以按照点击率、评分、下载量、收藏热度进行排序；可以查看排名、文件名、上传人、所属目录、点击数、评分、下载数、收藏数和热度。</w:t>
            </w:r>
          </w:p>
          <w:p w14:paraId="3A9C134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二、供货时提供有国家版权局颁发的“计算机软件著作权登记证书复印件并加盖厂家公章”；验收时供应商（非生产厂家）必须提供货物生产厂家出具的原厂售后服务承诺书原件（承诺中要包括厂家免费升级的年限，并加盖厂家公章），否则不予验收。</w:t>
            </w:r>
          </w:p>
        </w:tc>
      </w:tr>
      <w:tr w14:paraId="05DD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548F346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20" w:type="dxa"/>
            <w:vAlign w:val="center"/>
          </w:tcPr>
          <w:p w14:paraId="14DB2ED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音视频传输主卡</w:t>
            </w:r>
          </w:p>
        </w:tc>
        <w:tc>
          <w:tcPr>
            <w:tcW w:w="680" w:type="dxa"/>
            <w:vAlign w:val="center"/>
          </w:tcPr>
          <w:p w14:paraId="37A1920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700" w:type="dxa"/>
            <w:vAlign w:val="center"/>
          </w:tcPr>
          <w:p w14:paraId="4C6BE3C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张</w:t>
            </w:r>
          </w:p>
        </w:tc>
        <w:tc>
          <w:tcPr>
            <w:tcW w:w="5845" w:type="dxa"/>
            <w:vAlign w:val="center"/>
          </w:tcPr>
          <w:p w14:paraId="620EC70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1.要求采用网络技术开发适用于音视频数据同步传输的传输主卡，音质好，交换速度达千兆，可实时处理和传输音频数据，语音信号传输无断裂、无延迟。支持1080P、4K高清视频整间教室同步广播；</w:t>
            </w:r>
          </w:p>
          <w:p w14:paraId="6BF5262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2.可负载≥100台终端；≥3个3.5mm立体声音频接口（RJ45）；</w:t>
            </w:r>
          </w:p>
          <w:p w14:paraId="36C6DB7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3.频率响应：不低于80～10KHZ（±2db），语音延迟＜8ms，全通道失真度≤0.9%；</w:t>
            </w:r>
          </w:p>
        </w:tc>
      </w:tr>
      <w:tr w14:paraId="286E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7" w:hRule="atLeast"/>
          <w:jc w:val="center"/>
        </w:trPr>
        <w:tc>
          <w:tcPr>
            <w:tcW w:w="796" w:type="dxa"/>
            <w:vAlign w:val="center"/>
          </w:tcPr>
          <w:p w14:paraId="23518F7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20" w:type="dxa"/>
            <w:vAlign w:val="center"/>
          </w:tcPr>
          <w:p w14:paraId="0AF907D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音视频传输交换设备</w:t>
            </w:r>
          </w:p>
        </w:tc>
        <w:tc>
          <w:tcPr>
            <w:tcW w:w="680" w:type="dxa"/>
            <w:vAlign w:val="center"/>
          </w:tcPr>
          <w:p w14:paraId="0EAFA85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03DAD40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7D04B4A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采用适用于音视频数据同步传输的同步传输交换机，音质保真度高，语音信号传输无断裂、无延迟。支持视听说教学过程中对音、视频流媒体实时传输，满足课堂教学中师生之间音、视频信号的实时交互，支持1080P、4K 高清视频整间教室同步广播，且任意拖动进度条时所有学生端画面同步、流畅。</w:t>
            </w:r>
          </w:p>
          <w:p w14:paraId="3893800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2、含1台音视频传输交换主机和3台音视频同步传输交换分机，主机和分机可负载的终端数量及接口数量满足系统需要，投标时需明确所投设备参数，配套须保证满足整个系统正常教学进行所需。</w:t>
            </w:r>
          </w:p>
          <w:p w14:paraId="0DA25A4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▲3、采用技术要保证满足语音下传（如：广播）、语音交互（如：小组讨论）、语音上传（如：口语训练和口语考试录音）对音质的专业化要求，确保整间教室学生考试和实训的口语录音文件码流量要达350KBPS 以上（录音文件格式要求为非压缩格式），确保多媒体信号传输无断裂、无延迟。整间教室学生终端间进行多人小组讨论时，延时小于8ms。</w:t>
            </w:r>
          </w:p>
        </w:tc>
      </w:tr>
      <w:tr w14:paraId="5AA7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6B04D0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20" w:type="dxa"/>
            <w:vAlign w:val="center"/>
          </w:tcPr>
          <w:p w14:paraId="2487D60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语言学习终端</w:t>
            </w:r>
          </w:p>
        </w:tc>
        <w:tc>
          <w:tcPr>
            <w:tcW w:w="680" w:type="dxa"/>
            <w:vAlign w:val="center"/>
          </w:tcPr>
          <w:p w14:paraId="0A2A347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44</w:t>
            </w:r>
          </w:p>
        </w:tc>
        <w:tc>
          <w:tcPr>
            <w:tcW w:w="700" w:type="dxa"/>
            <w:vAlign w:val="center"/>
          </w:tcPr>
          <w:p w14:paraId="102A967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4CDBFF2B">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1、采用先进技术开发的适用于多媒体数据同步传输的学生终端，支持桌面虚拟化技术，。</w:t>
            </w:r>
          </w:p>
          <w:p w14:paraId="2ED8F295">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▲2、终端采用主流瘦终端云架构，稳定性高，节能环保，性能提升方便，功耗低使用寿命长，功耗≤10W。</w:t>
            </w:r>
          </w:p>
          <w:p w14:paraId="53DF0F6D">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终端可支持高保真音频解码，采用的技术支持视听说教学过程中对音、视频流媒体的实时传输，满足各种教学和学习需求（包括课堂教学中师生之间音、视频信号的实时交互，支持1080P、4K高清视频整间教室同步广播，且任意拖动进度条时所有学生端画面同步、流畅。）；终端内置安卓系统，嵌入教学软件，学生端在Andriod系统或Windows系统下均能用同一套教学软件完成屏幕广播、师生对讲、分组讨论、等基本教学活动，服务器关机或故障前提下，不影响基本授课。</w:t>
            </w:r>
          </w:p>
          <w:p w14:paraId="2F5FA583">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高性能音质要求：能支持各种类型的国家级口语考试（如HSK汉语水平考试、专业英语四八级等），终端采用技术要保证满足语音下传（如：广播）、语音交互（如：小组讨论）、语音上传（如：口语录音）对音质的专业化要求，全班学生同时进行考试和实训的口语录音文件码流量达350KBPS以上（录音文件为非压缩格式），确保多媒体信号传输无断裂、无延迟。学生间进行语音交互讨论时，终端与终端之间进行2-4人对话时对话延时≤8ms；</w:t>
            </w:r>
          </w:p>
          <w:p w14:paraId="035D4F10">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▲5、终端的前后面板必须均有耳机的音频接口，方便应急更换或考试保障、临时扩位；终端的设计要合理嵌入桌内（要方便耳机、U盘插拔使用）。</w:t>
            </w:r>
          </w:p>
          <w:p w14:paraId="2DAEBC54">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6、采用国际通用的网络协议框架，只需一根标准网线就实现音视频信号传输、网络的数据传输以及控制信号传输；   </w:t>
            </w:r>
          </w:p>
          <w:p w14:paraId="237BC01A">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7、接口要求：≥1个标准网络接口、≥1个VGA接口、≥4个USB接口，≥2个3.5MM立体声耳机和麦克风接口。</w:t>
            </w:r>
          </w:p>
          <w:p w14:paraId="5D857A43">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8、终端尺寸:长≤230mm*宽≤155mm*高≤40mm，设计方便集成到桌子内。                                                                                    9、可外接PC电脑，同电脑共享使用显示器、键鼠、耳麦输入输出设备，支持存储设备接入；终端采用专业解码芯片和处理器，支持H.265 VP9 4K/60fps 解码，OpenGL ES3.1，支持多格式高清晰度视频点播，支持网页浏览等</w:t>
            </w:r>
          </w:p>
          <w:p w14:paraId="64B04DDB">
            <w:pPr>
              <w:widowControl/>
              <w:spacing w:line="40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10、验收时必须提供货物生产厂家出具的针对本项目的原厂售后服务承诺书原件；售后承诺中要包括厂家免费升级的年限，并加盖厂家公章，否则不予验收。</w:t>
            </w:r>
          </w:p>
        </w:tc>
      </w:tr>
      <w:tr w14:paraId="701E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6D6BC27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20" w:type="dxa"/>
            <w:vAlign w:val="center"/>
          </w:tcPr>
          <w:p w14:paraId="5A0F3A92">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学生耳机</w:t>
            </w:r>
          </w:p>
        </w:tc>
        <w:tc>
          <w:tcPr>
            <w:tcW w:w="680" w:type="dxa"/>
            <w:vAlign w:val="center"/>
          </w:tcPr>
          <w:p w14:paraId="1546E4D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44</w:t>
            </w:r>
          </w:p>
        </w:tc>
        <w:tc>
          <w:tcPr>
            <w:tcW w:w="700" w:type="dxa"/>
            <w:vAlign w:val="center"/>
          </w:tcPr>
          <w:p w14:paraId="5BC67C0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副</w:t>
            </w:r>
          </w:p>
        </w:tc>
        <w:tc>
          <w:tcPr>
            <w:tcW w:w="5845" w:type="dxa"/>
            <w:vAlign w:val="center"/>
          </w:tcPr>
          <w:p w14:paraId="6890E38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1、头戴封闭式立体声耳机，带抗静电话咪，动圈式工作方式，直线型导线； </w:t>
            </w:r>
          </w:p>
          <w:p w14:paraId="197644E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2、单元直径 40mm ,频响范围 20-20000Hz ；</w:t>
            </w:r>
          </w:p>
          <w:p w14:paraId="693D4F7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3、产品阻抗 32欧姆,灵敏度 110±3dB，耳机插头 3.5mm插头，麦克风灵敏度：-63±2dB，麦克风阻抗 2200欧姆。</w:t>
            </w:r>
          </w:p>
        </w:tc>
      </w:tr>
      <w:tr w14:paraId="7CB2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5D090BA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20" w:type="dxa"/>
            <w:vAlign w:val="center"/>
          </w:tcPr>
          <w:p w14:paraId="3F10925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教师耳机</w:t>
            </w:r>
          </w:p>
        </w:tc>
        <w:tc>
          <w:tcPr>
            <w:tcW w:w="680" w:type="dxa"/>
            <w:vAlign w:val="center"/>
          </w:tcPr>
          <w:p w14:paraId="79CA951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6BC6F88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副</w:t>
            </w:r>
          </w:p>
        </w:tc>
        <w:tc>
          <w:tcPr>
            <w:tcW w:w="5845" w:type="dxa"/>
            <w:vAlign w:val="center"/>
          </w:tcPr>
          <w:p w14:paraId="4B3A785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1、头戴封闭式立体声耳机，带抗静电话咪，动圈式工作方式，直放型导线，带音量调节和话咪开关。</w:t>
            </w:r>
          </w:p>
          <w:p w14:paraId="1D286FB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2、单元直径40mm，频响范围 20-20000Hz，产品阻抗32欧姆，灵敏度 110±3dB。</w:t>
            </w:r>
          </w:p>
          <w:p w14:paraId="3352707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3、耳机插头3.5mm插头，规格：0.97×6.7mm，麦克风灵敏度：-45±2dB，麦克风阻抗 2200欧姆；</w:t>
            </w:r>
          </w:p>
        </w:tc>
      </w:tr>
      <w:tr w14:paraId="4D7F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572709D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20" w:type="dxa"/>
            <w:vAlign w:val="center"/>
          </w:tcPr>
          <w:p w14:paraId="0FB18BB3">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教学云终端</w:t>
            </w:r>
          </w:p>
        </w:tc>
        <w:tc>
          <w:tcPr>
            <w:tcW w:w="680" w:type="dxa"/>
            <w:vAlign w:val="center"/>
          </w:tcPr>
          <w:p w14:paraId="43E38D1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44</w:t>
            </w:r>
          </w:p>
        </w:tc>
        <w:tc>
          <w:tcPr>
            <w:tcW w:w="700" w:type="dxa"/>
            <w:vAlign w:val="center"/>
          </w:tcPr>
          <w:p w14:paraId="0BA7EC0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4417292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一、硬件要求</w:t>
            </w:r>
          </w:p>
          <w:p w14:paraId="4793929E">
            <w:pPr>
              <w:pStyle w:val="9"/>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处理器要求:</w:t>
            </w:r>
            <w:r>
              <w:rPr>
                <w:rFonts w:hint="eastAsia"/>
                <w:color w:val="auto"/>
                <w:highlight w:val="none"/>
              </w:rPr>
              <w:t>物理核心数≥10个，线程数≥ 16个，最大睿频频率≥4.6 GHz，三级缓存≥20MB，基础功耗≤55W</w:t>
            </w:r>
            <w:r>
              <w:rPr>
                <w:rFonts w:hint="eastAsia" w:ascii="宋体" w:hAnsi="宋体" w:cs="宋体"/>
                <w:color w:val="auto"/>
                <w:szCs w:val="21"/>
                <w:highlight w:val="none"/>
              </w:rPr>
              <w:t xml:space="preserve"> </w:t>
            </w:r>
          </w:p>
          <w:p w14:paraId="13ADC78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2、内存：≥16G DDR4 内存，提供不低于2个内存槽位</w:t>
            </w:r>
          </w:p>
          <w:p w14:paraId="0CCC6E9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3、硬盘：不低于512G 固态硬盘</w:t>
            </w:r>
          </w:p>
          <w:p w14:paraId="19BA996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4、显卡：集成显卡</w:t>
            </w:r>
          </w:p>
          <w:p w14:paraId="269CC1E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5、声卡：集成声卡</w:t>
            </w:r>
          </w:p>
          <w:p w14:paraId="66C712C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6、网卡：集成千兆网卡</w:t>
            </w:r>
          </w:p>
          <w:p w14:paraId="7E27688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▲7、USB接口：≥6个USB接口（其中至少4个USB 3.2 Gen1）、1*VGA接口、1*HDMI接口</w:t>
            </w:r>
          </w:p>
          <w:p w14:paraId="48E1EAE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8、扩展槽：1个PCI-E*16、</w:t>
            </w:r>
          </w:p>
          <w:p w14:paraId="1DFD23B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9、电源：≥180W 节能电源 </w:t>
            </w:r>
          </w:p>
          <w:p w14:paraId="1350ED9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10、键鼠：标配键鼠套件</w:t>
            </w:r>
          </w:p>
          <w:p w14:paraId="22B885B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12、显示器：21.5英寸，双视频接口</w:t>
            </w:r>
          </w:p>
          <w:p w14:paraId="1BEE839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▲13、保修：≥3年质保</w:t>
            </w:r>
          </w:p>
          <w:p w14:paraId="283BF87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二、应用管理软件</w:t>
            </w:r>
          </w:p>
          <w:p w14:paraId="1FB81D0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▲1、平台具备对终端的操作系统镜像生成与统一分发管理。（</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3B0B878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2、平台具备分组管理，可将终端进行分组，管理员可根据配置好的镜像分配给相应的分组；为不影响教学，可在正常上课的同时完成镜像缓存下载。</w:t>
            </w:r>
          </w:p>
          <w:p w14:paraId="445B06A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3、具备跨校区、跨广域网部署，IP可达即可部署；为满足学校的WiFi使用场景，简化网络结构，支持通过wifi进行镜像更新和平台管理。</w:t>
            </w:r>
          </w:p>
          <w:p w14:paraId="731A3E5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4、支持三种模式对某一系统盘和数据盘的管理，即还原模式、读写模式、 学习模式；实现还原同传功能。</w:t>
            </w:r>
          </w:p>
          <w:p w14:paraId="50D70A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▲5、具备对终端端口进行分类控制，包括但不限于控制 USB 存储接口、各类驱动器接口等。（</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64ADD6A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▲6、具备大数据展示。可展示包括但不限于资产统计、设备详情、日志、系统使用情况等信息，方便管理。（</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7C11C0D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7、具备镜像本地缓存：服务器镜像文件缓存至本地硬盘，小容量固态硬盘以增量非分区的方式缓存≥5个镜像。</w:t>
            </w:r>
          </w:p>
          <w:p w14:paraId="50205DC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8、具备分类控制，包括但不限于控制光盘驱动器接口、USB存储设备接口、打印机接口等≥3种终端端口进行分类控制。</w:t>
            </w:r>
          </w:p>
          <w:p w14:paraId="04B9D15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▲9、终端具备部署多操作系统：支持统信UOS、麒麟KOS、Linux、 Windows全系列等操作系统，支持从管理端或客户端自主选择启动环境；且多个系统环境可快速切换。（</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67A0C5B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10、当终端无法进入系统时，支持基于Linux和Windows两种方式进行系统数据恢复。</w:t>
            </w:r>
          </w:p>
          <w:p w14:paraId="1DCE699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▲三、服务要求 </w:t>
            </w:r>
          </w:p>
          <w:p w14:paraId="12B53A0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1、验收时必须提供货物生产厂家出具的针对本项目的原厂售后服务承诺书原件；售后承诺中要包括厂家免费保修的年限，并加盖厂家公章，否则不予验收。</w:t>
            </w:r>
          </w:p>
        </w:tc>
      </w:tr>
      <w:tr w14:paraId="300F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1E40C0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420" w:type="dxa"/>
            <w:vAlign w:val="center"/>
          </w:tcPr>
          <w:p w14:paraId="14AD46ED">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全千兆以太网运维交换机</w:t>
            </w:r>
          </w:p>
        </w:tc>
        <w:tc>
          <w:tcPr>
            <w:tcW w:w="680" w:type="dxa"/>
            <w:vAlign w:val="center"/>
          </w:tcPr>
          <w:p w14:paraId="5686AD4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07B2DCC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73CBAF0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1、性能：交换容量≥336Gbps；转发性能≥108Mpps；</w:t>
            </w:r>
          </w:p>
          <w:p w14:paraId="6806945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2、接口类型：≥24个千兆电口+2个Combo口+2个千兆SFP口+1个Console口；</w:t>
            </w:r>
          </w:p>
          <w:p w14:paraId="5F7647C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▲3、支持手工汇聚和动态汇聚两种汇聚模式，有效增加链路带宽，提高链路的可靠性，同时可以实现负载均衡、链路备份；（</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0B2F02C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4、支持IEEE802.3x全双工流控和Backpressure半双工流控；</w:t>
            </w:r>
          </w:p>
          <w:p w14:paraId="25893A6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支持LCD屏显技术，支持不小于2寸LCD屏显技术，显示各端口工作状态，对网络及端口的工作状态进行实时显示，并能精确显示上、下行流量带宽；（在响应文件中提供国家认可的第三方检测（检验、认证）机构出具的检测（检验、认证）报告复印件并加盖供应商公章）</w:t>
            </w:r>
          </w:p>
          <w:p w14:paraId="1C92FD5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6、LCD可视屏幕监视网络工作状态及帮助故障分析，LCD屏幕具备静默模式，杜绝光污染；</w:t>
            </w:r>
          </w:p>
          <w:p w14:paraId="4E0D4CE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7、支持通过LCD屏显示设备的各种报警故障, 包含：网络环路告警 , IP地址冲突告警，丢包率告警，设备非法接入告警，下挂设备离线告警；</w:t>
            </w:r>
          </w:p>
          <w:p w14:paraId="6F4C9F3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8、具备硬件旋钮，在工作状态时，应能通过旋钮对设备进行配置，包含交换机模式设置，LCD屏幕的工作模式，设备配置更新，密码更新功能；</w:t>
            </w:r>
          </w:p>
          <w:p w14:paraId="69843A7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9、支持带宽预警功能，对网络流量阈值进行监控，实时保证网络畅通；</w:t>
            </w:r>
          </w:p>
          <w:p w14:paraId="10C410C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10、支持IP+MAC+端口绑定、DHCP Snooping，支持IEEE 802.1x认证、命令行分级保护；</w:t>
            </w:r>
          </w:p>
          <w:p w14:paraId="4CC5179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具有端口隔离功能，用户可根据应用场景的不同选择开启或关闭，提升网络安全和抑制网络风暴；（在响应文件中提供国家认可的第三方检测（检验、认证）机构出具的检测（检验、认证）报告复印件并加盖供应商公章）</w:t>
            </w:r>
          </w:p>
          <w:p w14:paraId="7A924D0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▲12、高可靠性设计，支持传统的STP/RSTP/MSTP二层链路保护技术；（</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06C007C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13、支持802.1Q (最大4K个VLAN)、支持基于协议的VLAN、IP子网的VLAN、MAC的VLAN；</w:t>
            </w:r>
          </w:p>
          <w:p w14:paraId="0FF84D6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▲14、具备环路检测功能，采用智能解除机制，实现网络智能自愈；（</w:t>
            </w:r>
            <w:r>
              <w:rPr>
                <w:rFonts w:hint="eastAsia" w:ascii="宋体" w:hAnsi="宋体" w:cs="宋体"/>
                <w:color w:val="auto"/>
                <w:szCs w:val="21"/>
                <w:highlight w:val="none"/>
              </w:rPr>
              <w:t>在响应文件中</w:t>
            </w:r>
            <w:r>
              <w:rPr>
                <w:rFonts w:hint="eastAsia" w:ascii="宋体" w:hAnsi="宋体" w:cs="宋体"/>
                <w:color w:val="auto"/>
                <w:szCs w:val="21"/>
                <w:highlight w:val="none"/>
              </w:rPr>
              <w:t>提供国家认可的第三方检测（检验、认证）机构出具的检测（检验、认证）报告复印件并加盖供应商公章）</w:t>
            </w:r>
          </w:p>
          <w:p w14:paraId="43BEC4B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15、设备自带安全准入接口，支持对非授权接入设备安全防护，维护网络安全；</w:t>
            </w:r>
          </w:p>
          <w:p w14:paraId="088D2E7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16、内置电子标签功能，并通过LCD彩屏显示电子标签，实现全网设备标签数字化，精准标识各接入设备或终端的网络位置及安装地理位置，便于设备的查找及运维管理；</w:t>
            </w:r>
          </w:p>
          <w:p w14:paraId="2B3D705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▲17、集成MQTT消息队列遥测传输协议，具备MQTT Client功能；（</w:t>
            </w:r>
            <w:r>
              <w:rPr>
                <w:rFonts w:hint="eastAsia" w:ascii="宋体" w:hAnsi="宋体" w:cs="宋体"/>
                <w:color w:val="auto"/>
                <w:szCs w:val="21"/>
                <w:highlight w:val="none"/>
              </w:rPr>
              <w:t>在响应文件中</w:t>
            </w:r>
            <w:r>
              <w:rPr>
                <w:rFonts w:hint="eastAsia" w:ascii="宋体" w:hAnsi="宋体" w:cs="宋体"/>
                <w:color w:val="auto"/>
                <w:szCs w:val="21"/>
                <w:highlight w:val="none"/>
              </w:rPr>
              <w:t>提供国家认可的第三方检测（检验、认证）机构出具的检测（检验、认证）报告复印件并加盖供应商公章）</w:t>
            </w:r>
          </w:p>
          <w:p w14:paraId="6F0B87E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18、内置Onvif Server模块，具备Onvif探测功能，以便对网络中的Onvif设备进行诊断测试； </w:t>
            </w:r>
          </w:p>
          <w:p w14:paraId="2869A20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19、灵活方便的管理维护，支持Web、Console、Telnet、SSH、SNMP(v1/v2c/v3)、多种管理方式；</w:t>
            </w:r>
          </w:p>
          <w:p w14:paraId="7778C83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20、支持≥6KV端口防雷功能；</w:t>
            </w:r>
          </w:p>
          <w:p w14:paraId="6FA5ED9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21、支持TFTP、HTTP传输方式的文件上传与下载管理；</w:t>
            </w:r>
          </w:p>
          <w:p w14:paraId="4B98FE1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22、支持运维平台管理；</w:t>
            </w:r>
          </w:p>
          <w:p w14:paraId="4758ADC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23、验收时必须提供货物生产厂家出具的针对本项目的原厂售后服务承诺书原件；售后承诺中要包括厂家免费保修的年限，并加盖厂家公章，否则不予验收。</w:t>
            </w:r>
          </w:p>
        </w:tc>
      </w:tr>
      <w:tr w14:paraId="66B4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50D477E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420" w:type="dxa"/>
            <w:vAlign w:val="center"/>
          </w:tcPr>
          <w:p w14:paraId="02087133">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功率放大器</w:t>
            </w:r>
          </w:p>
        </w:tc>
        <w:tc>
          <w:tcPr>
            <w:tcW w:w="680" w:type="dxa"/>
            <w:vAlign w:val="center"/>
          </w:tcPr>
          <w:p w14:paraId="18EB5F5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18B432D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54103EF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一、主要功能要求：</w:t>
            </w:r>
          </w:p>
          <w:p w14:paraId="0E4CA5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1、带LED显示屏，采用机架式铝合金黑色或金色机身设计；</w:t>
            </w:r>
          </w:p>
          <w:p w14:paraId="2D7637E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2、自带数码播放器，支持WMA，MP3等格式的音乐；具有手机蓝牙5.0音乐播放功能；</w:t>
            </w:r>
          </w:p>
          <w:p w14:paraId="2B4B84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3、前面板≥4个按键，可实现音乐上下首切换，音乐开停功能，模式转换，另1按键切换多媒体和外接音源；</w:t>
            </w:r>
          </w:p>
          <w:p w14:paraId="0B1EEFE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4、反馈抑制功能（选配）；</w:t>
            </w:r>
          </w:p>
          <w:p w14:paraId="3CE5AB9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5、前面板≥3路6.35MIC接口输入；后面板≥3路MIC接口：≥1路6.35输入，≥2路48V幻象供电的卡侬头接口；</w:t>
            </w:r>
          </w:p>
          <w:p w14:paraId="51F558D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6、主要功能调节旋钮采用暗藏式设计，避免误操作，具有话筒音量调节旋钮≥5个，回响和延时调节旋钮各≥1个，高音、中音、低音旋钮各≥1个；音乐高音、中音、低音旋钮各≥1个。</w:t>
            </w:r>
          </w:p>
          <w:p w14:paraId="4C5DE96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7、具有话筒总音量调节旋钮≥1个，音乐总音量调节旋钮≥1个，混响音量旋钮≥1个；</w:t>
            </w:r>
          </w:p>
          <w:p w14:paraId="49D0D2B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8、支持≥2路线路输入，其中VOD为高品质输入，≥1路线路输出；</w:t>
            </w:r>
          </w:p>
          <w:p w14:paraId="6B30815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9、具有≥4个功率输出接线端子，可实现A/B组功率输出。                                           </w:t>
            </w:r>
          </w:p>
          <w:p w14:paraId="3EDE855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二、主要功能参数：</w:t>
            </w:r>
          </w:p>
          <w:p w14:paraId="79ADAD4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1、功率：8Ω ≥150W*2,4Ω ≥300W*2 </w:t>
            </w:r>
          </w:p>
          <w:p w14:paraId="16DD346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2、频率响应：线路输入20Hz-20KHz，话筒60Hz-14KHz</w:t>
            </w:r>
          </w:p>
          <w:p w14:paraId="3F2FB1C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3、线路音调控制：高音11KHz±12dB,中音1KHz±10dB低音90Hz±12dB</w:t>
            </w:r>
          </w:p>
          <w:p w14:paraId="23C3E3C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4、话筒音调控制：高音11KHz±10dB,高音1KHz±8dB低音90Hz±10dB</w:t>
            </w:r>
          </w:p>
          <w:p w14:paraId="2D0623E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5、失真度：≤0.5%</w:t>
            </w:r>
          </w:p>
          <w:p w14:paraId="5F9B5FB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6、信噪比：≥70db(A计权）</w:t>
            </w:r>
          </w:p>
        </w:tc>
      </w:tr>
      <w:tr w14:paraId="2D2B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0BF9D4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420" w:type="dxa"/>
            <w:vAlign w:val="center"/>
          </w:tcPr>
          <w:p w14:paraId="4202152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音箱</w:t>
            </w:r>
          </w:p>
        </w:tc>
        <w:tc>
          <w:tcPr>
            <w:tcW w:w="680" w:type="dxa"/>
            <w:vAlign w:val="center"/>
          </w:tcPr>
          <w:p w14:paraId="64F2108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3571981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对</w:t>
            </w:r>
          </w:p>
        </w:tc>
        <w:tc>
          <w:tcPr>
            <w:tcW w:w="5845" w:type="dxa"/>
            <w:vAlign w:val="center"/>
          </w:tcPr>
          <w:p w14:paraId="61E54E6D">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1、系统类型：两路两单元低音音箱</w:t>
            </w:r>
          </w:p>
          <w:p w14:paraId="34FE86C9">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2、频率响应：40Hz-20kHz±3dB   </w:t>
            </w:r>
          </w:p>
          <w:p w14:paraId="2385A909">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3、灵敏度：96dB/1W/1M@±2dB     </w:t>
            </w:r>
          </w:p>
          <w:p w14:paraId="59B273D8">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4、额定功率：≥100W/8Ω   </w:t>
            </w:r>
          </w:p>
          <w:p w14:paraId="2E12FA70">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5、峰值功率：≥200W/8Ω                                                                                                                                                                                                                                      6、高音：3”×2</w:t>
            </w:r>
          </w:p>
          <w:p w14:paraId="291E73C7">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7、低音：8"×1只    </w:t>
            </w:r>
          </w:p>
          <w:p w14:paraId="104C7203">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8、连接器：2P HiFi线盒 </w:t>
            </w:r>
          </w:p>
          <w:p w14:paraId="5FBE92F6">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9、箱体材质： 12mm高密度纤维板</w:t>
            </w:r>
          </w:p>
          <w:p w14:paraId="2D18D83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10、表面处理：黑色PVC胶皮  </w:t>
            </w:r>
          </w:p>
        </w:tc>
      </w:tr>
      <w:tr w14:paraId="0641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72E45CE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420" w:type="dxa"/>
            <w:vAlign w:val="center"/>
          </w:tcPr>
          <w:p w14:paraId="3DCD97E3">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座充式无线话筒</w:t>
            </w:r>
          </w:p>
        </w:tc>
        <w:tc>
          <w:tcPr>
            <w:tcW w:w="680" w:type="dxa"/>
            <w:vAlign w:val="center"/>
          </w:tcPr>
          <w:p w14:paraId="1348A45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64D4DB3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54EACFBB">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一、无线接收主机</w:t>
            </w:r>
          </w:p>
          <w:p w14:paraId="4F301159">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1、工作频率范围：UHF 640-690MHz ；</w:t>
            </w:r>
          </w:p>
          <w:p w14:paraId="02166A10">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2、可调范围：50MHz；</w:t>
            </w:r>
          </w:p>
          <w:p w14:paraId="30EF9C6A">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3、频道数目：200 ；</w:t>
            </w:r>
          </w:p>
          <w:p w14:paraId="7350559D">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4、频道间隔：250KHz ；</w:t>
            </w:r>
          </w:p>
          <w:p w14:paraId="6BF16756">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5、频率稳定度：±0.005%以内 ；</w:t>
            </w:r>
          </w:p>
          <w:p w14:paraId="27163F76">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6、动态范围：90dB ；</w:t>
            </w:r>
          </w:p>
          <w:p w14:paraId="1B8D5707">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7、最大频偏：±45KHZ ；</w:t>
            </w:r>
          </w:p>
          <w:p w14:paraId="1850741F">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8、音频响应：80HZ-16KHz(±3dB) ；</w:t>
            </w:r>
          </w:p>
          <w:p w14:paraId="6183952A">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9、综合失真：≤0.5% ；</w:t>
            </w:r>
          </w:p>
          <w:p w14:paraId="0FFE462D">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▲10、含有接收模块1个和显示屏，天线1条，USB接口≥1个，RS485接口≥1个，RJ45网口≥1个；</w:t>
            </w:r>
          </w:p>
          <w:p w14:paraId="28D6DEA0">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▲11、主机可通过网口上传话筒实时电量、信噪比、充电状态以及是否带出教室的信息到后端管理平台；  </w:t>
            </w:r>
          </w:p>
          <w:p w14:paraId="56277564">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二、无线麦克风</w:t>
            </w:r>
          </w:p>
          <w:p w14:paraId="42CF724B">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▲1、无线话筒采用笔形设计，支持手持和挂脖；</w:t>
            </w:r>
          </w:p>
          <w:p w14:paraId="2B606F7B">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2、可外接头戴麦、领夹麦,外接麦克风时，自带麦克风无声；</w:t>
            </w:r>
          </w:p>
          <w:p w14:paraId="2DA1790F">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▲3、具有电源开关、静音按键、对频按键和PPT翻页按键；</w:t>
            </w:r>
          </w:p>
          <w:p w14:paraId="26ADF0D8">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4、无线话筒面板上具有显示屏，可显示音量、电池电量、频段信息；</w:t>
            </w:r>
          </w:p>
          <w:p w14:paraId="79FD5160">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5、支持同频段的无限个数量的任何接收机；</w:t>
            </w:r>
          </w:p>
          <w:p w14:paraId="0627D7F3">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6、支持5号锂电池供电，可放置在配套的充电底座上进行无线充电，并可更换电池；</w:t>
            </w:r>
          </w:p>
          <w:p w14:paraId="4194335C">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7、自带 PPT翻页发射功能，即插即用,不需专用驱动； </w:t>
            </w:r>
          </w:p>
          <w:p w14:paraId="6D831F18">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8、无线话筒符合国家核准无线电发射设备SRRC认证要求：关于发射功率小于 50MW的规定；</w:t>
            </w:r>
          </w:p>
          <w:p w14:paraId="5A4CD148">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▲9、无线麦信噪比未达到设定的阈值，指示灯闪烁提示；</w:t>
            </w:r>
          </w:p>
          <w:p w14:paraId="500590D8">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三、充电底座 </w:t>
            </w:r>
          </w:p>
          <w:p w14:paraId="00929892">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▲1、支持电磁感应无线充电，无外插充电接口；</w:t>
            </w:r>
          </w:p>
          <w:p w14:paraId="12F3D44F">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2、支持外接DC5V-1A供电；</w:t>
            </w:r>
          </w:p>
          <w:p w14:paraId="2F24A82D">
            <w:pPr>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3、支持电源指示，充电状态指示灯指示；  </w:t>
            </w:r>
          </w:p>
          <w:p w14:paraId="2C54A4A5">
            <w:pPr>
              <w:spacing w:line="400" w:lineRule="exact"/>
              <w:jc w:val="left"/>
              <w:rPr>
                <w:color w:val="auto"/>
                <w:highlight w:val="none"/>
              </w:rPr>
            </w:pPr>
            <w:r>
              <w:rPr>
                <w:rFonts w:hint="eastAsia" w:ascii="宋体" w:hAnsi="宋体" w:cs="宋体"/>
                <w:color w:val="auto"/>
                <w:szCs w:val="21"/>
                <w:highlight w:val="none"/>
                <w:lang w:bidi="ar"/>
              </w:rPr>
              <w:t>▲4、具备无线麦克风充电座软件，支持通过充电底座RJ45接口上传无线麦、备用电池和无线麦的充电状态、电量信息到后端管理平台；（</w:t>
            </w:r>
            <w:r>
              <w:rPr>
                <w:rFonts w:hint="eastAsia"/>
                <w:color w:val="auto"/>
                <w:highlight w:val="none"/>
              </w:rPr>
              <w:t>在响应文件中</w:t>
            </w:r>
            <w:r>
              <w:rPr>
                <w:rFonts w:hint="eastAsia" w:ascii="宋体" w:hAnsi="宋体" w:cs="宋体"/>
                <w:color w:val="auto"/>
                <w:szCs w:val="21"/>
                <w:highlight w:val="none"/>
                <w:lang w:bidi="ar"/>
              </w:rPr>
              <w:t>提供相关证明材料，包括但不限于彩页、官网和功能截图等）</w:t>
            </w:r>
          </w:p>
          <w:p w14:paraId="1CC680A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四、验收时必须提供货物生产厂家出具的针对本项目的原厂售后服务承诺书原件；售后承诺中要包括厂家免费保修的年限，并加盖厂家公章，否则不予验收。</w:t>
            </w:r>
          </w:p>
        </w:tc>
      </w:tr>
      <w:tr w14:paraId="0B0B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8DF435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420" w:type="dxa"/>
            <w:vAlign w:val="center"/>
          </w:tcPr>
          <w:p w14:paraId="18267E3A">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鹅颈话筒</w:t>
            </w:r>
          </w:p>
        </w:tc>
        <w:tc>
          <w:tcPr>
            <w:tcW w:w="680" w:type="dxa"/>
            <w:vAlign w:val="center"/>
          </w:tcPr>
          <w:p w14:paraId="17C53DF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04E68D0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1BBD727B">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1、换能方式：电容式 </w:t>
            </w:r>
          </w:p>
          <w:p w14:paraId="4DDD94DA">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2、指向性：超心型 </w:t>
            </w:r>
          </w:p>
          <w:p w14:paraId="48A44390">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3、频率响应：40Hz-16kHz </w:t>
            </w:r>
          </w:p>
          <w:p w14:paraId="60C0D961">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4、输出阻坑：75Ω </w:t>
            </w:r>
          </w:p>
          <w:p w14:paraId="616057EC">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5、灵敏度：-40dB±2dB </w:t>
            </w:r>
          </w:p>
          <w:p w14:paraId="4819D1F9">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6、供电电压：DC3V/DC48V  </w:t>
            </w:r>
          </w:p>
          <w:p w14:paraId="2199241C">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7、其它特点：抗手机、电磁干扰 </w:t>
            </w:r>
          </w:p>
        </w:tc>
      </w:tr>
      <w:tr w14:paraId="4DF7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43F7AED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420" w:type="dxa"/>
            <w:vAlign w:val="center"/>
          </w:tcPr>
          <w:p w14:paraId="0FFBA2C3">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机柜</w:t>
            </w:r>
          </w:p>
        </w:tc>
        <w:tc>
          <w:tcPr>
            <w:tcW w:w="680" w:type="dxa"/>
            <w:vAlign w:val="center"/>
          </w:tcPr>
          <w:p w14:paraId="439FC3D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6329075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380C6915">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1、尺寸:≥18U，≥ 600*450mm。</w:t>
            </w:r>
          </w:p>
          <w:p w14:paraId="4F280C7E">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2、静载：≥200KG。</w:t>
            </w:r>
          </w:p>
          <w:p w14:paraId="4E740AA6">
            <w:pPr>
              <w:widowControl/>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3、防护等级：防护等级达到IP20。</w:t>
            </w:r>
          </w:p>
          <w:p w14:paraId="54C96A14">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4、主要材料：材料采用优质冷轧钢板。</w:t>
            </w:r>
          </w:p>
        </w:tc>
      </w:tr>
      <w:tr w14:paraId="572D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8B9269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420" w:type="dxa"/>
            <w:vAlign w:val="center"/>
          </w:tcPr>
          <w:p w14:paraId="620A3609">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智能交互一体机</w:t>
            </w:r>
          </w:p>
        </w:tc>
        <w:tc>
          <w:tcPr>
            <w:tcW w:w="680" w:type="dxa"/>
            <w:vAlign w:val="center"/>
          </w:tcPr>
          <w:p w14:paraId="3CC7E68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5BE40BD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56A7B49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一、整机设计</w:t>
            </w:r>
          </w:p>
          <w:p w14:paraId="7AC7CB2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1、整机采用一体设计，外部无任何可见内部功能模块连接线。边角采用弧形设计，表面无尖锐边缘或凸起。</w:t>
            </w:r>
          </w:p>
          <w:p w14:paraId="5DC8E61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2、整机采用边框背板一体化冲压成型，上左右三边边框与背板连接处无拼缝，提升整机整体强度和刚性，坚固可靠。</w:t>
            </w:r>
          </w:p>
          <w:p w14:paraId="7F2FDB3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3、整机屏幕边缘采用金属圆角包边防护，整机背板采用金属材质，有效屏蔽内部电路器件辐射；防潮耐盐雾蚀锈，适应多种教学环境。</w:t>
            </w:r>
          </w:p>
          <w:p w14:paraId="69FAC00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4、整机左、右、下三边框皆具备磁吸功能，边框任意位置可吸附具备磁吸功能的书写笔，吸附稳定不掉落，磁吸拉力≥60g，方便教具的收纳管理。</w:t>
            </w:r>
          </w:p>
          <w:p w14:paraId="53A5929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▲5、整机屏幕采用≥86英寸液晶显示器，整机采⽤超⾼清LED液晶屏，显示⽐例16:9，分辨率3840x2160，可视⻆度≥178°。（在</w:t>
            </w:r>
            <w:r>
              <w:rPr>
                <w:rFonts w:hint="eastAsia"/>
                <w:color w:val="auto"/>
                <w:highlight w:val="none"/>
              </w:rPr>
              <w:t>在响应文件</w:t>
            </w:r>
            <w:r>
              <w:rPr>
                <w:rFonts w:hint="eastAsia" w:ascii="宋体" w:hAnsi="宋体" w:cs="宋体"/>
                <w:color w:val="auto"/>
                <w:szCs w:val="21"/>
                <w:highlight w:val="none"/>
              </w:rPr>
              <w:t>中提供国家认可的第三方检测（检验、认证）机构出具的检测（检验、认证）报告复印件并加盖投标人公章）</w:t>
            </w:r>
          </w:p>
          <w:p w14:paraId="367955F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6、色域覆盖率（NTSC）≥72%。</w:t>
            </w:r>
          </w:p>
          <w:p w14:paraId="67E4794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7、灰阶等级≥256级。</w:t>
            </w:r>
          </w:p>
          <w:p w14:paraId="430DF66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二、触摸与显示系统设计</w:t>
            </w:r>
          </w:p>
          <w:p w14:paraId="09B3BF0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▲1、采用红外触控技术，Windows系统和Android系统均支持≥50点触控及书写划线。（在</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27D5E50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2、整机屏幕触摸有效识别高度不超过1.5mm，即触摸物体距离玻璃外表面高度不超过1.5mm时，触摸屏识别为点击操作。</w:t>
            </w:r>
          </w:p>
          <w:p w14:paraId="53BFC56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3、整机触控书写功能集成预测算法，支持多档预测速度可调节，在书写速度≥50cm/s，支持笔迹距离笔的距离小于20mm。</w:t>
            </w:r>
          </w:p>
          <w:p w14:paraId="7F0529C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4、整机书写触控延迟≤25ms。</w:t>
            </w:r>
          </w:p>
          <w:p w14:paraId="041FBE7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▲5、整机支持提笔书写，在Windows系统下可实现无需点击任意功能入口，当检测到红外笔笔尖接触屏幕时，自动进入书写模式。（在</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473E10F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6、支持智能板擦功能，系统可根据触控物体的形状自动识别出实物板擦，可擦除电子白板中的内容，无需依赖外部电子设备。</w:t>
            </w:r>
          </w:p>
          <w:p w14:paraId="331E180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7、支持Windows 7、Windows 8、Windows 10、Windows11、Linux、Mac Os、UOS和麒麟系统外置电脑操作系统接入时，无需安装触摸驱动。</w:t>
            </w:r>
          </w:p>
          <w:p w14:paraId="248D33F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▲8、整机触摸支持动态压力感应，支持无任何电子功能的普通书写笔在整机上书写或点压时，整机能感应压力变化，书写或点压过程笔迹呈现不同粗细。（</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4270383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9、采用全物理钢化玻璃，有效保护屏幕显示画面，采用防眩光玻璃，屏幕支持防眩光功能，钢化玻璃表面硬度≥9H。</w:t>
            </w:r>
          </w:p>
          <w:p w14:paraId="662A3F3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10、整机背光系统支持DC调光方式，多级亮度调节，支持白颜色背景下最暗亮度≤100nit，用于提升显示对比度。</w:t>
            </w:r>
          </w:p>
          <w:p w14:paraId="7DC836F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▲11、整机屏幕蓝光占比（有害蓝光415～455nm能量综合）/（整体蓝光400～500nm能量综合）＜50%。（</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7281A46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12、支持自定义图像设置，可对对比度、屏幕色温、图像亮度、亮度范围、色彩空间调节设置。</w:t>
            </w:r>
          </w:p>
          <w:p w14:paraId="728C895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13、整机全通道支持纸质护眼模式，可实现画面纹理的实时调整；支持纸质纹理：牛皮纸、素描纸、宣纸、水彩纸、水纹纸；支持透明度调节；支持色温调节。</w:t>
            </w:r>
          </w:p>
          <w:p w14:paraId="147D8F9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14、纸质护眼模式下，显示画面各像素点灰度不规则，减少背景干扰。</w:t>
            </w:r>
          </w:p>
          <w:p w14:paraId="2FF99A1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三、系统功能设计</w:t>
            </w:r>
          </w:p>
          <w:p w14:paraId="1599848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1、外接电脑设备连接整机且触摸信号连通时，外接电脑设备可直接读取整机前置USB接口的移动存储设备数据，连接整机前置USB接口的翻页笔和无线键鼠外接设备可直接使用于外接电脑。</w:t>
            </w:r>
          </w:p>
          <w:p w14:paraId="3D7EFC6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2、支持智能 U 盘锁功能，U 盘锁开启后整机触摸及按键被锁定，锁定后无法随意自由操作，需要使用时插入 USB key 可解锁。</w:t>
            </w:r>
          </w:p>
          <w:p w14:paraId="4BA5B37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3、在整机全信号源通道下，支持十指长按屏幕5秒的方式实现触摸锁定及解锁，触摸锁定时整机无法被触控操作。</w:t>
            </w:r>
          </w:p>
          <w:p w14:paraId="2EE2B0F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4、支持半屏模式，将Windows显示画面上半部分下拉到屏幕下半部分显示，此时依然可以正常触控操作Windows系统；点击非Windows显示画面区域（屏幕上半部分），即可退出该模式。</w:t>
            </w:r>
          </w:p>
          <w:p w14:paraId="49AC2B0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整机具备智能手势识别功能，在整机全信号源通道下均可识别五指上、下、左、右方向手势，五指画O、画~、左右晃动、缩/放方向手势滑动并调用相应功能。支持将各手势滑动方向自定义设置为无操作、熄屏、批注、桌面、半屏模式。</w:t>
            </w:r>
          </w:p>
          <w:p w14:paraId="6CFAAA7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6、整机支持同一品牌传屏器，通过BLE（蓝牙低能耗技术）、Type-C、USB 方式连接，当整机和传屏器均支持BLE功能时，在指定区域内传屏器可自动发现、自动连接。</w:t>
            </w:r>
          </w:p>
          <w:p w14:paraId="67698C2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四、嵌入式系统</w:t>
            </w:r>
          </w:p>
          <w:p w14:paraId="5732FC4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▲1、整机嵌入式系统版本≥Android 15，内存≥2GB，存储空间≥32GB。（</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238EBC1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2、嵌入式Android操作系统下，白板支持对已经书写的笔迹和形状和颜色进行更换。</w:t>
            </w:r>
          </w:p>
          <w:p w14:paraId="35D36B7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3、在嵌入式系统下使用白板软件时，整机可自行调节屏幕亮度。</w:t>
            </w:r>
          </w:p>
          <w:p w14:paraId="0ACF9B2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4、嵌入式Android操作系统下，互动白板支持不同背景颜色，同时提供学科背景，如：五线谱、信纸、田字格、英文格、篮球和足球场地平面图。</w:t>
            </w:r>
          </w:p>
          <w:p w14:paraId="597F69C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▲5、无 PC 模块状态下，嵌入式Android 系统内置白板软件支持十笔书写及手掌擦除（手掌擦除面积根据手掌与屏幕的接触面大小自动调整）， 白板书写内容可以 PDF 、IWB 和SVG 格式导出。支持 10 种以上平面图形工具。支持 8 种以上立体图形工具。（</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038C977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五、画面采集与音频系统设计</w:t>
            </w:r>
          </w:p>
          <w:p w14:paraId="439B38B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▲1、整机上边框内置非独立式摄像头，摄像头数量≥5个，其中至少四个摄像头像素值均≥1300 万，支持拍摄有效像素数≥5200万的照片，支持拍摄8192×2772分辨率的视频。（</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532EC1B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▲2、整机上边框内置至少5个摄像头，其中广角摄像头最大视场角≥145度且水平视场角≥130度，支持输出4:3、16:9比例的图片和视频；在清晰度为3840x2160分辨率下，支持30帧的视频输出。（</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1784FC4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3、整机内置广角主摄，支持畸变矫正功能，TV畸变≤10%。</w:t>
            </w:r>
          </w:p>
          <w:p w14:paraId="63CE7C7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▲4、整机具备多个摄像头画面智能拼接技术，拼接摄像头画面可支持1s内快速动态融合。（</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4BA6BDC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5、整机摄像头支持环境色温判断，根据环境调节合适的显示图像效果。</w:t>
            </w:r>
          </w:p>
          <w:p w14:paraId="56CA5EC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▲6、整机支持上边框内置非独立摄像头模组，同时输出至少3路视频流，同时支持课堂远程巡课、课堂教学数据采集、本地画面预览（拍照或视频录制）。（</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49885A9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7、整机摄像头支持人脸识别、清点人数、随机抽人；识别所有学生，显示标记，然后随机抽选，同时显示标记不少于60人。</w:t>
            </w:r>
          </w:p>
          <w:p w14:paraId="0F07583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▲8、整机内置2.2声道扬声器，位于设备上边框，顶置朝前发声，12W高音扬声器2个，上朝向30W中低音扬声器2个，最大功率≥84W，单个扬声器容积≥0.62L，最低谐振频率≤85Hz。（</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298EAC0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9、整机可选择高级音效设置，支持在左右声道平衡显示范围中进行更改。中低频段可选择调节范围125Hz～1kHz，高频段可选择调节范围 2kHz～16kHz，分贝可选择调节范围-12dB～12dB。</w:t>
            </w:r>
          </w:p>
          <w:p w14:paraId="616A878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10、整机内置扬声器采用缝隙发声技术，喇叭采用槽式开口设计。</w:t>
            </w:r>
          </w:p>
          <w:p w14:paraId="4EDEDB2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11、整机扬声器在100%音量下，可做到1米处声压级≥92dB，10米处声压级≥82dB。</w:t>
            </w:r>
          </w:p>
          <w:p w14:paraId="56894F9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六、按键与接口设计</w:t>
            </w:r>
          </w:p>
          <w:p w14:paraId="6CBF1C1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1、支持经典护眼模式，可通过前置面板物理功能按键一键启用经典护眼模式。</w:t>
            </w:r>
          </w:p>
          <w:p w14:paraId="7AA555B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2、设备支持通过前置面板物理按键一键启动录屏功能，可将屏幕中显示的课件、音频内容与人声同时录制。</w:t>
            </w:r>
          </w:p>
          <w:p w14:paraId="33D6A36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整机前置按键支持自定义设置，可通过自定义设置实现前置面板功能按键一键启用任一全局小工具（批注、截屏、计时、降半屏、放大镜、倒数日、日历）、快捷开关（节能模式、纸质护眼模式、经典护眼模式、自动亮度模式）。</w:t>
            </w:r>
          </w:p>
          <w:p w14:paraId="4C47705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4、侧置输入接口具备2路HDMI、1路RS232（RJ45形态）、1路USB接口。</w:t>
            </w:r>
          </w:p>
          <w:p w14:paraId="6BAED11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5、侧置输出接口具备1路音频输出、1路触控USB输出。</w:t>
            </w:r>
          </w:p>
          <w:p w14:paraId="2C9749E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6、前置输入接口3路USB接口（包含1路Type-C、2路USB）.</w:t>
            </w:r>
          </w:p>
          <w:p w14:paraId="42F9E1F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7、前置USB接口支持Android系统、Windows系统读取外接移动存储设备。</w:t>
            </w:r>
          </w:p>
          <w:p w14:paraId="075F183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8、支持通过Type-C接口U盘进行文件传输，兼容Type-C接口手机充电。</w:t>
            </w:r>
          </w:p>
          <w:p w14:paraId="66312BD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七、内置电脑模块</w:t>
            </w:r>
          </w:p>
          <w:p w14:paraId="076B5E2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1、搭载CPU要求:核心数≥8个，线程数≥12个，最高睿频≥4.4GHz，三级缓存≥12MB，基础功耗≤45W，内存：8 GB，固态硬盘：256 GB或以上配置。</w:t>
            </w:r>
          </w:p>
          <w:p w14:paraId="1094904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3、采用按压式卡扣，无需工具即可快速拆卸电脑模块。</w:t>
            </w:r>
          </w:p>
          <w:p w14:paraId="2E6F839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4、PC模块可抽拉式插入整机，可实现无单独接线的拔插。</w:t>
            </w:r>
          </w:p>
          <w:p w14:paraId="0718914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5、具有独立非外拓展的视频输出接口：≥1路HDMI，具有独立非外拓展的电脑USB接口：至少具备3个USB3.0接口，3个USB2.0接口。</w:t>
            </w:r>
          </w:p>
          <w:p w14:paraId="548AEF1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八、无线系统设计</w:t>
            </w:r>
          </w:p>
          <w:p w14:paraId="7103476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1、整机无需外接无线网卡，在Windows系统下可实现Wi-Fi无线上网连接、AP无线热点发射和BT蓝牙连接功能。</w:t>
            </w:r>
          </w:p>
          <w:p w14:paraId="25D82D6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2、整机无需外接无线网卡，在Windows系统下接入无线网络，切换到嵌入式Android系统下可直接实现无线上网功能，不需手动重复设置。</w:t>
            </w:r>
          </w:p>
          <w:p w14:paraId="7152147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3、Wi-Fi和AP热点工作距离≥12m。</w:t>
            </w:r>
          </w:p>
          <w:p w14:paraId="74E9045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▲4、整机支持蓝牙Bluetooth 5.4标准，固件版本号HCI13.0/LMP13.0。（</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5D2B521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5、整机PC端支持主动发现蓝牙外设从而连接（无需整机进入发现模式），支持连接外部蓝牙音箱播放音频。</w:t>
            </w:r>
          </w:p>
          <w:p w14:paraId="61F9336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▲6、整机支持发出频率为18kHz-22kHz超声波信号，智能手机和笔记本电脑接收超声波信号后可以自动识别附近投屏设备，点击对应设备即可完成投屏操作。（</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02D9E9A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7CE5A56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▲8、整机内置双WiFi6无线网卡（不接受外接），在Android和Windows系统下，可实现Wi-Fi无线上网连接、AP无线热点发射。（</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398F35B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▲9、整机内置双WiFi6无线网卡（不接受外接），在Android下支持无线设备同时连接数量≥32个，在Windows系统下支持无线设备同时连接≥8个。（</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1B035D9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10、Wi-Fi及AP热点支持频段2.4GHz/5GHz 。</w:t>
            </w:r>
          </w:p>
          <w:p w14:paraId="6B2AC8C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11、Wi-Fi制式支持IEEE 802.11 a/b/g/n/ac/ax；支持版本Wi-Fi6。</w:t>
            </w:r>
          </w:p>
          <w:p w14:paraId="6364EFA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九、全通道侧边栏设计</w:t>
            </w:r>
          </w:p>
          <w:p w14:paraId="324ABB9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1、整机内置全通道侧边栏快捷菜单，小工具、应用软件、快捷设置、亮度/音量调节、教室物联入口。</w:t>
            </w:r>
          </w:p>
          <w:p w14:paraId="780BC5E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2、整机全通道侧边栏支持展示学校名称、设备班级、场地信息。</w:t>
            </w:r>
          </w:p>
          <w:p w14:paraId="76B5242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整机全通道侧边栏快捷菜单包含如下小工具：批注、降半屏、截屏、放大镜、倒计时、日历、聚光灯、秒表、冻屏、倒数日、答题、节拍器。</w:t>
            </w:r>
          </w:p>
          <w:p w14:paraId="1E38231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3、整机全通道侧边栏支持使用批注小工具进行批注讲解，可切换书写笔颜色、截屏保存批注内容、清屏，可根据手与屏幕的接触面积自动调整板擦工具的大小。</w:t>
            </w:r>
          </w:p>
          <w:p w14:paraId="6AA7E5A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4、整机全通道侧边栏快捷菜单支持快捷调节音量、亮度，支持自动亮度模式，支持点击静音按钮静音。</w:t>
            </w:r>
          </w:p>
          <w:p w14:paraId="4621200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5、整机全通道侧边栏快捷菜单中可实时查看物联设备的连接情况，点击设备图标即可调出中控菜单进行管控。</w:t>
            </w:r>
          </w:p>
          <w:p w14:paraId="7FD5FAB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▲6、整机安卓和外接通道(2路HDMI)下侧边栏支持节拍器，支持设置节拍、轻重、节拍播放速度。全通道下可支持通过自定义按键调出该功能。（</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457E314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7、整机全通道侧边栏支持倒计时、正计时功能；倒计时，输入某特定时间值，可精确到秒，点击开始进入倒计时；正计时，点击开始计时便自动开始，并实时显示时间。</w:t>
            </w:r>
          </w:p>
          <w:p w14:paraId="15361EA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8、整机全通道侧边栏支持放大选中区域内容，并可支持对未选中区域关灯处理，实现聚光灯效果。</w:t>
            </w:r>
          </w:p>
          <w:p w14:paraId="5843CC8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整机安卓和外接通道(2路HDMI)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7D2A413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十、教学PPT小工具</w:t>
            </w:r>
          </w:p>
          <w:p w14:paraId="5914A64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1、不借助其他软件情况下，播放PPT时即可实现书写、擦除功能；可支持课件所有页面的预览、可随意进行页面跳转和实现上下翻页。</w:t>
            </w:r>
          </w:p>
          <w:p w14:paraId="083C072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2、不借助其他软件情况下，播放PPT时即可支持板中板功能，直接调用板中板辅助教学，可实现批注及加页，不影响课件整体内容。</w:t>
            </w:r>
          </w:p>
          <w:p w14:paraId="01EA30D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1060764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4、不借助其他软件情况下，播放PPT时即可调用放大镜、聚光灯小工具辅助教学。</w:t>
            </w:r>
          </w:p>
          <w:p w14:paraId="5FA586C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十一、教学应用</w:t>
            </w:r>
          </w:p>
          <w:p w14:paraId="6C2FCDF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1、整机设备开机启动后，自动进入教学桌面，支持账号登录、退出，自动获取个人云端教学课件列表、并可进入全部课件列表。</w:t>
            </w:r>
          </w:p>
          <w:p w14:paraId="00FC6DF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2、整机可将应用编辑到教学桌面首页，编辑方式支持从教学桌面首页进入编辑，支持在全部应用列表中进入编辑2种方式。教学桌面首页应用支持无需进入应用编辑页面，在首页指定应用上长按进行移除。</w:t>
            </w:r>
          </w:p>
          <w:p w14:paraId="6F14823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3、整机教学桌面支持查看设备盘符，支持本地磁盘和外接U盘、移动硬盘，点击可打开该磁盘查看磁盘文件。教学桌面支持显示存储空间状态，当存储空间即将满载时候进行红色标记明显提示。</w:t>
            </w:r>
          </w:p>
          <w:p w14:paraId="00D442C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4、整机教学桌面支持U盘、移动硬盘外接存储设备直接在桌面显示，无需打开文件浏览器即可查看文件列表，并且支持文件打开。支持查看全部文件列表以及按照文档、图片、音视频分类方式查看文件列表。</w:t>
            </w:r>
          </w:p>
          <w:p w14:paraId="6A11FC7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5、整机教学桌面支持进行通道切换，当整机有其他输入源时，可在桌面点击信号源进行输入源切换。</w:t>
            </w:r>
          </w:p>
          <w:p w14:paraId="4F105CD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十二、其他要求</w:t>
            </w:r>
          </w:p>
          <w:p w14:paraId="41C5AA9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验收时必须提供货物生产厂家出具的针对本项目的原厂售后服务承诺书原件；售后承诺中要包括厂家免费保修的年限，并加盖厂家公章，否则不予验收。</w:t>
            </w:r>
          </w:p>
        </w:tc>
      </w:tr>
      <w:tr w14:paraId="5B9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094A3C5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420" w:type="dxa"/>
            <w:vAlign w:val="center"/>
          </w:tcPr>
          <w:p w14:paraId="7FF8F552">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光能书写板</w:t>
            </w:r>
          </w:p>
        </w:tc>
        <w:tc>
          <w:tcPr>
            <w:tcW w:w="680" w:type="dxa"/>
            <w:vAlign w:val="center"/>
          </w:tcPr>
          <w:p w14:paraId="0CE83B5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700" w:type="dxa"/>
            <w:vAlign w:val="center"/>
          </w:tcPr>
          <w:p w14:paraId="4438FF2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块</w:t>
            </w:r>
          </w:p>
        </w:tc>
        <w:tc>
          <w:tcPr>
            <w:tcW w:w="5845" w:type="dxa"/>
            <w:vAlign w:val="center"/>
          </w:tcPr>
          <w:p w14:paraId="59A040E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一、硬件要求</w:t>
            </w:r>
          </w:p>
          <w:p w14:paraId="73E67BF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1、整体采用ABA样式，左、右光能黑板+中间触控一体机的安装方式。单块光能黑板≥1290（长）*1158（高）mm。下边框具有可调节平台，可根据触控一体机高度进行调整，兼具置物功能。</w:t>
            </w:r>
          </w:p>
          <w:p w14:paraId="6C2E865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2、采用任何硬度适中的工具均可在板面进行书写，无需专用耗材，消除了粉笔粉尘对师生构成的健康隐患。单点书写、可擦次数达10万次。</w:t>
            </w:r>
          </w:p>
          <w:p w14:paraId="4FE4F97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▲3、光能黑板应无频闪、无背光，上膜不应产生眩光。板书笔迹可视距离40米，可视角度≥150°，对比度≥150:1。（</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0044662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▲4、光能黑板的光泽度不高于30光泽单位。（</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5B0FEF3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▲5、书写膜的透光率不低于87%，雾度不高于40%。（</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0D58CCE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6、一键擦除：按下一键擦除按键，可实现板书的全部擦除，擦除后无明显残留痕迹。</w:t>
            </w:r>
          </w:p>
          <w:p w14:paraId="22BA6DF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7、局部擦除：可使用板擦和手势对板书进行局部擦除。擦除精度小于10mm*10mm，擦除延时＜60ms。光能板具有独立供电装置，可在液晶屏关机的情况下独立使用，不影响局部擦除功能。</w:t>
            </w:r>
          </w:p>
          <w:p w14:paraId="6518D28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8、板内设有电压补偿机制，可以通过手势按压书写板板面的特定位置，控制书写板内部电压高低，以调节擦除灵敏度。</w:t>
            </w:r>
          </w:p>
          <w:p w14:paraId="04524BC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▲9、设备内提供的电池组保护电路，符合标准要求，并通过带二次锂电池的设备的充电安全防护。黑板通过恒定力和冲击试验，机械强度符合标准要求。（</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6432FCD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10、黑板表面具有暗格，用以提供给师生在书写板书时的直线参照，可避免板书歪斜。黑板表面可吸附磁贴、磁扣等教学工具，便于老师教学使用。</w:t>
            </w:r>
          </w:p>
          <w:p w14:paraId="131AD09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▲11、光能黑板通过低温-30℃，高温80℃，恒定湿热40℃、95%RH测试，产品外观无变形、损坏等现象，通电运行正常。（</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06C1472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12、边框采用铝合金材质，坚固耐用，具有较好的耐腐蚀特性。</w:t>
            </w:r>
          </w:p>
          <w:p w14:paraId="3FD3D7F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13、采用一体式按键指示灯，可通过不同颜色、闪烁等方式表示擦除、电量不足等工作状态。每块光能黑板具备DC接口*2和USB接口*2，方便用户使用。</w:t>
            </w:r>
          </w:p>
          <w:p w14:paraId="3D112A6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▲14、光能黑板通过抗电强度1500V试验，无击穿现象，符合GB4943的安全要求。（</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569454B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15、产品的最大工作电流（瞬间电流）≤1000mA。（</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1241704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二、软件要求</w:t>
            </w:r>
          </w:p>
          <w:p w14:paraId="737D18F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1、同步互联：左、右光能黑板可与触控一体机进行互动，将光能黑板的内容与触控一体机无缝连接，教师在光能黑板上的书写内容可同步显示在触控一体机上。</w:t>
            </w:r>
          </w:p>
          <w:p w14:paraId="2133153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2、颜色切换：可设置不同的软件端笔迹颜色，可实现老师对于教学重点的标识及批注；</w:t>
            </w:r>
          </w:p>
          <w:p w14:paraId="3FC1D16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3、板书记录：可同步传输老师的板书到软件界面；按下清除键后，板面和软件端的笔迹均可以被清除；点击“前一页”可找回清除掉的板书；</w:t>
            </w:r>
          </w:p>
          <w:p w14:paraId="098AF78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4、单双页切换：两种光能黑板的书写记录模式，支持单板书写记录内容为一个单页面，也可以支持双板同时书写时记录在一个页面上；</w:t>
            </w:r>
          </w:p>
          <w:p w14:paraId="33475FE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5、桌面切换：黑板书写内容和屏体显示内容可一键切换，不影响老师正常授课操作。</w:t>
            </w:r>
          </w:p>
          <w:p w14:paraId="5436AA3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6、一键保存：支持将板书内容保存为PDF文档，便于学校对课堂板书的管理和传递。无需花费时间找存储路径，点击“打开”，直接进入存储位置，快速找到存储文件。</w:t>
            </w:r>
          </w:p>
          <w:p w14:paraId="502CA12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三、其他要求</w:t>
            </w:r>
          </w:p>
          <w:p w14:paraId="5B3000B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1、验收时必须提供货物生产厂家出具的针对本项目的原厂售后服务承诺书原件；售后承诺中要包括厂家免费保修的年限，并加盖厂家公章，否则不予验收。</w:t>
            </w:r>
          </w:p>
        </w:tc>
      </w:tr>
      <w:tr w14:paraId="6B7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13F2B36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420" w:type="dxa"/>
            <w:vAlign w:val="center"/>
          </w:tcPr>
          <w:p w14:paraId="60D99E2E">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教师操作管控终端</w:t>
            </w:r>
          </w:p>
        </w:tc>
        <w:tc>
          <w:tcPr>
            <w:tcW w:w="680" w:type="dxa"/>
            <w:vAlign w:val="center"/>
          </w:tcPr>
          <w:p w14:paraId="17963F2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7A0178F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258B2FC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CPU：</w:t>
            </w:r>
            <w:r>
              <w:rPr>
                <w:rFonts w:ascii="Segoe UI" w:hAnsi="Segoe UI" w:eastAsia="Segoe UI" w:cs="Segoe UI"/>
                <w:color w:val="auto"/>
                <w:sz w:val="22"/>
                <w:szCs w:val="22"/>
                <w:highlight w:val="none"/>
                <w:shd w:val="clear" w:color="auto" w:fill="FFFFFF"/>
              </w:rPr>
              <w:t>性能核主频≥2.1GHz（指性能核P核的基础工作频率）</w:t>
            </w:r>
            <w:r>
              <w:rPr>
                <w:rFonts w:hint="eastAsia" w:ascii="Segoe UI" w:hAnsi="Segoe UI" w:cs="Segoe UI"/>
                <w:color w:val="auto"/>
                <w:sz w:val="22"/>
                <w:szCs w:val="22"/>
                <w:highlight w:val="none"/>
                <w:shd w:val="clear" w:color="auto" w:fill="FFFFFF"/>
              </w:rPr>
              <w:t>、</w:t>
            </w:r>
            <w:r>
              <w:rPr>
                <w:rFonts w:ascii="Segoe UI" w:hAnsi="Segoe UI" w:eastAsia="Segoe UI" w:cs="Segoe UI"/>
                <w:color w:val="auto"/>
                <w:sz w:val="22"/>
                <w:szCs w:val="22"/>
                <w:highlight w:val="none"/>
                <w:shd w:val="clear" w:color="auto" w:fill="FFFFFF"/>
              </w:rPr>
              <w:t>物理核心数≥16个（其中性能核≥8个，能效核≥8个）</w:t>
            </w:r>
            <w:r>
              <w:rPr>
                <w:rFonts w:hint="eastAsia" w:ascii="Segoe UI" w:hAnsi="Segoe UI" w:cs="Segoe UI"/>
                <w:color w:val="auto"/>
                <w:sz w:val="22"/>
                <w:szCs w:val="22"/>
                <w:highlight w:val="none"/>
                <w:shd w:val="clear" w:color="auto" w:fill="FFFFFF"/>
              </w:rPr>
              <w:t>，</w:t>
            </w:r>
            <w:r>
              <w:rPr>
                <w:rFonts w:ascii="Segoe UI" w:hAnsi="Segoe UI" w:eastAsia="Segoe UI" w:cs="Segoe UI"/>
                <w:color w:val="auto"/>
                <w:sz w:val="22"/>
                <w:szCs w:val="22"/>
                <w:highlight w:val="none"/>
                <w:shd w:val="clear" w:color="auto" w:fill="FFFFFF"/>
              </w:rPr>
              <w:t>线程数≥24条</w:t>
            </w:r>
            <w:r>
              <w:rPr>
                <w:rFonts w:hint="eastAsia" w:ascii="宋体" w:hAnsi="宋体" w:cs="宋体"/>
                <w:color w:val="auto"/>
                <w:szCs w:val="21"/>
                <w:highlight w:val="none"/>
              </w:rPr>
              <w:t xml:space="preserve">                                                                                                                    </w:t>
            </w:r>
          </w:p>
          <w:p w14:paraId="00D81F5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主板:总线≥DMI 4.0 ×8，每通道≥ 2×DIMM；USB:≥ 8×USB</w:t>
            </w:r>
          </w:p>
          <w:p w14:paraId="7E36A0D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3、≥16G DDR4 3200MHz 内存，提供</w:t>
            </w:r>
            <w:r>
              <w:rPr>
                <w:rFonts w:hint="eastAsia" w:ascii="宋体" w:hAnsi="宋体" w:cs="宋体"/>
                <w:color w:val="auto"/>
                <w:szCs w:val="21"/>
                <w:highlight w:val="none"/>
              </w:rPr>
              <w:t>不少于2</w:t>
            </w:r>
            <w:r>
              <w:rPr>
                <w:rFonts w:hint="eastAsia" w:ascii="宋体" w:hAnsi="宋体" w:cs="宋体"/>
                <w:color w:val="auto"/>
                <w:szCs w:val="21"/>
                <w:highlight w:val="none"/>
              </w:rPr>
              <w:t>个内存槽位</w:t>
            </w:r>
          </w:p>
          <w:p w14:paraId="10C57BA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4、显卡：集成显卡</w:t>
            </w:r>
          </w:p>
          <w:p w14:paraId="03266EF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 音频接口要求：提供至少前2后3共5个音频接口；</w:t>
            </w:r>
          </w:p>
          <w:p w14:paraId="747AFE3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6、硬盘：≥120G固态硬盘+2T 机械硬盘</w:t>
            </w:r>
          </w:p>
          <w:p w14:paraId="2D78A9E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7、集成10/100/1000M以太网卡；</w:t>
            </w:r>
          </w:p>
          <w:p w14:paraId="091AECC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8、原厂防水键盘、抗菌鼠标；</w:t>
            </w:r>
          </w:p>
          <w:p w14:paraId="68FAF47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9、接口8个USB接口(其中至少2个USB 3.2 G2接口 )、</w:t>
            </w:r>
            <w:r>
              <w:rPr>
                <w:rFonts w:hint="eastAsia" w:ascii="宋体" w:hAnsi="宋体" w:cs="宋体"/>
                <w:color w:val="auto"/>
                <w:szCs w:val="21"/>
                <w:highlight w:val="none"/>
              </w:rPr>
              <w:t>不少于2个</w:t>
            </w:r>
            <w:r>
              <w:rPr>
                <w:rFonts w:hint="eastAsia" w:ascii="宋体" w:hAnsi="宋体" w:cs="宋体"/>
                <w:color w:val="auto"/>
                <w:szCs w:val="21"/>
                <w:highlight w:val="none"/>
              </w:rPr>
              <w:t>视频输出接口，扩展槽，配置1个PCI-E*16、2个PCI-E*4槽位；</w:t>
            </w:r>
          </w:p>
          <w:p w14:paraId="7E819FC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10、电源≥260W；</w:t>
            </w:r>
          </w:p>
          <w:p w14:paraId="4DDC26C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▲11、安全特性：BIOS底层支持USB智能屏蔽技术，仅识别USB键盘、鼠标，无法识别USB读取设备，有效防止数据泄露； </w:t>
            </w:r>
          </w:p>
          <w:p w14:paraId="11C8A03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13、机箱：标准塔式机箱≤13L；内置光触媒风扇，可降解教学环境中甲醛、苯等有害物质，顶置提手；</w:t>
            </w:r>
          </w:p>
          <w:p w14:paraId="58B67A5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14、≥21.5英寸液晶显示器×2台。</w:t>
            </w:r>
          </w:p>
        </w:tc>
      </w:tr>
      <w:tr w14:paraId="088B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1BF7554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420" w:type="dxa"/>
            <w:vAlign w:val="center"/>
          </w:tcPr>
          <w:p w14:paraId="7A8F11E7">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万兆路由器</w:t>
            </w:r>
          </w:p>
        </w:tc>
        <w:tc>
          <w:tcPr>
            <w:tcW w:w="680" w:type="dxa"/>
            <w:vAlign w:val="center"/>
          </w:tcPr>
          <w:p w14:paraId="5DAEC2F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1479E42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233394E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1.固定端口要求：≥4个10/100/1000M电口（1*LAN+3*LAN/WAN），≥4个10/100/1000M/2500M电口(3*LAN/WAN+1*WAN)，≥2个1000Base-X/10GBase-X的光口(2*LAN/WAN)。</w:t>
            </w:r>
          </w:p>
          <w:p w14:paraId="0CE318E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2.内存：≥4G。</w:t>
            </w:r>
          </w:p>
          <w:p w14:paraId="7F3E893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3.存储：≥128MB SPI NAND Flash + 8GB eMMC。</w:t>
            </w:r>
          </w:p>
          <w:p w14:paraId="1D21F6A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4.带机量：≥350台并发终端。</w:t>
            </w:r>
          </w:p>
          <w:p w14:paraId="3AFFC35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5.带宽：关闭流控时≥4Gbps；开启流控时≥3.5Gbps。</w:t>
            </w:r>
          </w:p>
          <w:p w14:paraId="00F5278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6.整机功率：≤20W。</w:t>
            </w:r>
          </w:p>
          <w:p w14:paraId="57F996B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7.网络接入：支持PPPoE拨号、PPPoE Server（最大150条）、DHCP Client、静态IP接入，同时支持接入方式自动识别、WAN口地址冲突自动规避、MAC克隆、从旧路由器获取账号密码等功能、支持IPv6。</w:t>
            </w:r>
          </w:p>
          <w:p w14:paraId="1D16F6C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8.测速：内置测速工具，可以测出不同运营商宽带的叠加效果，最大测速性能4000Mbps。</w:t>
            </w:r>
          </w:p>
          <w:p w14:paraId="15069DA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9.流量控制：支持自定义流控策略，支持基于IP的自动弹性带宽功能、支持基于应用的自动弹性带宽功能。</w:t>
            </w:r>
          </w:p>
          <w:p w14:paraId="39DB6D6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10.流量审计：支持实时流量审计、IP/应用流量可视化。</w:t>
            </w:r>
          </w:p>
          <w:p w14:paraId="32000E4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11.行为管理：支持基于时间和IP策略的应用阻断、支持网站过滤、QQ黑白名单等。</w:t>
            </w:r>
          </w:p>
          <w:p w14:paraId="4730DD8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12.VPN：IPsec/L2TP/PPTP/OPENVPN （500条隧道）支持服务器与客户端模式。</w:t>
            </w:r>
          </w:p>
          <w:p w14:paraId="38AEC00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13.PPPoE Server：支持账号有效期配置，支持基于账号的流控管理。</w:t>
            </w:r>
          </w:p>
          <w:p w14:paraId="2308E94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14.AP管理：支持多SSID配置、SSID隐藏、信道设置、功率设置、AP有线口设置、AP在线升级、STA数量设置、STA黑白名单等。</w:t>
            </w:r>
          </w:p>
          <w:p w14:paraId="27E995B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15.漫游：支持本地转发漫游，支持二层漫游、支持AP间三层漫游，支持STA漫游轨迹查看功能。</w:t>
            </w:r>
          </w:p>
          <w:p w14:paraId="472085C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16.端口管理：支持环路保护、端口镜像、端口隔离、端口配置、PoE配置、端口限制、风暴控制、静态MAC、MAC搜索。</w:t>
            </w:r>
          </w:p>
          <w:p w14:paraId="45B94BB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17.状态显示：端口统计、监控信息、线缆检测、VLAN配置、MAC列表。</w:t>
            </w:r>
          </w:p>
          <w:p w14:paraId="709B2B5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▲18. 支持管理功能：支持APP手机管理小程序管理、云管理、本地管理、免DDNS远程web管理、多用户协作管理等。</w:t>
            </w:r>
          </w:p>
          <w:p w14:paraId="0BDB4DE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▲19. 支持认证功能要求：支持短信认证、扫码认证、答题认证、微信认证、账号密码认证、本地Portal认证；支持Easy VPN 1.0、Easy VPN 2.0；支持云打印。</w:t>
            </w:r>
          </w:p>
          <w:p w14:paraId="7747621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▲20. 支持安全功能要求：ACL、IP-MAC绑定、MAC地址过滤、动态ARP、静态ARP绑定、NAT、NAPT、端口映射。</w:t>
            </w:r>
          </w:p>
        </w:tc>
      </w:tr>
      <w:tr w14:paraId="76E6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7A34424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420" w:type="dxa"/>
            <w:vAlign w:val="center"/>
          </w:tcPr>
          <w:p w14:paraId="41DF22BD">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教师控制台</w:t>
            </w:r>
          </w:p>
        </w:tc>
        <w:tc>
          <w:tcPr>
            <w:tcW w:w="680" w:type="dxa"/>
            <w:vAlign w:val="center"/>
          </w:tcPr>
          <w:p w14:paraId="2844863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67DD2EB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张</w:t>
            </w:r>
          </w:p>
        </w:tc>
        <w:tc>
          <w:tcPr>
            <w:tcW w:w="5845" w:type="dxa"/>
            <w:vAlign w:val="center"/>
          </w:tcPr>
          <w:p w14:paraId="2B54FFD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尺寸（约）：≥L1800×W800×H800mm；材料采用E1级15mm双贴面三聚氰胺饰面板，颜色为可以订制，左边设边柜，右边为计算机控制区，外形美观，操作方便。选用优质PVC封边条，利用全自动封边机，对板材截面进行封边，粘力强，密封性好，外形美观。主控台背面与侧面开有通风口，保证设备的散热良好。</w:t>
            </w:r>
          </w:p>
        </w:tc>
      </w:tr>
      <w:tr w14:paraId="2B97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07E03FB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420" w:type="dxa"/>
            <w:vAlign w:val="center"/>
          </w:tcPr>
          <w:p w14:paraId="40F96DF4">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教师椅</w:t>
            </w:r>
          </w:p>
        </w:tc>
        <w:tc>
          <w:tcPr>
            <w:tcW w:w="680" w:type="dxa"/>
            <w:vAlign w:val="center"/>
          </w:tcPr>
          <w:p w14:paraId="3BFC0A0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4F186C1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张</w:t>
            </w:r>
          </w:p>
        </w:tc>
        <w:tc>
          <w:tcPr>
            <w:tcW w:w="5845" w:type="dxa"/>
            <w:vAlign w:val="center"/>
          </w:tcPr>
          <w:p w14:paraId="76F813E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1.五轮带靠背转椅，可调节高度；</w:t>
            </w:r>
          </w:p>
          <w:p w14:paraId="2621A6A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2.采用优质丝网或PU材料，光泽度好，透气性强，厚度适中，柔软而富于韧性，柔软且富于韧性；采用PU成型；</w:t>
            </w:r>
          </w:p>
          <w:p w14:paraId="7402D44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3.椅架：采用优质电镀钢架，强度高，刚性好，不变形，比重合理。</w:t>
            </w:r>
          </w:p>
        </w:tc>
      </w:tr>
      <w:tr w14:paraId="5DF3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5F7E06B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420" w:type="dxa"/>
            <w:vAlign w:val="center"/>
          </w:tcPr>
          <w:p w14:paraId="00D53FC1">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学生桌（带翻转器）</w:t>
            </w:r>
          </w:p>
        </w:tc>
        <w:tc>
          <w:tcPr>
            <w:tcW w:w="680" w:type="dxa"/>
            <w:vAlign w:val="center"/>
          </w:tcPr>
          <w:p w14:paraId="0FFB805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44</w:t>
            </w:r>
          </w:p>
        </w:tc>
        <w:tc>
          <w:tcPr>
            <w:tcW w:w="700" w:type="dxa"/>
            <w:vAlign w:val="center"/>
          </w:tcPr>
          <w:p w14:paraId="3E77706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位</w:t>
            </w:r>
          </w:p>
        </w:tc>
        <w:tc>
          <w:tcPr>
            <w:tcW w:w="5845" w:type="dxa"/>
            <w:vAlign w:val="center"/>
          </w:tcPr>
          <w:p w14:paraId="0720333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1、单人位规格:≥800W600D760H 桌面采用约25mm厚密度板，抗弯力强，不易变形；</w:t>
            </w:r>
          </w:p>
          <w:p w14:paraId="795996A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2、耐磨性强，承载能力强，绿色环保，没有有害物质溢出。</w:t>
            </w:r>
          </w:p>
          <w:p w14:paraId="7CF55E0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桌面采用约2.0mm厚3:1配料PVC封边经200度高温胶全自动机器直封边.铁架：侧脚采用0.8mm厚冷轧钢板一次性成形，背板及柜门采用0.8mm厚冷轧钢板，柜门配一锁通，主台脚均配线槽，金属件涂层无漏喷，锈蚀；光滑均匀，色泽一致，无流挂，疙瘩，皱皮，飞漆等现象缺陷，焊接件采用二氧化碳保护焊接，焊接件之间的连接部分均应全部圈焊接，不允许脱焊，气孔，焊瘤，焊丝头，咬边飞溅；焊接后经打磨，酸洗，磷化，除油等处理。</w:t>
            </w:r>
          </w:p>
          <w:p w14:paraId="6C2633B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4、金属材质翻转器：</w:t>
            </w:r>
          </w:p>
          <w:p w14:paraId="109C1F8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①可放置17-23.8寸液晶显示器；</w:t>
            </w:r>
          </w:p>
          <w:p w14:paraId="50730CC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②翻转系统采用锁具驱动，翻转倾角(显示屏与水平面夹角)在0°—120°调节范围内可任意调节角度。翻转过程匀速无噪音；</w:t>
            </w:r>
          </w:p>
          <w:p w14:paraId="68BD529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③当不使用时显示器隐藏于桌子内，使桌面保持平整，并能防尘、防盗；</w:t>
            </w:r>
          </w:p>
          <w:p w14:paraId="4215EB6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④气压杆液压15公斤,每一位配一个翻转器.</w:t>
            </w:r>
          </w:p>
        </w:tc>
      </w:tr>
      <w:tr w14:paraId="7EF9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6CF8D8F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420" w:type="dxa"/>
            <w:vAlign w:val="center"/>
          </w:tcPr>
          <w:p w14:paraId="21A83162">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学生椅</w:t>
            </w:r>
          </w:p>
        </w:tc>
        <w:tc>
          <w:tcPr>
            <w:tcW w:w="680" w:type="dxa"/>
            <w:vAlign w:val="center"/>
          </w:tcPr>
          <w:p w14:paraId="4C7B322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44</w:t>
            </w:r>
          </w:p>
        </w:tc>
        <w:tc>
          <w:tcPr>
            <w:tcW w:w="700" w:type="dxa"/>
            <w:vAlign w:val="center"/>
          </w:tcPr>
          <w:p w14:paraId="2D40BD5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位</w:t>
            </w:r>
          </w:p>
        </w:tc>
        <w:tc>
          <w:tcPr>
            <w:tcW w:w="5845" w:type="dxa"/>
            <w:vAlign w:val="center"/>
          </w:tcPr>
          <w:p w14:paraId="27ABA584">
            <w:pPr>
              <w:widowControl/>
              <w:jc w:val="left"/>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尺寸约：≥高75cm×宽48cm×深50cm。一体成型塑料凳，带扶手,PP材质，圆滑座面，加厚设计，舒适稳固，防滑耐磨，保护地板。</w:t>
            </w:r>
          </w:p>
        </w:tc>
      </w:tr>
      <w:tr w14:paraId="68E4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4756295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420" w:type="dxa"/>
            <w:vAlign w:val="center"/>
          </w:tcPr>
          <w:p w14:paraId="4F7D78FA">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吸顶式制冷设备（一拖二）</w:t>
            </w:r>
          </w:p>
        </w:tc>
        <w:tc>
          <w:tcPr>
            <w:tcW w:w="680" w:type="dxa"/>
            <w:vAlign w:val="center"/>
          </w:tcPr>
          <w:p w14:paraId="1B96DE6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05DE9EC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487E538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多联式中央制冷设备室外机共1台                                   </w:t>
            </w:r>
          </w:p>
          <w:p w14:paraId="3157E32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 电源：380V 3N/50Hz；</w:t>
            </w:r>
          </w:p>
          <w:p w14:paraId="13B0FE1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 能效等级：1级；</w:t>
            </w:r>
          </w:p>
          <w:p w14:paraId="0811A74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 能效比APF≥4.80；</w:t>
            </w:r>
          </w:p>
          <w:p w14:paraId="284B3B9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 额定制冷量(W)≥25000；</w:t>
            </w:r>
          </w:p>
          <w:p w14:paraId="6939DFC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 额定制热量(W)≥28000；</w:t>
            </w:r>
          </w:p>
          <w:p w14:paraId="6C4BB46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 额定制冷功率(W)≤8200；</w:t>
            </w:r>
          </w:p>
          <w:p w14:paraId="2F54DA1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 额定制热功率(W)≤7850；</w:t>
            </w:r>
          </w:p>
          <w:p w14:paraId="653E816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8. 运行噪音dB(A)≤60；                                </w:t>
            </w:r>
          </w:p>
          <w:p w14:paraId="29F68A2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多联式中央空调嵌入式天花室内机共2台                          </w:t>
            </w:r>
          </w:p>
          <w:p w14:paraId="721FF10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 电源：220V/50Hz；</w:t>
            </w:r>
          </w:p>
          <w:p w14:paraId="4E6EB67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 额定制冷量(W)≥12500；</w:t>
            </w:r>
          </w:p>
          <w:p w14:paraId="0859F4A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 额定制热量(W)≥14000；</w:t>
            </w:r>
          </w:p>
          <w:p w14:paraId="7E0C72B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 额定功率(W)≤95；</w:t>
            </w:r>
          </w:p>
          <w:p w14:paraId="3E9945C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 电辅热(W)≤2000；</w:t>
            </w:r>
          </w:p>
          <w:p w14:paraId="1916837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 运行噪音dB(A)≤46；</w:t>
            </w:r>
          </w:p>
          <w:p w14:paraId="0FBD369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 循环风量（m³/h）≥1780；</w:t>
            </w:r>
          </w:p>
        </w:tc>
      </w:tr>
      <w:tr w14:paraId="4506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6DE412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420" w:type="dxa"/>
            <w:vAlign w:val="center"/>
          </w:tcPr>
          <w:p w14:paraId="37759B54">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环境改造</w:t>
            </w:r>
          </w:p>
        </w:tc>
        <w:tc>
          <w:tcPr>
            <w:tcW w:w="680" w:type="dxa"/>
            <w:vAlign w:val="center"/>
          </w:tcPr>
          <w:p w14:paraId="35D4C78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700" w:type="dxa"/>
            <w:vAlign w:val="center"/>
          </w:tcPr>
          <w:p w14:paraId="3EF729A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5845" w:type="dxa"/>
            <w:vAlign w:val="center"/>
          </w:tcPr>
          <w:p w14:paraId="2B05106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教室尺寸：长约11.8米，宽约9.9米，整间教室需要根据要求进行环境改造：                                                                                                                                                  一、吊顶</w:t>
            </w:r>
          </w:p>
          <w:p w14:paraId="7C53367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1、含轻钢龙骨、60X60铝扣板吊顶（厚0.6mm）安装。</w:t>
            </w:r>
          </w:p>
          <w:p w14:paraId="1F5DD83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2、60X60铝扣板吊顶灯、灯光线路布线，保障整个教室的亮度。</w:t>
            </w:r>
          </w:p>
          <w:p w14:paraId="6E3C6D0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二、窗帘</w:t>
            </w:r>
          </w:p>
          <w:p w14:paraId="1F3078F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1、做窗帘盒</w:t>
            </w:r>
          </w:p>
          <w:p w14:paraId="219D95A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2、根据教室尺寸以及窗户数量定做窗帘。</w:t>
            </w:r>
          </w:p>
          <w:p w14:paraId="35827C5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三、实训室文化氛围设计及打造。</w:t>
            </w:r>
          </w:p>
          <w:p w14:paraId="69E9AFB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四、综合布线：符合《综合布线系统工程设计规范》操作规范，实验室内教师机位及学生机位每个位配套的线材杂件及工程的安装调试等。包含但不限于电缆、网线、音视频线、插座、接头、五金配件、线盒等以及设备的安装、调试，满足实验室安装要求的全部辅料</w:t>
            </w:r>
          </w:p>
        </w:tc>
      </w:tr>
      <w:tr w14:paraId="24AC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441" w:type="dxa"/>
            <w:gridSpan w:val="5"/>
            <w:vAlign w:val="center"/>
          </w:tcPr>
          <w:p w14:paraId="2C571AD3">
            <w:pPr>
              <w:widowControl/>
              <w:spacing w:line="400" w:lineRule="exac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二、商务要求</w:t>
            </w:r>
          </w:p>
        </w:tc>
      </w:tr>
      <w:tr w14:paraId="3657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1745659D">
            <w:pPr>
              <w:widowControl/>
              <w:spacing w:line="400" w:lineRule="exact"/>
              <w:jc w:val="center"/>
              <w:rPr>
                <w:rFonts w:hint="eastAsia" w:ascii="宋体" w:hAnsi="宋体" w:cs="宋体"/>
                <w:b/>
                <w:bCs/>
                <w:color w:val="auto"/>
                <w:kern w:val="1"/>
                <w:szCs w:val="21"/>
                <w:highlight w:val="none"/>
              </w:rPr>
            </w:pPr>
            <w:r>
              <w:rPr>
                <w:rFonts w:hint="eastAsia" w:ascii="宋体" w:hAnsi="宋体" w:cs="宋体"/>
                <w:b/>
                <w:bCs/>
                <w:color w:val="auto"/>
                <w:szCs w:val="21"/>
                <w:highlight w:val="none"/>
              </w:rPr>
              <w:t>合同签订时间</w:t>
            </w:r>
          </w:p>
        </w:tc>
        <w:tc>
          <w:tcPr>
            <w:tcW w:w="7225" w:type="dxa"/>
            <w:gridSpan w:val="3"/>
            <w:vAlign w:val="center"/>
          </w:tcPr>
          <w:p w14:paraId="5C57FB7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自成交通知书发出之日起 25 日内。</w:t>
            </w:r>
          </w:p>
        </w:tc>
      </w:tr>
      <w:tr w14:paraId="3F5E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460F4871">
            <w:pPr>
              <w:spacing w:line="400" w:lineRule="exact"/>
              <w:jc w:val="center"/>
              <w:rPr>
                <w:rFonts w:hint="eastAsia" w:ascii="宋体" w:hAnsi="宋体" w:cs="宋体"/>
                <w:color w:val="auto"/>
                <w:kern w:val="1"/>
                <w:szCs w:val="21"/>
                <w:highlight w:val="none"/>
              </w:rPr>
            </w:pPr>
            <w:r>
              <w:rPr>
                <w:rFonts w:hint="eastAsia" w:ascii="Segoe UI Symbol" w:hAnsi="Segoe UI Symbol" w:cs="Segoe UI Symbol"/>
                <w:bCs/>
                <w:color w:val="auto"/>
                <w:sz w:val="24"/>
                <w:highlight w:val="none"/>
              </w:rPr>
              <w:t>▲</w:t>
            </w:r>
            <w:r>
              <w:rPr>
                <w:rFonts w:hint="eastAsia" w:ascii="宋体" w:hAnsi="宋体" w:cs="宋体"/>
                <w:b/>
                <w:color w:val="auto"/>
                <w:szCs w:val="21"/>
                <w:highlight w:val="none"/>
              </w:rPr>
              <w:t>交货时间及地点</w:t>
            </w:r>
          </w:p>
        </w:tc>
        <w:tc>
          <w:tcPr>
            <w:tcW w:w="7225" w:type="dxa"/>
            <w:gridSpan w:val="3"/>
            <w:vAlign w:val="center"/>
          </w:tcPr>
          <w:p w14:paraId="535AE85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交货时间：合同签订后</w:t>
            </w:r>
            <w:r>
              <w:rPr>
                <w:rFonts w:hint="eastAsia" w:ascii="宋体" w:hAnsi="宋体" w:cs="宋体"/>
                <w:color w:val="auto"/>
                <w:szCs w:val="21"/>
                <w:highlight w:val="none"/>
              </w:rPr>
              <w:t>60</w:t>
            </w:r>
            <w:r>
              <w:rPr>
                <w:rFonts w:hint="eastAsia" w:ascii="宋体" w:hAnsi="宋体" w:cs="宋体"/>
                <w:color w:val="auto"/>
                <w:szCs w:val="21"/>
                <w:highlight w:val="none"/>
              </w:rPr>
              <w:t>日</w:t>
            </w:r>
            <w:r>
              <w:rPr>
                <w:rFonts w:hint="eastAsia"/>
                <w:color w:val="auto"/>
                <w:highlight w:val="none"/>
              </w:rPr>
              <w:t>（有环境改造</w:t>
            </w:r>
            <w:r>
              <w:rPr>
                <w:rFonts w:hint="eastAsia"/>
                <w:color w:val="auto"/>
                <w:highlight w:val="none"/>
                <w:lang w:eastAsia="zh-CN"/>
              </w:rPr>
              <w:t>）</w:t>
            </w:r>
            <w:r>
              <w:rPr>
                <w:rFonts w:hint="eastAsia" w:ascii="宋体" w:hAnsi="宋体" w:cs="宋体"/>
                <w:color w:val="auto"/>
                <w:szCs w:val="21"/>
                <w:highlight w:val="none"/>
              </w:rPr>
              <w:t>内全部完成设备的供货并安装调试完毕。</w:t>
            </w:r>
          </w:p>
          <w:p w14:paraId="471658F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地点：河池市采购人指定地点。</w:t>
            </w:r>
          </w:p>
        </w:tc>
      </w:tr>
      <w:tr w14:paraId="26EB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32E85C7E">
            <w:pPr>
              <w:spacing w:line="400" w:lineRule="exact"/>
              <w:jc w:val="center"/>
              <w:rPr>
                <w:rFonts w:hint="eastAsia" w:ascii="宋体" w:hAnsi="宋体" w:cs="宋体"/>
                <w:b/>
                <w:bCs/>
                <w:color w:val="auto"/>
                <w:kern w:val="0"/>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kern w:val="0"/>
                <w:szCs w:val="21"/>
                <w:highlight w:val="none"/>
              </w:rPr>
              <w:t>货物安装及验收</w:t>
            </w:r>
          </w:p>
        </w:tc>
        <w:tc>
          <w:tcPr>
            <w:tcW w:w="7225" w:type="dxa"/>
            <w:gridSpan w:val="3"/>
            <w:vAlign w:val="center"/>
          </w:tcPr>
          <w:p w14:paraId="173110B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1.接到采购人安装通知后，须在</w:t>
            </w:r>
            <w:r>
              <w:rPr>
                <w:rFonts w:hint="eastAsia" w:ascii="宋体" w:hAnsi="宋体" w:cs="宋体"/>
                <w:color w:val="auto"/>
                <w:szCs w:val="21"/>
                <w:highlight w:val="none"/>
              </w:rPr>
              <w:t>10</w:t>
            </w:r>
            <w:r>
              <w:rPr>
                <w:rFonts w:hint="eastAsia" w:ascii="宋体" w:hAnsi="宋体" w:cs="宋体"/>
                <w:color w:val="auto"/>
                <w:szCs w:val="21"/>
                <w:highlight w:val="none"/>
              </w:rPr>
              <w:t>个工作日内安排有经验的工程师到现场安装设备，并在</w:t>
            </w:r>
            <w:r>
              <w:rPr>
                <w:rFonts w:hint="eastAsia" w:ascii="宋体" w:hAnsi="宋体" w:cs="宋体"/>
                <w:color w:val="auto"/>
                <w:szCs w:val="21"/>
                <w:highlight w:val="none"/>
              </w:rPr>
              <w:t>30</w:t>
            </w:r>
            <w:r>
              <w:rPr>
                <w:rFonts w:hint="eastAsia" w:ascii="宋体" w:hAnsi="宋体" w:cs="宋体"/>
                <w:color w:val="auto"/>
                <w:szCs w:val="21"/>
                <w:highlight w:val="none"/>
              </w:rPr>
              <w:t>个工作日</w:t>
            </w:r>
            <w:r>
              <w:rPr>
                <w:rFonts w:hint="eastAsia"/>
                <w:color w:val="auto"/>
                <w:highlight w:val="none"/>
              </w:rPr>
              <w:t>（有环境改造）</w:t>
            </w:r>
            <w:r>
              <w:rPr>
                <w:rFonts w:hint="eastAsia" w:ascii="宋体" w:hAnsi="宋体" w:cs="宋体"/>
                <w:color w:val="auto"/>
                <w:szCs w:val="21"/>
                <w:highlight w:val="none"/>
              </w:rPr>
              <w:t>内安装、调试完毕。</w:t>
            </w:r>
          </w:p>
          <w:p w14:paraId="4244CB9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2.安装工程师对本响应文件中承诺的性能指标须逐项演示给用户，所有验收指标要求一次完成。</w:t>
            </w:r>
          </w:p>
          <w:p w14:paraId="644461F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3.安装、调试过程中，安装工程师有义务对用户讲解设备的操作及注意事项，对用户提出的问题安装工程师须认真给予正确完整的和回答。</w:t>
            </w:r>
          </w:p>
          <w:p w14:paraId="2E6EF3F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要求竞标货物是全新的、未经改装的、合格的、满足本项目技术需求及要求的货物。成交供应商应提供货物的有效检验文件，经采购人认可后，与合同的性能指标一起作为货物验收标准；本项目验收标准应符合中国有关的国家、地方、行业标准。</w:t>
            </w:r>
          </w:p>
          <w:p w14:paraId="7192C75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5.成交供应商提供的产品不满足响应文件承诺、验收不合格的，采购人有权解除合同并追究该供应商的法律责任。</w:t>
            </w:r>
          </w:p>
          <w:p w14:paraId="26F52DD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采购人对产品验收合格后，双方共同签署验收合格证书，验收标准应符合中国有关的国家、地方、行业标准。若出现弄虚作假情况，一经查实，采购单位将予以退货或换货，验收费用由成交人支付，同时追究成交人法律责任并要求成交人赔偿相关损失，并将竞标人弄虚作假的情况报政府采购监督管理部门，由政府采购监督管理部门按照《中华人民共和国政府采购法》及相关规定对其进行处罚。</w:t>
            </w:r>
          </w:p>
        </w:tc>
      </w:tr>
      <w:tr w14:paraId="6920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326E3A9A">
            <w:pPr>
              <w:spacing w:line="400" w:lineRule="exact"/>
              <w:jc w:val="center"/>
              <w:rPr>
                <w:rFonts w:hint="eastAsia" w:ascii="宋体" w:hAnsi="宋体" w:cs="宋体"/>
                <w:b/>
                <w:bCs/>
                <w:color w:val="auto"/>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质量保证要求</w:t>
            </w:r>
          </w:p>
        </w:tc>
        <w:tc>
          <w:tcPr>
            <w:tcW w:w="7225" w:type="dxa"/>
            <w:gridSpan w:val="3"/>
            <w:vAlign w:val="center"/>
          </w:tcPr>
          <w:p w14:paraId="49CB012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1.供应商应明确承诺：按国家有关产品“三包”规定执行“三包”，货物验收合格后，自安装验收合格之日起质保期不少于</w:t>
            </w:r>
            <w:r>
              <w:rPr>
                <w:rFonts w:hint="eastAsia" w:ascii="宋体" w:hAnsi="宋体" w:cs="宋体"/>
                <w:color w:val="auto"/>
                <w:szCs w:val="21"/>
                <w:highlight w:val="none"/>
              </w:rPr>
              <w:t>2</w:t>
            </w:r>
            <w:r>
              <w:rPr>
                <w:rFonts w:hint="eastAsia" w:ascii="宋体" w:hAnsi="宋体" w:cs="宋体"/>
                <w:color w:val="auto"/>
                <w:szCs w:val="21"/>
                <w:highlight w:val="none"/>
              </w:rPr>
              <w:t>年（分项有更高要求的按分项要求的质保）。质保期内非人为损坏上门维修、免费更换所有故障零配件，并免费提供硬件的安全性改版升级和技术支持，确保设备正常运行。</w:t>
            </w:r>
          </w:p>
          <w:p w14:paraId="5901E62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2.质保期所更换的零配件必须是原厂全新的零配件，满足设备运行要求。</w:t>
            </w:r>
          </w:p>
          <w:p w14:paraId="38E8257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质保期内，成交供应商负责处理解决货物出现的质量及安全问题并承担一切费用，所有非故意性损坏以及正常使用范围内造成的损坏均要免费维修，因人为因素出现的故障不在免费保修范围内，但成交供应商也要积极帮助采购人修理，并提供优惠价格的配件和服务。</w:t>
            </w:r>
          </w:p>
          <w:p w14:paraId="3CF1126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3.质保期内每年提供 1 次设备检查保养服务(使用专业检测设备)，每次保养及维修均需提供双方签字确认的保养服务工单或维修工单。</w:t>
            </w:r>
          </w:p>
          <w:p w14:paraId="075BD5A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4.质量保证期承诺优于国家“三包”规定的，或优于采购文件规定的，按供应商实际承诺执行。</w:t>
            </w:r>
          </w:p>
        </w:tc>
      </w:tr>
      <w:tr w14:paraId="635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18F06233">
            <w:pPr>
              <w:spacing w:line="400" w:lineRule="exact"/>
              <w:jc w:val="center"/>
              <w:rPr>
                <w:rFonts w:hint="eastAsia" w:ascii="宋体" w:hAnsi="宋体" w:cs="宋体"/>
                <w:b/>
                <w:bCs/>
                <w:color w:val="auto"/>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售后服务要求</w:t>
            </w:r>
          </w:p>
        </w:tc>
        <w:tc>
          <w:tcPr>
            <w:tcW w:w="7225" w:type="dxa"/>
            <w:gridSpan w:val="3"/>
            <w:vAlign w:val="center"/>
          </w:tcPr>
          <w:p w14:paraId="58F3F26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1.免费提供仪器操作及维护，培训课程有基础理论、使用操作、日常维护、应用方法等内容组成。</w:t>
            </w:r>
          </w:p>
          <w:p w14:paraId="21A6416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2.维修过程中所需零配件成交人在接到通知后最长不超过</w:t>
            </w:r>
            <w:r>
              <w:rPr>
                <w:rFonts w:hint="eastAsia" w:ascii="宋体" w:hAnsi="宋体" w:cs="宋体"/>
                <w:color w:val="auto"/>
                <w:szCs w:val="21"/>
                <w:highlight w:val="none"/>
              </w:rPr>
              <w:t xml:space="preserve"> 3天</w:t>
            </w:r>
            <w:r>
              <w:rPr>
                <w:rFonts w:hint="eastAsia" w:ascii="宋体" w:hAnsi="宋体" w:cs="宋体"/>
                <w:color w:val="auto"/>
                <w:szCs w:val="21"/>
                <w:highlight w:val="none"/>
              </w:rPr>
              <w:t>必须送达采购单位。</w:t>
            </w:r>
          </w:p>
          <w:p w14:paraId="5F9F7D5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3.竞标货物的售后服务必须由成交人直接负责，售后工作由成交人和设备原生产商直接协调。保证长期、优惠、及时提供零备件和优质、优惠的维修服务，提供软件终生免费升级。</w:t>
            </w:r>
          </w:p>
          <w:p w14:paraId="0499217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4.提供 7×24 小时电话或电子邮件服务，成交人接到采购单位的通知后立即响应，在 1 小时内做出明确响应和安排，在 </w:t>
            </w:r>
            <w:r>
              <w:rPr>
                <w:rFonts w:hint="eastAsia" w:ascii="宋体" w:hAnsi="宋体" w:cs="宋体"/>
                <w:color w:val="auto"/>
                <w:szCs w:val="21"/>
                <w:highlight w:val="none"/>
              </w:rPr>
              <w:t>6</w:t>
            </w:r>
            <w:r>
              <w:rPr>
                <w:rFonts w:hint="eastAsia" w:ascii="宋体" w:hAnsi="宋体" w:cs="宋体"/>
                <w:color w:val="auto"/>
                <w:szCs w:val="21"/>
                <w:highlight w:val="none"/>
              </w:rPr>
              <w:t xml:space="preserve"> 小时内做出故障诊断报告，如需现场服务的，具有解决故障能力的工程师应在</w:t>
            </w:r>
            <w:r>
              <w:rPr>
                <w:rFonts w:hint="eastAsia" w:ascii="宋体" w:hAnsi="宋体" w:cs="宋体"/>
                <w:color w:val="auto"/>
                <w:szCs w:val="21"/>
                <w:highlight w:val="none"/>
              </w:rPr>
              <w:t xml:space="preserve"> 12 </w:t>
            </w:r>
            <w:r>
              <w:rPr>
                <w:rFonts w:hint="eastAsia" w:ascii="宋体" w:hAnsi="宋体" w:cs="宋体"/>
                <w:color w:val="auto"/>
                <w:szCs w:val="21"/>
                <w:highlight w:val="none"/>
              </w:rPr>
              <w:t>小时内到达现场，</w:t>
            </w:r>
            <w:r>
              <w:rPr>
                <w:rFonts w:hint="eastAsia" w:ascii="宋体" w:hAnsi="宋体" w:cs="宋体"/>
                <w:color w:val="auto"/>
                <w:szCs w:val="21"/>
                <w:highlight w:val="none"/>
              </w:rPr>
              <w:t xml:space="preserve">8 </w:t>
            </w:r>
            <w:r>
              <w:rPr>
                <w:rFonts w:hint="eastAsia" w:ascii="宋体" w:hAnsi="宋体" w:cs="宋体"/>
                <w:color w:val="auto"/>
                <w:szCs w:val="21"/>
                <w:highlight w:val="none"/>
              </w:rPr>
              <w:t>小时内解决问题，以保证设备正常运行，并承担一切相关费用。</w:t>
            </w:r>
          </w:p>
        </w:tc>
      </w:tr>
      <w:tr w14:paraId="6BE1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3AE4674A">
            <w:pPr>
              <w:spacing w:line="400" w:lineRule="exact"/>
              <w:jc w:val="center"/>
              <w:rPr>
                <w:rFonts w:hint="eastAsia" w:ascii="宋体" w:hAnsi="宋体" w:cs="宋体"/>
                <w:b/>
                <w:bCs/>
                <w:color w:val="auto"/>
                <w:kern w:val="0"/>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履约保证金收取及退付</w:t>
            </w:r>
          </w:p>
        </w:tc>
        <w:tc>
          <w:tcPr>
            <w:tcW w:w="7225" w:type="dxa"/>
            <w:gridSpan w:val="3"/>
            <w:vAlign w:val="center"/>
          </w:tcPr>
          <w:p w14:paraId="675B45C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1.成交人于合同签订前按成交金额的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%向采购人指定账户提交履约保证金。 </w:t>
            </w:r>
          </w:p>
          <w:p w14:paraId="39C1C2C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2.递交方式：银行转账、支票、汇票、本票或者金融、担保机构出具的保函等非现金方式。 </w:t>
            </w:r>
          </w:p>
          <w:p w14:paraId="595B209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3.成交人若不能完全履行合同，履约保证金不返还；成交人若完全履行合同及质量保证义务，且没有任何未解决的质量问题，货到验收合格且质保期满后成交人凭履约保证金退付申请书和履约保证金汇款（转账）单到采购单位办理无息退还手续。涉及违约的违约金和损失赔偿从履约保证金中扣减。履约保证金指定账户： </w:t>
            </w:r>
          </w:p>
          <w:p w14:paraId="17FF27B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开户名称：河池学院 </w:t>
            </w:r>
          </w:p>
          <w:p w14:paraId="32A2600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开户行：建行宜州支行营业部 </w:t>
            </w:r>
          </w:p>
          <w:p w14:paraId="1A4BE01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账号：4500 1697 1460 5050 2776</w:t>
            </w:r>
          </w:p>
        </w:tc>
      </w:tr>
      <w:tr w14:paraId="6B4C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4651EEB6">
            <w:pPr>
              <w:spacing w:line="400" w:lineRule="exact"/>
              <w:jc w:val="center"/>
              <w:rPr>
                <w:rFonts w:hint="eastAsia" w:ascii="宋体" w:hAnsi="宋体" w:cs="宋体"/>
                <w:b/>
                <w:bCs/>
                <w:color w:val="auto"/>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付款方式</w:t>
            </w:r>
          </w:p>
        </w:tc>
        <w:tc>
          <w:tcPr>
            <w:tcW w:w="7225" w:type="dxa"/>
            <w:gridSpan w:val="3"/>
            <w:vAlign w:val="center"/>
          </w:tcPr>
          <w:p w14:paraId="503FA5F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货物全部送达指定交货地点且经现场交货初验（核验货物型号、数量、外观、包装）合格并签收。货物（含服务部分）安装调式正常运行 10 个工作日后，经最终验收合格，供应商提交付款申请书、开具的合同金额增值税专用发票及货物验收证明书，采购人在收到以上材料后 10 个工作日内向供应商支付 100%的合同货款。</w:t>
            </w:r>
          </w:p>
        </w:tc>
      </w:tr>
      <w:tr w14:paraId="7E25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752757AE">
            <w:pPr>
              <w:spacing w:line="400" w:lineRule="exact"/>
              <w:jc w:val="center"/>
              <w:rPr>
                <w:rFonts w:hint="eastAsia" w:ascii="宋体" w:hAnsi="宋体" w:cs="宋体"/>
                <w:b/>
                <w:bCs/>
                <w:color w:val="auto"/>
                <w:kern w:val="1"/>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其他要求</w:t>
            </w:r>
          </w:p>
        </w:tc>
        <w:tc>
          <w:tcPr>
            <w:tcW w:w="7225" w:type="dxa"/>
            <w:gridSpan w:val="3"/>
            <w:vAlign w:val="center"/>
          </w:tcPr>
          <w:p w14:paraId="015BA2E1">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1.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14:paraId="33843E2C">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本项目实行总价包干制，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成交供应商承担。合同履行过程中，采购人不再支付合同以外的其他费用。</w:t>
            </w:r>
          </w:p>
          <w:p w14:paraId="7351ECCF">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3.成交供应商承担货物交付验收前的运输、安装等作业工人人身、设备安全责任。验收前，如果设备丢失、因供应商自身原因及第三方原因导致损坏，成交供应商应自行负责并承担不能交付货物的责任。</w:t>
            </w:r>
          </w:p>
          <w:p w14:paraId="28F6A9D7">
            <w:pPr>
              <w:pStyle w:val="11"/>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4.本项目不接受进口产品（即通过中国海关报关验放进入中国境内且产自关境外的产品）参与</w:t>
            </w:r>
            <w:r>
              <w:rPr>
                <w:rFonts w:hint="eastAsia" w:ascii="宋体" w:hAnsi="宋体" w:eastAsia="宋体" w:cs="宋体"/>
                <w:color w:val="auto"/>
                <w:szCs w:val="21"/>
                <w:highlight w:val="none"/>
                <w:lang w:bidi="ar"/>
              </w:rPr>
              <w:t>竞争性谈判</w:t>
            </w:r>
            <w:r>
              <w:rPr>
                <w:rFonts w:hint="eastAsia" w:ascii="宋体" w:hAnsi="宋体" w:eastAsia="宋体" w:cs="宋体"/>
                <w:color w:val="auto"/>
                <w:szCs w:val="21"/>
                <w:highlight w:val="none"/>
              </w:rPr>
              <w:t>，如有此类产品参与</w:t>
            </w:r>
            <w:r>
              <w:rPr>
                <w:rFonts w:hint="eastAsia" w:ascii="宋体" w:hAnsi="宋体" w:eastAsia="宋体" w:cs="宋体"/>
                <w:color w:val="auto"/>
                <w:szCs w:val="21"/>
                <w:highlight w:val="none"/>
                <w:lang w:bidi="ar"/>
              </w:rPr>
              <w:t>竞争性谈判</w:t>
            </w:r>
            <w:r>
              <w:rPr>
                <w:rFonts w:hint="eastAsia" w:ascii="宋体" w:hAnsi="宋体" w:eastAsia="宋体" w:cs="宋体"/>
                <w:color w:val="auto"/>
                <w:szCs w:val="21"/>
                <w:highlight w:val="none"/>
              </w:rPr>
              <w:t>的按无效响应处理。</w:t>
            </w:r>
          </w:p>
          <w:p w14:paraId="5FDB5082">
            <w:pPr>
              <w:keepNext w:val="0"/>
              <w:keepLines w:val="0"/>
              <w:widowControl/>
              <w:suppressLineNumbers w:val="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现场演示时间：响应文件提交截止时间后，具体时间另行电话通知，请供应商保持手机畅通，如因供应商原因而未能取得联系的，一切不利后果由供应商负责。演示顺序依据广西政府采购云平台中的供应商顺序进行。演示地点：广西政府采购云平台（可通过共享屏幕、摄像头对着实际软件产品实操演示等多种方式进行演示，供应商自行准备好网络环境，演示所需的电脑，摄像头，麦克风等）；每位供应商视频演示时间不得超过20分钟（含调试、讲解、演示，请供应商提前做好调试准备）。</w:t>
            </w:r>
          </w:p>
          <w:p w14:paraId="19DE56E1">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本项目的核心产品为：第7项“教学云终端”</w:t>
            </w:r>
          </w:p>
        </w:tc>
      </w:tr>
    </w:tbl>
    <w:p w14:paraId="0252878D">
      <w:pPr>
        <w:rPr>
          <w:rFonts w:hint="eastAsia" w:ascii="宋体" w:hAnsi="宋体" w:cs="宋体"/>
          <w:color w:val="auto"/>
          <w:highlight w:val="none"/>
        </w:rPr>
      </w:pPr>
      <w:r>
        <w:rPr>
          <w:rFonts w:hint="eastAsia" w:ascii="宋体" w:hAnsi="宋体" w:cs="宋体"/>
          <w:color w:val="auto"/>
          <w:highlight w:val="none"/>
        </w:rPr>
        <w:br w:type="page"/>
      </w:r>
    </w:p>
    <w:tbl>
      <w:tblPr>
        <w:tblStyle w:val="26"/>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0"/>
        <w:gridCol w:w="680"/>
        <w:gridCol w:w="700"/>
        <w:gridCol w:w="5845"/>
      </w:tblGrid>
      <w:tr w14:paraId="72A3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9441" w:type="dxa"/>
            <w:gridSpan w:val="5"/>
            <w:vAlign w:val="center"/>
          </w:tcPr>
          <w:p w14:paraId="3326CD6B">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分标2：跨境电商多功能理实一体化综合实训室设备采购</w:t>
            </w:r>
          </w:p>
        </w:tc>
      </w:tr>
      <w:tr w14:paraId="5AA6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796" w:type="dxa"/>
            <w:vAlign w:val="center"/>
          </w:tcPr>
          <w:p w14:paraId="7CF18118">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420" w:type="dxa"/>
            <w:vAlign w:val="center"/>
          </w:tcPr>
          <w:p w14:paraId="57F278EB">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标的名称</w:t>
            </w:r>
          </w:p>
        </w:tc>
        <w:tc>
          <w:tcPr>
            <w:tcW w:w="680" w:type="dxa"/>
            <w:vAlign w:val="center"/>
          </w:tcPr>
          <w:p w14:paraId="0C15AB50">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700" w:type="dxa"/>
            <w:vAlign w:val="center"/>
          </w:tcPr>
          <w:p w14:paraId="3659CAAB">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5845" w:type="dxa"/>
            <w:vAlign w:val="center"/>
          </w:tcPr>
          <w:p w14:paraId="2DC0DB36">
            <w:pPr>
              <w:spacing w:line="400" w:lineRule="exact"/>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技术参数及性能（配置）要求</w:t>
            </w:r>
          </w:p>
        </w:tc>
      </w:tr>
      <w:tr w14:paraId="4AF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406FBC1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420" w:type="dxa"/>
            <w:vAlign w:val="center"/>
          </w:tcPr>
          <w:p w14:paraId="1990956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ALE数字贸易B2C全流程实训平台软件</w:t>
            </w:r>
          </w:p>
        </w:tc>
        <w:tc>
          <w:tcPr>
            <w:tcW w:w="680" w:type="dxa"/>
            <w:vAlign w:val="center"/>
          </w:tcPr>
          <w:p w14:paraId="5ABF72D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7DA5A2A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565EE1B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一、教师端教学要求：</w:t>
            </w:r>
          </w:p>
          <w:p w14:paraId="1106616F">
            <w:pPr>
              <w:pStyle w:val="9"/>
              <w:rPr>
                <w:rFonts w:hint="eastAsia" w:ascii="宋体" w:hAnsi="宋体" w:cs="宋体"/>
                <w:color w:val="auto"/>
                <w:szCs w:val="21"/>
                <w:highlight w:val="none"/>
              </w:rPr>
            </w:pPr>
            <w:r>
              <w:rPr>
                <w:rFonts w:hint="eastAsia" w:ascii="宋体" w:hAnsi="宋体" w:cs="宋体"/>
                <w:color w:val="auto"/>
                <w:szCs w:val="21"/>
                <w:highlight w:val="none"/>
              </w:rPr>
              <w:t>1.1教师可同时创建和管理多个课程， 也可以以学习者身份加入其他老师创建的课程。创建课程时可根据自身教学需求选择短(包含18~28 教学课时)、中(包含44~52 教学课时)、长(包含68~76 教学课时)三种不同时长。（</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20E2DAE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▲1.2系统包含时光机功能, 用于显示课程当前日期和时间，模拟真实的跨境电商中的运营周期。教师可通过改变时光机时间流逝倍速（0.5倍-48倍共9档）来调节实训进度，自由把控实训和教学节奏，满足学校不同实训课时的要求。（</w:t>
            </w:r>
            <w:r>
              <w:rPr>
                <w:rFonts w:hint="eastAsia"/>
                <w:color w:val="auto"/>
                <w:highlight w:val="none"/>
              </w:rPr>
              <w:t>在响应文件中</w:t>
            </w:r>
            <w:r>
              <w:rPr>
                <w:rFonts w:hint="eastAsia" w:ascii="宋体" w:hAnsi="宋体" w:cs="宋体"/>
                <w:color w:val="auto"/>
                <w:szCs w:val="21"/>
                <w:highlight w:val="none"/>
              </w:rPr>
              <w:t>相关证明材料，包括但不限于彩页、官网和功能截图等）</w:t>
            </w:r>
          </w:p>
          <w:p w14:paraId="39F3AA1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1.3教师可在课程首页公告栏发布公告。</w:t>
            </w:r>
          </w:p>
          <w:p w14:paraId="53D1826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1.4系统支持课程暂停功能，教师可通过系统模拟的电源开关启动或暂停课程。暂停后课程中的时间将会冻结，其间所有的活动也将被暂停。（</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2784BD4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1.5教师可在测验模块中调整参考答案的显示情况，可选择作答完成后显示或一直不显示。</w:t>
            </w:r>
          </w:p>
          <w:p w14:paraId="2A5D288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1.6在成绩模块中，教师能查看每个学生或团队的分数情况，其中包括任务完成度得分、操作准确度得分及测验得分，并可自由调整这三大得分项的分数占比。教师还可以导出个人成绩及个人实训报告、团队成绩及团队实训报告，实训报告应包含任务进度、每个考核项目的得分情况及测验的正确率等。</w:t>
            </w:r>
          </w:p>
          <w:p w14:paraId="52E97D1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1.7教师可把已经注册的学生直接导入到创建的课程当中，同时支持添加多位指导教师和助教共同参与管理。系统支持组建新团队、加入和退出已有团队，以团队形式参与跨境电商运营；支持批量导入个人和团队账户、删除个人和团队账户</w:t>
            </w:r>
          </w:p>
          <w:p w14:paraId="626FD8D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1.8系统包含课程隐藏功能及是否允许加入功能，老师将课程状态设为隐藏时，所有成员都无法访问。老师允许加入新成员时，可随机生成加入密码。（</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77DE2D2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1.9系统提供替身模式，教师无需退出当前账号，直接以替身模式进入学生操作页面查看学生的实训实时情况，同时还支持在替身模式中随时切换不同学生账号。（</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21783AB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1.10教师可以在系统中上传参考资料供学生学习使用，上传的资料支持csv, xls, xlsx, doc, docx, ppt, pptx, zip, rar, 7z, pdf, txt, bmp, gif, jpg, png, jpeg, mp3, wma, mp4, mov多种格式。</w:t>
            </w:r>
          </w:p>
          <w:p w14:paraId="1C70713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二、学生端要求：</w:t>
            </w:r>
          </w:p>
          <w:p w14:paraId="20B5224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2.1学生可通过老师提供的加入密码自由加入课程。</w:t>
            </w:r>
          </w:p>
          <w:p w14:paraId="5FF1C87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2.2系统包含首页、工作区、测验、成绩册、团队、讨论区、参考资料及帮助八个模块。</w:t>
            </w:r>
          </w:p>
          <w:p w14:paraId="59A3D3D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2.3系统虚拟仿真跨境电商企业总部及仓库两大场景，总部场景中模拟公司员工办公工位，学生通过办公桌面进入实训，其中包含公司资料、市场调研报告、财务报表及任务清单四大文件夹，工位电脑上包含采购订单、发货管理、调仓管理、库存管理、批发宝、商品条码及仿真的跨境电商平台多个功能入口。在仓库场景中，需提供办公区、仓储区、打包区三个小场景，分别模拟仓库管理员、拣货员、打包员不同岗位在收到公司总部发来的订单信息后的操作流程。</w:t>
            </w:r>
          </w:p>
          <w:p w14:paraId="7D03E1A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2.4系统模拟的跨境电商平台需支持以下功能：</w:t>
            </w:r>
          </w:p>
          <w:p w14:paraId="18F4ED7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2.4.1支持跨境电商卖家账户注册，包含电话验证、邮箱验证和支付宝企业账户认证。</w:t>
            </w:r>
          </w:p>
          <w:p w14:paraId="07466C1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2.4.2支持“我的跨境电商平台首页”，包括：</w:t>
            </w:r>
          </w:p>
          <w:p w14:paraId="33AC4B0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2.4.2.1支持店铺信息展示</w:t>
            </w:r>
          </w:p>
          <w:p w14:paraId="73C6FB4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2.4.2.2提供快捷操作入口，包括开通店铺，发布商品，设置运费模板</w:t>
            </w:r>
          </w:p>
          <w:p w14:paraId="33A27AF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2.4.2.3支持快捷数据面板，包括消息中心、订单数、物流待发货、售后纠纷、商品、违规</w:t>
            </w:r>
          </w:p>
          <w:p w14:paraId="7B53CA4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2.4.3支持商品发布相关功能，包括：</w:t>
            </w:r>
          </w:p>
          <w:p w14:paraId="5883748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2.4.3.1提供商品发布页面，包括基本信息、价格与库存、详细描述、包装与物流和其他设置共5大模块</w:t>
            </w:r>
          </w:p>
          <w:p w14:paraId="461B747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2.4.3.2支持类目切换、营销图设置、父-子商品设置、发货地设置、批发价设置</w:t>
            </w:r>
          </w:p>
          <w:p w14:paraId="2650670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2.4.3.3支持录入暂存功能（草稿箱）</w:t>
            </w:r>
          </w:p>
          <w:p w14:paraId="758E4BC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2.4.3.4支持发货地与运费模板设置不匹配提示，及其他错误操作提示</w:t>
            </w:r>
          </w:p>
          <w:p w14:paraId="6EFE7E1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2.4.4支持商品发布相关功能，包括：</w:t>
            </w:r>
          </w:p>
          <w:p w14:paraId="34372B6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2.4.4.1展示正在销售、草稿箱、审核中、审核不通过和已下架5中状态的商品信息</w:t>
            </w:r>
          </w:p>
          <w:p w14:paraId="4389683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2.4.4.2支持对已发布产品进行编辑、下架、删除、重新上架操作</w:t>
            </w:r>
          </w:p>
          <w:p w14:paraId="0970A0C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2.4.5支持素材中心 (图片银行)，对商品图片的分组管理。</w:t>
            </w:r>
          </w:p>
          <w:p w14:paraId="40D41FF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▲2.4.6支持运费模板相关功能，至少包括：</w:t>
            </w:r>
          </w:p>
          <w:p w14:paraId="24DA6F3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2.4.6.1支持新建、修改、复制、查看和删除运费模板</w:t>
            </w:r>
          </w:p>
          <w:p w14:paraId="6AE964D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2.4.6.2支持设置中国、西班牙、比利时、捷克、法国和波兰六个发货地</w:t>
            </w:r>
          </w:p>
          <w:p w14:paraId="16CDD64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2.4.6.3支持按照地区选择国家设置物流运费，可分为亚洲、北美洲、大洋洲、南非、欧洲、南美洲六大洲</w:t>
            </w:r>
          </w:p>
          <w:p w14:paraId="71A35EA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2.4.6.4支持经济类、简易类、标准类、快速类和其他类物流发货设置</w:t>
            </w:r>
          </w:p>
          <w:p w14:paraId="2373113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2.4.6.5支持设置标准运费、卖家承担、不发货和自定义运费设置</w:t>
            </w:r>
          </w:p>
          <w:p w14:paraId="1068888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2.4.6.6支持自定义预计承诺运达时间设置</w:t>
            </w:r>
          </w:p>
          <w:p w14:paraId="154B890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2.4.6.7支持关联商品上架、订单发货和海外仓设置</w:t>
            </w:r>
          </w:p>
          <w:p w14:paraId="0DD58CE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2.4.7支持服务模板设置货不对版服务。</w:t>
            </w:r>
          </w:p>
          <w:p w14:paraId="548BDB0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2.4.8支持新建和修改商品分组，并关联商品上架页面和买家端商品详情页。</w:t>
            </w:r>
          </w:p>
          <w:p w14:paraId="145D81B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▲2.4.9支持模拟订单处理相关功能，至少包括：</w:t>
            </w:r>
          </w:p>
          <w:p w14:paraId="624626D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2.4.9.1支持收到模拟买家订单功能</w:t>
            </w:r>
          </w:p>
          <w:p w14:paraId="384CEC6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2.4.9.2支持订单看板数据统计和筛选、所有状态订单的列表展示</w:t>
            </w:r>
          </w:p>
          <w:p w14:paraId="7A15431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2.4.9.3支持跨境电商线上发货、线下发货全套流程处理</w:t>
            </w:r>
          </w:p>
          <w:p w14:paraId="1CBCB5B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2.4.9.4支持选择线上发货物流方案，创建线上发货物流订单</w:t>
            </w:r>
          </w:p>
          <w:p w14:paraId="0E94AD1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2.4.9.5支持菜鸟系、无忧系物流发货，包括菜鸟超级经济、AliExpress无忧物流-标准、AliExpress无忧物流-简易、AliExpress无忧物流-优先</w:t>
            </w:r>
          </w:p>
          <w:p w14:paraId="78C0086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2.4.9.6支持其他物流发货，包括中国邮政平常小包+、中邮e邮宝、EMS、UPS全球速快</w:t>
            </w:r>
          </w:p>
          <w:p w14:paraId="7A0ECC6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2.4.9.7针对线上发货物流设置匹配五个国内中转仓发货</w:t>
            </w:r>
          </w:p>
          <w:p w14:paraId="24C470C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2.4.9.8支持中转仓物流的上门揽收取货和自配送操作</w:t>
            </w:r>
          </w:p>
          <w:p w14:paraId="1F2812C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2.4.9.9支持打印发货标签</w:t>
            </w:r>
          </w:p>
          <w:p w14:paraId="5F665AB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2.4.9.10支持填写和修改发货通知</w:t>
            </w:r>
          </w:p>
          <w:p w14:paraId="74B36F0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2.4.9.11支持海外仓订单自动流转至海外仓BMS发货</w:t>
            </w:r>
          </w:p>
          <w:p w14:paraId="22B6669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2.4.9.12支持查看交易订单详情页和物流订单详情</w:t>
            </w:r>
          </w:p>
          <w:p w14:paraId="4A8B423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2.4.9.13支持查看物流运输状态</w:t>
            </w:r>
          </w:p>
          <w:p w14:paraId="5B78262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2.4.9.14支持延长收货时间设置</w:t>
            </w:r>
          </w:p>
          <w:p w14:paraId="2B5B73E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2.4.10消息中心支持对指定订单联系买家沟通，并预设10份售前、售中、售后沟通教学示例。</w:t>
            </w:r>
          </w:p>
          <w:p w14:paraId="6E7AAD2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2.4.11纠纷与退款支持模拟退款订单处理、订单退款操作。</w:t>
            </w:r>
          </w:p>
          <w:p w14:paraId="73508BA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▲2.4.12支持菜鸟官方海外仓的相关功能，至少包括：</w:t>
            </w:r>
          </w:p>
          <w:p w14:paraId="740A563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2.4.12.1支持菜鸟官方海外仓申请和管理；</w:t>
            </w:r>
          </w:p>
          <w:p w14:paraId="4B9A600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2.4.12.2支持开通西班牙、法国、波兰、比利时、捷克五个国家海外仓</w:t>
            </w:r>
          </w:p>
          <w:p w14:paraId="7C62197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2.4.12.3菜鸟商家工作台支持自动同步跨境电商平台“正在销售”状态商品至列表</w:t>
            </w:r>
          </w:p>
          <w:p w14:paraId="5A7719C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2.4.12.4菜鸟商家工作台支持货品创建和管理</w:t>
            </w:r>
          </w:p>
          <w:p w14:paraId="2623FE5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2.4.12.5菜鸟商家工作台支持商品与货品关系的匹配</w:t>
            </w:r>
          </w:p>
          <w:p w14:paraId="4DE0574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2.4.12.6菜鸟商家工作台支持货品通关信息查询、添加和修改，打印货品标签</w:t>
            </w:r>
          </w:p>
          <w:p w14:paraId="3280D6D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2.4.12.7菜鸟商家工作台支持货品头程单创建和查询，打印头程唛头</w:t>
            </w:r>
          </w:p>
          <w:p w14:paraId="13BF021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2.4.12.8菜鸟商家工作台支持交易订单查询，包括待下发仓库、已发货、已签收和已取消</w:t>
            </w:r>
          </w:p>
          <w:p w14:paraId="21BF521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2.4.12.9菜鸟商家工作台支持仓库库存查询，包括待入库和已入库</w:t>
            </w:r>
          </w:p>
          <w:p w14:paraId="43BC34B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2.4.12.10菜鸟商家工作台支持15种海外仓尾程配送物流，包括标准类的西班牙邮政、4PX比利时邮政本地派送、4PX捷克GLS派送、法国邮政和菜鸟海外仓标准(西班牙仓、法国仓、波兰仓、比利时仓、捷克仓)；以及快速类的波兰DHL派送、菜鸟海外仓标准(西班牙仓、法国仓、波兰仓、比利时仓、捷克仓)</w:t>
            </w:r>
          </w:p>
          <w:p w14:paraId="263FF2F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2.4.13提供资金结算记录、订单放款记录和订单退款记录。</w:t>
            </w:r>
          </w:p>
          <w:p w14:paraId="7E59431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2.4.14支持支付宝国际账户相关功能，包括：</w:t>
            </w:r>
          </w:p>
          <w:p w14:paraId="4171087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2.4.14.1 支持支付宝国际账户提现操作， </w:t>
            </w:r>
          </w:p>
          <w:p w14:paraId="285E1E4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2.4.14.2可查看支付宝国际账户动账记录</w:t>
            </w:r>
          </w:p>
          <w:p w14:paraId="3DBCAFA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2.4.14.3 支持支付宝国际账户代扣菜鸟物流费用、海外仓尾程物流配送费</w:t>
            </w:r>
          </w:p>
          <w:p w14:paraId="0AACAC4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2.4.15交易评价，在订单列表中显示评价分数。</w:t>
            </w:r>
          </w:p>
          <w:p w14:paraId="1D59381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2.4.16支持申请跨境电商店铺类型（专营店）。</w:t>
            </w:r>
          </w:p>
          <w:p w14:paraId="02C9BB9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2.4.17支持修改店铺名称。</w:t>
            </w:r>
          </w:p>
          <w:p w14:paraId="102DBB7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2.4.18支持查看卖家自己经营的店铺主页。</w:t>
            </w:r>
          </w:p>
          <w:p w14:paraId="457E700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▲2.4.19支持跨境电商平台活动相关功能，至少包括如下：</w:t>
            </w:r>
          </w:p>
          <w:p w14:paraId="1E9C56D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2.4.19.1 展示正在招商的平台活动列表，可筛选活动类型、查看资质、查看活动详情以及报名活动</w:t>
            </w:r>
          </w:p>
          <w:p w14:paraId="6EBC6CF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2.4.19.2 支持平台固定频道活动中的Flash Deals（含俄罗斯团购）和金币频道活动的设置与创建</w:t>
            </w:r>
          </w:p>
          <w:p w14:paraId="4DAC368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2.4.19.3 新版Flash Deals（含俄罗斯团购）支持每天0点、12点场，每月9天，全年共计216个子活动场次；支持活动协议确认、选择活动商品、设置折扣与库存</w:t>
            </w:r>
          </w:p>
          <w:p w14:paraId="62B50FA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2.4.19.4金币频道活动，支持每天1场，每月14天，全年共计168个子活动场次</w:t>
            </w:r>
          </w:p>
          <w:p w14:paraId="5725F9A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2.4.19.5 支持活动协议确认、选择活动商品、设置折扣与库存"</w:t>
            </w:r>
          </w:p>
          <w:p w14:paraId="66E7EEF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2.4.20支持跨境电商店铺活动相关功能，包括：</w:t>
            </w:r>
          </w:p>
          <w:p w14:paraId="6AC7250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2.4.20.1 展示所有生效中的店铺活动统计数据和设置入口</w:t>
            </w:r>
          </w:p>
          <w:p w14:paraId="74E4CA0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2.4.20.2 店铺活动支持单品折扣活动（原限时限量折扣活动）、满立减活动和店铺优惠券活动</w:t>
            </w:r>
          </w:p>
          <w:p w14:paraId="0827167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2.4.20.3支持活动信息列表，可创建、编辑、查看、暂停、重新生效活动</w:t>
            </w:r>
          </w:p>
          <w:p w14:paraId="5E963F7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2.4.20.4 支持设置活动时间、活动梯度、优惠信息和适用商品</w:t>
            </w:r>
          </w:p>
          <w:p w14:paraId="450E208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2.4.21支持利用直通车推广，包括创建重点推广计划、添加关键词、设置日消耗上限、定价等。</w:t>
            </w:r>
          </w:p>
          <w:p w14:paraId="4A01F85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2.4.22账号设置支持显示卖家账户信息。</w:t>
            </w:r>
          </w:p>
          <w:p w14:paraId="48A1D92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2.4.23支持申请8个跨境电商经营大类，以及退出、切换和重新开通当前经营大类。</w:t>
            </w:r>
          </w:p>
          <w:p w14:paraId="0414B76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2.4.24选择店铺类型支持查看已申请店铺类型。</w:t>
            </w:r>
          </w:p>
          <w:p w14:paraId="29CD15D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2.4.25支持生意参谋相关功能，包括：</w:t>
            </w:r>
          </w:p>
          <w:p w14:paraId="3BCC3CD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2.4.25.1 生意参谋驾驶舱首页提供实时概况、实时商品访客榜、整体看板模块；</w:t>
            </w:r>
          </w:p>
          <w:p w14:paraId="2545D1A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2.4.25.2 生意参谋驾驶舱首页提供支付金额、访客数、订单数、客单价、转化率、浏览量等实时运营数据；</w:t>
            </w:r>
          </w:p>
          <w:p w14:paraId="0287CDB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2.4.25.3 生意参谋驾驶舱首页提供整体看板中的当日所有指标数据的折线图、以及于上一日和上周同期的同比数据。</w:t>
            </w:r>
          </w:p>
          <w:p w14:paraId="2EEB3F6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2.4.26支持显示我的处罚信息页面。</w:t>
            </w:r>
          </w:p>
          <w:p w14:paraId="11ECBB3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2.4.27支持显示我的案件信息页面。</w:t>
            </w:r>
          </w:p>
          <w:p w14:paraId="41D751E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2.4.28支持查看买家端首页和商品详情页。</w:t>
            </w:r>
          </w:p>
          <w:p w14:paraId="7C6DB65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▲2.5仓库场景包含跨境电商仓库在收到前台订单信息后的操作流程，至少包含如下：</w:t>
            </w:r>
          </w:p>
          <w:p w14:paraId="17FA683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2.5.1仓库办公区支持发货管理和调仓管理，其中包括拣货列表打印、待打包、待取件、发货列表等信息查询，可通过已发货列表查询物流单号后，回到跨境电商平台完成线下发货操作。支持已打包好的货物通过办公桌面模拟的电话，通知物流公司上门取件。</w:t>
            </w:r>
          </w:p>
          <w:p w14:paraId="7C7C58F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2.5.2仓库仓储区支持货品拣货功能，若商品库存不足或商品运输在途还未入库时，系统能给出提示告知拣货失败。</w:t>
            </w:r>
          </w:p>
          <w:p w14:paraId="496D35B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2.5.3仓库打包区支持将拣出来的货物进行打包操作。</w:t>
            </w:r>
          </w:p>
          <w:p w14:paraId="7DB3C7B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2.6系统支持全中文、全英文环境下两种语言自由切换，以组织教学、实训。同时支持白天、暗夜主题自由切换。(</w:t>
            </w:r>
            <w:r>
              <w:rPr>
                <w:rFonts w:hint="eastAsia"/>
                <w:color w:val="auto"/>
                <w:highlight w:val="none"/>
              </w:rPr>
              <w:t>在响应文件中</w:t>
            </w:r>
            <w:r>
              <w:rPr>
                <w:rFonts w:hint="eastAsia" w:ascii="宋体" w:hAnsi="宋体" w:cs="宋体"/>
                <w:color w:val="auto"/>
                <w:szCs w:val="21"/>
                <w:highlight w:val="none"/>
              </w:rPr>
              <w:t>须提供软件功能截图证明）</w:t>
            </w:r>
          </w:p>
          <w:p w14:paraId="75017D7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2.7提供实训任务流程图、任务清单和任务成就星级，具体为：</w:t>
            </w:r>
          </w:p>
          <w:p w14:paraId="55370AE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2.7.1任务流程图制定了初级任务、中级任务和高级任务的实训内容。</w:t>
            </w:r>
          </w:p>
          <w:p w14:paraId="3BA9530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2.7.2任务清单制定了完成一个完整实训流程（单循环）所需要经历的所有步骤以及相应的课时数。</w:t>
            </w:r>
          </w:p>
          <w:p w14:paraId="69E3D01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2.7.3任务成就制定了对应任务完成不同任务量可获取的星级和分数。</w:t>
            </w:r>
          </w:p>
          <w:p w14:paraId="63B40A2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2.8支持总部采购管理、发货管理、调仓管理和仓储管理。</w:t>
            </w:r>
          </w:p>
          <w:p w14:paraId="0CF672A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2.9系统提供跨境电商市场调研环境数据，包括电商平台介绍、税收信息（关税和HS编码）、物流信息（计费方式、可选调仓箱型、物流服务查询）、融资指南和外汇牌价。</w:t>
            </w:r>
          </w:p>
          <w:p w14:paraId="65994D8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2.10系统提供人民币和美元两种银行对公账户，并预设初始运营资金</w:t>
            </w:r>
          </w:p>
          <w:p w14:paraId="453F29B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2.11系统提供批发宝（模拟1688）商品采购市场，支持商品下单采购（含多种变体可选，最大支持6*5共30个变体子商品结构；含阶梯批发价可选）。</w:t>
            </w:r>
          </w:p>
          <w:p w14:paraId="2330929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▲2.12至少支持模拟在GS1官网采购商品条码的公司前缀，并创建和管理UPC和EAN商品条形码。</w:t>
            </w:r>
          </w:p>
          <w:p w14:paraId="1973C84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2.13提供不少于120份公司背景信息、33个国家的1700份买家信息、不少于9种类别18种商品的至少1080份商品资料。</w:t>
            </w:r>
          </w:p>
          <w:p w14:paraId="09D6179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2.14系统提供讨论区功能，可发布及回复话题。</w:t>
            </w:r>
          </w:p>
          <w:p w14:paraId="7553DB9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2.15提供帮助系统，其中包含组建团队、任务成就、测验考核、实训指引四项内容。</w:t>
            </w:r>
          </w:p>
          <w:p w14:paraId="2D1CF51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五、供货时提供有国家版权局颁发的“计算机软件著作权登记证书复印件并加盖厂家公章”；验收时供应商（非生产厂家）必须提供货物生产厂家出具的原厂售后服务承诺书原件（承诺中要包括厂家免费升级的年限，并加盖厂家公章），否则不予验收。</w:t>
            </w:r>
          </w:p>
        </w:tc>
      </w:tr>
      <w:tr w14:paraId="7A9B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1E0917F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420" w:type="dxa"/>
            <w:vAlign w:val="center"/>
          </w:tcPr>
          <w:p w14:paraId="5DE9430F">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智能化语言教学综合软件包</w:t>
            </w:r>
          </w:p>
        </w:tc>
        <w:tc>
          <w:tcPr>
            <w:tcW w:w="680" w:type="dxa"/>
            <w:vAlign w:val="center"/>
          </w:tcPr>
          <w:p w14:paraId="58BE789B">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1E25AA34">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套</w:t>
            </w:r>
          </w:p>
        </w:tc>
        <w:tc>
          <w:tcPr>
            <w:tcW w:w="5845" w:type="dxa"/>
            <w:vAlign w:val="center"/>
          </w:tcPr>
          <w:p w14:paraId="25FF42D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对外语听说读写译均有专业的教学系统设计，既可以作为英语自主学习室，智能化的语言教学室，又可用作听说教学室、口译教学室、自习辅导教学室，同时还可以用作协作式教学室，同时配备大学口语考试等，也可以作为无纸化考场。</w:t>
            </w:r>
          </w:p>
          <w:p w14:paraId="4CB4038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一、语言智能化教学软件要求</w:t>
            </w:r>
          </w:p>
          <w:p w14:paraId="30F9231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1、智能化英语教学软件</w:t>
            </w:r>
          </w:p>
          <w:p w14:paraId="60C3442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▲1）智能化桌面定制：可以定制系统桌面、记录课程进度，支持第三方应用关联；能够选择继续上一堂课的内容和模式。</w:t>
            </w:r>
          </w:p>
          <w:p w14:paraId="3E19709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2）教学资源智能识别：可以自动识别目录文件夹、电脑桌面、移动设备中的教学文本、音频、视频等素材。</w:t>
            </w:r>
          </w:p>
          <w:p w14:paraId="710233F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▲3）智能化分析：可以对资源进行“重点知识点”、“难度系数”的智能化分析，分析结果自动标亮并匹配知识点课件。</w:t>
            </w:r>
          </w:p>
          <w:p w14:paraId="7C8F768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4）文本转音频：可以将系统自带或外部导入的word、text等文本自动生成配套音频。</w:t>
            </w:r>
          </w:p>
          <w:p w14:paraId="26C2C1B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多媒体教学：可以使用屏幕广播、语音广播、黑屏肃静、示范教学、师生对讲、小组讨论、监视监听、座位显示、资料显示、电子画笔、文件下发与收集、学生录音、课堂录制、随堂提问、短信互动、遮挡板、计时器、百科查看等教学功能。</w:t>
            </w:r>
          </w:p>
          <w:p w14:paraId="188EEEB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▲6）教学智能匹配：可以根据资料来源、类型、内容关键字为教师推荐教学模式，支持教学模式切换；如教材类资料为课文讲解模式、音频类资料为听力讲解模式。</w:t>
            </w:r>
          </w:p>
          <w:p w14:paraId="3E67A1E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7）重难点标注：支持学生课前资料预览、重难点知识标注，教师端可以自动统计标注知识点、标注人数并匹配知识点课件。(软件设计需体现如下：①学生可对老师下发的文本内不懂的难点内容(如重点单词、短语、语句)进行标注；②教师端自动统计标注知识点、标注人数并匹配知识点课件。③老师端能实时直观体现标注内容及全班标注情况方便老师进行讲评。</w:t>
            </w:r>
            <w:r>
              <w:rPr>
                <w:rFonts w:hint="eastAsia" w:ascii="宋体" w:hAnsi="宋体" w:cs="宋体"/>
                <w:color w:val="auto"/>
                <w:szCs w:val="21"/>
                <w:highlight w:val="none"/>
              </w:rPr>
              <w:t>要求现场演示①-③项功能</w:t>
            </w:r>
            <w:r>
              <w:rPr>
                <w:rFonts w:hint="eastAsia" w:ascii="宋体" w:hAnsi="宋体" w:cs="宋体"/>
                <w:color w:val="auto"/>
                <w:szCs w:val="21"/>
                <w:highlight w:val="none"/>
              </w:rPr>
              <w:t>)</w:t>
            </w:r>
          </w:p>
          <w:p w14:paraId="62662CF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跟读训练：支持学生跟读训练，可设定播放次数、跟读方式，可以切换手动跟读或自动领读；跟读结束后，以图表形式自动统计跟读结果，教师可对学生跟读录音进行讲评，全班每个学生每句的跟读情况均能示范讲解。</w:t>
            </w:r>
          </w:p>
          <w:p w14:paraId="04D83DE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9）听写训练：支持学生听写训练，可以设定听写内容、听写播放间隔、遍数；可以自动统计练习结果，教师可以进行讲评。(软件设计需体现如下：①老师可以任选自己手头上WORD或TXT文档听写；②能设置听写的次数，听写内容之间的间隔等；③听写结束教师端反馈每个学生的听写成绩及全班最高分和最低分等；④可以反馈出每个听写内容的正确率或难易情况。</w:t>
            </w:r>
            <w:r>
              <w:rPr>
                <w:rFonts w:hint="eastAsia" w:ascii="宋体" w:hAnsi="宋体" w:cs="宋体"/>
                <w:color w:val="auto"/>
                <w:szCs w:val="21"/>
                <w:highlight w:val="none"/>
              </w:rPr>
              <w:t>要求现场演示①-④项功能</w:t>
            </w:r>
            <w:r>
              <w:rPr>
                <w:rFonts w:hint="eastAsia" w:ascii="宋体" w:hAnsi="宋体" w:cs="宋体"/>
                <w:color w:val="auto"/>
                <w:szCs w:val="21"/>
                <w:highlight w:val="none"/>
              </w:rPr>
              <w:t>)</w:t>
            </w:r>
          </w:p>
          <w:p w14:paraId="76CB7A8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10）填空练习：支持学生填空练习，可以设定练习资料、试题内容、试题答案；可以自动统计练习结果，教师可以进行点评。</w:t>
            </w:r>
          </w:p>
          <w:p w14:paraId="7729061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11）复听：支持学生复听练习，教师可以查看学生复听进度及复听统计情况；教师可进行讲评。(软件设计需体现如下：①听力音频进行自动分句；②对听力内容学生可各自复听；③老师端能反馈全班复听情况，如哪些句子有复听，每一句复听的次数；④老师可直接定位到听力难点句子进行讲评。</w:t>
            </w:r>
            <w:r>
              <w:rPr>
                <w:rFonts w:hint="eastAsia" w:ascii="宋体" w:hAnsi="宋体" w:cs="宋体"/>
                <w:color w:val="auto"/>
                <w:szCs w:val="21"/>
                <w:highlight w:val="none"/>
              </w:rPr>
              <w:t>要求现场演示①-④项功能</w:t>
            </w:r>
            <w:r>
              <w:rPr>
                <w:rFonts w:hint="eastAsia" w:ascii="宋体" w:hAnsi="宋体" w:cs="宋体"/>
                <w:color w:val="auto"/>
                <w:szCs w:val="21"/>
                <w:highlight w:val="none"/>
              </w:rPr>
              <w:t>)</w:t>
            </w:r>
          </w:p>
          <w:p w14:paraId="7BDC0AF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12）听力选择：支持学生听力选择练习，教师可以选取听写资料或自编听力题目，并控制作答过程和进度，系统可以自动统计作答结果，教师可以对作答详情进行讲评。</w:t>
            </w:r>
          </w:p>
          <w:p w14:paraId="439D280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13）朗读训练：支持学生朗读训练，教师可以控制朗读时的学生录音，控制暂停或者继续，可以自动录音，学生可以自听、互听，教师可以进行讲评。</w:t>
            </w:r>
          </w:p>
          <w:p w14:paraId="7F166CD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14）口头表达：支持学生口头表达训练，教师可控制口头表达时的学生录音，可以自动录音，学生可以自听、互听，教师可以进行讲评。</w:t>
            </w:r>
          </w:p>
          <w:p w14:paraId="1A5A401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15）小组讨论：支持学生小组讨论训练，教师可以控制学生小组讨论过程，学生或小组可以自听、互听，教师可进行讲评，小组讨论的录音码流量≥350KBPS。(软件设计需体现如下：①小组间可以讨论通话，相互听到声音，讨论后能自听小组内的讨论自纠；②有互听设计相互学习；③能看到现场的小组录音的文件格式，以及当场验证讨论录音文件的码流量能看到是≥350KBPS。</w:t>
            </w:r>
            <w:r>
              <w:rPr>
                <w:rFonts w:hint="eastAsia" w:ascii="宋体" w:hAnsi="宋体" w:cs="宋体"/>
                <w:color w:val="auto"/>
                <w:szCs w:val="21"/>
                <w:highlight w:val="none"/>
              </w:rPr>
              <w:t>要求现场演示①-③项功能</w:t>
            </w:r>
            <w:r>
              <w:rPr>
                <w:rFonts w:hint="eastAsia" w:ascii="宋体" w:hAnsi="宋体" w:cs="宋体"/>
                <w:color w:val="auto"/>
                <w:szCs w:val="21"/>
                <w:highlight w:val="none"/>
              </w:rPr>
              <w:t>)</w:t>
            </w:r>
          </w:p>
          <w:p w14:paraId="135946A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16）智能语音评测：学生可以进行口语发音练习，可以从“完整性”、“准确性”、“韵律性”、“流利度”进行综合评分，全班学生得分状况以图表形式同步反馈至教师端，教师可根据反馈结果进行针对性讲评；全班每个学生每句的跟读情况均能示范讲解。(软件设计需体现如下：①学生口语发音时，系统根据学生跟读完整性、韵律性、准确性和流利度等维度智能评分并进行统计分析；②全班学生得分状况以图表形式同步反馈至教师端，教师可根据反馈结果进行针对性讲评；③全班每个学生每句的跟读情况均能示范讲解。</w:t>
            </w:r>
            <w:r>
              <w:rPr>
                <w:rFonts w:hint="eastAsia" w:ascii="宋体" w:hAnsi="宋体" w:cs="宋体"/>
                <w:color w:val="auto"/>
                <w:szCs w:val="21"/>
                <w:highlight w:val="none"/>
              </w:rPr>
              <w:t>要求现场演示①-③项功能)</w:t>
            </w:r>
          </w:p>
          <w:p w14:paraId="62F8A3D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2、口译教学软件</w:t>
            </w:r>
          </w:p>
          <w:p w14:paraId="77B2AF9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1）口译教学工具：可以使用百宝箱，师生对讲、监听监视、短信互动、示范教学等口译教学工具。</w:t>
            </w:r>
          </w:p>
          <w:p w14:paraId="1D074C6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2）素材选取：可从配备的资源库、本地电脑或移动设备选择教学资源。</w:t>
            </w:r>
          </w:p>
          <w:p w14:paraId="3C0B2B1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3）影子训练模式：可以模拟同声传译场景。</w:t>
            </w:r>
          </w:p>
          <w:p w14:paraId="1380EE1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4）短期记忆模式：可以模拟交替传译场景。</w:t>
            </w:r>
          </w:p>
          <w:p w14:paraId="543BC9C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▲5）译、原音同步：可以自动打开录制功能，录制学生译音，学生口译和源音同步录制，音频播放中途可进行复述回放或源音回放。</w:t>
            </w:r>
          </w:p>
          <w:p w14:paraId="14B942D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6）译、原音异步：可以播放源音，中途暂停，可以自动打开录制功能，录制学生译音，并可以回放源音。</w:t>
            </w:r>
          </w:p>
          <w:p w14:paraId="22471B7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7）译、原音比对：训练结束后，可以回放源音、译音进行比对。</w:t>
            </w:r>
          </w:p>
          <w:p w14:paraId="1CF63FE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8）干扰音设置：可模拟下雨声、会场声、翻页声、脚步声等真实场景干扰音，可以调节音量大小。</w:t>
            </w:r>
          </w:p>
          <w:p w14:paraId="2DFE9BA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9）变速设置：可以调节播放速度，但不变调。</w:t>
            </w:r>
          </w:p>
          <w:p w14:paraId="1BA5E62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10）教师讲评：可以自动记录录音结果，教师可以查看原音、复述音和混音，教师可以进行播放讲评。</w:t>
            </w:r>
          </w:p>
          <w:p w14:paraId="467B3E8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3、写作式教学软件</w:t>
            </w:r>
          </w:p>
          <w:p w14:paraId="0119E0F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1）多渠道资料选取：支持教师从系统配备的资源库中选择上课课件，也可从本地电脑、U盘上选择个人资料作为上课素材。</w:t>
            </w:r>
          </w:p>
          <w:p w14:paraId="58D902A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▲2）协作形式设置：具有教师设定具体协作形式的功能，支持将学生分为小组写作、个人写作两种形式，任务类型包括“命题写作”、“仿写”、“翻译”。</w:t>
            </w:r>
          </w:p>
          <w:p w14:paraId="1846C79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▲3）布置协作任务：具有多种类型的题目选取的功能，教师可将资料原文直接作为题目，也可手动输入编辑题目或从资料中任意选取内容作为题目。</w:t>
            </w:r>
          </w:p>
          <w:p w14:paraId="6E63966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▲4）互评方式设置：老师可选择系统智能的对学生写作结果进行评估，也可设置小组互评，以小组为单位相互之间对各自的协作成果进行评价打分，支持“一评一”、“二评一”“三评一”多种互评方式。</w:t>
            </w:r>
          </w:p>
          <w:p w14:paraId="7D8E40F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5）分组设置：具有分组形式进行设置的功能，支持调整小组人数，可随机分组，也可按照座位相邻形式进行分组。</w:t>
            </w:r>
          </w:p>
          <w:p w14:paraId="555E2EB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小组协作作答：学生小组成员之间可通过语音、文字进行沟通；小组组长可形成小组协作作答结果，并将作答成果分享给小组所有成员；教学过程中，教师可对学生进行监控、监听或者直接加入小组，辅导学生完成任务。</w:t>
            </w:r>
          </w:p>
          <w:p w14:paraId="1932581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7）教师讲评：系统可自动评估学生作答结果，教师根据系统评估结果及互评统计结果对写作资料及学生作答进行讲解；讲解参考范文中涉及的关键词等相关知识时，可调用知识点课件。</w:t>
            </w:r>
          </w:p>
          <w:p w14:paraId="3B69C2F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8）学生成绩导出：具有按照分组导出学生成绩的功能。</w:t>
            </w:r>
          </w:p>
          <w:p w14:paraId="636882E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4、英语自主训练软件</w:t>
            </w:r>
          </w:p>
          <w:p w14:paraId="3B737CB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听力训练：可以选择听写、听力选择、等级听力训练三种模式。听写训练中，学生可以设置播放次数和播放语速，支持中途暂停，重新听写，单词比对、错误单词标注。听力选择及等级听力训练时，学生可以设置播放次数和播放语速，系统自动给出评测成绩，学生可以查看历史训练记录。</w:t>
            </w:r>
          </w:p>
          <w:p w14:paraId="588532C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口语训练：可以选择跟读、朗读和配音训练三种模式。跟读、朗读训练时，学生可以自主设置次数、播放语速、文本显示方式、打分模式，有声纹显示，会显示哪句正在进行跟读；训练结束后，可以自动统计训练成绩，可以查看训练详情，对比录音与原音及单句得分。配音训练时，学生可设置每句配音次数，可选择字幕显示、打分模式，有声纹显示，会显示哪句正在进行配音；训练结束后，可以自动统计训练成绩，可以查看训练详情，对比录音与原音及单句得分，可以重新训练，学生可以查看历史训练记录。</w:t>
            </w:r>
          </w:p>
          <w:p w14:paraId="08FAE20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3）阅读训练：具有选答模式，训练完成后，可以对客观题目自动批改，显示测试的得分情况，可以查看历史训练记录。</w:t>
            </w:r>
          </w:p>
          <w:p w14:paraId="1BBCF9B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4）写作训练：可以选择篇章写作模式。连词成句中，学生将单词混乱的句子重组通顺；篇章写作，根据题目要求写作文。学生可以查看历史训练记录。</w:t>
            </w:r>
          </w:p>
          <w:p w14:paraId="3BC386B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电子资源阅读：可以按照资源类型、学科类别选择资料进行在线阅读，可以关键词检索，在线收藏、评论，主界面可以展示最新资源、推荐资源、热门资源、排行靠前资源；可以记录个人足迹、学习行为，包括收藏资料、关注老师、阅览行为、学习资源类型及学习时长等数据。</w:t>
            </w:r>
          </w:p>
          <w:p w14:paraId="5712FF2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5、多媒体教学软件</w:t>
            </w:r>
          </w:p>
          <w:p w14:paraId="0ED3669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教学工具：具有屏幕广播、语音广播、黑屏肃静、显示学生座位信息、呼叫、电子画笔、电子教鞭、白板、师生对话、预习反馈、分班教学、百科、随堂测试、抢答、电子表决、外设控制、倒计时、遮挡板、互联网访问、学生录音、视频直播、远程命令、网页/程序限制、课堂文字提问、监听学生、学生演示、课堂加分等功能。</w:t>
            </w:r>
          </w:p>
          <w:p w14:paraId="5F14810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2）教学定制：用户可根据自身需要对呈现在主界面上的左右栏教学工具进行定制，在工具条风格下提供讲解课、测试课、讨论课的工具一键切换功能。</w:t>
            </w:r>
          </w:p>
          <w:p w14:paraId="30A5F9C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3）思维轴：具有分步讲解、指定学生作答的功能。</w:t>
            </w:r>
          </w:p>
          <w:p w14:paraId="6A6B144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4）可视化对讲：支持老师选择一个或多个学生进行语音对讲/文字交流，对讲时老师可以选择是否开启可视化。</w:t>
            </w:r>
          </w:p>
          <w:p w14:paraId="28F6370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5）资料分屏对比（显示资料）： 支持单屏、1/2屏、1/4屏三种显示方式切换显示，可结合使用“屏幕广播”、“话音广播”、“电子画笔”教学工具进行讲解，支持文本、音视频资料显示。</w:t>
            </w:r>
          </w:p>
          <w:p w14:paraId="08AA8AE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▲6）学生浏览反馈：具有老师下发指定文本资料给学生浏览或预习，学生可对资料中的重难点进行标注的功能，系统实时统计学生所标注的内容和次数，并以列表展示。</w:t>
            </w:r>
          </w:p>
          <w:p w14:paraId="119E59B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7）分班教学：具有多人对讲、协同作业，并根据学生水平进行个性化分组，分派不同的学习任务的功能，支持教师融合对讲、画板、文字等即时互动方式参与任意组别进行互动。</w:t>
            </w:r>
          </w:p>
          <w:p w14:paraId="02E5818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▲8）远程遥控和遥控转播：教师可远程控制任意学生桌面进行语音通话，实现单独授课，也可将操作过程实时广播给其他学生。</w:t>
            </w:r>
          </w:p>
          <w:p w14:paraId="39A5DD2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9）多人示范教学：支持老师指定1-4个学生进行示范，操作屏幕图像同步、广播给其他学生；支持老师选择单个学生控制并在教师机演示、或控制学生机辅助学生操作，教师可对示范学生的屏幕进行录制保存。</w:t>
            </w:r>
          </w:p>
          <w:p w14:paraId="2B22BA6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10）文件服务：系统根据班级信息，建立公共目录和学生私有目录；学生点名认证后即可查看文件列表，删除、上传或下载各自私有目录的文件；教师可以在教师机查看管理本班级所有目录下的文件。</w:t>
            </w:r>
          </w:p>
          <w:p w14:paraId="6E54DA1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11）全屏风格/工具条风格：主界面支持全屏风格和工具条风格两种显示模式，主界面上提供一键快速切换入口。</w:t>
            </w:r>
          </w:p>
          <w:p w14:paraId="4840007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12）小组讨论：可将全班划分为多个小组，每组2、3、4、5、8人，具有多人语音、文字讨论、协同写作、协同板书的功能，支持小组互评、互听、指定代表发言，老师可对讨论结果进行讲评。</w:t>
            </w:r>
          </w:p>
          <w:p w14:paraId="5A5FD51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13）学生监控：老师可查看所有学生机操作屏幕的缩略图，并能监听学生机的话音，双击即可放大查看。</w:t>
            </w:r>
          </w:p>
          <w:p w14:paraId="297E9BB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14）音、视频教学：可将教学所用音视频同步、广播至所有学生位，支持音视频自动分句、支持变速不变调。</w:t>
            </w:r>
          </w:p>
          <w:p w14:paraId="792966F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15）文件点播：具有点播资源下发至所有学生位的功能，支持教师查看点播次数。</w:t>
            </w:r>
          </w:p>
          <w:p w14:paraId="4460129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16）课堂测试：支持发布随堂作业、课堂抢答，具有客观题计算机自动批改的功能，教师可查看作答进度、学生作答情况、学生卷面，并以饼状图显示答题情况，支持教师对表现优秀的学生进行课堂加分。</w:t>
            </w:r>
          </w:p>
          <w:p w14:paraId="34B6AE5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▲17）教学录制：支持“画中画”方式录制教师机屏幕+摄像头+语音，在示范、对讲、监视，录音过程支持录像功能，可对学生课堂展示进行保存、回放、讲评和分享。</w:t>
            </w:r>
          </w:p>
          <w:p w14:paraId="5F4ACD8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18）文件下发和收集：支持教师将自己的教案（PPT、音频、视频）一键下发至单一、部分或全体学生，具有一键式收集学生上交的文档的功能。 </w:t>
            </w:r>
          </w:p>
          <w:p w14:paraId="53BC1F1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6、网络化自习辅导软件</w:t>
            </w:r>
          </w:p>
          <w:p w14:paraId="7301AE2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1）自习辅导工具：具有“语音广播”、“屏幕广播”、“黑屏肃静”、“师生对讲”、“监视”、“短信互动”、“随堂提问”、“电子画笔”等自习辅导教学工具使用的功能。</w:t>
            </w:r>
          </w:p>
          <w:p w14:paraId="22826D6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2）资料选取与统计：老师可从图文教材库，多媒体教程库，公共媒体库、本地电脑上选择资料作为自习资料供学生自由选择、点播学习；学生自习时，教师可以通过系统查看学生学习情况及资料使用统计情况。</w:t>
            </w:r>
          </w:p>
          <w:p w14:paraId="00ACBA0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3）自习进度查看：学生可查看当前自习进度，能根据进度选择学习内容，可返回上一篇及切换学习资料。</w:t>
            </w:r>
          </w:p>
          <w:p w14:paraId="7D6A5B3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4）电子词典：可具有单词查找、单词释义查看的功能。</w:t>
            </w:r>
          </w:p>
          <w:p w14:paraId="743931C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5）课堂笔记：具有课堂笔记记录、桌面内容自动截屏至文档、截屏图片缩放、本地图片插入、表格插入的功能，登录学生账号可查找历史记录。</w:t>
            </w:r>
          </w:p>
          <w:p w14:paraId="51388A7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6）呼叫老师：自习过程中，学生可呼叫老师提供帮助，师生可通过语音及文字进行互动。</w:t>
            </w:r>
          </w:p>
          <w:p w14:paraId="0125075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7）自习监管：教师可随机监视学生桌面，对学生行为进行管理。</w:t>
            </w:r>
          </w:p>
          <w:p w14:paraId="0496939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8）跟踪辅导：教师可通过监视到的学生学习内容及情况对学生进行辅导，支持通过文字对话、语音对话进行辅导。</w:t>
            </w:r>
          </w:p>
          <w:p w14:paraId="1FA876D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9）课堂加分：进行点名后，教师可通过课堂加分功能给学生自习课加分。</w:t>
            </w:r>
          </w:p>
          <w:p w14:paraId="1CE43F4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7、英语随堂测试软件：</w:t>
            </w:r>
          </w:p>
          <w:p w14:paraId="7B5B61A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1）听力试题制作：教师可选择音频资料、音频文本混合资料制作试题，试题类型包括单选题和填空题，可进行试题添加、编辑、预览和删除。</w:t>
            </w:r>
          </w:p>
          <w:p w14:paraId="7BBF808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2）听力测试：教师下发试题，并播放音频资料，学生进行试题作答，教师可以通过互动教学工具监控学生的作答情况。</w:t>
            </w:r>
          </w:p>
          <w:p w14:paraId="7CB3A11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3）听力成绩评阅及统计：系统可自动批改并统计学生听力作答结果，统计项包括错误率、平均分、最高分和最低分，教室可导出学习成绩。</w:t>
            </w:r>
          </w:p>
          <w:p w14:paraId="123924D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4）听力测试讲解：根据作答统计结果，教师可借助互动教学工具对错误率较高的句子、关键词进行讲解。</w:t>
            </w:r>
          </w:p>
          <w:p w14:paraId="3547FCD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▲5）口语领读测试：具有手动跟读、自动领读功能，手动跟读由教师手动控制播放跟读进度，自动领读由电脑自动播放测试资料，可设定领读次数，学生端进行跟读并录音。</w:t>
            </w:r>
          </w:p>
          <w:p w14:paraId="25BB93A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▲6）智能口语评测及统计：系统自动批改并统计学生口语测试结果，统计项包括平均分、最高分和最低分；教师可导出学生成绩。</w:t>
            </w:r>
          </w:p>
          <w:p w14:paraId="281D504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7）口语测试讲解：根据作答统计结果，教师可借助互动教学工具课件对口语资料和学生口语录音进行讲解。</w:t>
            </w:r>
          </w:p>
          <w:p w14:paraId="079E8ED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8）阅读试题编辑：阅读测试时，系统支持教师根据训练资料自编试题，题型包括单选、多选、填空题，并支持根据试题制作相应答题卡。</w:t>
            </w:r>
          </w:p>
          <w:p w14:paraId="68DB758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9）阅读测试：阅读测试时，支持老师对资料显示方式、测试时间、阅读速度进行设置，系统自动统计学生作答详情，内容包括错误率、平均分、最高分和最低分；教师可进行讲解；教师可导出学生成绩。</w:t>
            </w:r>
          </w:p>
          <w:p w14:paraId="46395DB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8、网络化教室口语考试软件 </w:t>
            </w:r>
          </w:p>
          <w:p w14:paraId="21CD17D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口语试卷制作：可以提供专业英语四级、专业英语八级、专业俄语四级、专业俄语八级、大学英语四六级考试、中国汉语水平、全国翻译资格水平、商务汉语水平、高等教育自学考试、外销人员从业资格等考试模板，同时支持自定义的问答式、讨论式口语考试、口译测试试卷的设计制作。可以新建、查看、修改试卷，从本地选择音频、文本或图片组成试题，可以设置答题准备时间和答题时间，制作讨论式口语试卷时，可以设置题目类型为二人讨论/三人讨论/问答式。</w:t>
            </w:r>
          </w:p>
          <w:p w14:paraId="54193FB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2）考前检测：可以对耳机、讨论形式、学生位展示形式进行确认。</w:t>
            </w:r>
          </w:p>
          <w:p w14:paraId="67AE45C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3）考生认证：可以显示学生姓名、学号、座位号。</w:t>
            </w:r>
          </w:p>
          <w:p w14:paraId="23B84F5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口语考试：可以进行专业英语四级、专业英语八级、专业俄语四级、专业俄语八级、大学英语四六级、中国汉语水平、全国翻译资格水平、商务汉语水平、高等教育自学考试、外销人员从业资格、问答式口语、讨论式口语等多种类型的口语考试。可以从本地或题库提取试题，并能设置考场信息及阅卷信息。</w:t>
            </w:r>
          </w:p>
          <w:p w14:paraId="70C7B6B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考试音质要求：全班学生同时进行单人或多人讨论式口语考试时，全班考生的考试录音均能完整录制，音质清晰饱满，学生口语考试时录音必须能自动生成无损无压缩格式文件，不接受有损压缩格式文件，考试录音文件码量达350KBPS以上；</w:t>
            </w:r>
          </w:p>
          <w:p w14:paraId="38B9274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6）考后音频处理：可以将口语考试的考生音频进行合并，并把考试结果转录至其他存储设备中。</w:t>
            </w:r>
          </w:p>
          <w:p w14:paraId="3223B8D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7）口语阅卷：可以对考试结果进行评阅，可以进行考生音频播放、分数编辑、保存、成绩打印等操作。</w:t>
            </w:r>
          </w:p>
          <w:p w14:paraId="1F77BE5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8）口语试卷管理：可预览试卷信息，可以删除已存在的试卷。</w:t>
            </w:r>
          </w:p>
          <w:p w14:paraId="4FCEEBF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9、电子资源库管理软件</w:t>
            </w:r>
          </w:p>
          <w:p w14:paraId="503E8DE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1）资源分类展示 可以按“多学科资源库”、公共图书馆”、“优秀教师”、“最新资源”、“推荐资源”、“排行榜”、“新闻活动”、“分类资源”、“热门标签”等分类模块查询所需资源。</w:t>
            </w:r>
          </w:p>
          <w:p w14:paraId="0AD70C2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2）站内资源检索 可以按照“资源类型”、“资料分类”、“学科分类”、“年级分类”查询资料，可以按照时间、阅读量关键词检索进行查询。</w:t>
            </w:r>
          </w:p>
          <w:p w14:paraId="76FAB65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3）学习网址链接 可以按“我的网址”、“推荐网址”、“在线学习”、“考试网站”、“报考指南”、“排行榜”快速链接到各类学习网站。</w:t>
            </w:r>
          </w:p>
          <w:p w14:paraId="0B3331C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4）学习足迹记录 可以查看学生学习收藏资料，总学习时长和关注教师，以图表形式展示“学习资料的类型数量”、“每日学习时长”、“每日行为统计”等数据。</w:t>
            </w:r>
          </w:p>
          <w:p w14:paraId="460A76D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5）新闻活动及公告管理 可以添加公告、新闻、活动，并查看相关的标题、状态、作者、创建时间、和点击数。</w:t>
            </w:r>
          </w:p>
          <w:p w14:paraId="1A7DE92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6）网址管理 可以编辑网址类型，添加网址；可以查看到网址的网站名称、简介、状态、创建人、创建时间、点击数等信息。</w:t>
            </w:r>
          </w:p>
          <w:p w14:paraId="6B65545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7）资源建设</w:t>
            </w:r>
          </w:p>
          <w:p w14:paraId="2961F7D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大数据展示 可以展示资源占用空间比例和各种格式资源所占比例，以图表形式展示资源建设数量排行榜。</w:t>
            </w:r>
          </w:p>
          <w:p w14:paraId="2E6D790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▲8）资源使用</w:t>
            </w:r>
          </w:p>
          <w:p w14:paraId="38C8C26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大数据展示 可以对资源阅览行为进行统计，可以查看资源被阅览、下载、收藏、评分、关注的次数，也可以看到学习过的资源类型比例。</w:t>
            </w:r>
          </w:p>
          <w:p w14:paraId="08D7DB5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▲9）资源使用</w:t>
            </w:r>
          </w:p>
          <w:p w14:paraId="5C06693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排行统计 可以按照点击率、评分、下载量、收藏热度进行排序；可以查看排名、文件名、上传人、所属目录、点击数、评分、下载数、收藏数和热度。</w:t>
            </w:r>
          </w:p>
          <w:p w14:paraId="7CFFC0F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二、供货时提供有国家版权局颁发的“计算机软件著作权登记证书复印件并加盖厂家公章”；验收时供应商（非生产厂家）必须提供货物生产厂家出具的原厂售后服务承诺书原件（承诺中要包括厂家免费升级的年限，并加盖厂家公章），否则不予验收。</w:t>
            </w:r>
          </w:p>
        </w:tc>
      </w:tr>
      <w:tr w14:paraId="6722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96" w:type="dxa"/>
            <w:vAlign w:val="center"/>
          </w:tcPr>
          <w:p w14:paraId="4201FF0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420" w:type="dxa"/>
            <w:vAlign w:val="center"/>
          </w:tcPr>
          <w:p w14:paraId="61A1E13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音视频传输主卡</w:t>
            </w:r>
          </w:p>
        </w:tc>
        <w:tc>
          <w:tcPr>
            <w:tcW w:w="680" w:type="dxa"/>
            <w:vAlign w:val="center"/>
          </w:tcPr>
          <w:p w14:paraId="1A492EB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04918CA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张</w:t>
            </w:r>
          </w:p>
        </w:tc>
        <w:tc>
          <w:tcPr>
            <w:tcW w:w="5845" w:type="dxa"/>
            <w:vAlign w:val="center"/>
          </w:tcPr>
          <w:p w14:paraId="5ECEA82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1.要求采用网络技术开发的适用于音视频数据同步传输的传输主卡，音质要好，交换速度达千兆，可实时处理和传输音频数据，语音信号传输无断裂、无延迟。支持1080P、4K高清视频整间教室同步广播；</w:t>
            </w:r>
          </w:p>
          <w:p w14:paraId="3915E22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2.可负载≥100台终端；≥3个3.5mm立体声音频接口（RJ45）；</w:t>
            </w:r>
          </w:p>
          <w:p w14:paraId="17926B1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3.频率响应：不低于80～10KHZ（±2db），语音延迟＜8ms，全通道失真度≤0.9%；</w:t>
            </w:r>
          </w:p>
        </w:tc>
      </w:tr>
      <w:tr w14:paraId="58CE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C595A5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420" w:type="dxa"/>
            <w:vAlign w:val="center"/>
          </w:tcPr>
          <w:p w14:paraId="4AEAE61D">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音视频传输交换设备</w:t>
            </w:r>
          </w:p>
        </w:tc>
        <w:tc>
          <w:tcPr>
            <w:tcW w:w="680" w:type="dxa"/>
            <w:vAlign w:val="center"/>
          </w:tcPr>
          <w:p w14:paraId="308AB6B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5490253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tcPr>
          <w:p w14:paraId="38F11C5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采用适用于音视频数据同步传输的同步传输交换机，音质保真度高，语音信号传输无断裂、无延迟。支持视听说教学过程中对音、视频流媒体实时传输，满足课堂教学中师生之间音、视频信号的实时交互，支持1080P、4K 高清视频整间教室同步广播，且任意拖动进度条时所有学生端画面同步、流畅。</w:t>
            </w:r>
          </w:p>
          <w:p w14:paraId="14D9935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2、含1台音视频传输交换主机和3台音视频同步传输交换分机，主机和分机可负载的终端数量及接口数量满足系统需要，投标时需明确所投设备参数，配套须保证满足整个系统正常教学进行所需。</w:t>
            </w:r>
          </w:p>
          <w:p w14:paraId="79F5767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▲3、采用技术要保证满足语音下传（如：广播）、语音交互（如：小组讨论）、语音上传（如：口语训练和口语考试录音）对音质的专业化要求，确保整间教室学生考试和实训的口语录音文件码流量要达350KBPS 以上（录音文件格式要求为非压缩格式），确保多媒体信号传输无断裂、无延迟。整间教室学生终端间进行多人小组讨论时，延时小于8ms。</w:t>
            </w:r>
          </w:p>
        </w:tc>
      </w:tr>
      <w:tr w14:paraId="36D5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1218FDC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1420" w:type="dxa"/>
            <w:vAlign w:val="center"/>
          </w:tcPr>
          <w:p w14:paraId="63CC5212">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语言学习终端</w:t>
            </w:r>
          </w:p>
        </w:tc>
        <w:tc>
          <w:tcPr>
            <w:tcW w:w="680" w:type="dxa"/>
            <w:vAlign w:val="center"/>
          </w:tcPr>
          <w:p w14:paraId="30755EC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43</w:t>
            </w:r>
          </w:p>
        </w:tc>
        <w:tc>
          <w:tcPr>
            <w:tcW w:w="700" w:type="dxa"/>
            <w:vAlign w:val="center"/>
          </w:tcPr>
          <w:p w14:paraId="21C18A6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18E84FCA">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1、采用先进技术开发的适用于多媒体数据同步传输的学生终端，支持桌面虚拟化技术，。</w:t>
            </w:r>
          </w:p>
          <w:p w14:paraId="2349CA3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▲2、终端采用主流瘦终端云架构，稳定性高，节能环保，性能提升方便，功耗低使用寿命长，功耗≤10W。</w:t>
            </w:r>
          </w:p>
          <w:p w14:paraId="60DF143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终端可支持高保真音频解码，采用的技术支持视听说教学过程中对音、视频流媒体的实时传输，满足各种教学和学习需求（包括课堂教学中师生之间音、视频信号的实时交互，支持1080P、4K高清视频整间教室同步广播，且任意拖动进度条时所有学生端画面同步、流畅。）；终端内置安卓系统，嵌入教学软件，学生端在Andriod系统或Windows系统下均能用同一套教学软件完成屏幕广播、师生对讲、分组讨论、等基本教学活动，服务器关机或故障前提下，不影响基本授课。</w:t>
            </w:r>
          </w:p>
          <w:p w14:paraId="69176E5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高性能音质要求：能支持各种类型的国家级口语考试（如HSK汉语水平考试、专业英语四八级等），终端采用技术要保证满足语音下传（如：广播）、语音交互（如：小组讨论）、语音上传（如：口语录音）对音质的专业化要求，全班学生同时进行考试和实训的口语录音文件码流量达350KBPS以上（录音文件为非压缩格式），确保多媒体信号传输无断裂、无延迟。学生间进行语音交互讨论时，终端与终端之间进行2-4人对话时对话延时≤8ms；</w:t>
            </w:r>
          </w:p>
          <w:p w14:paraId="42F0590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▲5、终端的前后面板必须均有耳机的音频接口，方便应急更换或考试保障、临时扩位；终端的设计要合理嵌入桌内（要方便耳机、U盘插拔使用）。</w:t>
            </w:r>
          </w:p>
          <w:p w14:paraId="1993D9C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6、采用国际通用的网络协议框架，只需一根标准网线就实现音视频信号传输、网络的数据传输以及控制信号传输；   </w:t>
            </w:r>
          </w:p>
          <w:p w14:paraId="581578C9">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7、接口要求：≥1个标准网络接口、≥1个VGA接口、≥4个USB接口，≥2个3.5MM立体声耳机和麦克风接口。</w:t>
            </w:r>
          </w:p>
          <w:p w14:paraId="4AC78F49">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8、终端尺寸:长≤230mm*宽≤155mm*高≤40mm，设计方便集成到桌子内。                                                                                    9、可外接PC电脑，同电脑共享使用显示器、键鼠、耳麦输入输出设备，支持存储设备接入；终端采用专业解码芯片和处理器，支持H.265 VP9 4K/60fps 解码，OpenGL ES3.1，支持多格式高清晰度视频点播，支持网页浏览等</w:t>
            </w:r>
          </w:p>
          <w:p w14:paraId="64D0BC4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10、验收时必须提供货物生产厂家出具的针对本项目的原厂售后服务承诺书原件；售后承诺中要包括厂家免费升级的年限，并加盖厂家公章，否则不予验收。</w:t>
            </w:r>
          </w:p>
        </w:tc>
      </w:tr>
      <w:tr w14:paraId="0668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5505BA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1420" w:type="dxa"/>
            <w:vAlign w:val="center"/>
          </w:tcPr>
          <w:p w14:paraId="16D86B90">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学生耳机</w:t>
            </w:r>
          </w:p>
        </w:tc>
        <w:tc>
          <w:tcPr>
            <w:tcW w:w="680" w:type="dxa"/>
            <w:vAlign w:val="center"/>
          </w:tcPr>
          <w:p w14:paraId="07A323A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43</w:t>
            </w:r>
          </w:p>
        </w:tc>
        <w:tc>
          <w:tcPr>
            <w:tcW w:w="700" w:type="dxa"/>
            <w:vAlign w:val="center"/>
          </w:tcPr>
          <w:p w14:paraId="189B2A7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副</w:t>
            </w:r>
          </w:p>
        </w:tc>
        <w:tc>
          <w:tcPr>
            <w:tcW w:w="5845" w:type="dxa"/>
            <w:vAlign w:val="center"/>
          </w:tcPr>
          <w:p w14:paraId="13B9C41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1、头戴封闭式立体声耳机，带抗静电话咪，动圈式工作方式，直线型导线； </w:t>
            </w:r>
          </w:p>
          <w:p w14:paraId="58A3A50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2、单元直径 40mm ,频响范围 20-20000Hz ；</w:t>
            </w:r>
          </w:p>
          <w:p w14:paraId="18FEEA1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3、产品阻抗 32欧姆,灵敏度 110±3dB，耳机插头 3.5mm插头，麦克风灵敏度：-63±2dB，麦克风阻抗 2200欧姆。</w:t>
            </w:r>
          </w:p>
        </w:tc>
      </w:tr>
      <w:tr w14:paraId="53CB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67D06B7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1420" w:type="dxa"/>
            <w:vAlign w:val="center"/>
          </w:tcPr>
          <w:p w14:paraId="41B8533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教师耳机</w:t>
            </w:r>
          </w:p>
        </w:tc>
        <w:tc>
          <w:tcPr>
            <w:tcW w:w="680" w:type="dxa"/>
            <w:vAlign w:val="center"/>
          </w:tcPr>
          <w:p w14:paraId="575CE5F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21EEA95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副</w:t>
            </w:r>
          </w:p>
        </w:tc>
        <w:tc>
          <w:tcPr>
            <w:tcW w:w="5845" w:type="dxa"/>
            <w:vAlign w:val="center"/>
          </w:tcPr>
          <w:p w14:paraId="5BE3576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1、头戴封闭式立体声耳机，带抗静电话咪，动圈式工作方式，直放型导线，带音量调节和话咪开关。</w:t>
            </w:r>
          </w:p>
          <w:p w14:paraId="3B9DF539">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2、单元直径40mm，频响范围 20-20000Hz，产品阻抗32欧姆，灵敏度 110±3dB。</w:t>
            </w:r>
          </w:p>
          <w:p w14:paraId="35D5528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3、耳机插头3.5mm插头，规格：0.97×6.7mm，麦克风灵敏度：-45±2dB，麦克风阻抗 2200欧姆；</w:t>
            </w:r>
          </w:p>
        </w:tc>
      </w:tr>
      <w:tr w14:paraId="635F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BF0939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1420" w:type="dxa"/>
            <w:vAlign w:val="center"/>
          </w:tcPr>
          <w:p w14:paraId="175A03D6">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跨境实训终端</w:t>
            </w:r>
          </w:p>
        </w:tc>
        <w:tc>
          <w:tcPr>
            <w:tcW w:w="680" w:type="dxa"/>
            <w:vAlign w:val="center"/>
          </w:tcPr>
          <w:p w14:paraId="7351DA4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43</w:t>
            </w:r>
          </w:p>
        </w:tc>
        <w:tc>
          <w:tcPr>
            <w:tcW w:w="700" w:type="dxa"/>
            <w:vAlign w:val="center"/>
          </w:tcPr>
          <w:p w14:paraId="262F656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03510BB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一、硬件要求</w:t>
            </w:r>
          </w:p>
          <w:p w14:paraId="6C6DC0D3">
            <w:pPr>
              <w:pStyle w:val="9"/>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处理器要求</w:t>
            </w:r>
            <w:r>
              <w:rPr>
                <w:rFonts w:hint="eastAsia"/>
                <w:color w:val="auto"/>
                <w:highlight w:val="none"/>
              </w:rPr>
              <w:t>：物理核心数≥10个，线程数≥ 16个，最大睿频频率≥4.6 GHz，三级缓存≥20MB，基础功耗≤55W</w:t>
            </w:r>
          </w:p>
          <w:p w14:paraId="4578D2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2、内存：≥16G DDR4 内存，提供不低于2个内存槽位</w:t>
            </w:r>
          </w:p>
          <w:p w14:paraId="4728C53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3、硬盘：不低于512G 固态硬盘</w:t>
            </w:r>
          </w:p>
          <w:p w14:paraId="0221ADE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4、显卡：集成显卡</w:t>
            </w:r>
          </w:p>
          <w:p w14:paraId="6118A31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5、声卡：集成声卡</w:t>
            </w:r>
          </w:p>
          <w:p w14:paraId="0934DFE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6、网卡：集成千兆网卡</w:t>
            </w:r>
          </w:p>
          <w:p w14:paraId="4C7F77A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▲7、USB接口：≥6个USB接口（其中至少4个USB 3.2 Gen1）、1*VGA接口、1*HDMI接口</w:t>
            </w:r>
          </w:p>
          <w:p w14:paraId="511DA1A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8、扩展槽：1个PCI-E*16、</w:t>
            </w:r>
          </w:p>
          <w:p w14:paraId="78D02E2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9、电源：≥180W 节能电源 </w:t>
            </w:r>
          </w:p>
          <w:p w14:paraId="65888DB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10、键鼠：标配键鼠套件</w:t>
            </w:r>
          </w:p>
          <w:p w14:paraId="42B1EB8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12、显示器：21.5英寸，双视频接口</w:t>
            </w:r>
          </w:p>
          <w:p w14:paraId="3EA503B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▲13、保修：≥3年质保</w:t>
            </w:r>
          </w:p>
          <w:p w14:paraId="5B8C585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二、应用管理软件</w:t>
            </w:r>
          </w:p>
          <w:p w14:paraId="32272CF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▲1、平台具备对终端的操作系统镜像生成与统一分发管理。（</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2540F6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2、平台具备分组管理，可将终端进行分组，管理员可根据配置好的镜像分配给相应的分组；为不影响教学，可在正常上课的同时完成镜像缓存下载。</w:t>
            </w:r>
          </w:p>
          <w:p w14:paraId="4835521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3、具备跨校区、跨广域网部署，IP可达即可部署；为满足学校的WiFi使用场景，简化网络结构，支持通过wifi进行镜像更新和平台管理。</w:t>
            </w:r>
          </w:p>
          <w:p w14:paraId="409B3B0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4、支持三种模式对某一系统盘和数据盘的管理，即还原模式、读写模式、 学习模式；实现还原同传功能。</w:t>
            </w:r>
          </w:p>
          <w:p w14:paraId="1E358E3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▲5、具备对终端端口进行分类控制，包括但不限于控制 USB 存储接口、各类驱动器接口等。（</w:t>
            </w:r>
            <w:r>
              <w:rPr>
                <w:rFonts w:hint="eastAsia"/>
                <w:color w:val="auto"/>
                <w:highlight w:val="none"/>
              </w:rPr>
              <w:t>在响应文件</w:t>
            </w:r>
            <w:r>
              <w:rPr>
                <w:rFonts w:hint="eastAsia" w:ascii="宋体" w:hAnsi="宋体" w:cs="宋体"/>
                <w:color w:val="auto"/>
                <w:szCs w:val="21"/>
                <w:highlight w:val="none"/>
              </w:rPr>
              <w:t>提供相关证明材料，包括但不限于彩页、官网和功能截图等）</w:t>
            </w:r>
          </w:p>
          <w:p w14:paraId="079D665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▲6、具备大数据展示。可展示包括但不限于资产统计、设备详情、日志、系统使用情况等信息，方便管理。（</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3C6BDE5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7、具备镜像本地缓存：服务器镜像文件缓存至本地硬盘，小容量固态硬盘以增量非分区的方式缓存≥5个镜像。</w:t>
            </w:r>
          </w:p>
          <w:p w14:paraId="113D751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8、具备分类控制，包括但不限于控制光盘驱动器接口、USB存储设备接口、打印机接口等≥3种终端端口进行分类控制。</w:t>
            </w:r>
          </w:p>
          <w:p w14:paraId="7DC0CF4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▲9、终端具备部署多操作系统：支持统信UOS、麒麟KOS、Linux、 Windows全系列等操作系统，支持从管理端或客户端自主选择启动环境；且多个系统环境可快速切换。（</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68DC1F1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10、当终端无法进入系统时，支持基于Linux和Windows两种方式进行系统数据恢复。</w:t>
            </w:r>
          </w:p>
          <w:p w14:paraId="5FA2C3B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▲三、服务要求 </w:t>
            </w:r>
          </w:p>
          <w:p w14:paraId="023C6E4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1、验收时必须提供货物生产厂家出具的针对本项目的原厂售后服务承诺书原件；售后承诺中要包括厂家免费保修的年限，并加盖厂家公章，否则不予验收。</w:t>
            </w:r>
          </w:p>
        </w:tc>
      </w:tr>
      <w:tr w14:paraId="409C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57FC3A9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1420" w:type="dxa"/>
            <w:vAlign w:val="center"/>
          </w:tcPr>
          <w:p w14:paraId="025FD50D">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全千兆以太网运维交换机</w:t>
            </w:r>
          </w:p>
        </w:tc>
        <w:tc>
          <w:tcPr>
            <w:tcW w:w="680" w:type="dxa"/>
            <w:vAlign w:val="center"/>
          </w:tcPr>
          <w:p w14:paraId="317CF75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22289C9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0B0D411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1、性能：交换容量≥336Gbps；转发性能≥108Mpps；</w:t>
            </w:r>
          </w:p>
          <w:p w14:paraId="168744E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2、接口类型：≥24个千兆电口+2个Combo口+2个千兆SFP口+1个Console口；</w:t>
            </w:r>
          </w:p>
          <w:p w14:paraId="5E6B568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▲3、支持手工汇聚和动态汇聚两种汇聚模式，有效增加链路带宽，提高链路的可靠性，同时可以实现负载均衡、链路备份；（</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6C918A2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4、支持IEEE802.3x全双工流控和Backpressure半双工流控；</w:t>
            </w:r>
          </w:p>
          <w:p w14:paraId="266E75D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▲5、支持LCD屏显技术，支持不小于2寸LCD屏显技术，显示各端口工作状态，对网络及端口的工作状态进行实时显示，并能精确显示上、下行流量带宽；（在</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7BC50FA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6、LCD可视屏幕监视网络工作状态及帮助故障分析，LCD屏幕具备静默模式，杜绝光污染；</w:t>
            </w:r>
          </w:p>
          <w:p w14:paraId="51F66F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7、支持通过LCD屏显示设备的各种报警故障, 包含：网络环路告警 , IP地址冲突告警，丢包率告警，设备非法接入告警，下挂设备离线告警；</w:t>
            </w:r>
          </w:p>
          <w:p w14:paraId="7618E41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8、具备硬件旋钮，在工作状态时，应能通过旋钮对设备进行配置，包含交换机模式设置，LCD屏幕的工作模式，设备配置更新，密码更新功能；</w:t>
            </w:r>
          </w:p>
          <w:p w14:paraId="33F24D1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9、支持带宽预警功能，对网络流量阈值进行监控，实时保证网络畅通；</w:t>
            </w:r>
          </w:p>
          <w:p w14:paraId="71857C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10、支持IP+MAC+端口绑定、DHCP Snooping，支持IEEE 802.1x认证、命令行分级保护；</w:t>
            </w:r>
          </w:p>
          <w:p w14:paraId="28FE47E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▲11、具有端口隔离功能，用户可根据应用场景的不同选择开启或关闭，提升网络安全和抑制网络风暴；（</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3E18355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▲12、高可靠性设计，支持传统的STP/RSTP/MSTP二层链路保护技术；（</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41C22F3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13、支持802.1Q (最大4K个VLAN)、支持基于协议的VLAN、IP子网的VLAN、MAC的VLAN；</w:t>
            </w:r>
          </w:p>
          <w:p w14:paraId="5199C25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▲14、具备环路检测功能，采用智能解除机制，实现网络智能自愈；（在</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12C2803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15、设备自带安全准入接口，支持对非授权接入设备安全防护，维护网络安全；</w:t>
            </w:r>
          </w:p>
          <w:p w14:paraId="4ABE9A2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16、内置电子标签功能，并通过LCD彩屏显示电子标签，实现全网设备标签数字化，精准标识各接入设备或终端的网络位置及安装地理位置，便于设备的查找及运维管理；</w:t>
            </w:r>
          </w:p>
          <w:p w14:paraId="0D2D670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▲17、集成MQTT消息队列遥测传输协议，具备MQTT Client功能；（</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21D701C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18、内置Onvif Server模块，具备Onvif探测功能，以便对网络中的Onvif设备进行诊断测试； </w:t>
            </w:r>
          </w:p>
          <w:p w14:paraId="506B7DD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19、灵活方便的管理维护，支持Web、Console、Telnet、SSH、SNMP(v1/v2c/v3)、多种管理方式；</w:t>
            </w:r>
          </w:p>
          <w:p w14:paraId="46C77F7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20、支持≥6KV端口防雷功能；</w:t>
            </w:r>
          </w:p>
          <w:p w14:paraId="6E70DFD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21、支持TFTP、HTTP传输方式的文件上传与下载管理；</w:t>
            </w:r>
          </w:p>
          <w:p w14:paraId="7B47905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22、支持运维平台管理；</w:t>
            </w:r>
          </w:p>
          <w:p w14:paraId="03787E9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23、验收时必须提供货物生产厂家出具的针对本项目的原厂售后服务承诺书原件；售后承诺中要包括厂家免费保修的年限，并加盖厂家公章，否则不予验收。</w:t>
            </w:r>
          </w:p>
        </w:tc>
      </w:tr>
      <w:tr w14:paraId="058C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4B0F773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1420" w:type="dxa"/>
            <w:vAlign w:val="center"/>
          </w:tcPr>
          <w:p w14:paraId="2B5C6D3E">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功率放大器</w:t>
            </w:r>
          </w:p>
        </w:tc>
        <w:tc>
          <w:tcPr>
            <w:tcW w:w="680" w:type="dxa"/>
            <w:vAlign w:val="center"/>
          </w:tcPr>
          <w:p w14:paraId="13D7A03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522A3CC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3969FC6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一、主要功能要求：</w:t>
            </w:r>
          </w:p>
          <w:p w14:paraId="3205B78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1、带LED显示屏，采用机架式铝合金黑色或金色机身设计；</w:t>
            </w:r>
          </w:p>
          <w:p w14:paraId="205F101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2、自带数码播放器，支持WMA，MP3等格式的音乐；具有手机蓝牙5.0音乐播放功能；</w:t>
            </w:r>
          </w:p>
          <w:p w14:paraId="79F8E57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3、前面板≥4个按键，可实现音乐上下首切换，音乐开停功能，模式转换，另1按键切换多媒体和外接音源；</w:t>
            </w:r>
          </w:p>
          <w:p w14:paraId="5C891A3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4、反馈抑制功能（选配）；</w:t>
            </w:r>
          </w:p>
          <w:p w14:paraId="12C0A5F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5、前面板≥3路6.35MIC接口输入；后面板≥3路MIC接口：≥1路6.35输入，≥2路48V幻象供电的卡侬头接口；</w:t>
            </w:r>
          </w:p>
          <w:p w14:paraId="03AB249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6、主要功能调节旋钮采用暗藏式设计，避免误操作，具有话筒音量调节旋钮≥5个，回响和延时调节旋钮各≥1个，高音、中音、低音旋钮各≥1个；音乐高音、中音、低音旋钮各≥1个。</w:t>
            </w:r>
          </w:p>
          <w:p w14:paraId="57A64E2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7、具有话筒总音量调节旋钮≥1个，音乐总音量调节旋钮≥1个，混响音量旋钮≥1个；</w:t>
            </w:r>
          </w:p>
          <w:p w14:paraId="2210FD98">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8、支持≥2路线路输入，其中VOD为高品质输入，≥1路线路输出；</w:t>
            </w:r>
          </w:p>
          <w:p w14:paraId="00DD786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9、具有≥4个功率输出接线端子，可实现A/B组功率输出。                                           </w:t>
            </w:r>
          </w:p>
          <w:p w14:paraId="4B5FD1A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二、主要功能参数：</w:t>
            </w:r>
          </w:p>
          <w:p w14:paraId="35FA677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1、功率：8Ω ≥150W*2,4Ω ≥300W*2 </w:t>
            </w:r>
          </w:p>
          <w:p w14:paraId="625FC18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2、频率响应：线路输入20Hz-20KHz，话筒60Hz-14KHz</w:t>
            </w:r>
          </w:p>
          <w:p w14:paraId="0E8F4F1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3、线路音调控制：高音11KHz±12dB,中音1KHz±10dB低音90Hz±12dB</w:t>
            </w:r>
          </w:p>
          <w:p w14:paraId="2AD9643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4、话筒音调控制：高音11KHz±10dB,高音1KHz±8dB低音90Hz±10dB</w:t>
            </w:r>
          </w:p>
          <w:p w14:paraId="70E77E4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5、失真度：≤0.5%</w:t>
            </w:r>
          </w:p>
          <w:p w14:paraId="7BE46F3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6、信噪比：≥70db(A计权）</w:t>
            </w:r>
          </w:p>
        </w:tc>
      </w:tr>
      <w:tr w14:paraId="2E12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75F1DD6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w:t>
            </w:r>
          </w:p>
        </w:tc>
        <w:tc>
          <w:tcPr>
            <w:tcW w:w="1420" w:type="dxa"/>
            <w:vAlign w:val="center"/>
          </w:tcPr>
          <w:p w14:paraId="5AC6BD89">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音箱</w:t>
            </w:r>
          </w:p>
        </w:tc>
        <w:tc>
          <w:tcPr>
            <w:tcW w:w="680" w:type="dxa"/>
            <w:vAlign w:val="center"/>
          </w:tcPr>
          <w:p w14:paraId="15620EC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6DDECD1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对</w:t>
            </w:r>
          </w:p>
        </w:tc>
        <w:tc>
          <w:tcPr>
            <w:tcW w:w="5845" w:type="dxa"/>
            <w:vAlign w:val="center"/>
          </w:tcPr>
          <w:p w14:paraId="176F373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1、系统类型：两路两单元低音音箱</w:t>
            </w:r>
          </w:p>
          <w:p w14:paraId="20A6DC1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2、频率响应：40Hz-20kHz±3dB   </w:t>
            </w:r>
          </w:p>
          <w:p w14:paraId="3C55B898">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3、灵敏度：96dB/1W/1M@±2dB     </w:t>
            </w:r>
          </w:p>
          <w:p w14:paraId="3F97641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4、额定功率：≥100W/8Ω   </w:t>
            </w:r>
          </w:p>
          <w:p w14:paraId="2DE72A5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5、峰值功率：≥200W/8Ω                                                                                                                                                                                                                                      6、高音：3”×2</w:t>
            </w:r>
          </w:p>
          <w:p w14:paraId="184FDB4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7、低音：8"×1只    </w:t>
            </w:r>
          </w:p>
          <w:p w14:paraId="4A9B981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8、连接器：2P HiFi线盒 </w:t>
            </w:r>
          </w:p>
          <w:p w14:paraId="4E279DA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9、箱体材质： 12mm高密度纤维板</w:t>
            </w:r>
          </w:p>
          <w:p w14:paraId="60D6DE1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10、表面处理：黑色PVC胶皮  </w:t>
            </w:r>
          </w:p>
        </w:tc>
      </w:tr>
      <w:tr w14:paraId="0613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5139A2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w:t>
            </w:r>
          </w:p>
        </w:tc>
        <w:tc>
          <w:tcPr>
            <w:tcW w:w="1420" w:type="dxa"/>
            <w:vAlign w:val="center"/>
          </w:tcPr>
          <w:p w14:paraId="7C0E3776">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座充式无线话筒</w:t>
            </w:r>
          </w:p>
        </w:tc>
        <w:tc>
          <w:tcPr>
            <w:tcW w:w="680" w:type="dxa"/>
            <w:vAlign w:val="center"/>
          </w:tcPr>
          <w:p w14:paraId="4872B3E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736BD56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0AE74E6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一、无线接收主机</w:t>
            </w:r>
          </w:p>
          <w:p w14:paraId="66B87C7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1、工作频率范围：UHF 640-690MHz ；</w:t>
            </w:r>
          </w:p>
          <w:p w14:paraId="4E8AFAE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2、可调范围：50MHz；</w:t>
            </w:r>
          </w:p>
          <w:p w14:paraId="44C75EE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3、频道数目：200 ；</w:t>
            </w:r>
          </w:p>
          <w:p w14:paraId="2F91BE7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4、频道间隔：250KHz ；</w:t>
            </w:r>
          </w:p>
          <w:p w14:paraId="05445AD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5、频率稳定度：±0.005%以内 ；</w:t>
            </w:r>
          </w:p>
          <w:p w14:paraId="2A5E60E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6、动态范围：90dB ；</w:t>
            </w:r>
          </w:p>
          <w:p w14:paraId="01B8FDA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7、最大频偏：±45KHZ ；</w:t>
            </w:r>
          </w:p>
          <w:p w14:paraId="30E7A0D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8、音频响应：80HZ-16KHz(±3dB) ；</w:t>
            </w:r>
          </w:p>
          <w:p w14:paraId="4111782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9、综合失真：≤0.5% ；</w:t>
            </w:r>
          </w:p>
          <w:p w14:paraId="563A3A5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▲10、含有接收模块1个和显示屏，天线1条，USB接口≥1个，RS485接口≥1个，RJ45网口≥1个；</w:t>
            </w:r>
          </w:p>
          <w:p w14:paraId="12DC155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▲11、主机可通过网口上传话筒实时电量、信噪比、充电状态以及是否带出教室的信息到后端管理平台；  </w:t>
            </w:r>
          </w:p>
          <w:p w14:paraId="202B4AE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二、无线麦克风</w:t>
            </w:r>
          </w:p>
          <w:p w14:paraId="37E53E69">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▲1、无线话筒采用笔形设计，支持手持和挂脖；</w:t>
            </w:r>
          </w:p>
          <w:p w14:paraId="7098085A">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2、可外接头戴麦、领夹麦,外接麦克风时，自带麦克风无声；</w:t>
            </w:r>
          </w:p>
          <w:p w14:paraId="1385461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▲3、具有电源开关、静音按键、对频按键和PPT翻页按键；</w:t>
            </w:r>
          </w:p>
          <w:p w14:paraId="7ADF326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4、无线话筒面板上具有显示屏，可显示音量、电池电量、频段信息；</w:t>
            </w:r>
          </w:p>
          <w:p w14:paraId="5F9C926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5、支持同频段的无限个数量的任何接收机；</w:t>
            </w:r>
          </w:p>
          <w:p w14:paraId="14A920E8">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6、支持5号锂电池供电，可放置在配套的充电底座上进行无线充电，并可更换电池；</w:t>
            </w:r>
          </w:p>
          <w:p w14:paraId="3760338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7、自带 PPT翻页发射功能，即插即用,不需专用驱动； </w:t>
            </w:r>
          </w:p>
          <w:p w14:paraId="00A6AF2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8、无线话筒符合国家核准无线电发射设备SRRC认证要求：关于发射功率小于 50MW的规定；</w:t>
            </w:r>
          </w:p>
          <w:p w14:paraId="159AE3A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▲9、无线麦信噪比未达到设定的阈值，指示灯闪烁提示；</w:t>
            </w:r>
          </w:p>
          <w:p w14:paraId="721B7D9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三、充电底座 </w:t>
            </w:r>
          </w:p>
          <w:p w14:paraId="23AEEB7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▲1、支持电磁感应无线充电，无外插充电接口；</w:t>
            </w:r>
          </w:p>
          <w:p w14:paraId="088C9E1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2、支持外接DC5V-1A供电；</w:t>
            </w:r>
          </w:p>
          <w:p w14:paraId="159961A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3、支持电源指示，充电状态指示灯指示；  </w:t>
            </w:r>
          </w:p>
          <w:p w14:paraId="3843E4DD">
            <w:pPr>
              <w:spacing w:line="400" w:lineRule="exact"/>
              <w:jc w:val="left"/>
              <w:rPr>
                <w:color w:val="auto"/>
                <w:highlight w:val="none"/>
              </w:rPr>
            </w:pPr>
            <w:r>
              <w:rPr>
                <w:rFonts w:hint="eastAsia" w:ascii="宋体" w:hAnsi="宋体" w:cs="宋体"/>
                <w:color w:val="auto"/>
                <w:szCs w:val="21"/>
                <w:highlight w:val="none"/>
              </w:rPr>
              <w:t>▲4、具备无线麦克风充电座软件，支持通过充电底座RJ45接口上传无线麦、备用电池和无线麦的充电状态、电量信息到后端管理平台；（</w:t>
            </w:r>
            <w:r>
              <w:rPr>
                <w:rFonts w:hint="eastAsia"/>
                <w:color w:val="auto"/>
                <w:highlight w:val="none"/>
              </w:rPr>
              <w:t>在响应文件中</w:t>
            </w:r>
            <w:r>
              <w:rPr>
                <w:rFonts w:hint="eastAsia" w:ascii="宋体" w:hAnsi="宋体" w:cs="宋体"/>
                <w:color w:val="auto"/>
                <w:szCs w:val="21"/>
                <w:highlight w:val="none"/>
              </w:rPr>
              <w:t>提供相关证明材料，包括但不限于彩页、官网和功能截图等）</w:t>
            </w:r>
          </w:p>
          <w:p w14:paraId="535885D9">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四、验收时必须提供货物生产厂家出具的针对本项目的原厂售后服务承诺书原件；售后承诺中要包括厂家免费保修的年限，并加盖厂家公章，否则不予验收。</w:t>
            </w:r>
          </w:p>
        </w:tc>
      </w:tr>
      <w:tr w14:paraId="4708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C75291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1420" w:type="dxa"/>
            <w:vAlign w:val="center"/>
          </w:tcPr>
          <w:p w14:paraId="75B6152B">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鹅颈话筒</w:t>
            </w:r>
          </w:p>
        </w:tc>
        <w:tc>
          <w:tcPr>
            <w:tcW w:w="680" w:type="dxa"/>
            <w:vAlign w:val="center"/>
          </w:tcPr>
          <w:p w14:paraId="65570D3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57A2640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0BE415B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1、换能方式：电容式 </w:t>
            </w:r>
          </w:p>
          <w:p w14:paraId="4822F28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2、指向性：超心型 </w:t>
            </w:r>
          </w:p>
          <w:p w14:paraId="7FBE7948">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3、频率响应：40Hz-16kHz </w:t>
            </w:r>
          </w:p>
          <w:p w14:paraId="493FBC5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4、输出阻坑：75Ω </w:t>
            </w:r>
          </w:p>
          <w:p w14:paraId="2D2A0358">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5、灵敏度：-40dB±2dB </w:t>
            </w:r>
          </w:p>
          <w:p w14:paraId="3FCF0C5A">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6、供电电压：DC3V/DC48V  </w:t>
            </w:r>
          </w:p>
          <w:p w14:paraId="0519BA2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7、其它特点：抗手机、电磁干扰 </w:t>
            </w:r>
          </w:p>
        </w:tc>
      </w:tr>
      <w:tr w14:paraId="6ABF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116104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14</w:t>
            </w:r>
          </w:p>
        </w:tc>
        <w:tc>
          <w:tcPr>
            <w:tcW w:w="1420" w:type="dxa"/>
            <w:vAlign w:val="center"/>
          </w:tcPr>
          <w:p w14:paraId="667BB4F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机柜</w:t>
            </w:r>
          </w:p>
        </w:tc>
        <w:tc>
          <w:tcPr>
            <w:tcW w:w="680" w:type="dxa"/>
            <w:vAlign w:val="center"/>
          </w:tcPr>
          <w:p w14:paraId="32D9FF2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701F824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03D6576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（1）尺寸:≥18U，≥ 600*450mm。</w:t>
            </w:r>
          </w:p>
          <w:p w14:paraId="50E2FFE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（2）静载：≥200KG。</w:t>
            </w:r>
          </w:p>
          <w:p w14:paraId="2F7F13D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（3）防护等级：防护等级达到IP20。</w:t>
            </w:r>
          </w:p>
          <w:p w14:paraId="3928BBF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（4）主要材料：材料采用优质冷轧钢板。</w:t>
            </w:r>
          </w:p>
        </w:tc>
      </w:tr>
      <w:tr w14:paraId="4002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4973F9E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w:t>
            </w:r>
          </w:p>
        </w:tc>
        <w:tc>
          <w:tcPr>
            <w:tcW w:w="1420" w:type="dxa"/>
            <w:vAlign w:val="center"/>
          </w:tcPr>
          <w:p w14:paraId="01462347">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分配器</w:t>
            </w:r>
          </w:p>
        </w:tc>
        <w:tc>
          <w:tcPr>
            <w:tcW w:w="680" w:type="dxa"/>
            <w:vAlign w:val="center"/>
          </w:tcPr>
          <w:p w14:paraId="7AC41BE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506F673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5CD705B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4路视频输出，一进四出</w:t>
            </w:r>
          </w:p>
        </w:tc>
      </w:tr>
      <w:tr w14:paraId="3B05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BF6885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16</w:t>
            </w:r>
          </w:p>
        </w:tc>
        <w:tc>
          <w:tcPr>
            <w:tcW w:w="1420" w:type="dxa"/>
            <w:vAlign w:val="center"/>
          </w:tcPr>
          <w:p w14:paraId="2BD9A71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光能书写黑板</w:t>
            </w:r>
          </w:p>
        </w:tc>
        <w:tc>
          <w:tcPr>
            <w:tcW w:w="680" w:type="dxa"/>
            <w:vAlign w:val="center"/>
          </w:tcPr>
          <w:p w14:paraId="57EBA7E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0695D3A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块</w:t>
            </w:r>
          </w:p>
        </w:tc>
        <w:tc>
          <w:tcPr>
            <w:tcW w:w="5845" w:type="dxa"/>
            <w:vAlign w:val="center"/>
          </w:tcPr>
          <w:p w14:paraId="3CE5ECC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一、硬件要求</w:t>
            </w:r>
          </w:p>
          <w:p w14:paraId="5BBAA90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1、整体采用ABA样式，左、右光能黑板+中间触控一体机的安装方式。单块光能黑板≥1290（长）*1158（高）mm。下边框具有可调节平台，可根据触控一体机高度进行调整，兼具置物功能。</w:t>
            </w:r>
          </w:p>
          <w:p w14:paraId="22F4281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2、采用任何硬度适中的工具均可在板面进行书写，无需专用耗材，消除了粉笔粉尘对师生构成的健康隐患。单点书写、可擦次数达10万次。</w:t>
            </w:r>
          </w:p>
          <w:p w14:paraId="0BB4034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▲3、光能黑板应无频闪、无背光，上膜不应产生眩光。板书笔迹可视距离40米，可视角度≥150°，对比度≥150:1。</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2077B4C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▲4、光能黑板的光泽度不高于30光泽单位。（</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2B5EA91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▲5、书写膜的透光率不低于87%，雾度不高于40%。（</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698A4BD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6、一键擦除：按下一键擦除按键，可实现板书的全部擦除，擦除后无明显残留痕迹。</w:t>
            </w:r>
          </w:p>
          <w:p w14:paraId="798C91E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7、局部擦除：可使用板擦和手势对板书进行局部擦除。擦除精度小于10mm*10mm，擦除延时＜60ms。光能板具有独立供电装置，可在液晶屏关机的情况下独立使用，不影响局部擦除功能。</w:t>
            </w:r>
          </w:p>
          <w:p w14:paraId="20C6557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8、板内设有电压补偿机制，可以通过手势按压书写板板面的特定位置，控制书写板内部电压高低，以调节擦除灵敏度。</w:t>
            </w:r>
          </w:p>
          <w:p w14:paraId="73C9642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▲9、设备内提供的电池组保护电路，符合标准要求，并通过带二次锂电池的设备的充电安全防护。黑板通过恒定力和冲击试验，机械强度符合标准要求。（</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1014600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10、黑板表面具有暗格，用以提供给师生在书写板书时的直线参照，可避免板书歪斜。黑板表面可吸附磁贴、磁扣等教学工具，便于老师教学使用。</w:t>
            </w:r>
          </w:p>
          <w:p w14:paraId="78B3911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▲11、光能黑板通过低温-30℃，高温80℃，恒定湿热40℃、95%RH测试，产品外观无变形、损坏等现象，通电运行正常。（</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1BD1852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12、边框采用铝合金材质，坚固耐用，具有较好的耐腐蚀特性。</w:t>
            </w:r>
          </w:p>
          <w:p w14:paraId="4FED2D5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13、采用一体式按键指示灯，可通过不同颜色、闪烁等方式表示擦除、电量不足等工作状态。每块光能黑板具备DC接口*2和USB接口*2，方便用户使用。</w:t>
            </w:r>
          </w:p>
          <w:p w14:paraId="58F0263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▲14、光能黑板通过抗电强度1500V试验，无击穿现象，符合GB4943的安全要求。（</w:t>
            </w:r>
            <w:r>
              <w:rPr>
                <w:rFonts w:hint="eastAsia"/>
                <w:color w:val="auto"/>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0FF7B34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15、产品的最大工作电流（瞬间电流）≤1000mA。（在投标文件中提供国家认可的第三方检测（检验、认证）机构出具的检测（检验、认证）报告复印件并加盖投标人公章）</w:t>
            </w:r>
          </w:p>
          <w:p w14:paraId="2CA5585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二、软件要求</w:t>
            </w:r>
          </w:p>
          <w:p w14:paraId="5E3B38F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1、同步互联：左、右光能黑板可与触控一体机进行互动，将光能黑板的内容与触控一体机无缝连接，教师在光能黑板上的书写内容可同步显示在触控一体机上。</w:t>
            </w:r>
          </w:p>
          <w:p w14:paraId="2104D4B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2、颜色切换：可设置不同的软件端笔迹颜色，可实现老师对于教学重点的标识及批注；</w:t>
            </w:r>
          </w:p>
          <w:p w14:paraId="51603AE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3、板书记录：可同步传输老师的板书到软件界面；按下清除键后，板面和软件端的笔迹均可以被清除；点击“前一页”可找回清除掉的板书；</w:t>
            </w:r>
          </w:p>
          <w:p w14:paraId="73C191E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4、单双页切换：两种光能黑板的书写记录模式，支持单板书写记录内容为一个单页面，也可以支持双板同时书写时记录在一个页面上；</w:t>
            </w:r>
          </w:p>
          <w:p w14:paraId="6406414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5、桌面切换：黑板书写内容和屏体显示内容可一键切换，不影响老师正常授课操作。</w:t>
            </w:r>
          </w:p>
          <w:p w14:paraId="5F0300D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6、一键保存：支持将板书内容保存为PDF文档，便于学校对课堂板书的管理和传递。无需花费时间找存储路径，点击“打开”，直接进入存储位置，快速找到存储文件。</w:t>
            </w:r>
          </w:p>
          <w:p w14:paraId="1144B70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三、其他要求</w:t>
            </w:r>
          </w:p>
          <w:p w14:paraId="142DC5A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1、验收时必须提供货物生产厂家出具的针对本项目的原厂售后服务承诺书原件；售后承诺中要包括厂家免费保修的年限，并加盖厂家公章，否则不予验收。</w:t>
            </w:r>
          </w:p>
        </w:tc>
      </w:tr>
      <w:tr w14:paraId="3C90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5EB2D40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17</w:t>
            </w:r>
          </w:p>
        </w:tc>
        <w:tc>
          <w:tcPr>
            <w:tcW w:w="1420" w:type="dxa"/>
            <w:vAlign w:val="center"/>
          </w:tcPr>
          <w:p w14:paraId="0D7CAD2B">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教师操作管控终端</w:t>
            </w:r>
          </w:p>
        </w:tc>
        <w:tc>
          <w:tcPr>
            <w:tcW w:w="680" w:type="dxa"/>
            <w:vAlign w:val="center"/>
          </w:tcPr>
          <w:p w14:paraId="030C0CF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0058FD2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5845" w:type="dxa"/>
            <w:vAlign w:val="center"/>
          </w:tcPr>
          <w:p w14:paraId="6B8DD93B">
            <w:pPr>
              <w:pStyle w:val="9"/>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CPU：</w:t>
            </w:r>
            <w:r>
              <w:rPr>
                <w:rFonts w:ascii="Segoe UI" w:hAnsi="Segoe UI" w:eastAsia="Segoe UI" w:cs="Segoe UI"/>
                <w:color w:val="auto"/>
                <w:sz w:val="22"/>
                <w:szCs w:val="22"/>
                <w:highlight w:val="none"/>
                <w:shd w:val="clear" w:color="auto" w:fill="FFFFFF"/>
              </w:rPr>
              <w:t>性能核主频≥2.1GHz（指性能核P核的基础工作频率）</w:t>
            </w:r>
            <w:r>
              <w:rPr>
                <w:rFonts w:hint="eastAsia" w:ascii="Segoe UI" w:hAnsi="Segoe UI" w:cs="Segoe UI"/>
                <w:color w:val="auto"/>
                <w:sz w:val="22"/>
                <w:szCs w:val="22"/>
                <w:highlight w:val="none"/>
                <w:shd w:val="clear" w:color="auto" w:fill="FFFFFF"/>
              </w:rPr>
              <w:t>、</w:t>
            </w:r>
            <w:r>
              <w:rPr>
                <w:rFonts w:ascii="Segoe UI" w:hAnsi="Segoe UI" w:eastAsia="Segoe UI" w:cs="Segoe UI"/>
                <w:color w:val="auto"/>
                <w:sz w:val="22"/>
                <w:szCs w:val="22"/>
                <w:highlight w:val="none"/>
                <w:shd w:val="clear" w:color="auto" w:fill="FFFFFF"/>
              </w:rPr>
              <w:t>物理核心数≥16个（其中性能核≥8个，能效核≥8个）</w:t>
            </w:r>
            <w:r>
              <w:rPr>
                <w:rFonts w:hint="eastAsia" w:ascii="Segoe UI" w:hAnsi="Segoe UI" w:cs="Segoe UI"/>
                <w:color w:val="auto"/>
                <w:sz w:val="22"/>
                <w:szCs w:val="22"/>
                <w:highlight w:val="none"/>
                <w:shd w:val="clear" w:color="auto" w:fill="FFFFFF"/>
              </w:rPr>
              <w:t>，</w:t>
            </w:r>
            <w:r>
              <w:rPr>
                <w:rFonts w:ascii="Segoe UI" w:hAnsi="Segoe UI" w:eastAsia="Segoe UI" w:cs="Segoe UI"/>
                <w:color w:val="auto"/>
                <w:sz w:val="22"/>
                <w:szCs w:val="22"/>
                <w:highlight w:val="none"/>
                <w:shd w:val="clear" w:color="auto" w:fill="FFFFFF"/>
              </w:rPr>
              <w:t>线程数≥24条</w:t>
            </w:r>
            <w:r>
              <w:rPr>
                <w:rFonts w:hint="eastAsia" w:ascii="宋体" w:hAnsi="宋体" w:cs="宋体"/>
                <w:color w:val="auto"/>
                <w:szCs w:val="21"/>
                <w:highlight w:val="none"/>
              </w:rPr>
              <w:t xml:space="preserve">或以上                                                                                                                    </w:t>
            </w:r>
          </w:p>
          <w:p w14:paraId="220D1EE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w:t>
            </w:r>
            <w:bookmarkStart w:id="26" w:name="OLE_LINK2"/>
            <w:r>
              <w:rPr>
                <w:rFonts w:hint="eastAsia" w:ascii="宋体" w:hAnsi="宋体" w:cs="宋体"/>
                <w:color w:val="auto"/>
                <w:szCs w:val="21"/>
                <w:highlight w:val="none"/>
              </w:rPr>
              <w:t>主板:总线≥DMI 4.0 ×8，每通道≥ 2×DIMM；USB:≥ 8×USB</w:t>
            </w:r>
            <w:bookmarkEnd w:id="26"/>
          </w:p>
          <w:p w14:paraId="6C6667F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3、≥16G DDR4 3200MHz 内存，提供</w:t>
            </w:r>
            <w:r>
              <w:rPr>
                <w:rFonts w:hint="eastAsia" w:ascii="宋体" w:hAnsi="宋体" w:cs="宋体"/>
                <w:color w:val="auto"/>
                <w:szCs w:val="21"/>
                <w:highlight w:val="none"/>
              </w:rPr>
              <w:t>不少于2</w:t>
            </w:r>
            <w:r>
              <w:rPr>
                <w:rFonts w:hint="eastAsia" w:ascii="宋体" w:hAnsi="宋体" w:cs="宋体"/>
                <w:color w:val="auto"/>
                <w:szCs w:val="21"/>
                <w:highlight w:val="none"/>
              </w:rPr>
              <w:t>个内存槽位</w:t>
            </w:r>
          </w:p>
          <w:p w14:paraId="2FB0555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4、显卡：集成显卡</w:t>
            </w:r>
          </w:p>
          <w:p w14:paraId="1AC6AAF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rPr>
              <w:t>音频接口要求：</w:t>
            </w:r>
            <w:r>
              <w:rPr>
                <w:rFonts w:hint="eastAsia" w:ascii="宋体" w:hAnsi="宋体" w:cs="宋体"/>
                <w:color w:val="auto"/>
                <w:szCs w:val="21"/>
                <w:highlight w:val="none"/>
              </w:rPr>
              <w:t>提供</w:t>
            </w:r>
            <w:r>
              <w:rPr>
                <w:rFonts w:hint="eastAsia" w:ascii="宋体" w:hAnsi="宋体" w:cs="宋体"/>
                <w:color w:val="auto"/>
                <w:szCs w:val="21"/>
                <w:highlight w:val="none"/>
              </w:rPr>
              <w:t>至少</w:t>
            </w:r>
            <w:r>
              <w:rPr>
                <w:rFonts w:hint="eastAsia" w:ascii="宋体" w:hAnsi="宋体" w:cs="宋体"/>
                <w:color w:val="auto"/>
                <w:szCs w:val="21"/>
                <w:highlight w:val="none"/>
              </w:rPr>
              <w:t>前2后3共5个音频接口；</w:t>
            </w:r>
          </w:p>
          <w:p w14:paraId="5299C70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6、硬盘：≥120G固态硬盘+2T 机械硬盘</w:t>
            </w:r>
          </w:p>
          <w:p w14:paraId="7076518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7、集成10/100/1000M以太网卡；</w:t>
            </w:r>
          </w:p>
          <w:p w14:paraId="06239CE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8、原厂防水键盘、抗菌鼠标；</w:t>
            </w:r>
          </w:p>
          <w:p w14:paraId="1F468450">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9、接口8个USB接口(其中至少2个USB 3.2 G2接口 )、</w:t>
            </w:r>
            <w:r>
              <w:rPr>
                <w:rFonts w:hint="eastAsia" w:ascii="宋体" w:hAnsi="宋体" w:cs="宋体"/>
                <w:color w:val="auto"/>
                <w:szCs w:val="21"/>
                <w:highlight w:val="none"/>
              </w:rPr>
              <w:t>不少于2</w:t>
            </w:r>
            <w:r>
              <w:rPr>
                <w:rFonts w:hint="eastAsia" w:ascii="宋体" w:hAnsi="宋体" w:cs="宋体"/>
                <w:color w:val="auto"/>
                <w:szCs w:val="21"/>
                <w:highlight w:val="none"/>
              </w:rPr>
              <w:t>个视频输出接口，扩展槽，配置1个PCI-E*16、2个PCI-E*4槽位；</w:t>
            </w:r>
          </w:p>
          <w:p w14:paraId="6F4EAE5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10、电源≥260W；</w:t>
            </w:r>
          </w:p>
          <w:p w14:paraId="3883A2D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▲11、安全特性：BIOS底层支持USB智能屏蔽技术，仅识别USB键盘、鼠标，无法识别USB读取设备，有效防止数据泄露； </w:t>
            </w:r>
          </w:p>
          <w:p w14:paraId="2D0BCEF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13、机箱：标准塔式机箱≤13L；内置光触媒风扇，可降解教学环境中甲醛、苯等有害物质，顶置提手；</w:t>
            </w:r>
          </w:p>
          <w:p w14:paraId="39102CB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14、≥21.5英寸液晶显示器×2台。</w:t>
            </w:r>
          </w:p>
        </w:tc>
      </w:tr>
      <w:tr w14:paraId="1A09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196C2DB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18</w:t>
            </w:r>
          </w:p>
        </w:tc>
        <w:tc>
          <w:tcPr>
            <w:tcW w:w="1420" w:type="dxa"/>
            <w:vAlign w:val="center"/>
          </w:tcPr>
          <w:p w14:paraId="66226553">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 xml:space="preserve">直播实训一体化终端 </w:t>
            </w:r>
          </w:p>
        </w:tc>
        <w:tc>
          <w:tcPr>
            <w:tcW w:w="680" w:type="dxa"/>
            <w:vAlign w:val="center"/>
          </w:tcPr>
          <w:p w14:paraId="5096028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25ED06E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112DEB4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 提供15.6寸便携一体化终端，实现模拟实训及实战直播二合一应用，模拟实训应用模式可接入系统仿真实训平台，模拟直播全流程进行上播技能实训；实战直播应用模式可接入抖音、快手等直播平台进行实战带货直播。</w:t>
            </w:r>
          </w:p>
          <w:p w14:paraId="29A7370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 模拟实训应用模式下，支持账号密码登录后，实时同步虚拟仿真实训平台直播间，实时获取直播间数据并显示，可查看实时在线观看人数及浏览人次等信息。</w:t>
            </w:r>
          </w:p>
          <w:p w14:paraId="0EF7625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 提供美颜、美白等功能设置。</w:t>
            </w:r>
          </w:p>
          <w:p w14:paraId="43843FB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 支持横屏、竖屏直播设置，支持噪音抑制功能。</w:t>
            </w:r>
          </w:p>
          <w:p w14:paraId="438CBAA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 支持清晰度设置，可设置不少于标清、高清、超清三种类型。</w:t>
            </w:r>
          </w:p>
          <w:p w14:paraId="08E15F7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 支持进入直播任务实训模式，并在仿真直播实训过程中，实时显示实训开始时间、结束时间、阶段任务要求等；（提供相关证明材料，包括但不限于彩页、官网和功能截图等）</w:t>
            </w:r>
          </w:p>
          <w:p w14:paraId="491897B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 从试题列表中选择实训或竞赛题后，提供5秒倒计时提示；直播过程中，提供上播、商品陈述、互动、下播4个环节，每个环节都会跳出字幕板提示要求完成的具体内容；字幕板上包含环节用时、倒计时；每个环节结束后，APP画面中自动跳出下一环节实训提示内容字幕板。</w:t>
            </w:r>
          </w:p>
          <w:p w14:paraId="4F825EB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 支持直播间模拟弹幕实时滚动显示，可同时模拟显示在线人数变化数据。</w:t>
            </w:r>
          </w:p>
          <w:p w14:paraId="577874A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9.模拟直播过程，APP画面中同步显示当前所处直播环节，已开考时间及当前直播环节倒计时等内容。（提供相关证明材料，包括但不限于彩页、官网和功能截图等）</w:t>
            </w:r>
          </w:p>
          <w:p w14:paraId="431F691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 实战直播应用模式下，支持多平台APP同时开播、支持提词板功能、绿幕直播。</w:t>
            </w:r>
          </w:p>
          <w:p w14:paraId="27100D1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11. 内置调音台，可对声音进行变声处理，气氛效果调节。</w:t>
            </w:r>
          </w:p>
          <w:p w14:paraId="2DD42FB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12. 可进行提词管理，可调整文字大小、设置播放速度等，台词可自动滚动播放。</w:t>
            </w:r>
          </w:p>
          <w:p w14:paraId="40371D9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13. 支持外接USB摄像头、HDMI相机。</w:t>
            </w:r>
          </w:p>
          <w:p w14:paraId="1D77778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14. 提供素材库管理，提供前景、背景、特效等直播背景，支持本地视频、图片、贴图等文件加载作为直播背景，支持自主添加背景音乐、音效等。</w:t>
            </w:r>
          </w:p>
          <w:p w14:paraId="0B318D6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15. 提供素材编辑功能，支持添加视频源、前景、背景、特效、跑马灯等素材，可对每个图层素材进行编辑，提供可视化编辑操作，可通过触控，在预览画面对每个图层素材进行大小、位置调整等。</w:t>
            </w:r>
          </w:p>
          <w:p w14:paraId="070A589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16. 支持对机位、图片等内容进行参数设置，支持自定义机位布局。直播过程中，前景素材支持单播、轮播两种模式设置，支持多个背景图片轮播。</w:t>
            </w:r>
          </w:p>
          <w:p w14:paraId="32F5B78E">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17. 提供横竖屏切换功能，满足不同场景直播。</w:t>
            </w:r>
          </w:p>
          <w:p w14:paraId="178F917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18. 提供产品布局预设功能，可根据产品的类型，提前预设各个产品直播模板，可预设的内容包括背景、前景、特效、视频信号等，提供触控切换功能，可通过触控切换机位、拖拽组合布局。预设完成后，可保存为产品模板，后期使用时快速调用。</w:t>
            </w:r>
          </w:p>
          <w:p w14:paraId="79CD262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19. 数据接口：可支持≥1路HDMI IN，≥1路HDMI OUT；提供≥3路USB2.0标准接口，≥1路USB3.0标准接口；提供≥1路TYPE-C接口。</w:t>
            </w:r>
          </w:p>
          <w:p w14:paraId="4E3D736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20.网络类型：支持WIFI6，支持2.5Gbps 有线网、无线WIFI接入。</w:t>
            </w:r>
          </w:p>
          <w:p w14:paraId="2681B43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21.音频接口：支持≥2路输入，2路输出。</w:t>
            </w:r>
          </w:p>
          <w:p w14:paraId="58EAEAA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22.操作方式：可触控，支持≥10点触摸。</w:t>
            </w:r>
          </w:p>
          <w:p w14:paraId="473A137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23.内置高清摄像头自动对焦，支持双机位。</w:t>
            </w:r>
          </w:p>
        </w:tc>
      </w:tr>
      <w:tr w14:paraId="563E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7D2DDDF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19</w:t>
            </w:r>
          </w:p>
        </w:tc>
        <w:tc>
          <w:tcPr>
            <w:tcW w:w="1420" w:type="dxa"/>
            <w:vAlign w:val="center"/>
          </w:tcPr>
          <w:p w14:paraId="63A85166">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导播操控面板</w:t>
            </w:r>
          </w:p>
        </w:tc>
        <w:tc>
          <w:tcPr>
            <w:tcW w:w="680" w:type="dxa"/>
            <w:vAlign w:val="center"/>
          </w:tcPr>
          <w:p w14:paraId="4B4790C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138A945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46688F5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 提供可移动式导播操控面板，配套直播实训一体化终端设备，实现远程交互式操作。</w:t>
            </w:r>
          </w:p>
          <w:p w14:paraId="3450B58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 导播操控设备可吸附于直播实训一体化终端进行操作，也可独立手持进行远程操作。</w:t>
            </w:r>
          </w:p>
          <w:p w14:paraId="1750041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 直播时可一键切换机位、背景、特效、音效等，切换效果可实时同步显示于一体化终端设备界面。</w:t>
            </w:r>
          </w:p>
          <w:p w14:paraId="73B97AE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 可通过无线配对方式实时抓取一体化终端设备配置的高清摄像头信号，在导播操控面板中作为视频源进行背景合成。</w:t>
            </w:r>
          </w:p>
          <w:p w14:paraId="2DAC277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 支持导播面板中合成的素材信号，实时传输到一体化终端设备，进行多平台同步直播。</w:t>
            </w:r>
          </w:p>
          <w:p w14:paraId="4072C15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 操作方式：支持触控操作，支持5点触摸。</w:t>
            </w:r>
          </w:p>
          <w:p w14:paraId="0D7020E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 尺寸分辨率：10.1'' ，1200*1920（10:16）</w:t>
            </w:r>
          </w:p>
          <w:p w14:paraId="21AA8F1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 硬件配置：提供≥四核64位处理器，≥2G内存，≥16G存储</w:t>
            </w:r>
          </w:p>
          <w:p w14:paraId="27402B0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 网络类型：支持2.4GHz/5GHz双频 +蓝牙5.0。</w:t>
            </w:r>
          </w:p>
          <w:p w14:paraId="63BFF59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 数据接口：提供≥1路HDMI IN，≥1路TYPE-C接口。</w:t>
            </w:r>
          </w:p>
        </w:tc>
      </w:tr>
      <w:tr w14:paraId="4FF4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42D3410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w:t>
            </w:r>
          </w:p>
        </w:tc>
        <w:tc>
          <w:tcPr>
            <w:tcW w:w="1420" w:type="dxa"/>
            <w:vAlign w:val="center"/>
          </w:tcPr>
          <w:p w14:paraId="3D72B642">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AI智评系统</w:t>
            </w:r>
          </w:p>
        </w:tc>
        <w:tc>
          <w:tcPr>
            <w:tcW w:w="680" w:type="dxa"/>
            <w:vAlign w:val="center"/>
          </w:tcPr>
          <w:p w14:paraId="74C6E07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0C9DEA9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213D163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提供单用户版AI智评系统，提供直播销售技能模拟上播应用，配套虚拟直播系统进行直播实训应用。系统可通过AI智能评价方式，模拟直播全流程，训练直播各环节的技能（介绍商品、调动直播间气氛、引导用户下单、个人情绪管理、商品展示、话述节奏把控等），并实现对直播全流程实训效果的客观自动评分。</w:t>
            </w:r>
          </w:p>
          <w:p w14:paraId="3F893B4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1.系统可通过账号密码方式登录云实训平台，并在平台中提供直播销售技能（上播模拟实操）实训内容。</w:t>
            </w:r>
          </w:p>
          <w:p w14:paraId="0EB3043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2.直播销售技能实训环节，可模拟直播流程，预设开播、商品自由陈述、直播互动、下播4个阶段的关键内容、以及每个阶段的时长等。</w:t>
            </w:r>
          </w:p>
          <w:p w14:paraId="04B525B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▲3.可在系统中选择任务进行直播。直播时，系统界面及网页界面均提供字幕板，提示该阶段需要完成的内容、阶段时长、阶段倒计时、整场直播倒计时等；阶段时间一到，自动跳出下一阶段的提示内容字幕板。</w:t>
            </w:r>
          </w:p>
          <w:p w14:paraId="3473D93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直播后，可生成视频回放复盘视频，自动对照直播中开播、商品自由陈述、直播互动、下播4个环节设定的关键内容进行评分，每个环节均可进行语音识别评判，同时提供实训人员全部的语音及文字内容，对关键内容重点标示后进行比对；提供图像识别、表情识别评分，对商品展示效果及选手表情进行自动评分。（</w:t>
            </w:r>
            <w:r>
              <w:rPr>
                <w:rFonts w:hint="eastAsia" w:ascii="宋体" w:hAnsi="宋体" w:cs="宋体"/>
                <w:color w:val="auto"/>
                <w:szCs w:val="21"/>
                <w:highlight w:val="none"/>
              </w:rPr>
              <w:t>在响应文件中</w:t>
            </w:r>
            <w:r>
              <w:rPr>
                <w:rFonts w:hint="eastAsia" w:ascii="宋体" w:hAnsi="宋体" w:cs="宋体"/>
                <w:color w:val="auto"/>
                <w:szCs w:val="21"/>
                <w:highlight w:val="none"/>
              </w:rPr>
              <w:t>提供国家认可的第三方检测（检验、认证）机构出具的检测（检验、认证）报告复印件并加盖投标人公章）</w:t>
            </w:r>
          </w:p>
          <w:p w14:paraId="4CB2473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▲5.系统提供图像识别功能，对直播过程中的商品展示效果进行自动评分，展示合格得分，不合格不得分。（</w:t>
            </w:r>
            <w:r>
              <w:rPr>
                <w:rFonts w:hint="eastAsia" w:ascii="宋体" w:hAnsi="宋体" w:cs="宋体"/>
                <w:color w:val="auto"/>
                <w:szCs w:val="21"/>
                <w:highlight w:val="none"/>
              </w:rPr>
              <w:t>在响应文件中</w:t>
            </w:r>
            <w:r>
              <w:rPr>
                <w:rFonts w:hint="eastAsia" w:ascii="宋体" w:hAnsi="宋体" w:cs="宋体"/>
                <w:color w:val="auto"/>
                <w:szCs w:val="21"/>
                <w:highlight w:val="none"/>
              </w:rPr>
              <w:t>提供相关证明材料，包括但不限于彩页、官网和功能截图等）</w:t>
            </w:r>
          </w:p>
          <w:p w14:paraId="2984C59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▲6.系统提供表情识别功能，对直播过程中实训人员的表情管理进行自动评分，可自动识别包含微笑、愤怒等各种表情，整个过程提供不少于10张比对图，达到标准得满分，不达标不得分。（</w:t>
            </w:r>
            <w:r>
              <w:rPr>
                <w:rFonts w:hint="eastAsia" w:ascii="宋体" w:hAnsi="宋体" w:cs="宋体"/>
                <w:color w:val="auto"/>
                <w:szCs w:val="21"/>
                <w:highlight w:val="none"/>
              </w:rPr>
              <w:t>在响应文件中</w:t>
            </w:r>
            <w:r>
              <w:rPr>
                <w:rFonts w:hint="eastAsia" w:ascii="宋体" w:hAnsi="宋体" w:cs="宋体"/>
                <w:color w:val="auto"/>
                <w:szCs w:val="21"/>
                <w:highlight w:val="none"/>
              </w:rPr>
              <w:t>提供相关证明材料，包括但不限于彩页、官网和功能截图等）</w:t>
            </w:r>
          </w:p>
          <w:p w14:paraId="659D24C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▲7.系统提供违禁词评判功能，可对直播过程中的违禁词进行检测扣分，提供违禁词库进行比对，命中违禁词自动标示并扣分。（</w:t>
            </w:r>
            <w:r>
              <w:rPr>
                <w:rFonts w:hint="eastAsia" w:ascii="宋体" w:hAnsi="宋体" w:cs="宋体"/>
                <w:color w:val="auto"/>
                <w:szCs w:val="21"/>
                <w:highlight w:val="none"/>
              </w:rPr>
              <w:t>在响应文件中</w:t>
            </w:r>
            <w:r>
              <w:rPr>
                <w:rFonts w:hint="eastAsia" w:ascii="宋体" w:hAnsi="宋体" w:cs="宋体"/>
                <w:color w:val="auto"/>
                <w:szCs w:val="21"/>
                <w:highlight w:val="none"/>
              </w:rPr>
              <w:t>提供相关证明材料，包括但不限于彩页、官网和功能截图等）</w:t>
            </w:r>
          </w:p>
          <w:p w14:paraId="5899720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▲8.系统提供话术节奏把控评判功能，可对直播过程中的主播语速节奏进行自动评分，可设置语速标准范围，超出标准语速或者低于标准语速均会进行扣分。（</w:t>
            </w:r>
            <w:r>
              <w:rPr>
                <w:rFonts w:hint="eastAsia" w:ascii="宋体" w:hAnsi="宋体" w:cs="宋体"/>
                <w:color w:val="auto"/>
                <w:szCs w:val="21"/>
                <w:highlight w:val="none"/>
              </w:rPr>
              <w:t>在响应文件中</w:t>
            </w:r>
            <w:r>
              <w:rPr>
                <w:rFonts w:hint="eastAsia" w:ascii="宋体" w:hAnsi="宋体" w:cs="宋体"/>
                <w:color w:val="auto"/>
                <w:szCs w:val="21"/>
                <w:highlight w:val="none"/>
              </w:rPr>
              <w:t>提供相关证明材料，包括但不限于彩页、官网和功能截图等）</w:t>
            </w:r>
          </w:p>
          <w:p w14:paraId="11B7B70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9.提供20套仿真直播实训试题，每套试题均包括背景资料及直播销售实训内容。</w:t>
            </w:r>
          </w:p>
        </w:tc>
      </w:tr>
      <w:tr w14:paraId="0D52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70F94DA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21</w:t>
            </w:r>
          </w:p>
        </w:tc>
        <w:tc>
          <w:tcPr>
            <w:tcW w:w="1420" w:type="dxa"/>
            <w:vAlign w:val="center"/>
          </w:tcPr>
          <w:p w14:paraId="27240E74">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高清微距直播摄像机</w:t>
            </w:r>
          </w:p>
        </w:tc>
        <w:tc>
          <w:tcPr>
            <w:tcW w:w="680" w:type="dxa"/>
            <w:vAlign w:val="center"/>
          </w:tcPr>
          <w:p w14:paraId="2D4B407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3AF43A1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5845" w:type="dxa"/>
            <w:vAlign w:val="center"/>
          </w:tcPr>
          <w:p w14:paraId="46666F8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高清微距摄像机，支持横屏、竖屏拨码切换，可清晰拍摄直播特写、商品特写</w:t>
            </w:r>
          </w:p>
          <w:p w14:paraId="62D19E0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 采用1/2.8英寸207万像素高品质图像传感器，最大分辨率可达1920×1080，输出帧率高达30帧/秒，呈现清晰逼真的高清视频，生动地展现人物的表情和动作。</w:t>
            </w:r>
          </w:p>
          <w:p w14:paraId="1EA95D4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 采用10倍光学变焦，68.8°广角镜头</w:t>
            </w:r>
          </w:p>
          <w:p w14:paraId="626C064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 支持HDMI、USB 3.0音视频输出，可同时输出音视频信号</w:t>
            </w:r>
          </w:p>
          <w:p w14:paraId="6539559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 支持以拨码开关切换横屏、竖屏输出</w:t>
            </w:r>
          </w:p>
          <w:p w14:paraId="63964BF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 支持美颜、珠宝风格模式</w:t>
            </w:r>
          </w:p>
          <w:p w14:paraId="17EE0E9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 内置2个MIC拾音器，可全向拾音6米（最佳拾音距离3米）</w:t>
            </w:r>
          </w:p>
          <w:p w14:paraId="22B27CF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 有效像素：200万、16：9</w:t>
            </w:r>
          </w:p>
          <w:p w14:paraId="3471D05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 视角：8.8°～ 68.8°</w:t>
            </w:r>
          </w:p>
        </w:tc>
      </w:tr>
      <w:tr w14:paraId="69D6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C04B9C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22</w:t>
            </w:r>
          </w:p>
        </w:tc>
        <w:tc>
          <w:tcPr>
            <w:tcW w:w="1420" w:type="dxa"/>
            <w:vAlign w:val="center"/>
          </w:tcPr>
          <w:p w14:paraId="1C56CBFA">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三脚架</w:t>
            </w:r>
          </w:p>
        </w:tc>
        <w:tc>
          <w:tcPr>
            <w:tcW w:w="680" w:type="dxa"/>
            <w:vAlign w:val="center"/>
          </w:tcPr>
          <w:p w14:paraId="48DBE56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36FC610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付</w:t>
            </w:r>
          </w:p>
        </w:tc>
        <w:tc>
          <w:tcPr>
            <w:tcW w:w="5845" w:type="dxa"/>
            <w:vAlign w:val="center"/>
          </w:tcPr>
          <w:p w14:paraId="0B22533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1.产品类型：专业脚架+云台 </w:t>
            </w:r>
          </w:p>
          <w:p w14:paraId="3EDFDF8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2.云台类型：液压阻尼云台</w:t>
            </w:r>
          </w:p>
          <w:p w14:paraId="2D8F9A8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3.产品材质：铝合金</w:t>
            </w:r>
          </w:p>
          <w:p w14:paraId="7929293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4.最大管径(mm) 最大：17mm，最小：14mm</w:t>
            </w:r>
          </w:p>
          <w:p w14:paraId="3B1F88A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5.最高工作高度(mm) 1600mm </w:t>
            </w:r>
          </w:p>
          <w:p w14:paraId="43C9A4B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6.最低工作高度(mm) 780mm</w:t>
            </w:r>
          </w:p>
          <w:p w14:paraId="29C0CF9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7.角架节数 3节 </w:t>
            </w:r>
          </w:p>
          <w:p w14:paraId="64E93FF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8.最大负荷(kg) 8kg</w:t>
            </w:r>
          </w:p>
          <w:p w14:paraId="63475AE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9.收缩高度(mm) 810mm</w:t>
            </w:r>
          </w:p>
          <w:p w14:paraId="4376C23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10.脚管锁类型：旋钮式</w:t>
            </w:r>
          </w:p>
          <w:p w14:paraId="3E053BE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11.含脚架软包</w:t>
            </w:r>
          </w:p>
        </w:tc>
      </w:tr>
      <w:tr w14:paraId="0A6D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750DA42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23</w:t>
            </w:r>
          </w:p>
        </w:tc>
        <w:tc>
          <w:tcPr>
            <w:tcW w:w="1420" w:type="dxa"/>
            <w:vAlign w:val="center"/>
          </w:tcPr>
          <w:p w14:paraId="275FCC21">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无线领夹麦克风</w:t>
            </w:r>
          </w:p>
        </w:tc>
        <w:tc>
          <w:tcPr>
            <w:tcW w:w="680" w:type="dxa"/>
            <w:vAlign w:val="center"/>
          </w:tcPr>
          <w:p w14:paraId="2126E4F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6C2B469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53405E7B">
            <w:pPr>
              <w:widowControl/>
              <w:spacing w:line="400" w:lineRule="exact"/>
              <w:jc w:val="left"/>
              <w:textAlignment w:val="center"/>
              <w:rPr>
                <w:color w:val="auto"/>
                <w:highlight w:val="none"/>
              </w:rPr>
            </w:pPr>
            <w:r>
              <w:rPr>
                <w:rFonts w:hint="eastAsia" w:ascii="宋体" w:hAnsi="宋体" w:cs="宋体"/>
                <w:color w:val="auto"/>
                <w:szCs w:val="21"/>
                <w:highlight w:val="none"/>
              </w:rPr>
              <w:t>1. 一拖二充电套装，包含：充电盒*1、充电盒*1、 TX发射器2、 RX接收器*1、 防风罩*2、转接线材一批</w:t>
            </w:r>
          </w:p>
          <w:p w14:paraId="35D0BFB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 无线传输：2.4GHZ自适应</w:t>
            </w:r>
          </w:p>
          <w:p w14:paraId="2457B64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 指向性：全指向</w:t>
            </w:r>
          </w:p>
          <w:p w14:paraId="53F8CA1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 频率响应范围：20Hz~20KHz</w:t>
            </w:r>
          </w:p>
        </w:tc>
      </w:tr>
      <w:tr w14:paraId="7406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953CD4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24</w:t>
            </w:r>
          </w:p>
        </w:tc>
        <w:tc>
          <w:tcPr>
            <w:tcW w:w="1420" w:type="dxa"/>
            <w:vAlign w:val="center"/>
          </w:tcPr>
          <w:p w14:paraId="0EF7137C">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电容麦声卡套装</w:t>
            </w:r>
          </w:p>
        </w:tc>
        <w:tc>
          <w:tcPr>
            <w:tcW w:w="680" w:type="dxa"/>
            <w:vAlign w:val="center"/>
          </w:tcPr>
          <w:p w14:paraId="37B324B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6E950BF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66F93AD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1.套装包含1个电容麦+1台数字声卡+1个桌面支架+3米耳机+铝箱</w:t>
            </w:r>
          </w:p>
          <w:p w14:paraId="0252BC1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2.电容麦：</w:t>
            </w:r>
          </w:p>
          <w:p w14:paraId="3B06BFD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指向性: 心型指向</w:t>
            </w:r>
          </w:p>
          <w:p w14:paraId="0CFA236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频率响应:30Hz-18kHz</w:t>
            </w:r>
          </w:p>
          <w:p w14:paraId="732DDD4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灵敏度:-36dB+2dB(0dB=1V/Paat 1kHz)</w:t>
            </w:r>
          </w:p>
          <w:p w14:paraId="418F782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输出阻抗:250Q+30%(at 1 kHz)</w:t>
            </w:r>
          </w:p>
          <w:p w14:paraId="3800B42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负载阻抗:≥1000Q</w:t>
            </w:r>
          </w:p>
          <w:p w14:paraId="0E0C030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最大声压级:135dB(at 1kHz≤1%T.H.D)</w:t>
            </w:r>
          </w:p>
          <w:p w14:paraId="7DDDDD1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信噪比:76dB</w:t>
            </w:r>
          </w:p>
          <w:p w14:paraId="4378A81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等效噪声级:18dBA</w:t>
            </w:r>
          </w:p>
          <w:p w14:paraId="06D5F65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3.数字声卡：</w:t>
            </w:r>
          </w:p>
          <w:p w14:paraId="59583BF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频率响应：20Hz - 22KHz</w:t>
            </w:r>
          </w:p>
          <w:p w14:paraId="2901AD8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动态范围：112db</w:t>
            </w:r>
          </w:p>
          <w:p w14:paraId="406AE75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信噪比：-100db</w:t>
            </w:r>
          </w:p>
          <w:p w14:paraId="603AB40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总谐波失真加噪音：&lt;0.003%(-90db)</w:t>
            </w:r>
          </w:p>
          <w:p w14:paraId="471930D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频率响应∶20Hz~22kHz</w:t>
            </w:r>
          </w:p>
          <w:p w14:paraId="2C732F6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动态范围:112dbe</w:t>
            </w:r>
          </w:p>
          <w:p w14:paraId="59ED411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信噪比∶-100dbe</w:t>
            </w:r>
          </w:p>
          <w:p w14:paraId="7DE76A5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总谐波失真加噪音:&lt;0.003%(-90db)'</w:t>
            </w:r>
          </w:p>
          <w:p w14:paraId="31E895E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USB:2.0立体声16bit 48k</w:t>
            </w:r>
          </w:p>
          <w:p w14:paraId="42CAAAC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蓝牙:5.1</w:t>
            </w:r>
          </w:p>
        </w:tc>
      </w:tr>
      <w:tr w14:paraId="5C08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40A3027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25</w:t>
            </w:r>
          </w:p>
        </w:tc>
        <w:tc>
          <w:tcPr>
            <w:tcW w:w="1420" w:type="dxa"/>
            <w:vAlign w:val="center"/>
          </w:tcPr>
          <w:p w14:paraId="48A1C37A">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抠像背景套装</w:t>
            </w:r>
          </w:p>
        </w:tc>
        <w:tc>
          <w:tcPr>
            <w:tcW w:w="680" w:type="dxa"/>
            <w:vAlign w:val="center"/>
          </w:tcPr>
          <w:p w14:paraId="00D5070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077B33A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1C78F8D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提供便携式抠像背景套装，实现纯色背景抠像应用。</w:t>
            </w:r>
          </w:p>
          <w:p w14:paraId="67EF226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铝合金支架拼接，带连接件，尺寸</w:t>
            </w:r>
            <w:r>
              <w:rPr>
                <w:rFonts w:hint="eastAsia" w:ascii="宋体" w:hAnsi="宋体" w:cs="宋体"/>
                <w:color w:val="auto"/>
                <w:szCs w:val="21"/>
                <w:highlight w:val="none"/>
              </w:rPr>
              <w:t>（约）</w:t>
            </w:r>
            <w:r>
              <w:rPr>
                <w:rFonts w:hint="eastAsia" w:ascii="宋体" w:hAnsi="宋体" w:cs="宋体"/>
                <w:color w:val="auto"/>
                <w:szCs w:val="21"/>
                <w:highlight w:val="none"/>
              </w:rPr>
              <w:t>：1.8米（宽）*2.0米（高），带弹性抠像幕布，标配手提收纳包</w:t>
            </w:r>
          </w:p>
        </w:tc>
      </w:tr>
      <w:tr w14:paraId="66AB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D7D93D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26</w:t>
            </w:r>
          </w:p>
        </w:tc>
        <w:tc>
          <w:tcPr>
            <w:tcW w:w="1420" w:type="dxa"/>
            <w:vAlign w:val="center"/>
          </w:tcPr>
          <w:p w14:paraId="159D3104">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移动补光灯套装</w:t>
            </w:r>
          </w:p>
        </w:tc>
        <w:tc>
          <w:tcPr>
            <w:tcW w:w="680" w:type="dxa"/>
            <w:vAlign w:val="center"/>
          </w:tcPr>
          <w:p w14:paraId="4A6E29B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7F4415D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7206E5AB">
            <w:pPr>
              <w:widowControl/>
              <w:numPr>
                <w:ilvl w:val="0"/>
                <w:numId w:val="2"/>
              </w:numPr>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半身直播摄影灯、补光灯套装，包含：LED常亮灯（亮度160W，显色指数97，光照角度120度，调光5-100%，旋钮调节方式）</w:t>
            </w:r>
          </w:p>
          <w:p w14:paraId="0DA5C80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2、柔光箱*1、柔光球*1、轻便灯架*2</w:t>
            </w:r>
          </w:p>
        </w:tc>
      </w:tr>
      <w:tr w14:paraId="7E15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653096E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27</w:t>
            </w:r>
          </w:p>
        </w:tc>
        <w:tc>
          <w:tcPr>
            <w:tcW w:w="1420" w:type="dxa"/>
            <w:vAlign w:val="center"/>
          </w:tcPr>
          <w:p w14:paraId="141A21D1">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落地直播环形灯</w:t>
            </w:r>
          </w:p>
        </w:tc>
        <w:tc>
          <w:tcPr>
            <w:tcW w:w="680" w:type="dxa"/>
            <w:vAlign w:val="center"/>
          </w:tcPr>
          <w:p w14:paraId="4990191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381FF3E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3CDCCF9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直播环形灯，含三角支架</w:t>
            </w:r>
          </w:p>
        </w:tc>
      </w:tr>
      <w:tr w14:paraId="56A2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09C9E9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28</w:t>
            </w:r>
          </w:p>
        </w:tc>
        <w:tc>
          <w:tcPr>
            <w:tcW w:w="1420" w:type="dxa"/>
            <w:vAlign w:val="center"/>
          </w:tcPr>
          <w:p w14:paraId="337D032A">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直播桌椅</w:t>
            </w:r>
          </w:p>
        </w:tc>
        <w:tc>
          <w:tcPr>
            <w:tcW w:w="680" w:type="dxa"/>
            <w:vAlign w:val="center"/>
          </w:tcPr>
          <w:p w14:paraId="5DEF22D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3A18A85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5EFECC5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直播间桌椅（1张桌子，2张椅子）：</w:t>
            </w:r>
          </w:p>
          <w:p w14:paraId="6FF25BC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1、直播桌要求：</w:t>
            </w:r>
          </w:p>
          <w:p w14:paraId="3FB6EAC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1）钢木结构直播桌，材质安全环保，结构扎实耐用，合理的结构造型，稳定性好 、版面平整光滑；</w:t>
            </w:r>
          </w:p>
          <w:p w14:paraId="6758E0D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2）E1 级环保材质，符合国家及国际标准；</w:t>
            </w:r>
          </w:p>
          <w:p w14:paraId="57B6026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3）耐压耐磨、结构严密、握钉力强、不易变形；</w:t>
            </w:r>
          </w:p>
          <w:p w14:paraId="7C86032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4）配套双人位桌面；</w:t>
            </w:r>
          </w:p>
          <w:p w14:paraId="3C33C6A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5）尺寸：≥宽60cm*长150cm*高75cm，</w:t>
            </w:r>
          </w:p>
          <w:p w14:paraId="295A076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2、配套2张主播椅：</w:t>
            </w:r>
          </w:p>
          <w:p w14:paraId="7DDB06D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尺寸：高75cm*宽48cm*深50cm。一体成型塑料椅，带扶手,PP材质，圆滑座面，加厚设计，舒适稳固，防滑耐磨，保护地板</w:t>
            </w:r>
          </w:p>
        </w:tc>
      </w:tr>
      <w:tr w14:paraId="1DA2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04122F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29</w:t>
            </w:r>
          </w:p>
        </w:tc>
        <w:tc>
          <w:tcPr>
            <w:tcW w:w="1420" w:type="dxa"/>
            <w:vAlign w:val="center"/>
          </w:tcPr>
          <w:p w14:paraId="7DE749A0">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选品陈列柜</w:t>
            </w:r>
          </w:p>
        </w:tc>
        <w:tc>
          <w:tcPr>
            <w:tcW w:w="680" w:type="dxa"/>
            <w:vAlign w:val="center"/>
          </w:tcPr>
          <w:p w14:paraId="2D006E8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049DA83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2F4BC23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农特产品及其他货品展示柜</w:t>
            </w:r>
          </w:p>
          <w:p w14:paraId="086594B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1．钢木结构展示台，材质安全环保，结构扎实耐用，合理的结构造型，稳定性好 、版面平整光滑；</w:t>
            </w:r>
          </w:p>
          <w:p w14:paraId="3C06EBD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2．E1 级环保材质，符合国家及国际标准；</w:t>
            </w:r>
          </w:p>
          <w:p w14:paraId="7091D21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3．耐压耐磨、结构严密、握钉力强、不易变形；</w:t>
            </w:r>
          </w:p>
          <w:p w14:paraId="2535D7C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4．尺寸：≥150cm长×29.5cm深×220cm高</w:t>
            </w:r>
          </w:p>
        </w:tc>
      </w:tr>
      <w:tr w14:paraId="6026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10CA123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30</w:t>
            </w:r>
          </w:p>
        </w:tc>
        <w:tc>
          <w:tcPr>
            <w:tcW w:w="1420" w:type="dxa"/>
            <w:vAlign w:val="center"/>
          </w:tcPr>
          <w:p w14:paraId="33292FC8">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万兆路由器</w:t>
            </w:r>
          </w:p>
        </w:tc>
        <w:tc>
          <w:tcPr>
            <w:tcW w:w="680" w:type="dxa"/>
            <w:vAlign w:val="center"/>
          </w:tcPr>
          <w:p w14:paraId="4E1ACBC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7509172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78CAA01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1.固定端口要求：≥4个10/100/1000M电口（1*LAN+3*LAN/WAN），≥4个10/100/1000M/2500M电口(3*LAN/WAN+1*WAN)，≥2个1000Base-X/10GBase-X的光口(2*LAN/WAN)。</w:t>
            </w:r>
          </w:p>
          <w:p w14:paraId="106C79A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2.内存：≥4G。</w:t>
            </w:r>
          </w:p>
          <w:p w14:paraId="2C84F4A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3.存储：≥128MB SPI NAND Flash + 8GB eMMC。</w:t>
            </w:r>
          </w:p>
          <w:p w14:paraId="03A9BE5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4.带机量：≥350台并发终端。</w:t>
            </w:r>
          </w:p>
          <w:p w14:paraId="21F736F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5.带宽：关闭流控时≥4Gbps；开启流控时≥3.5Gbps。</w:t>
            </w:r>
          </w:p>
          <w:p w14:paraId="2404802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6.整机功率：≤20W。</w:t>
            </w:r>
          </w:p>
          <w:p w14:paraId="5BB4B9D2">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7.网络接入：支持PPPoE拨号、PPPoE Server（最大150条）、DHCP Client、静态IP接入，同时支持接入方式自动识别、WAN口地址冲突自动规避、MAC克隆、从旧路由器获取账号密码等功能、支持IPv6。</w:t>
            </w:r>
          </w:p>
          <w:p w14:paraId="3F4997D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8.测速：内置测速工具，可以测出不同运营商宽带的叠加效果，最大测速性能4000Mbps。</w:t>
            </w:r>
          </w:p>
          <w:p w14:paraId="0552D1D3">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9.流量控制：支持自定义流控策略，支持基于IP的自动弹性带宽功能、支持基于应用的自动弹性带宽功能。</w:t>
            </w:r>
          </w:p>
          <w:p w14:paraId="5548406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10.流量审计：支持实时流量审计、IP/应用流量可视化。</w:t>
            </w:r>
          </w:p>
          <w:p w14:paraId="4FDB847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11.行为管理：支持基于时间和IP策略的应用阻断、支持网站过滤、QQ黑白名单等。</w:t>
            </w:r>
          </w:p>
          <w:p w14:paraId="337582ED">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12.VPN：IPsec/L2TP/PPTP/OPENVPN （500条隧道）支持服务器与客户端模式。</w:t>
            </w:r>
          </w:p>
          <w:p w14:paraId="3E2C92B1">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13.PPPoE Server：支持账号有效期配置，支持基于账号的流控管理。</w:t>
            </w:r>
          </w:p>
          <w:p w14:paraId="4F046CE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14.AP管理：支持多SSID配置、SSID隐藏、信道设置、功率设置、AP有线口设置、AP在线升级、STA数量设置、STA黑白名单等。</w:t>
            </w:r>
          </w:p>
          <w:p w14:paraId="77D313F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15.漫游：支持本地转发漫游，支持二层漫游、支持AP间三层漫游，支持STA漫游轨迹查看功能。</w:t>
            </w:r>
          </w:p>
          <w:p w14:paraId="77B1C51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16.端口管理：支持环路保护、端口镜像、端口隔离、端口配置、PoE配置、端口限制、风暴控制、静态MAC、MAC搜索。</w:t>
            </w:r>
          </w:p>
          <w:p w14:paraId="79E305F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17.状态显示：端口统计、监控信息、线缆检测、VLAN配置、MAC列表。</w:t>
            </w:r>
          </w:p>
          <w:p w14:paraId="1568528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▲18. 支持管理功能：支持APP手机管理小程序管理、云管理、本地管理、免DDNS远程web管理、多用户协作管理等。</w:t>
            </w:r>
          </w:p>
          <w:p w14:paraId="5E34079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▲19. 支持认证功能要求：支持短信认证、扫码认证、答题认证、微信认证、账号密码认证、本地Portal认证；支持Easy VPN 1.0、Easy VPN 2.0；支持云打印。</w:t>
            </w:r>
          </w:p>
          <w:p w14:paraId="0D1455A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▲20. 支持安全功能要求：ACL、IP-MAC绑定、MAC地址过滤、动态ARP、静态ARP绑定、NAT、NAPT、端口映射。</w:t>
            </w:r>
          </w:p>
        </w:tc>
      </w:tr>
      <w:tr w14:paraId="4FAC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C0AC8F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31</w:t>
            </w:r>
          </w:p>
        </w:tc>
        <w:tc>
          <w:tcPr>
            <w:tcW w:w="1420" w:type="dxa"/>
            <w:vAlign w:val="center"/>
          </w:tcPr>
          <w:p w14:paraId="04CCB06F">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教师控制台</w:t>
            </w:r>
          </w:p>
        </w:tc>
        <w:tc>
          <w:tcPr>
            <w:tcW w:w="680" w:type="dxa"/>
            <w:vAlign w:val="center"/>
          </w:tcPr>
          <w:p w14:paraId="3B9939B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0048CFF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张</w:t>
            </w:r>
          </w:p>
        </w:tc>
        <w:tc>
          <w:tcPr>
            <w:tcW w:w="5845" w:type="dxa"/>
            <w:vAlign w:val="center"/>
          </w:tcPr>
          <w:p w14:paraId="045F1B7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尺寸（约）：≥L1800×W800×H800mm；材料采用E1级15mm双贴面三聚氰胺饰面板，颜色为可以订制，左边设边柜，右边为计算机控制区，外形美观，操作方便。选用优质PVC封边条，利用全自动封边机，对板材截面进行封边，粘力强，密封性好，外形美观。主控台背面与侧面开有通风口，保证设备的散热良好。</w:t>
            </w:r>
          </w:p>
        </w:tc>
      </w:tr>
      <w:tr w14:paraId="64E4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084620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32</w:t>
            </w:r>
          </w:p>
        </w:tc>
        <w:tc>
          <w:tcPr>
            <w:tcW w:w="1420" w:type="dxa"/>
            <w:vAlign w:val="center"/>
          </w:tcPr>
          <w:p w14:paraId="11B1691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教师椅</w:t>
            </w:r>
          </w:p>
        </w:tc>
        <w:tc>
          <w:tcPr>
            <w:tcW w:w="680" w:type="dxa"/>
            <w:vAlign w:val="center"/>
          </w:tcPr>
          <w:p w14:paraId="5E19097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018E0FD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张</w:t>
            </w:r>
          </w:p>
        </w:tc>
        <w:tc>
          <w:tcPr>
            <w:tcW w:w="5845" w:type="dxa"/>
            <w:vAlign w:val="center"/>
          </w:tcPr>
          <w:p w14:paraId="4201DE7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1.五轮带靠背转椅，可调节高度；</w:t>
            </w:r>
          </w:p>
          <w:p w14:paraId="5CBFE8F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2.采用优质丝网或PU材料，光泽度好，透气性强，厚度适中，柔软而富于韧性，柔软且富于韧性；采用PU成型；</w:t>
            </w:r>
          </w:p>
          <w:p w14:paraId="49588B4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3.椅架：采用优质电镀钢架，强度高，刚性好，不变形，比重合理。</w:t>
            </w:r>
          </w:p>
        </w:tc>
      </w:tr>
      <w:tr w14:paraId="097D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2F2829A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33</w:t>
            </w:r>
          </w:p>
        </w:tc>
        <w:tc>
          <w:tcPr>
            <w:tcW w:w="1420" w:type="dxa"/>
            <w:vAlign w:val="center"/>
          </w:tcPr>
          <w:p w14:paraId="32D1F5F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学生桌（带翻转器）</w:t>
            </w:r>
          </w:p>
        </w:tc>
        <w:tc>
          <w:tcPr>
            <w:tcW w:w="680" w:type="dxa"/>
            <w:vAlign w:val="center"/>
          </w:tcPr>
          <w:p w14:paraId="3BD5842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43</w:t>
            </w:r>
          </w:p>
        </w:tc>
        <w:tc>
          <w:tcPr>
            <w:tcW w:w="700" w:type="dxa"/>
            <w:vAlign w:val="center"/>
          </w:tcPr>
          <w:p w14:paraId="093AD4D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位</w:t>
            </w:r>
          </w:p>
        </w:tc>
        <w:tc>
          <w:tcPr>
            <w:tcW w:w="5845" w:type="dxa"/>
            <w:vAlign w:val="center"/>
          </w:tcPr>
          <w:p w14:paraId="3102D57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1、单人位规格: ≥W700×D600×H760mm 桌面采用约25mm厚密度板，抗弯力强，不易变形；</w:t>
            </w:r>
          </w:p>
          <w:p w14:paraId="54C47FB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2、耐磨性强，承载能力强，绿色环保，没有有害物质溢出。</w:t>
            </w:r>
          </w:p>
          <w:p w14:paraId="1164538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桌面采用约2.0mm厚3:1配料PVC封边经200度高温胶全自动机器直封边.铁架：侧脚采用0.8mm厚冷轧钢板一次性成形，背板及柜门采用0.8mm厚冷轧钢板，柜门配一锁通，主台脚均配线槽，金属件涂层无漏喷，锈蚀；光滑均匀，色泽一致，无流挂，疙瘩，皱皮，飞漆等现象缺陷，焊接件焊接时采用二氧化碳保护焊接，焊接件之间的连接部分均应全部圈焊接，不允许脱焊，气孔，焊瘤，焊丝头，咬边飞溅；焊接后经打磨，酸洗，磷化，除油等处理。</w:t>
            </w:r>
          </w:p>
          <w:p w14:paraId="50E4C61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4、金属材质翻转器：</w:t>
            </w:r>
          </w:p>
          <w:p w14:paraId="73906A12">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①可放置17至21.5寸液晶显示器；</w:t>
            </w:r>
          </w:p>
          <w:p w14:paraId="06422F3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②翻转系统采用锁具驱动，翻转倾角(显示屏与水平面夹角)在0°—120°调节范围内可任意调节角度。翻转过程匀速无噪音；</w:t>
            </w:r>
          </w:p>
          <w:p w14:paraId="3419785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③当不使用时显示器隐藏于桌子内，使桌面保持平整，并能防尘、防盗；</w:t>
            </w:r>
          </w:p>
          <w:p w14:paraId="502A800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④气压杆液压15公斤,每一位配一个翻转器.</w:t>
            </w:r>
          </w:p>
        </w:tc>
      </w:tr>
      <w:tr w14:paraId="6740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F27DEB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34</w:t>
            </w:r>
          </w:p>
        </w:tc>
        <w:tc>
          <w:tcPr>
            <w:tcW w:w="1420" w:type="dxa"/>
            <w:vAlign w:val="center"/>
          </w:tcPr>
          <w:p w14:paraId="7797D131">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学生椅</w:t>
            </w:r>
          </w:p>
        </w:tc>
        <w:tc>
          <w:tcPr>
            <w:tcW w:w="680" w:type="dxa"/>
            <w:vAlign w:val="center"/>
          </w:tcPr>
          <w:p w14:paraId="1641464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43</w:t>
            </w:r>
          </w:p>
        </w:tc>
        <w:tc>
          <w:tcPr>
            <w:tcW w:w="700" w:type="dxa"/>
            <w:vAlign w:val="center"/>
          </w:tcPr>
          <w:p w14:paraId="6131E6D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张</w:t>
            </w:r>
          </w:p>
        </w:tc>
        <w:tc>
          <w:tcPr>
            <w:tcW w:w="5845" w:type="dxa"/>
            <w:vAlign w:val="center"/>
          </w:tcPr>
          <w:p w14:paraId="52717FC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尺寸约：≥高75cm×宽48cm×深50cm。一体成型塑料凳，带扶手,PP材质，圆滑座面，加厚设计，舒适稳固，防滑耐磨，保护地板。</w:t>
            </w:r>
          </w:p>
        </w:tc>
      </w:tr>
      <w:tr w14:paraId="518B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37AF58C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35</w:t>
            </w:r>
          </w:p>
        </w:tc>
        <w:tc>
          <w:tcPr>
            <w:tcW w:w="1420" w:type="dxa"/>
            <w:vAlign w:val="center"/>
          </w:tcPr>
          <w:p w14:paraId="5CEE0457">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吸顶式制冷设备（一拖二）</w:t>
            </w:r>
          </w:p>
        </w:tc>
        <w:tc>
          <w:tcPr>
            <w:tcW w:w="680" w:type="dxa"/>
            <w:vAlign w:val="center"/>
          </w:tcPr>
          <w:p w14:paraId="322957F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7720A12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套</w:t>
            </w:r>
          </w:p>
        </w:tc>
        <w:tc>
          <w:tcPr>
            <w:tcW w:w="5845" w:type="dxa"/>
            <w:vAlign w:val="center"/>
          </w:tcPr>
          <w:p w14:paraId="39D4449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多联式中央</w:t>
            </w:r>
            <w:r>
              <w:rPr>
                <w:rFonts w:hint="eastAsia" w:ascii="宋体" w:hAnsi="宋体" w:cs="宋体"/>
                <w:color w:val="auto"/>
                <w:szCs w:val="21"/>
                <w:highlight w:val="none"/>
              </w:rPr>
              <w:t>制冷设备</w:t>
            </w:r>
            <w:r>
              <w:rPr>
                <w:rFonts w:hint="eastAsia" w:ascii="宋体" w:hAnsi="宋体" w:cs="宋体"/>
                <w:color w:val="auto"/>
                <w:szCs w:val="21"/>
                <w:highlight w:val="none"/>
              </w:rPr>
              <w:t xml:space="preserve">室外机共1台 </w:t>
            </w:r>
            <w:r>
              <w:rPr>
                <w:rFonts w:hint="eastAsia" w:ascii="宋体" w:hAnsi="宋体" w:cs="宋体"/>
                <w:color w:val="auto"/>
                <w:szCs w:val="21"/>
                <w:highlight w:val="none"/>
              </w:rPr>
              <w:t>，要求如下：</w:t>
            </w:r>
            <w:r>
              <w:rPr>
                <w:rFonts w:hint="eastAsia" w:ascii="宋体" w:hAnsi="宋体" w:cs="宋体"/>
                <w:color w:val="auto"/>
                <w:szCs w:val="21"/>
                <w:highlight w:val="none"/>
              </w:rPr>
              <w:t xml:space="preserve">                                  </w:t>
            </w:r>
          </w:p>
          <w:p w14:paraId="1F593240">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 电源：380V 3N/50Hz；</w:t>
            </w:r>
          </w:p>
          <w:p w14:paraId="3BE9745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 能效等级：1级；</w:t>
            </w:r>
          </w:p>
          <w:p w14:paraId="062175E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 能效比APF≥4.80；</w:t>
            </w:r>
          </w:p>
          <w:p w14:paraId="4CB4737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 额定制冷量(W)≥25000；</w:t>
            </w:r>
          </w:p>
          <w:p w14:paraId="41BE423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 额定制热量(W)≥28000；</w:t>
            </w:r>
          </w:p>
          <w:p w14:paraId="3AFF3BB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 额定制冷功率(W)≤8200；</w:t>
            </w:r>
          </w:p>
          <w:p w14:paraId="6CA24EA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 额定制热功率(W)≤7850；</w:t>
            </w:r>
          </w:p>
          <w:p w14:paraId="29B0CDA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8. 运行噪音dB(A)≤60；                                </w:t>
            </w:r>
          </w:p>
          <w:p w14:paraId="7ECDC60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多联式中央空调嵌入式天花室内机共2台，</w:t>
            </w:r>
            <w:r>
              <w:rPr>
                <w:rFonts w:hint="eastAsia" w:ascii="宋体" w:hAnsi="宋体" w:cs="宋体"/>
                <w:color w:val="auto"/>
                <w:szCs w:val="21"/>
                <w:highlight w:val="none"/>
              </w:rPr>
              <w:t xml:space="preserve">要求如下：   </w:t>
            </w:r>
            <w:r>
              <w:rPr>
                <w:rFonts w:hint="eastAsia" w:ascii="宋体" w:hAnsi="宋体" w:cs="宋体"/>
                <w:color w:val="auto"/>
                <w:szCs w:val="21"/>
                <w:highlight w:val="none"/>
              </w:rPr>
              <w:t xml:space="preserve">                       </w:t>
            </w:r>
          </w:p>
          <w:p w14:paraId="3733A06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 电源：220V/50Hz；</w:t>
            </w:r>
          </w:p>
          <w:p w14:paraId="529DC54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 额定制冷量(W)≥12500；</w:t>
            </w:r>
          </w:p>
          <w:p w14:paraId="09A5BBD7">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 额定制热量(W)≥14000；</w:t>
            </w:r>
          </w:p>
          <w:p w14:paraId="3623DD6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 额定功率(W)≤95；</w:t>
            </w:r>
          </w:p>
          <w:p w14:paraId="18F292E4">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 电辅热(W)≤2000；</w:t>
            </w:r>
          </w:p>
          <w:p w14:paraId="2CF9E4B5">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 运行噪音dB(A)≤46；</w:t>
            </w:r>
          </w:p>
          <w:p w14:paraId="09C7D038">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 循环风量（m³/h）≥1780；</w:t>
            </w:r>
          </w:p>
        </w:tc>
      </w:tr>
      <w:tr w14:paraId="54EA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6" w:type="dxa"/>
            <w:vAlign w:val="center"/>
          </w:tcPr>
          <w:p w14:paraId="7686AB6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36</w:t>
            </w:r>
          </w:p>
        </w:tc>
        <w:tc>
          <w:tcPr>
            <w:tcW w:w="1420" w:type="dxa"/>
            <w:vAlign w:val="center"/>
          </w:tcPr>
          <w:p w14:paraId="2769F6AB">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环境改造</w:t>
            </w:r>
          </w:p>
        </w:tc>
        <w:tc>
          <w:tcPr>
            <w:tcW w:w="680" w:type="dxa"/>
            <w:vAlign w:val="center"/>
          </w:tcPr>
          <w:p w14:paraId="2728C1C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700" w:type="dxa"/>
            <w:vAlign w:val="center"/>
          </w:tcPr>
          <w:p w14:paraId="619EF05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p>
        </w:tc>
        <w:tc>
          <w:tcPr>
            <w:tcW w:w="5845" w:type="dxa"/>
            <w:vAlign w:val="center"/>
          </w:tcPr>
          <w:p w14:paraId="29764B6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教室尺寸：长约11.8米，宽约9.9米，整间教室需要根据要求进行环境改造：                                                                                                                                                   一、吊顶</w:t>
            </w:r>
          </w:p>
          <w:p w14:paraId="3A36E76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1、含原教室的灯光拆卸，清理；</w:t>
            </w:r>
          </w:p>
          <w:p w14:paraId="6757934F">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2、含轻钢龙骨、铝方通吊顶安装。</w:t>
            </w:r>
          </w:p>
          <w:p w14:paraId="25BB2F71">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3、原教室灯光线路改造。</w:t>
            </w:r>
          </w:p>
          <w:p w14:paraId="1917D18D">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4、铝方通吊顶灯安装、灯光线路布线，保障整个教室的亮度。</w:t>
            </w:r>
          </w:p>
          <w:p w14:paraId="41CEDD59">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二、窗帘</w:t>
            </w:r>
          </w:p>
          <w:p w14:paraId="380E71FB">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1、做窗帘盒</w:t>
            </w:r>
          </w:p>
          <w:p w14:paraId="1D376B1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2、根据教室尺寸以及窗户数量定做窗帘。</w:t>
            </w:r>
          </w:p>
          <w:p w14:paraId="721376EA">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三、地面改造 </w:t>
            </w:r>
          </w:p>
          <w:p w14:paraId="6FC5E5FE">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1、地面按教室内桌椅布局铺设台阶。台阶呈阶梯状，逐排升高，确保后排学生视线不受前排遮挡。</w:t>
            </w:r>
          </w:p>
          <w:p w14:paraId="16152C33">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2、整间教室地面铺设石塑地板。石塑地板采用环保材质，防水耐磨，易清洁。</w:t>
            </w:r>
          </w:p>
          <w:p w14:paraId="454D5BCC">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四、实训室文化氛围设计及打造。</w:t>
            </w:r>
          </w:p>
          <w:p w14:paraId="43C76E96">
            <w:pPr>
              <w:widowControl/>
              <w:spacing w:line="40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五、综合布线：符合《综合布线系统工程设计规范》操作规范，实验室内教师机位及学生机位每个位配套的线材杂件及工程的安装调试等。包含但不限于电缆、网线、音视频线、插座、接头、五金配件、线盒等以及设备的安装、调试，满足实验室安装要求的全部辅料</w:t>
            </w:r>
          </w:p>
        </w:tc>
      </w:tr>
      <w:tr w14:paraId="1B39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441" w:type="dxa"/>
            <w:gridSpan w:val="5"/>
            <w:vAlign w:val="center"/>
          </w:tcPr>
          <w:p w14:paraId="3A243CB5">
            <w:pPr>
              <w:widowControl/>
              <w:spacing w:line="400" w:lineRule="exac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二、商务要求</w:t>
            </w:r>
          </w:p>
        </w:tc>
      </w:tr>
      <w:tr w14:paraId="0E12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12DCA434">
            <w:pPr>
              <w:widowControl/>
              <w:spacing w:line="400" w:lineRule="exact"/>
              <w:jc w:val="center"/>
              <w:rPr>
                <w:rFonts w:hint="eastAsia" w:ascii="宋体" w:hAnsi="宋体" w:cs="宋体"/>
                <w:b/>
                <w:bCs/>
                <w:color w:val="auto"/>
                <w:kern w:val="1"/>
                <w:szCs w:val="21"/>
                <w:highlight w:val="none"/>
              </w:rPr>
            </w:pPr>
            <w:r>
              <w:rPr>
                <w:rFonts w:hint="eastAsia" w:ascii="宋体" w:hAnsi="宋体" w:cs="宋体"/>
                <w:b/>
                <w:bCs/>
                <w:color w:val="auto"/>
                <w:szCs w:val="21"/>
                <w:highlight w:val="none"/>
              </w:rPr>
              <w:t>合同签订时间</w:t>
            </w:r>
          </w:p>
        </w:tc>
        <w:tc>
          <w:tcPr>
            <w:tcW w:w="7225" w:type="dxa"/>
            <w:gridSpan w:val="3"/>
            <w:vAlign w:val="center"/>
          </w:tcPr>
          <w:p w14:paraId="35941C6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自成交通知书发出之日起 25 日内。</w:t>
            </w:r>
          </w:p>
        </w:tc>
      </w:tr>
      <w:tr w14:paraId="7E8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7BA3CC06">
            <w:pPr>
              <w:spacing w:line="400" w:lineRule="exact"/>
              <w:jc w:val="center"/>
              <w:rPr>
                <w:rFonts w:hint="eastAsia" w:ascii="宋体" w:hAnsi="宋体" w:cs="宋体"/>
                <w:color w:val="auto"/>
                <w:kern w:val="1"/>
                <w:szCs w:val="21"/>
                <w:highlight w:val="none"/>
              </w:rPr>
            </w:pPr>
            <w:r>
              <w:rPr>
                <w:rFonts w:hint="eastAsia" w:ascii="Segoe UI Symbol" w:hAnsi="Segoe UI Symbol" w:cs="Segoe UI Symbol"/>
                <w:bCs/>
                <w:color w:val="auto"/>
                <w:sz w:val="24"/>
                <w:highlight w:val="none"/>
              </w:rPr>
              <w:t>▲</w:t>
            </w:r>
            <w:r>
              <w:rPr>
                <w:rFonts w:hint="eastAsia" w:ascii="宋体" w:hAnsi="宋体" w:cs="宋体"/>
                <w:b/>
                <w:color w:val="auto"/>
                <w:szCs w:val="21"/>
                <w:highlight w:val="none"/>
              </w:rPr>
              <w:t>交货时间及地点</w:t>
            </w:r>
          </w:p>
        </w:tc>
        <w:tc>
          <w:tcPr>
            <w:tcW w:w="7225" w:type="dxa"/>
            <w:gridSpan w:val="3"/>
            <w:vAlign w:val="center"/>
          </w:tcPr>
          <w:p w14:paraId="55D7029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交货时间：合同签订后</w:t>
            </w:r>
            <w:r>
              <w:rPr>
                <w:rFonts w:hint="eastAsia" w:ascii="宋体" w:hAnsi="宋体" w:cs="宋体"/>
                <w:color w:val="auto"/>
                <w:szCs w:val="21"/>
                <w:highlight w:val="none"/>
              </w:rPr>
              <w:t>60</w:t>
            </w:r>
            <w:r>
              <w:rPr>
                <w:rFonts w:hint="eastAsia" w:ascii="宋体" w:hAnsi="宋体" w:cs="宋体"/>
                <w:color w:val="auto"/>
                <w:szCs w:val="21"/>
                <w:highlight w:val="none"/>
              </w:rPr>
              <w:t>日内全部完成设备的供货并安装调试完毕。</w:t>
            </w:r>
          </w:p>
          <w:p w14:paraId="72749BE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地点：河池市采购人指定地点。</w:t>
            </w:r>
          </w:p>
        </w:tc>
      </w:tr>
      <w:tr w14:paraId="7AC6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223C7923">
            <w:pPr>
              <w:spacing w:line="400" w:lineRule="exact"/>
              <w:jc w:val="center"/>
              <w:rPr>
                <w:rFonts w:hint="eastAsia" w:ascii="宋体" w:hAnsi="宋体" w:cs="宋体"/>
                <w:b/>
                <w:bCs/>
                <w:color w:val="auto"/>
                <w:kern w:val="0"/>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kern w:val="0"/>
                <w:szCs w:val="21"/>
                <w:highlight w:val="none"/>
              </w:rPr>
              <w:t>货物安装及验收</w:t>
            </w:r>
          </w:p>
        </w:tc>
        <w:tc>
          <w:tcPr>
            <w:tcW w:w="7225" w:type="dxa"/>
            <w:gridSpan w:val="3"/>
            <w:vAlign w:val="center"/>
          </w:tcPr>
          <w:p w14:paraId="04FFF3E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1.接到采购人安装通知后，须在10个工作日内安排有经验的工程师到现场安装设备，并在30个工作日内安装、调试完毕。</w:t>
            </w:r>
          </w:p>
          <w:p w14:paraId="65DB4A0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2.安装工程师对本响应文件中承诺的性能指标须逐项演示给用户，所有验收指标要求一次完成。</w:t>
            </w:r>
          </w:p>
          <w:p w14:paraId="28B3C96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3.安装、调试过程中，安装工程师有义务对用户讲解设备的操作及注意事项，对用户提出的问题安装工程师须认真给予正确完整的和回答。</w:t>
            </w:r>
          </w:p>
          <w:p w14:paraId="1443677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要求竞标货物是全新的、未经改装的、合格的、满足本项目技术需求及要求的货物。成交供应商应提供货物的有效检验文件，经采购人认可后，与合同的性能指标一起作为货物验收标准；本项目验收标准应符合中国有关的国家、地方、行业标准。</w:t>
            </w:r>
          </w:p>
          <w:p w14:paraId="78E5064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5.成交供应商提供的产品不满足响应文件承诺、验收不合格的，采购人有权解除合同并追究该供应商的法律责任。</w:t>
            </w:r>
          </w:p>
          <w:p w14:paraId="052F185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6.采购人对产品验收合格后，双方共同签署验收合格证书，验收标准应符合中国有关的国家、地方、行业标准。若出现弄虚作假情况，一经查实，采购单位将予以退货或换货，验收费用由成交人支付，同时追究成交人法律责任并要求成交人赔偿相关损失，并将竞标人弄虚作假的情况报政府采购监督管理部门，由政府采购监督管理部门按照《中华人民共和国政府采购法》及相关规定对其进行处罚。</w:t>
            </w:r>
          </w:p>
        </w:tc>
      </w:tr>
      <w:tr w14:paraId="03F1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1D2DD82A">
            <w:pPr>
              <w:spacing w:line="400" w:lineRule="exact"/>
              <w:jc w:val="center"/>
              <w:rPr>
                <w:rFonts w:hint="eastAsia" w:ascii="宋体" w:hAnsi="宋体" w:cs="宋体"/>
                <w:b/>
                <w:bCs/>
                <w:color w:val="auto"/>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质量保证要求</w:t>
            </w:r>
          </w:p>
        </w:tc>
        <w:tc>
          <w:tcPr>
            <w:tcW w:w="7225" w:type="dxa"/>
            <w:gridSpan w:val="3"/>
            <w:vAlign w:val="center"/>
          </w:tcPr>
          <w:p w14:paraId="02CA8FE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1.供应商应明确承诺：按国家有关产品“三包”规定执行“三包”，货物验收合格后，自安装验收合格之日起质保期不少于</w:t>
            </w:r>
            <w:r>
              <w:rPr>
                <w:rFonts w:hint="eastAsia" w:ascii="宋体" w:hAnsi="宋体" w:cs="宋体"/>
                <w:color w:val="auto"/>
                <w:szCs w:val="21"/>
                <w:highlight w:val="none"/>
              </w:rPr>
              <w:t>2</w:t>
            </w:r>
            <w:r>
              <w:rPr>
                <w:rFonts w:hint="eastAsia" w:ascii="宋体" w:hAnsi="宋体" w:cs="宋体"/>
                <w:color w:val="auto"/>
                <w:szCs w:val="21"/>
                <w:highlight w:val="none"/>
              </w:rPr>
              <w:t>年（分项有更高要求的按分项要求的质保）。质保期内非人为损坏上门维修、免费更换所有故障零配件，并免费提供硬件的安全性改版升级和技术支持，确保设备正常运行。</w:t>
            </w:r>
          </w:p>
          <w:p w14:paraId="1201C868">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2.质保期所更换的零配件必须是原厂全新的零配件，满足设备运行要求。</w:t>
            </w:r>
          </w:p>
          <w:p w14:paraId="6972068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质保期内，成交供应商负责处理解决货物出现的质量及安全问题并承担一切费用，所有非故意性损坏以及正常使用范围内造成的损坏均要免费维修，因人为因素出现的故障不在免费保修范围内，但成交供应商也要积极帮助采购人修理，并提供优惠价格的配件和服务。</w:t>
            </w:r>
          </w:p>
          <w:p w14:paraId="56719DEB">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3.质保期内每年提供 1 次设备检查保养服务(使用专业检测设备)，每次保养及维修均需提供双方签字确认的保养服务工单或维修工单。</w:t>
            </w:r>
          </w:p>
          <w:p w14:paraId="5FC42CA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4.质量保证期承诺优于国家“三包”规定的，或优于采购文件规定的，按供应商实际承诺执行。</w:t>
            </w:r>
          </w:p>
        </w:tc>
      </w:tr>
      <w:tr w14:paraId="0071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621AC060">
            <w:pPr>
              <w:spacing w:line="400" w:lineRule="exact"/>
              <w:jc w:val="center"/>
              <w:rPr>
                <w:rFonts w:hint="eastAsia" w:ascii="宋体" w:hAnsi="宋体" w:cs="宋体"/>
                <w:b/>
                <w:bCs/>
                <w:color w:val="auto"/>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售后服务要求</w:t>
            </w:r>
          </w:p>
        </w:tc>
        <w:tc>
          <w:tcPr>
            <w:tcW w:w="7225" w:type="dxa"/>
            <w:gridSpan w:val="3"/>
            <w:vAlign w:val="center"/>
          </w:tcPr>
          <w:p w14:paraId="3753008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1.免费提供仪器操作及维护，培训课程有基础理论、使用操作、日常维护、应用方法等内容组成。</w:t>
            </w:r>
          </w:p>
          <w:p w14:paraId="0648638F">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2.维修过程中所需零配件成交人在接到通知后最长不超过</w:t>
            </w:r>
            <w:r>
              <w:rPr>
                <w:rFonts w:hint="eastAsia" w:ascii="宋体" w:hAnsi="宋体" w:cs="宋体"/>
                <w:color w:val="auto"/>
                <w:szCs w:val="21"/>
                <w:highlight w:val="none"/>
              </w:rPr>
              <w:t>3</w:t>
            </w:r>
            <w:r>
              <w:rPr>
                <w:rFonts w:hint="eastAsia" w:ascii="宋体" w:hAnsi="宋体" w:cs="宋体"/>
                <w:color w:val="auto"/>
                <w:szCs w:val="21"/>
                <w:highlight w:val="none"/>
              </w:rPr>
              <w:t>天必须送达采购单位。</w:t>
            </w:r>
          </w:p>
          <w:p w14:paraId="1B2D28EC">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3.竞标货物的售后服务必须由成交人直接负责，售后工作由成交人和设备原生产商直接协调。保证长期、优惠、及时提供零备件和优质、优惠的维修服务，提供软件终生免费升级。</w:t>
            </w:r>
          </w:p>
          <w:p w14:paraId="2E87A2A7">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4.提供 7×24 小时电话或电子邮件服务，成交人接到采购单位的通知后立即响应，在 1 小时内做出明确响应和安排，在 </w:t>
            </w:r>
            <w:r>
              <w:rPr>
                <w:rFonts w:hint="eastAsia" w:ascii="宋体" w:hAnsi="宋体" w:cs="宋体"/>
                <w:color w:val="auto"/>
                <w:szCs w:val="21"/>
                <w:highlight w:val="none"/>
              </w:rPr>
              <w:t>6</w:t>
            </w:r>
            <w:r>
              <w:rPr>
                <w:rFonts w:hint="eastAsia" w:ascii="宋体" w:hAnsi="宋体" w:cs="宋体"/>
                <w:color w:val="auto"/>
                <w:szCs w:val="21"/>
                <w:highlight w:val="none"/>
              </w:rPr>
              <w:t>小时内做出故障诊断报告，如需现场服务的，具有解决故障能力的工程师应在</w:t>
            </w:r>
            <w:r>
              <w:rPr>
                <w:rFonts w:hint="eastAsia" w:ascii="宋体" w:hAnsi="宋体" w:cs="宋体"/>
                <w:color w:val="auto"/>
                <w:szCs w:val="21"/>
                <w:highlight w:val="none"/>
              </w:rPr>
              <w:t xml:space="preserve"> 12 </w:t>
            </w:r>
            <w:r>
              <w:rPr>
                <w:rFonts w:hint="eastAsia" w:ascii="宋体" w:hAnsi="宋体" w:cs="宋体"/>
                <w:color w:val="auto"/>
                <w:szCs w:val="21"/>
                <w:highlight w:val="none"/>
              </w:rPr>
              <w:t>小时内到达现场，</w:t>
            </w:r>
            <w:r>
              <w:rPr>
                <w:rFonts w:hint="eastAsia" w:ascii="宋体" w:hAnsi="宋体" w:cs="宋体"/>
                <w:color w:val="auto"/>
                <w:szCs w:val="21"/>
                <w:highlight w:val="none"/>
              </w:rPr>
              <w:t>8</w:t>
            </w:r>
            <w:r>
              <w:rPr>
                <w:rFonts w:hint="eastAsia" w:ascii="宋体" w:hAnsi="宋体" w:cs="宋体"/>
                <w:color w:val="auto"/>
                <w:szCs w:val="21"/>
                <w:highlight w:val="none"/>
              </w:rPr>
              <w:t>小时内解决问题，以保证设备正常运行，并承担一切相关费用。</w:t>
            </w:r>
          </w:p>
        </w:tc>
      </w:tr>
      <w:tr w14:paraId="3CFB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18D171FC">
            <w:pPr>
              <w:spacing w:line="400" w:lineRule="exact"/>
              <w:jc w:val="center"/>
              <w:rPr>
                <w:rFonts w:hint="eastAsia" w:ascii="宋体" w:hAnsi="宋体" w:cs="宋体"/>
                <w:b/>
                <w:bCs/>
                <w:color w:val="auto"/>
                <w:kern w:val="0"/>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履约保证金收取及退付</w:t>
            </w:r>
          </w:p>
        </w:tc>
        <w:tc>
          <w:tcPr>
            <w:tcW w:w="7225" w:type="dxa"/>
            <w:gridSpan w:val="3"/>
            <w:vAlign w:val="center"/>
          </w:tcPr>
          <w:p w14:paraId="360E852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1.成交人于合同签订前按成交金额的</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 xml:space="preserve">%向采购人指定账户提交履约保证金。 </w:t>
            </w:r>
          </w:p>
          <w:p w14:paraId="253F20E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2.递交方式：银行转账、支票、汇票、本票或者金融、担保机构出具的保函等非现金方式。 </w:t>
            </w:r>
          </w:p>
          <w:p w14:paraId="01DE6C35">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3.成交人若不能完全履行合同，履约保证金不返还；成交人若完全履行合同及质量保证义务，且没有任何未解决的质量问题，货到验收合格且质保期满后成交人凭履约保证金退付申请书和履约保证金汇款（转账）单到采购单位办理无息退还手续。涉及违约的违约金和损失赔偿从履约保证金中扣减。履约保证金指定账户： </w:t>
            </w:r>
          </w:p>
          <w:p w14:paraId="4CE9CD66">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开户名称：河池学院 </w:t>
            </w:r>
          </w:p>
          <w:p w14:paraId="407998F9">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开户行：建行宜州支行营业部 </w:t>
            </w:r>
          </w:p>
          <w:p w14:paraId="13EE6DEA">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账号：4500 1697 1460 5050 2776</w:t>
            </w:r>
          </w:p>
        </w:tc>
      </w:tr>
      <w:tr w14:paraId="7504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11E7F39A">
            <w:pPr>
              <w:spacing w:line="400" w:lineRule="exact"/>
              <w:jc w:val="center"/>
              <w:rPr>
                <w:rFonts w:hint="eastAsia" w:ascii="宋体" w:hAnsi="宋体" w:cs="宋体"/>
                <w:b/>
                <w:bCs/>
                <w:color w:val="auto"/>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付款方式</w:t>
            </w:r>
          </w:p>
        </w:tc>
        <w:tc>
          <w:tcPr>
            <w:tcW w:w="7225" w:type="dxa"/>
            <w:gridSpan w:val="3"/>
            <w:vAlign w:val="center"/>
          </w:tcPr>
          <w:p w14:paraId="0A791684">
            <w:pPr>
              <w:widowControl/>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货物全部送达指定交货地点且经现场交货初验（核验货物型号、数量、外观、包装）合格并签收。货物（含服务部分）安装调式正常运行 10 个工作日后，经最终验收合格，供应商提交付款申请书、开具的合同金额增值税专用发票及货物验收证明书，采购人在收到以上材料后 10 个工作日内向供应商支付 100%的合同货款。</w:t>
            </w:r>
          </w:p>
        </w:tc>
      </w:tr>
      <w:tr w14:paraId="25C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6" w:type="dxa"/>
            <w:gridSpan w:val="2"/>
            <w:vAlign w:val="center"/>
          </w:tcPr>
          <w:p w14:paraId="515164B8">
            <w:pPr>
              <w:spacing w:line="400" w:lineRule="exact"/>
              <w:jc w:val="center"/>
              <w:rPr>
                <w:rFonts w:hint="eastAsia" w:ascii="宋体" w:hAnsi="宋体" w:cs="宋体"/>
                <w:b/>
                <w:bCs/>
                <w:color w:val="auto"/>
                <w:kern w:val="1"/>
                <w:szCs w:val="21"/>
                <w:highlight w:val="none"/>
              </w:rPr>
            </w:pPr>
            <w:r>
              <w:rPr>
                <w:rFonts w:hint="eastAsia" w:ascii="Segoe UI Symbol" w:hAnsi="Segoe UI Symbol" w:cs="Segoe UI Symbol"/>
                <w:bCs/>
                <w:color w:val="auto"/>
                <w:sz w:val="24"/>
                <w:highlight w:val="none"/>
              </w:rPr>
              <w:t>▲</w:t>
            </w:r>
            <w:r>
              <w:rPr>
                <w:rFonts w:hint="eastAsia" w:ascii="宋体" w:hAnsi="宋体" w:cs="宋体"/>
                <w:b/>
                <w:bCs/>
                <w:color w:val="auto"/>
                <w:szCs w:val="21"/>
                <w:highlight w:val="none"/>
              </w:rPr>
              <w:t>其他要求</w:t>
            </w:r>
          </w:p>
        </w:tc>
        <w:tc>
          <w:tcPr>
            <w:tcW w:w="7225" w:type="dxa"/>
            <w:gridSpan w:val="3"/>
            <w:vAlign w:val="center"/>
          </w:tcPr>
          <w:p w14:paraId="3A91D8F6">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1.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14:paraId="083D2159">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本项目实行总价包干制，报价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成交供应商承担。合同履行过程中，采购人不再支付合同以外的其他费用。</w:t>
            </w:r>
          </w:p>
          <w:p w14:paraId="2C350DDA">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3.成交供应商承担货物交付验收前的运输、安装等作业工人人身、设备安全责任。验收前，如果设备丢失、因供应商自身原因及第三方原因导致损坏，成交供应商应自行负责并承担不能交付货物的责任。</w:t>
            </w:r>
          </w:p>
          <w:p w14:paraId="0A6138B8">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4.本项目不接受进口产品（即通过中国海关报关验放进入中国境内且产自关境外的产品）参与</w:t>
            </w:r>
            <w:r>
              <w:rPr>
                <w:rFonts w:hint="eastAsia" w:ascii="宋体" w:hAnsi="宋体" w:cs="宋体"/>
                <w:color w:val="auto"/>
                <w:szCs w:val="21"/>
                <w:highlight w:val="none"/>
                <w:lang w:bidi="ar"/>
              </w:rPr>
              <w:t>竞争性谈判</w:t>
            </w:r>
            <w:r>
              <w:rPr>
                <w:rFonts w:hint="eastAsia" w:ascii="宋体" w:hAnsi="宋体" w:cs="宋体"/>
                <w:color w:val="auto"/>
                <w:szCs w:val="21"/>
                <w:highlight w:val="none"/>
              </w:rPr>
              <w:t>，如有此类产品参与</w:t>
            </w:r>
            <w:r>
              <w:rPr>
                <w:rFonts w:hint="eastAsia" w:ascii="宋体" w:hAnsi="宋体" w:cs="宋体"/>
                <w:color w:val="auto"/>
                <w:szCs w:val="21"/>
                <w:highlight w:val="none"/>
                <w:lang w:bidi="ar"/>
              </w:rPr>
              <w:t>竞争性谈判</w:t>
            </w:r>
            <w:r>
              <w:rPr>
                <w:rFonts w:hint="eastAsia" w:ascii="宋体" w:hAnsi="宋体" w:cs="宋体"/>
                <w:color w:val="auto"/>
                <w:szCs w:val="21"/>
                <w:highlight w:val="none"/>
              </w:rPr>
              <w:t>的按无效响应处理。</w:t>
            </w:r>
          </w:p>
          <w:p w14:paraId="7CC6FE96">
            <w:pPr>
              <w:keepNext w:val="0"/>
              <w:keepLines w:val="0"/>
              <w:widowControl/>
              <w:suppressLineNumbers w:val="0"/>
              <w:jc w:val="left"/>
              <w:rPr>
                <w:rFonts w:hint="eastAsia" w:ascii="宋体" w:hAnsi="宋体" w:cs="宋体"/>
                <w:color w:val="auto"/>
                <w:szCs w:val="21"/>
                <w:highlight w:val="none"/>
              </w:rPr>
            </w:pP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现场演示时间：响应文件提交截止时间后，具体时间另行电话通知，请供应商保持手机畅通，如因供应商原因而未能取得联系的，一切不利后果由供应商负责。演示顺序依据广西政府采购云平台中的供应商顺序进行。演示地点：广西政府采购云平台（可通过共享屏幕、摄像头对着实际软件产品实操演示等多种方式进行演示，供应商自行准备好网络环境，演示所需的电脑，摄像头，麦克风等）；每位供应商视频演示时间不得超过20分钟（含调试、讲解、演示，请供应商提前做好调试准备）。</w:t>
            </w:r>
          </w:p>
          <w:p w14:paraId="4EC99A1F">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本分标的核心产品为：第8项“跨境实训终端”</w:t>
            </w:r>
          </w:p>
        </w:tc>
      </w:tr>
    </w:tbl>
    <w:p w14:paraId="00B1D7DA">
      <w:pPr>
        <w:spacing w:line="428" w:lineRule="exact"/>
        <w:ind w:left="119"/>
        <w:rPr>
          <w:rFonts w:hint="eastAsia" w:ascii="Arial Unicode MS" w:hAnsi="Arial Unicode MS" w:eastAsia="Arial Unicode MS" w:cs="Arial Unicode MS"/>
          <w:color w:val="auto"/>
          <w:sz w:val="32"/>
          <w:szCs w:val="32"/>
          <w:highlight w:val="none"/>
        </w:rPr>
      </w:pPr>
      <w:r>
        <w:rPr>
          <w:rFonts w:hint="eastAsia" w:ascii="宋体" w:hAnsi="宋体" w:cs="宋体"/>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41B270FB">
      <w:pPr>
        <w:spacing w:before="7"/>
        <w:rPr>
          <w:rFonts w:hint="eastAsia" w:ascii="Arial Unicode MS" w:hAnsi="Arial Unicode MS" w:eastAsia="Arial Unicode MS" w:cs="Arial Unicode MS"/>
          <w:color w:val="auto"/>
          <w:sz w:val="17"/>
          <w:szCs w:val="17"/>
          <w:highlight w:val="none"/>
        </w:rPr>
      </w:pPr>
    </w:p>
    <w:p w14:paraId="75A51C28">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6"/>
        <w:tblW w:w="9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43"/>
        <w:gridCol w:w="1954"/>
        <w:gridCol w:w="1488"/>
        <w:gridCol w:w="4287"/>
      </w:tblGrid>
      <w:tr w14:paraId="26AB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A362111">
            <w:pPr>
              <w:jc w:val="center"/>
              <w:rPr>
                <w:rFonts w:hint="eastAsia" w:ascii="宋体" w:hAnsi="宋体"/>
                <w:color w:val="auto"/>
                <w:sz w:val="24"/>
                <w:highlight w:val="none"/>
              </w:rPr>
            </w:pPr>
            <w:r>
              <w:rPr>
                <w:rFonts w:hint="eastAsia" w:ascii="宋体" w:hAnsi="宋体" w:cs="宋体"/>
                <w:b/>
                <w:bCs/>
                <w:color w:val="auto"/>
                <w:w w:val="99"/>
                <w:sz w:val="24"/>
                <w:highlight w:val="none"/>
              </w:rPr>
              <w:t>品目序号</w:t>
            </w:r>
          </w:p>
        </w:tc>
        <w:tc>
          <w:tcPr>
            <w:tcW w:w="4985" w:type="dxa"/>
            <w:gridSpan w:val="3"/>
            <w:tcBorders>
              <w:top w:val="single" w:color="000000" w:sz="4" w:space="0"/>
              <w:left w:val="single" w:color="000000" w:sz="4" w:space="0"/>
              <w:bottom w:val="single" w:color="000000" w:sz="4" w:space="0"/>
              <w:right w:val="single" w:color="000000" w:sz="4" w:space="0"/>
            </w:tcBorders>
            <w:vAlign w:val="center"/>
          </w:tcPr>
          <w:p w14:paraId="699F70CD">
            <w:pPr>
              <w:jc w:val="center"/>
              <w:rPr>
                <w:rFonts w:hint="eastAsia" w:ascii="宋体" w:hAnsi="宋体"/>
                <w:color w:val="auto"/>
                <w:sz w:val="24"/>
                <w:highlight w:val="none"/>
              </w:rPr>
            </w:pPr>
            <w:r>
              <w:rPr>
                <w:rFonts w:hint="eastAsia" w:ascii="宋体" w:hAnsi="宋体" w:cs="宋体"/>
                <w:b/>
                <w:bCs/>
                <w:color w:val="auto"/>
                <w:w w:val="99"/>
                <w:sz w:val="24"/>
                <w:highlight w:val="none"/>
              </w:rPr>
              <w:t>名称</w:t>
            </w:r>
          </w:p>
        </w:tc>
        <w:tc>
          <w:tcPr>
            <w:tcW w:w="4287" w:type="dxa"/>
            <w:tcBorders>
              <w:top w:val="single" w:color="000000" w:sz="4" w:space="0"/>
              <w:left w:val="single" w:color="000000" w:sz="4" w:space="0"/>
              <w:bottom w:val="single" w:color="000000" w:sz="4" w:space="0"/>
              <w:right w:val="single" w:color="000000" w:sz="4" w:space="0"/>
            </w:tcBorders>
            <w:vAlign w:val="center"/>
          </w:tcPr>
          <w:p w14:paraId="24B74A55">
            <w:pPr>
              <w:jc w:val="center"/>
              <w:rPr>
                <w:rFonts w:hint="eastAsia" w:ascii="宋体" w:hAnsi="宋体"/>
                <w:color w:val="auto"/>
                <w:sz w:val="24"/>
                <w:highlight w:val="none"/>
              </w:rPr>
            </w:pPr>
            <w:r>
              <w:rPr>
                <w:rFonts w:hint="eastAsia" w:ascii="宋体" w:hAnsi="宋体" w:cs="宋体"/>
                <w:b/>
                <w:bCs/>
                <w:color w:val="auto"/>
                <w:w w:val="99"/>
                <w:sz w:val="24"/>
                <w:highlight w:val="none"/>
              </w:rPr>
              <w:t>依据的标准</w:t>
            </w:r>
          </w:p>
        </w:tc>
      </w:tr>
      <w:tr w14:paraId="456E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CAEFFD">
            <w:pPr>
              <w:jc w:val="center"/>
              <w:rPr>
                <w:rFonts w:hint="eastAsia" w:ascii="宋体" w:hAnsi="宋体"/>
                <w:color w:val="auto"/>
                <w:sz w:val="24"/>
                <w:highlight w:val="none"/>
              </w:rPr>
            </w:pPr>
            <w:r>
              <w:rPr>
                <w:rFonts w:hint="eastAsia" w:ascii="宋体" w:hAnsi="宋体"/>
                <w:color w:val="auto"/>
                <w:sz w:val="24"/>
                <w:highlight w:val="none"/>
              </w:rPr>
              <w:t>1</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02658CDD">
            <w:pPr>
              <w:jc w:val="center"/>
              <w:rPr>
                <w:rFonts w:hint="eastAsia"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954" w:type="dxa"/>
            <w:tcBorders>
              <w:top w:val="single" w:color="000000" w:sz="4" w:space="0"/>
              <w:left w:val="single" w:color="000000" w:sz="4" w:space="0"/>
              <w:bottom w:val="single" w:color="000000" w:sz="4" w:space="0"/>
              <w:right w:val="single" w:color="000000" w:sz="4" w:space="0"/>
            </w:tcBorders>
            <w:vAlign w:val="center"/>
          </w:tcPr>
          <w:p w14:paraId="0CD9A67F">
            <w:pPr>
              <w:pStyle w:val="62"/>
              <w:spacing w:before="93"/>
              <w:ind w:left="7" w:right="5"/>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A02010105</w:t>
            </w:r>
            <w:r>
              <w:rPr>
                <w:rFonts w:hint="eastAsia" w:ascii="宋体" w:hAnsi="宋体" w:cs="宋体"/>
                <w:color w:val="auto"/>
                <w:w w:val="99"/>
                <w:kern w:val="2"/>
                <w:sz w:val="24"/>
                <w:szCs w:val="24"/>
                <w:highlight w:val="none"/>
              </w:rPr>
              <w:t>台式计算机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14D51010">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4CD5E994">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2C7C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28B9053">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F2C8E00">
            <w:pPr>
              <w:widowControl/>
              <w:jc w:val="left"/>
              <w:rPr>
                <w:rFonts w:hint="eastAsia" w:ascii="宋体" w:hAnsi="宋体"/>
                <w:color w:val="auto"/>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6B508BA3">
            <w:pPr>
              <w:pStyle w:val="62"/>
              <w:spacing w:before="44"/>
              <w:ind w:left="7" w:right="5"/>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0C09CCF3">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6F084CEF">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6968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564692">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60DE1804">
            <w:pPr>
              <w:widowControl/>
              <w:jc w:val="left"/>
              <w:rPr>
                <w:rFonts w:hint="eastAsia" w:ascii="宋体" w:hAnsi="宋体"/>
                <w:color w:val="auto"/>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434C4E82">
            <w:pPr>
              <w:pStyle w:val="62"/>
              <w:spacing w:before="64"/>
              <w:ind w:left="7" w:right="5"/>
              <w:jc w:val="center"/>
              <w:rPr>
                <w:rFonts w:hint="eastAsia"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616CB122">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21D45260">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0F4C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91A3B5A">
            <w:pPr>
              <w:jc w:val="center"/>
              <w:rPr>
                <w:rFonts w:hint="eastAsia" w:ascii="宋体" w:hAnsi="宋体"/>
                <w:color w:val="auto"/>
                <w:sz w:val="24"/>
                <w:highlight w:val="none"/>
              </w:rPr>
            </w:pPr>
            <w:r>
              <w:rPr>
                <w:rFonts w:hint="eastAsia" w:ascii="宋体" w:hAnsi="宋体"/>
                <w:color w:val="auto"/>
                <w:sz w:val="24"/>
                <w:highlight w:val="none"/>
              </w:rPr>
              <w:t>2</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7E63F376">
            <w:pPr>
              <w:pStyle w:val="62"/>
              <w:ind w:left="7"/>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5B7FFB2A">
            <w:pPr>
              <w:jc w:val="center"/>
              <w:rPr>
                <w:rFonts w:hint="eastAsia"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57D3597E">
            <w:pPr>
              <w:jc w:val="center"/>
              <w:rPr>
                <w:rFonts w:hint="eastAsia" w:ascii="宋体" w:hAnsi="宋体"/>
                <w:color w:val="auto"/>
                <w:sz w:val="24"/>
                <w:highlight w:val="none"/>
              </w:rPr>
            </w:pPr>
            <w:r>
              <w:rPr>
                <w:rFonts w:hint="eastAsia" w:ascii="宋体" w:hAnsi="宋体"/>
                <w:color w:val="auto"/>
                <w:sz w:val="24"/>
                <w:highlight w:val="none"/>
              </w:rPr>
              <w:t>A02021001 A3黑白打印机</w:t>
            </w:r>
          </w:p>
        </w:tc>
        <w:tc>
          <w:tcPr>
            <w:tcW w:w="4287" w:type="dxa"/>
            <w:tcBorders>
              <w:top w:val="single" w:color="000000" w:sz="4" w:space="0"/>
              <w:left w:val="single" w:color="000000" w:sz="4" w:space="0"/>
              <w:bottom w:val="single" w:color="000000" w:sz="4" w:space="0"/>
              <w:right w:val="single" w:color="000000" w:sz="4" w:space="0"/>
            </w:tcBorders>
          </w:tcPr>
          <w:p w14:paraId="621D0B71">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6B9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12F6B1">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F8E98AE">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3C83FD6A">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E9D99CF">
            <w:pPr>
              <w:jc w:val="center"/>
              <w:rPr>
                <w:rFonts w:hint="eastAsia" w:ascii="宋体" w:hAnsi="宋体"/>
                <w:color w:val="auto"/>
                <w:sz w:val="24"/>
                <w:highlight w:val="none"/>
              </w:rPr>
            </w:pPr>
            <w:r>
              <w:rPr>
                <w:rFonts w:hint="eastAsia" w:ascii="宋体" w:hAnsi="宋体"/>
                <w:color w:val="auto"/>
                <w:sz w:val="24"/>
                <w:highlight w:val="none"/>
              </w:rPr>
              <w:t>A02021002 A3彩色打印机</w:t>
            </w:r>
          </w:p>
        </w:tc>
        <w:tc>
          <w:tcPr>
            <w:tcW w:w="4287" w:type="dxa"/>
            <w:tcBorders>
              <w:top w:val="single" w:color="000000" w:sz="4" w:space="0"/>
              <w:left w:val="single" w:color="000000" w:sz="4" w:space="0"/>
              <w:bottom w:val="single" w:color="000000" w:sz="4" w:space="0"/>
              <w:right w:val="single" w:color="000000" w:sz="4" w:space="0"/>
            </w:tcBorders>
          </w:tcPr>
          <w:p w14:paraId="6F226CEB">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2627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E1BF30">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F706C67">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26FB8EB3">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B9E365B">
            <w:pPr>
              <w:jc w:val="center"/>
              <w:rPr>
                <w:rFonts w:hint="eastAsia" w:ascii="宋体" w:hAnsi="宋体"/>
                <w:color w:val="auto"/>
                <w:sz w:val="24"/>
                <w:highlight w:val="none"/>
              </w:rPr>
            </w:pPr>
            <w:r>
              <w:rPr>
                <w:rFonts w:hint="eastAsia" w:ascii="宋体" w:hAnsi="宋体"/>
                <w:color w:val="auto"/>
                <w:sz w:val="24"/>
                <w:highlight w:val="none"/>
              </w:rPr>
              <w:t>A02021003 A4黑白打印机</w:t>
            </w:r>
          </w:p>
        </w:tc>
        <w:tc>
          <w:tcPr>
            <w:tcW w:w="4287" w:type="dxa"/>
            <w:tcBorders>
              <w:top w:val="single" w:color="000000" w:sz="4" w:space="0"/>
              <w:left w:val="single" w:color="000000" w:sz="4" w:space="0"/>
              <w:bottom w:val="single" w:color="000000" w:sz="4" w:space="0"/>
              <w:right w:val="single" w:color="000000" w:sz="4" w:space="0"/>
            </w:tcBorders>
          </w:tcPr>
          <w:p w14:paraId="1F9805EC">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192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2B3A813">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2143B952">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3E293F27">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F689621">
            <w:pPr>
              <w:jc w:val="center"/>
              <w:rPr>
                <w:rFonts w:hint="eastAsia" w:ascii="宋体" w:hAnsi="宋体"/>
                <w:color w:val="auto"/>
                <w:sz w:val="24"/>
                <w:highlight w:val="none"/>
              </w:rPr>
            </w:pPr>
            <w:r>
              <w:rPr>
                <w:rFonts w:hint="eastAsia" w:ascii="宋体" w:hAnsi="宋体"/>
                <w:color w:val="auto"/>
                <w:sz w:val="24"/>
                <w:highlight w:val="none"/>
              </w:rPr>
              <w:t>A02021004 A4彩色打印机</w:t>
            </w:r>
          </w:p>
        </w:tc>
        <w:tc>
          <w:tcPr>
            <w:tcW w:w="4287" w:type="dxa"/>
            <w:tcBorders>
              <w:top w:val="single" w:color="000000" w:sz="4" w:space="0"/>
              <w:left w:val="single" w:color="000000" w:sz="4" w:space="0"/>
              <w:bottom w:val="single" w:color="000000" w:sz="4" w:space="0"/>
              <w:right w:val="single" w:color="000000" w:sz="4" w:space="0"/>
            </w:tcBorders>
          </w:tcPr>
          <w:p w14:paraId="7A545D75">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5AD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1C067AF">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D5661DE">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35F54B74">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E5C77C3">
            <w:pPr>
              <w:jc w:val="center"/>
              <w:rPr>
                <w:rFonts w:hint="eastAsia" w:ascii="宋体" w:hAnsi="宋体"/>
                <w:color w:val="auto"/>
                <w:sz w:val="24"/>
                <w:highlight w:val="none"/>
              </w:rPr>
            </w:pPr>
            <w:r>
              <w:rPr>
                <w:rFonts w:hint="eastAsia" w:ascii="宋体" w:hAnsi="宋体"/>
                <w:color w:val="auto"/>
                <w:sz w:val="24"/>
                <w:highlight w:val="none"/>
              </w:rPr>
              <w:t>A02021005 3D打印机</w:t>
            </w:r>
          </w:p>
        </w:tc>
        <w:tc>
          <w:tcPr>
            <w:tcW w:w="4287" w:type="dxa"/>
            <w:tcBorders>
              <w:top w:val="single" w:color="000000" w:sz="4" w:space="0"/>
              <w:left w:val="single" w:color="000000" w:sz="4" w:space="0"/>
              <w:bottom w:val="single" w:color="000000" w:sz="4" w:space="0"/>
              <w:right w:val="single" w:color="000000" w:sz="4" w:space="0"/>
            </w:tcBorders>
          </w:tcPr>
          <w:p w14:paraId="5C6B266A">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CA0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1F41C9">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672B85BF">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0BB6E667">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02B1B41F">
            <w:pPr>
              <w:jc w:val="center"/>
              <w:rPr>
                <w:rFonts w:hint="eastAsia" w:ascii="宋体" w:hAnsi="宋体"/>
                <w:color w:val="auto"/>
                <w:sz w:val="24"/>
                <w:highlight w:val="none"/>
              </w:rPr>
            </w:pPr>
            <w:r>
              <w:rPr>
                <w:rFonts w:hint="eastAsia" w:ascii="宋体" w:hAnsi="宋体"/>
                <w:color w:val="auto"/>
                <w:sz w:val="24"/>
                <w:highlight w:val="none"/>
              </w:rPr>
              <w:t>A02021006票据打印机</w:t>
            </w:r>
          </w:p>
        </w:tc>
        <w:tc>
          <w:tcPr>
            <w:tcW w:w="4287" w:type="dxa"/>
            <w:tcBorders>
              <w:top w:val="single" w:color="000000" w:sz="4" w:space="0"/>
              <w:left w:val="single" w:color="000000" w:sz="4" w:space="0"/>
              <w:bottom w:val="single" w:color="000000" w:sz="4" w:space="0"/>
              <w:right w:val="single" w:color="000000" w:sz="4" w:space="0"/>
            </w:tcBorders>
          </w:tcPr>
          <w:p w14:paraId="7657AD4D">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6892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C6927DF">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92B61B0">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104F8850">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562D23C7">
            <w:pPr>
              <w:jc w:val="center"/>
              <w:rPr>
                <w:rFonts w:hint="eastAsia" w:ascii="宋体" w:hAnsi="宋体"/>
                <w:color w:val="auto"/>
                <w:sz w:val="24"/>
                <w:highlight w:val="none"/>
              </w:rPr>
            </w:pPr>
            <w:r>
              <w:rPr>
                <w:rFonts w:hint="eastAsia" w:ascii="宋体" w:hAnsi="宋体"/>
                <w:color w:val="auto"/>
                <w:sz w:val="24"/>
                <w:highlight w:val="none"/>
              </w:rPr>
              <w:t>A02021007条码打印机</w:t>
            </w:r>
          </w:p>
        </w:tc>
        <w:tc>
          <w:tcPr>
            <w:tcW w:w="4287" w:type="dxa"/>
            <w:tcBorders>
              <w:top w:val="single" w:color="000000" w:sz="4" w:space="0"/>
              <w:left w:val="single" w:color="000000" w:sz="4" w:space="0"/>
              <w:bottom w:val="single" w:color="000000" w:sz="4" w:space="0"/>
              <w:right w:val="single" w:color="000000" w:sz="4" w:space="0"/>
            </w:tcBorders>
          </w:tcPr>
          <w:p w14:paraId="1CC26469">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184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AF84B5">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8830EB6">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66D838BA">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00524E5">
            <w:pPr>
              <w:jc w:val="center"/>
              <w:rPr>
                <w:rFonts w:hint="eastAsia" w:ascii="宋体" w:hAnsi="宋体"/>
                <w:color w:val="auto"/>
                <w:sz w:val="24"/>
                <w:highlight w:val="none"/>
              </w:rPr>
            </w:pPr>
            <w:r>
              <w:rPr>
                <w:rFonts w:hint="eastAsia" w:ascii="宋体" w:hAnsi="宋体"/>
                <w:color w:val="auto"/>
                <w:sz w:val="24"/>
                <w:highlight w:val="none"/>
              </w:rPr>
              <w:t>A02021008地址打印机</w:t>
            </w:r>
          </w:p>
        </w:tc>
        <w:tc>
          <w:tcPr>
            <w:tcW w:w="4287" w:type="dxa"/>
            <w:tcBorders>
              <w:top w:val="single" w:color="000000" w:sz="4" w:space="0"/>
              <w:left w:val="single" w:color="000000" w:sz="4" w:space="0"/>
              <w:bottom w:val="single" w:color="000000" w:sz="4" w:space="0"/>
              <w:right w:val="single" w:color="000000" w:sz="4" w:space="0"/>
            </w:tcBorders>
          </w:tcPr>
          <w:p w14:paraId="30651931">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AC8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ED0F5F">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373805C">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711022E2">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31733A9">
            <w:pPr>
              <w:jc w:val="center"/>
              <w:rPr>
                <w:rFonts w:hint="eastAsia" w:ascii="宋体" w:hAnsi="宋体"/>
                <w:color w:val="auto"/>
                <w:sz w:val="24"/>
                <w:highlight w:val="none"/>
              </w:rPr>
            </w:pPr>
            <w:r>
              <w:rPr>
                <w:rFonts w:hint="eastAsia" w:ascii="宋体" w:hAnsi="宋体"/>
                <w:color w:val="auto"/>
                <w:sz w:val="24"/>
                <w:highlight w:val="none"/>
              </w:rPr>
              <w:t>A02021099其他打印机</w:t>
            </w:r>
          </w:p>
        </w:tc>
        <w:tc>
          <w:tcPr>
            <w:tcW w:w="4287" w:type="dxa"/>
            <w:tcBorders>
              <w:top w:val="single" w:color="000000" w:sz="4" w:space="0"/>
              <w:left w:val="single" w:color="000000" w:sz="4" w:space="0"/>
              <w:bottom w:val="single" w:color="000000" w:sz="4" w:space="0"/>
              <w:right w:val="single" w:color="000000" w:sz="4" w:space="0"/>
            </w:tcBorders>
          </w:tcPr>
          <w:p w14:paraId="7C25A219">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F1B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BB34272">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708CFB3">
            <w:pPr>
              <w:widowControl/>
              <w:jc w:val="left"/>
              <w:rPr>
                <w:rFonts w:hint="eastAsia" w:ascii="宋体" w:hAnsi="宋体" w:cs="宋体"/>
                <w:color w:val="auto"/>
                <w:sz w:val="24"/>
                <w:highlight w:val="none"/>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28150063">
            <w:pPr>
              <w:jc w:val="center"/>
              <w:rPr>
                <w:rFonts w:hint="eastAsia" w:ascii="宋体" w:hAnsi="宋体"/>
                <w:color w:val="auto"/>
                <w:sz w:val="24"/>
                <w:highlight w:val="none"/>
              </w:rPr>
            </w:pPr>
            <w:r>
              <w:rPr>
                <w:rFonts w:hint="eastAsia" w:ascii="宋体" w:hAnsi="宋体"/>
                <w:color w:val="auto"/>
                <w:sz w:val="24"/>
                <w:highlight w:val="none"/>
              </w:rPr>
              <w:t>A02021100输入输出设备</w:t>
            </w:r>
          </w:p>
        </w:tc>
        <w:tc>
          <w:tcPr>
            <w:tcW w:w="1488" w:type="dxa"/>
            <w:tcBorders>
              <w:top w:val="single" w:color="000000" w:sz="4" w:space="0"/>
              <w:left w:val="single" w:color="000000" w:sz="4" w:space="0"/>
              <w:bottom w:val="single" w:color="000000" w:sz="4" w:space="0"/>
              <w:right w:val="single" w:color="000000" w:sz="4" w:space="0"/>
            </w:tcBorders>
            <w:vAlign w:val="center"/>
          </w:tcPr>
          <w:p w14:paraId="48BCA144">
            <w:pPr>
              <w:jc w:val="center"/>
              <w:rPr>
                <w:rFonts w:hint="eastAsia"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A02021104液晶显示器</w:t>
            </w:r>
          </w:p>
        </w:tc>
        <w:tc>
          <w:tcPr>
            <w:tcW w:w="4287" w:type="dxa"/>
            <w:tcBorders>
              <w:top w:val="single" w:color="000000" w:sz="4" w:space="0"/>
              <w:left w:val="single" w:color="000000" w:sz="4" w:space="0"/>
              <w:bottom w:val="single" w:color="000000" w:sz="4" w:space="0"/>
              <w:right w:val="single" w:color="000000" w:sz="4" w:space="0"/>
            </w:tcBorders>
            <w:vAlign w:val="center"/>
          </w:tcPr>
          <w:p w14:paraId="07839C9A">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14:paraId="7B43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2AD34A">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7F8824C">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33AB4ADE">
            <w:pPr>
              <w:widowControl/>
              <w:jc w:val="left"/>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D63F566">
            <w:pPr>
              <w:jc w:val="center"/>
              <w:rPr>
                <w:rFonts w:hint="eastAsia" w:ascii="宋体" w:hAnsi="宋体"/>
                <w:color w:val="auto"/>
                <w:sz w:val="24"/>
                <w:highlight w:val="none"/>
              </w:rPr>
            </w:pPr>
            <w:r>
              <w:rPr>
                <w:rFonts w:hint="eastAsia" w:ascii="宋体" w:hAnsi="宋体"/>
                <w:color w:val="auto"/>
                <w:sz w:val="24"/>
                <w:highlight w:val="none"/>
              </w:rPr>
              <w:t>A02021118扫描仪</w:t>
            </w:r>
          </w:p>
        </w:tc>
        <w:tc>
          <w:tcPr>
            <w:tcW w:w="4287" w:type="dxa"/>
            <w:tcBorders>
              <w:top w:val="single" w:color="000000" w:sz="4" w:space="0"/>
              <w:left w:val="single" w:color="000000" w:sz="4" w:space="0"/>
              <w:bottom w:val="single" w:color="000000" w:sz="4" w:space="0"/>
              <w:right w:val="single" w:color="000000" w:sz="4" w:space="0"/>
            </w:tcBorders>
            <w:vAlign w:val="center"/>
          </w:tcPr>
          <w:p w14:paraId="0ECA203A">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14:paraId="3318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46B8808">
            <w:pPr>
              <w:jc w:val="center"/>
              <w:rPr>
                <w:rFonts w:hint="eastAsia" w:ascii="宋体" w:hAnsi="宋体"/>
                <w:color w:val="auto"/>
                <w:sz w:val="24"/>
                <w:highlight w:val="none"/>
              </w:rPr>
            </w:pPr>
            <w:r>
              <w:rPr>
                <w:rFonts w:hint="eastAsia" w:ascii="宋体" w:hAnsi="宋体"/>
                <w:color w:val="auto"/>
                <w:w w:val="99"/>
                <w:sz w:val="24"/>
                <w:highlight w:val="none"/>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3C4E7D23">
            <w:pPr>
              <w:jc w:val="center"/>
              <w:rPr>
                <w:rFonts w:hint="eastAsia" w:ascii="宋体" w:hAnsi="宋体"/>
                <w:color w:val="auto"/>
                <w:sz w:val="24"/>
                <w:highlight w:val="none"/>
              </w:rPr>
            </w:pPr>
            <w:r>
              <w:rPr>
                <w:rFonts w:hint="eastAsia" w:ascii="宋体" w:hAnsi="宋体"/>
                <w:color w:val="auto"/>
                <w:sz w:val="24"/>
                <w:highlight w:val="none"/>
              </w:rPr>
              <w:t>A02020200投影仪</w:t>
            </w:r>
          </w:p>
        </w:tc>
        <w:tc>
          <w:tcPr>
            <w:tcW w:w="1954" w:type="dxa"/>
            <w:tcBorders>
              <w:top w:val="single" w:color="000000" w:sz="4" w:space="0"/>
              <w:left w:val="single" w:color="000000" w:sz="4" w:space="0"/>
              <w:bottom w:val="single" w:color="000000" w:sz="4" w:space="0"/>
              <w:right w:val="single" w:color="000000" w:sz="4" w:space="0"/>
            </w:tcBorders>
            <w:vAlign w:val="center"/>
          </w:tcPr>
          <w:p w14:paraId="2A238693">
            <w:pPr>
              <w:jc w:val="center"/>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FEE8D98">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vAlign w:val="center"/>
          </w:tcPr>
          <w:p w14:paraId="6DBAD20A">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14:paraId="5E5A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549936D">
            <w:pPr>
              <w:jc w:val="center"/>
              <w:rPr>
                <w:rFonts w:hint="eastAsia" w:ascii="宋体" w:hAnsi="宋体"/>
                <w:color w:val="auto"/>
                <w:sz w:val="24"/>
                <w:highlight w:val="none"/>
              </w:rPr>
            </w:pPr>
            <w:r>
              <w:rPr>
                <w:rFonts w:hint="eastAsia" w:ascii="宋体" w:hAnsi="宋体"/>
                <w:color w:val="auto"/>
                <w:sz w:val="24"/>
                <w:highlight w:val="none"/>
              </w:rPr>
              <w:t>4</w:t>
            </w:r>
          </w:p>
        </w:tc>
        <w:tc>
          <w:tcPr>
            <w:tcW w:w="1543" w:type="dxa"/>
            <w:tcBorders>
              <w:top w:val="single" w:color="000000" w:sz="4" w:space="0"/>
              <w:left w:val="single" w:color="000000" w:sz="4" w:space="0"/>
              <w:bottom w:val="single" w:color="000000" w:sz="4" w:space="0"/>
              <w:right w:val="single" w:color="000000" w:sz="4" w:space="0"/>
            </w:tcBorders>
            <w:vAlign w:val="center"/>
          </w:tcPr>
          <w:p w14:paraId="02A99012">
            <w:pPr>
              <w:pStyle w:val="62"/>
              <w:spacing w:before="66"/>
              <w:ind w:left="7"/>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954" w:type="dxa"/>
            <w:tcBorders>
              <w:top w:val="single" w:color="000000" w:sz="4" w:space="0"/>
              <w:left w:val="single" w:color="000000" w:sz="4" w:space="0"/>
              <w:bottom w:val="single" w:color="000000" w:sz="4" w:space="0"/>
              <w:right w:val="single" w:color="000000" w:sz="4" w:space="0"/>
            </w:tcBorders>
            <w:vAlign w:val="center"/>
          </w:tcPr>
          <w:p w14:paraId="3E08C35A">
            <w:pPr>
              <w:jc w:val="center"/>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13B321B">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vAlign w:val="center"/>
          </w:tcPr>
          <w:p w14:paraId="06FE218F">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4667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78FFD2">
            <w:pPr>
              <w:pStyle w:val="62"/>
              <w:spacing w:before="160"/>
              <w:ind w:right="1"/>
              <w:jc w:val="center"/>
              <w:rPr>
                <w:rFonts w:hint="eastAsia"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543" w:type="dxa"/>
            <w:tcBorders>
              <w:top w:val="single" w:color="000000" w:sz="4" w:space="0"/>
              <w:left w:val="single" w:color="000000" w:sz="4" w:space="0"/>
              <w:bottom w:val="single" w:color="000000" w:sz="4" w:space="0"/>
              <w:right w:val="single" w:color="000000" w:sz="4" w:space="0"/>
            </w:tcBorders>
            <w:vAlign w:val="center"/>
          </w:tcPr>
          <w:p w14:paraId="13FAEE16">
            <w:pPr>
              <w:pStyle w:val="62"/>
              <w:spacing w:before="160"/>
              <w:ind w:left="7"/>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A02051900</w:t>
            </w:r>
            <w:r>
              <w:rPr>
                <w:rFonts w:hint="eastAsia" w:ascii="宋体" w:hAnsi="宋体" w:cs="宋体"/>
                <w:color w:val="auto"/>
                <w:w w:val="99"/>
                <w:kern w:val="2"/>
                <w:sz w:val="24"/>
                <w:szCs w:val="24"/>
                <w:highlight w:val="none"/>
              </w:rPr>
              <w:t>泵</w:t>
            </w:r>
          </w:p>
        </w:tc>
        <w:tc>
          <w:tcPr>
            <w:tcW w:w="1954" w:type="dxa"/>
            <w:tcBorders>
              <w:top w:val="single" w:color="000000" w:sz="4" w:space="0"/>
              <w:left w:val="single" w:color="000000" w:sz="4" w:space="0"/>
              <w:bottom w:val="single" w:color="000000" w:sz="4" w:space="0"/>
              <w:right w:val="single" w:color="000000" w:sz="4" w:space="0"/>
            </w:tcBorders>
            <w:vAlign w:val="center"/>
          </w:tcPr>
          <w:p w14:paraId="1C8C90D2">
            <w:pPr>
              <w:pStyle w:val="62"/>
              <w:spacing w:before="160"/>
              <w:ind w:left="7"/>
              <w:jc w:val="center"/>
              <w:rPr>
                <w:rFonts w:hint="eastAsia"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05</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488" w:type="dxa"/>
            <w:tcBorders>
              <w:top w:val="single" w:color="000000" w:sz="4" w:space="0"/>
              <w:left w:val="single" w:color="000000" w:sz="4" w:space="0"/>
              <w:bottom w:val="single" w:color="000000" w:sz="4" w:space="0"/>
              <w:right w:val="single" w:color="000000" w:sz="4" w:space="0"/>
            </w:tcBorders>
            <w:vAlign w:val="center"/>
          </w:tcPr>
          <w:p w14:paraId="579C7F0F">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29C35A30">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14:paraId="5F8A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0968F5A">
            <w:pPr>
              <w:jc w:val="center"/>
              <w:rPr>
                <w:rFonts w:hint="eastAsia" w:ascii="宋体" w:hAnsi="宋体"/>
                <w:color w:val="auto"/>
                <w:sz w:val="24"/>
                <w:highlight w:val="none"/>
              </w:rPr>
            </w:pPr>
            <w:r>
              <w:rPr>
                <w:rFonts w:hint="eastAsia" w:ascii="宋体" w:hAnsi="宋体"/>
                <w:color w:val="auto"/>
                <w:sz w:val="24"/>
                <w:highlight w:val="none"/>
              </w:rPr>
              <w:t>6</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7B0639F2">
            <w:pPr>
              <w:pStyle w:val="62"/>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A02052300</w:t>
            </w:r>
            <w:r>
              <w:rPr>
                <w:rFonts w:hint="eastAsia" w:ascii="宋体" w:hAnsi="宋体" w:cs="宋体"/>
                <w:color w:val="auto"/>
                <w:w w:val="99"/>
                <w:kern w:val="2"/>
                <w:sz w:val="24"/>
                <w:szCs w:val="24"/>
                <w:highlight w:val="none"/>
              </w:rPr>
              <w:t>制冷空调设备</w:t>
            </w: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38E9F958">
            <w:pPr>
              <w:pStyle w:val="62"/>
              <w:spacing w:line="276" w:lineRule="auto"/>
              <w:ind w:right="5"/>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52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030F6556">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4287" w:type="dxa"/>
            <w:tcBorders>
              <w:top w:val="single" w:color="000000" w:sz="4" w:space="0"/>
              <w:left w:val="single" w:color="000000" w:sz="4" w:space="0"/>
              <w:bottom w:val="single" w:color="000000" w:sz="4" w:space="0"/>
              <w:right w:val="single" w:color="000000" w:sz="4" w:space="0"/>
            </w:tcBorders>
          </w:tcPr>
          <w:p w14:paraId="00AF48D9">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14:paraId="14B3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CEFFB3">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B345410">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6189C214">
            <w:pPr>
              <w:widowControl/>
              <w:jc w:val="left"/>
              <w:rPr>
                <w:rFonts w:hint="eastAsia" w:ascii="宋体" w:hAnsi="宋体" w:cs="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CE7520D">
            <w:pPr>
              <w:jc w:val="center"/>
              <w:rPr>
                <w:rFonts w:hint="eastAsia" w:ascii="宋体" w:hAnsi="宋体"/>
                <w:color w:val="auto"/>
                <w:sz w:val="24"/>
                <w:highlight w:val="none"/>
              </w:rPr>
            </w:pPr>
            <w:r>
              <w:rPr>
                <w:rFonts w:hint="eastAsia" w:ascii="宋体" w:hAnsi="宋体"/>
                <w:color w:val="auto"/>
                <w:sz w:val="24"/>
                <w:highlight w:val="none"/>
              </w:rPr>
              <w:t>溴化锂吸收式冷水机组</w:t>
            </w:r>
          </w:p>
        </w:tc>
        <w:tc>
          <w:tcPr>
            <w:tcW w:w="4287" w:type="dxa"/>
            <w:tcBorders>
              <w:top w:val="single" w:color="000000" w:sz="4" w:space="0"/>
              <w:left w:val="single" w:color="000000" w:sz="4" w:space="0"/>
              <w:bottom w:val="single" w:color="000000" w:sz="4" w:space="0"/>
              <w:right w:val="single" w:color="000000" w:sz="4" w:space="0"/>
            </w:tcBorders>
            <w:vAlign w:val="center"/>
          </w:tcPr>
          <w:p w14:paraId="5143C64A">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14:paraId="301AF19B">
            <w:pPr>
              <w:spacing w:before="131" w:line="276" w:lineRule="auto"/>
              <w:ind w:right="4"/>
              <w:rPr>
                <w:rFonts w:hint="eastAsia"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14:paraId="77CD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7B33D93">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24E1050">
            <w:pPr>
              <w:widowControl/>
              <w:jc w:val="left"/>
              <w:rPr>
                <w:rFonts w:hint="eastAsia" w:ascii="宋体" w:hAnsi="宋体" w:cs="宋体"/>
                <w:color w:val="auto"/>
                <w:sz w:val="24"/>
                <w:highlight w:val="none"/>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47D493B8">
            <w:pPr>
              <w:pStyle w:val="62"/>
              <w:spacing w:line="276" w:lineRule="auto"/>
              <w:ind w:right="5"/>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★A02052305空调机组</w:t>
            </w:r>
          </w:p>
        </w:tc>
        <w:tc>
          <w:tcPr>
            <w:tcW w:w="1488" w:type="dxa"/>
            <w:tcBorders>
              <w:top w:val="single" w:color="000000" w:sz="4" w:space="0"/>
              <w:left w:val="single" w:color="000000" w:sz="4" w:space="0"/>
              <w:bottom w:val="single" w:color="000000" w:sz="4" w:space="0"/>
              <w:right w:val="single" w:color="000000" w:sz="4" w:space="0"/>
            </w:tcBorders>
            <w:vAlign w:val="center"/>
          </w:tcPr>
          <w:p w14:paraId="4133DEB3">
            <w:pPr>
              <w:pStyle w:val="62"/>
              <w:spacing w:before="4" w:line="276" w:lineRule="auto"/>
              <w:ind w:left="7" w:right="7"/>
              <w:jc w:val="center"/>
              <w:rPr>
                <w:rFonts w:hint="eastAsia"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4287" w:type="dxa"/>
            <w:tcBorders>
              <w:top w:val="single" w:color="000000" w:sz="4" w:space="0"/>
              <w:left w:val="single" w:color="000000" w:sz="4" w:space="0"/>
              <w:bottom w:val="single" w:color="000000" w:sz="4" w:space="0"/>
              <w:right w:val="single" w:color="000000" w:sz="4" w:space="0"/>
            </w:tcBorders>
          </w:tcPr>
          <w:p w14:paraId="7DF33F3B">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770E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BA023D4">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98B34E3">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2C78BD23">
            <w:pPr>
              <w:widowControl/>
              <w:jc w:val="left"/>
              <w:rPr>
                <w:rFonts w:hint="eastAsia" w:ascii="宋体" w:hAnsi="宋体" w:cs="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EFCA4EF">
            <w:pPr>
              <w:jc w:val="center"/>
              <w:rPr>
                <w:rFonts w:hint="eastAsia" w:ascii="宋体" w:hAnsi="宋体"/>
                <w:color w:val="auto"/>
                <w:sz w:val="24"/>
                <w:highlight w:val="none"/>
              </w:rPr>
            </w:pPr>
            <w:r>
              <w:rPr>
                <w:rFonts w:hint="eastAsia" w:ascii="宋体" w:hAnsi="宋体" w:cs="宋体"/>
                <w:color w:val="auto"/>
                <w:w w:val="99"/>
                <w:sz w:val="24"/>
                <w:highlight w:val="none"/>
              </w:rPr>
              <w:t>单元式空气调节机</w:t>
            </w:r>
          </w:p>
        </w:tc>
        <w:tc>
          <w:tcPr>
            <w:tcW w:w="4287" w:type="dxa"/>
            <w:tcBorders>
              <w:top w:val="single" w:color="000000" w:sz="4" w:space="0"/>
              <w:left w:val="single" w:color="000000" w:sz="4" w:space="0"/>
              <w:bottom w:val="single" w:color="000000" w:sz="4" w:space="0"/>
              <w:right w:val="single" w:color="000000" w:sz="4" w:space="0"/>
            </w:tcBorders>
          </w:tcPr>
          <w:p w14:paraId="2D5027A9">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14:paraId="6181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7E45EA">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34D16D3">
            <w:pPr>
              <w:widowControl/>
              <w:jc w:val="left"/>
              <w:rPr>
                <w:rFonts w:hint="eastAsia" w:ascii="宋体" w:hAnsi="宋体" w:cs="宋体"/>
                <w:color w:val="auto"/>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0F715706">
            <w:pPr>
              <w:pStyle w:val="62"/>
              <w:spacing w:before="83"/>
              <w:ind w:left="7"/>
              <w:jc w:val="center"/>
              <w:rPr>
                <w:rFonts w:hint="eastAsia"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★A02052309专用制冷、空调设备</w:t>
            </w:r>
          </w:p>
        </w:tc>
        <w:tc>
          <w:tcPr>
            <w:tcW w:w="1488" w:type="dxa"/>
            <w:tcBorders>
              <w:top w:val="single" w:color="000000" w:sz="4" w:space="0"/>
              <w:left w:val="single" w:color="000000" w:sz="4" w:space="0"/>
              <w:bottom w:val="single" w:color="000000" w:sz="4" w:space="0"/>
              <w:right w:val="single" w:color="000000" w:sz="4" w:space="0"/>
            </w:tcBorders>
            <w:vAlign w:val="center"/>
          </w:tcPr>
          <w:p w14:paraId="0A2447C4">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4287" w:type="dxa"/>
            <w:tcBorders>
              <w:top w:val="single" w:color="000000" w:sz="4" w:space="0"/>
              <w:left w:val="single" w:color="000000" w:sz="4" w:space="0"/>
              <w:bottom w:val="single" w:color="000000" w:sz="4" w:space="0"/>
              <w:right w:val="single" w:color="000000" w:sz="4" w:space="0"/>
            </w:tcBorders>
          </w:tcPr>
          <w:p w14:paraId="2CE1E1BA">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14:paraId="709D66E6">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14:paraId="3BE7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C496B06">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679B998C">
            <w:pPr>
              <w:widowControl/>
              <w:jc w:val="left"/>
              <w:rPr>
                <w:rFonts w:hint="eastAsia" w:ascii="宋体" w:hAnsi="宋体" w:cs="宋体"/>
                <w:color w:val="auto"/>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575E7DEE">
            <w:pPr>
              <w:pStyle w:val="62"/>
              <w:spacing w:line="254" w:lineRule="exact"/>
              <w:ind w:left="7"/>
              <w:jc w:val="center"/>
              <w:rPr>
                <w:rFonts w:hint="eastAsia"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A02052399其他制冷</w:t>
            </w:r>
          </w:p>
          <w:p w14:paraId="5F11E6C8">
            <w:pPr>
              <w:pStyle w:val="62"/>
              <w:spacing w:line="254" w:lineRule="exact"/>
              <w:ind w:left="7"/>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488" w:type="dxa"/>
            <w:tcBorders>
              <w:top w:val="single" w:color="000000" w:sz="4" w:space="0"/>
              <w:left w:val="single" w:color="000000" w:sz="4" w:space="0"/>
              <w:bottom w:val="single" w:color="000000" w:sz="4" w:space="0"/>
              <w:right w:val="single" w:color="000000" w:sz="4" w:space="0"/>
            </w:tcBorders>
            <w:vAlign w:val="center"/>
          </w:tcPr>
          <w:p w14:paraId="4CCF5FE5">
            <w:pPr>
              <w:widowControl/>
              <w:jc w:val="center"/>
              <w:rPr>
                <w:rFonts w:hint="eastAsia"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4287" w:type="dxa"/>
            <w:tcBorders>
              <w:top w:val="single" w:color="000000" w:sz="4" w:space="0"/>
              <w:left w:val="single" w:color="000000" w:sz="4" w:space="0"/>
              <w:bottom w:val="single" w:color="000000" w:sz="4" w:space="0"/>
              <w:right w:val="single" w:color="000000" w:sz="4" w:space="0"/>
            </w:tcBorders>
          </w:tcPr>
          <w:p w14:paraId="4A9EBAD8">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14:paraId="4672C477">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14:paraId="7D82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CE746E">
            <w:pPr>
              <w:pStyle w:val="62"/>
              <w:ind w:right="1"/>
              <w:jc w:val="center"/>
              <w:rPr>
                <w:rFonts w:hint="eastAsia"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543" w:type="dxa"/>
            <w:tcBorders>
              <w:top w:val="single" w:color="000000" w:sz="4" w:space="0"/>
              <w:left w:val="single" w:color="000000" w:sz="4" w:space="0"/>
              <w:bottom w:val="single" w:color="000000" w:sz="4" w:space="0"/>
              <w:right w:val="single" w:color="000000" w:sz="4" w:space="0"/>
            </w:tcBorders>
            <w:vAlign w:val="center"/>
          </w:tcPr>
          <w:p w14:paraId="56557754">
            <w:pPr>
              <w:pStyle w:val="62"/>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954" w:type="dxa"/>
            <w:tcBorders>
              <w:top w:val="single" w:color="000000" w:sz="4" w:space="0"/>
              <w:left w:val="single" w:color="000000" w:sz="4" w:space="0"/>
              <w:bottom w:val="single" w:color="000000" w:sz="4" w:space="0"/>
              <w:right w:val="single" w:color="000000" w:sz="4" w:space="0"/>
            </w:tcBorders>
            <w:vAlign w:val="center"/>
          </w:tcPr>
          <w:p w14:paraId="27CFA36A">
            <w:pPr>
              <w:jc w:val="center"/>
              <w:rPr>
                <w:rFonts w:hint="eastAsia" w:ascii="宋体" w:hAnsi="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3BCE170">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60216DE9">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14:paraId="3E0A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117A3E1">
            <w:pPr>
              <w:pStyle w:val="62"/>
              <w:ind w:right="1"/>
              <w:jc w:val="center"/>
              <w:rPr>
                <w:rFonts w:hint="eastAsia"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543" w:type="dxa"/>
            <w:tcBorders>
              <w:top w:val="single" w:color="000000" w:sz="4" w:space="0"/>
              <w:left w:val="single" w:color="000000" w:sz="4" w:space="0"/>
              <w:bottom w:val="single" w:color="000000" w:sz="4" w:space="0"/>
              <w:right w:val="single" w:color="000000" w:sz="4" w:space="0"/>
            </w:tcBorders>
            <w:vAlign w:val="center"/>
          </w:tcPr>
          <w:p w14:paraId="52F6B83E">
            <w:pPr>
              <w:pStyle w:val="62"/>
              <w:spacing w:before="30"/>
              <w:ind w:left="7"/>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954" w:type="dxa"/>
            <w:tcBorders>
              <w:top w:val="single" w:color="000000" w:sz="4" w:space="0"/>
              <w:left w:val="single" w:color="000000" w:sz="4" w:space="0"/>
              <w:bottom w:val="single" w:color="000000" w:sz="4" w:space="0"/>
              <w:right w:val="single" w:color="000000" w:sz="4" w:space="0"/>
            </w:tcBorders>
            <w:vAlign w:val="center"/>
          </w:tcPr>
          <w:p w14:paraId="5E0703A1">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4E2320E9">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34B27A4A">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 20052）</w:t>
            </w:r>
          </w:p>
        </w:tc>
      </w:tr>
      <w:tr w14:paraId="2666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A35C6B">
            <w:pPr>
              <w:pStyle w:val="62"/>
              <w:ind w:right="1"/>
              <w:jc w:val="center"/>
              <w:rPr>
                <w:rFonts w:hint="eastAsia"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543" w:type="dxa"/>
            <w:tcBorders>
              <w:top w:val="single" w:color="000000" w:sz="4" w:space="0"/>
              <w:left w:val="single" w:color="000000" w:sz="4" w:space="0"/>
              <w:bottom w:val="single" w:color="000000" w:sz="4" w:space="0"/>
              <w:right w:val="single" w:color="000000" w:sz="4" w:space="0"/>
            </w:tcBorders>
            <w:vAlign w:val="center"/>
          </w:tcPr>
          <w:p w14:paraId="1E1D3D08">
            <w:pPr>
              <w:pStyle w:val="62"/>
              <w:spacing w:before="126"/>
              <w:ind w:left="7"/>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954" w:type="dxa"/>
            <w:tcBorders>
              <w:top w:val="single" w:color="000000" w:sz="4" w:space="0"/>
              <w:left w:val="single" w:color="000000" w:sz="4" w:space="0"/>
              <w:bottom w:val="single" w:color="000000" w:sz="4" w:space="0"/>
              <w:right w:val="single" w:color="000000" w:sz="4" w:space="0"/>
            </w:tcBorders>
            <w:vAlign w:val="center"/>
          </w:tcPr>
          <w:p w14:paraId="62BB0C4F">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3CD41994">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2FE6054E">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14:paraId="3B19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BB9CD94">
            <w:pPr>
              <w:pStyle w:val="62"/>
              <w:jc w:val="center"/>
              <w:rPr>
                <w:rFonts w:hint="eastAsia"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62107391">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954" w:type="dxa"/>
            <w:tcBorders>
              <w:top w:val="single" w:color="000000" w:sz="4" w:space="0"/>
              <w:left w:val="single" w:color="000000" w:sz="4" w:space="0"/>
              <w:bottom w:val="single" w:color="000000" w:sz="4" w:space="0"/>
              <w:right w:val="single" w:color="000000" w:sz="4" w:space="0"/>
            </w:tcBorders>
            <w:vAlign w:val="center"/>
          </w:tcPr>
          <w:p w14:paraId="2C2E627C">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488" w:type="dxa"/>
            <w:tcBorders>
              <w:top w:val="single" w:color="000000" w:sz="4" w:space="0"/>
              <w:left w:val="single" w:color="000000" w:sz="4" w:space="0"/>
              <w:bottom w:val="single" w:color="000000" w:sz="4" w:space="0"/>
              <w:right w:val="single" w:color="000000" w:sz="4" w:space="0"/>
            </w:tcBorders>
            <w:vAlign w:val="center"/>
          </w:tcPr>
          <w:p w14:paraId="0A84FC9A">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2ADB5359">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14:paraId="439C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ED5EC7">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459EC81">
            <w:pPr>
              <w:widowControl/>
              <w:jc w:val="left"/>
              <w:rPr>
                <w:rFonts w:hint="eastAsia" w:ascii="宋体" w:hAnsi="宋体" w:cs="宋体"/>
                <w:color w:val="auto"/>
                <w:sz w:val="24"/>
                <w:highlight w:val="none"/>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18D30681">
            <w:pPr>
              <w:pStyle w:val="62"/>
              <w:spacing w:before="171"/>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72AD3D14">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4287" w:type="dxa"/>
            <w:tcBorders>
              <w:top w:val="single" w:color="000000" w:sz="4" w:space="0"/>
              <w:left w:val="single" w:color="000000" w:sz="4" w:space="0"/>
              <w:bottom w:val="single" w:color="000000" w:sz="4" w:space="0"/>
              <w:right w:val="single" w:color="000000" w:sz="4" w:space="0"/>
            </w:tcBorders>
          </w:tcPr>
          <w:p w14:paraId="7B0D2DA2">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14:paraId="7FBA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C8C759F">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638943CE">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23FB172B">
            <w:pPr>
              <w:widowControl/>
              <w:jc w:val="left"/>
              <w:rPr>
                <w:rFonts w:hint="eastAsia" w:ascii="宋体" w:hAnsi="宋体" w:cs="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2B4A496">
            <w:pPr>
              <w:pStyle w:val="62"/>
              <w:spacing w:before="4" w:line="276" w:lineRule="auto"/>
              <w:ind w:left="7" w:right="7"/>
              <w:jc w:val="center"/>
              <w:rPr>
                <w:rFonts w:hint="eastAsia"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 14000W）</w:t>
            </w:r>
          </w:p>
        </w:tc>
        <w:tc>
          <w:tcPr>
            <w:tcW w:w="4287" w:type="dxa"/>
            <w:tcBorders>
              <w:top w:val="single" w:color="000000" w:sz="4" w:space="0"/>
              <w:left w:val="single" w:color="000000" w:sz="4" w:space="0"/>
              <w:bottom w:val="single" w:color="000000" w:sz="4" w:space="0"/>
              <w:right w:val="single" w:color="000000" w:sz="4" w:space="0"/>
            </w:tcBorders>
          </w:tcPr>
          <w:p w14:paraId="171AF1C6">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4123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E91B6B5">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71B10B3">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445C7FCA">
            <w:pPr>
              <w:widowControl/>
              <w:jc w:val="left"/>
              <w:rPr>
                <w:rFonts w:hint="eastAsia" w:ascii="宋体" w:hAnsi="宋体" w:cs="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B9F3D47">
            <w:pPr>
              <w:pStyle w:val="62"/>
              <w:jc w:val="center"/>
              <w:rPr>
                <w:rFonts w:hint="eastAsia"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 14000W）</w:t>
            </w:r>
          </w:p>
        </w:tc>
        <w:tc>
          <w:tcPr>
            <w:tcW w:w="4287" w:type="dxa"/>
            <w:tcBorders>
              <w:top w:val="single" w:color="000000" w:sz="4" w:space="0"/>
              <w:left w:val="single" w:color="000000" w:sz="4" w:space="0"/>
              <w:bottom w:val="single" w:color="000000" w:sz="4" w:space="0"/>
              <w:right w:val="single" w:color="000000" w:sz="4" w:space="0"/>
            </w:tcBorders>
          </w:tcPr>
          <w:p w14:paraId="16FE9EEB">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14:paraId="2062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3546156">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726C7E1">
            <w:pPr>
              <w:widowControl/>
              <w:jc w:val="left"/>
              <w:rPr>
                <w:rFonts w:hint="eastAsia" w:ascii="宋体" w:hAnsi="宋体" w:cs="宋体"/>
                <w:color w:val="auto"/>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05CEDFF5">
            <w:pPr>
              <w:pStyle w:val="62"/>
              <w:spacing w:before="162"/>
              <w:ind w:left="7"/>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6C725C9E">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7A581673">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14:paraId="7CF9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42D953">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3982CDA">
            <w:pPr>
              <w:widowControl/>
              <w:jc w:val="left"/>
              <w:rPr>
                <w:rFonts w:hint="eastAsia" w:ascii="宋体" w:hAnsi="宋体" w:cs="宋体"/>
                <w:color w:val="auto"/>
                <w:sz w:val="24"/>
                <w:highlight w:val="none"/>
              </w:rPr>
            </w:pPr>
          </w:p>
        </w:tc>
        <w:tc>
          <w:tcPr>
            <w:tcW w:w="1954" w:type="dxa"/>
            <w:vMerge w:val="restart"/>
            <w:tcBorders>
              <w:top w:val="single" w:color="000000" w:sz="4" w:space="0"/>
              <w:left w:val="single" w:color="000000" w:sz="4" w:space="0"/>
              <w:bottom w:val="single" w:color="000000" w:sz="4" w:space="0"/>
              <w:right w:val="single" w:color="000000" w:sz="4" w:space="0"/>
            </w:tcBorders>
            <w:vAlign w:val="center"/>
          </w:tcPr>
          <w:p w14:paraId="3FFD9005">
            <w:pPr>
              <w:pStyle w:val="62"/>
              <w:spacing w:before="161"/>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7D8AEE13">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287" w:type="dxa"/>
            <w:tcBorders>
              <w:top w:val="single" w:color="000000" w:sz="4" w:space="0"/>
              <w:left w:val="single" w:color="000000" w:sz="4" w:space="0"/>
              <w:bottom w:val="single" w:color="000000" w:sz="4" w:space="0"/>
              <w:right w:val="single" w:color="000000" w:sz="4" w:space="0"/>
            </w:tcBorders>
          </w:tcPr>
          <w:p w14:paraId="55DC3C12">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14:paraId="4373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8067B8">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117B584">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459B6138">
            <w:pPr>
              <w:widowControl/>
              <w:jc w:val="left"/>
              <w:rPr>
                <w:rFonts w:hint="eastAsia" w:ascii="宋体" w:hAnsi="宋体" w:cs="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4ED7A22">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287" w:type="dxa"/>
            <w:tcBorders>
              <w:top w:val="single" w:color="000000" w:sz="4" w:space="0"/>
              <w:left w:val="single" w:color="000000" w:sz="4" w:space="0"/>
              <w:bottom w:val="single" w:color="000000" w:sz="4" w:space="0"/>
              <w:right w:val="single" w:color="000000" w:sz="4" w:space="0"/>
            </w:tcBorders>
          </w:tcPr>
          <w:p w14:paraId="55734D8E">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14:paraId="0697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49DF8AE">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2B5A01E8">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3707DAD4">
            <w:pPr>
              <w:widowControl/>
              <w:jc w:val="left"/>
              <w:rPr>
                <w:rFonts w:hint="eastAsia" w:ascii="宋体" w:hAnsi="宋体" w:cs="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362BDAC">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4287" w:type="dxa"/>
            <w:tcBorders>
              <w:top w:val="single" w:color="000000" w:sz="4" w:space="0"/>
              <w:left w:val="single" w:color="000000" w:sz="4" w:space="0"/>
              <w:bottom w:val="single" w:color="000000" w:sz="4" w:space="0"/>
              <w:right w:val="single" w:color="000000" w:sz="4" w:space="0"/>
            </w:tcBorders>
          </w:tcPr>
          <w:p w14:paraId="3E135457">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14:paraId="76F8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7733F7">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6119007">
            <w:pPr>
              <w:widowControl/>
              <w:jc w:val="left"/>
              <w:rPr>
                <w:rFonts w:hint="eastAsia" w:ascii="宋体" w:hAnsi="宋体" w:cs="宋体"/>
                <w:color w:val="auto"/>
                <w:sz w:val="24"/>
                <w:highlight w:val="none"/>
              </w:rPr>
            </w:pPr>
          </w:p>
        </w:tc>
        <w:tc>
          <w:tcPr>
            <w:tcW w:w="1954" w:type="dxa"/>
            <w:vMerge w:val="continue"/>
            <w:tcBorders>
              <w:top w:val="single" w:color="000000" w:sz="4" w:space="0"/>
              <w:left w:val="single" w:color="000000" w:sz="4" w:space="0"/>
              <w:bottom w:val="single" w:color="000000" w:sz="4" w:space="0"/>
              <w:right w:val="single" w:color="000000" w:sz="4" w:space="0"/>
            </w:tcBorders>
            <w:vAlign w:val="center"/>
          </w:tcPr>
          <w:p w14:paraId="7ACF3BC6">
            <w:pPr>
              <w:widowControl/>
              <w:jc w:val="left"/>
              <w:rPr>
                <w:rFonts w:hint="eastAsia" w:ascii="宋体" w:hAnsi="宋体" w:cs="宋体"/>
                <w:color w:val="auto"/>
                <w:sz w:val="24"/>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B3515F5">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4287" w:type="dxa"/>
            <w:tcBorders>
              <w:top w:val="single" w:color="000000" w:sz="4" w:space="0"/>
              <w:left w:val="single" w:color="000000" w:sz="4" w:space="0"/>
              <w:bottom w:val="single" w:color="000000" w:sz="4" w:space="0"/>
              <w:right w:val="single" w:color="000000" w:sz="4" w:space="0"/>
            </w:tcBorders>
          </w:tcPr>
          <w:p w14:paraId="3E986219">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14:paraId="5393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96D68ED">
            <w:pPr>
              <w:pStyle w:val="62"/>
              <w:jc w:val="center"/>
              <w:rPr>
                <w:rFonts w:hint="eastAsia"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655F2170">
            <w:pPr>
              <w:pStyle w:val="62"/>
              <w:spacing w:before="157"/>
              <w:jc w:val="center"/>
              <w:rPr>
                <w:rFonts w:hint="eastAsia"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954" w:type="dxa"/>
            <w:tcBorders>
              <w:top w:val="single" w:color="000000" w:sz="4" w:space="0"/>
              <w:left w:val="single" w:color="000000" w:sz="4" w:space="0"/>
              <w:bottom w:val="single" w:color="000000" w:sz="4" w:space="0"/>
              <w:right w:val="single" w:color="000000" w:sz="4" w:space="0"/>
            </w:tcBorders>
            <w:vAlign w:val="center"/>
          </w:tcPr>
          <w:p w14:paraId="0D92C19F">
            <w:pPr>
              <w:pStyle w:val="62"/>
              <w:spacing w:before="133" w:line="276" w:lineRule="auto"/>
              <w:ind w:left="7" w:right="7"/>
              <w:jc w:val="center"/>
              <w:rPr>
                <w:rFonts w:hint="eastAsia"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488" w:type="dxa"/>
            <w:tcBorders>
              <w:top w:val="single" w:color="000000" w:sz="4" w:space="0"/>
              <w:left w:val="single" w:color="000000" w:sz="4" w:space="0"/>
              <w:bottom w:val="single" w:color="000000" w:sz="4" w:space="0"/>
              <w:right w:val="single" w:color="000000" w:sz="4" w:space="0"/>
            </w:tcBorders>
            <w:vAlign w:val="center"/>
          </w:tcPr>
          <w:p w14:paraId="521AB4DF">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6599AD1F">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14:paraId="2823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76A5CE">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DC3B36A">
            <w:pPr>
              <w:widowControl/>
              <w:jc w:val="left"/>
              <w:rPr>
                <w:rFonts w:hint="eastAsia" w:ascii="宋体" w:hAnsi="宋体" w:cs="宋体"/>
                <w:color w:val="auto"/>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57C6D2B5">
            <w:pPr>
              <w:pStyle w:val="62"/>
              <w:spacing w:before="92" w:line="276" w:lineRule="auto"/>
              <w:ind w:left="7" w:right="2"/>
              <w:jc w:val="center"/>
              <w:rPr>
                <w:rFonts w:hint="eastAsia"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488" w:type="dxa"/>
            <w:tcBorders>
              <w:top w:val="single" w:color="000000" w:sz="4" w:space="0"/>
              <w:left w:val="single" w:color="000000" w:sz="4" w:space="0"/>
              <w:bottom w:val="single" w:color="000000" w:sz="4" w:space="0"/>
              <w:right w:val="single" w:color="000000" w:sz="4" w:space="0"/>
            </w:tcBorders>
            <w:vAlign w:val="center"/>
          </w:tcPr>
          <w:p w14:paraId="018E447F">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49E66E57">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14:paraId="077E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9F1B78">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2ED8A6E">
            <w:pPr>
              <w:widowControl/>
              <w:jc w:val="left"/>
              <w:rPr>
                <w:rFonts w:hint="eastAsia" w:ascii="宋体" w:hAnsi="宋体" w:cs="宋体"/>
                <w:color w:val="auto"/>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1DE494E0">
            <w:pPr>
              <w:pStyle w:val="62"/>
              <w:jc w:val="center"/>
              <w:rPr>
                <w:rFonts w:hint="eastAsia"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488" w:type="dxa"/>
            <w:tcBorders>
              <w:top w:val="single" w:color="000000" w:sz="4" w:space="0"/>
              <w:left w:val="single" w:color="000000" w:sz="4" w:space="0"/>
              <w:bottom w:val="single" w:color="000000" w:sz="4" w:space="0"/>
              <w:right w:val="single" w:color="000000" w:sz="4" w:space="0"/>
            </w:tcBorders>
            <w:vAlign w:val="center"/>
          </w:tcPr>
          <w:p w14:paraId="65301E94">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0211FF5E">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0E37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2892AA">
            <w:pPr>
              <w:widowControl/>
              <w:jc w:val="left"/>
              <w:rPr>
                <w:rFonts w:hint="eastAsia" w:ascii="宋体" w:hAnsi="宋体" w:cs="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A8F4EAE">
            <w:pPr>
              <w:widowControl/>
              <w:jc w:val="left"/>
              <w:rPr>
                <w:rFonts w:hint="eastAsia" w:ascii="宋体" w:hAnsi="宋体" w:cs="宋体"/>
                <w:color w:val="auto"/>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36CA2604">
            <w:pPr>
              <w:pStyle w:val="62"/>
              <w:spacing w:line="276" w:lineRule="auto"/>
              <w:ind w:right="7"/>
              <w:jc w:val="center"/>
              <w:rPr>
                <w:rFonts w:hint="eastAsia"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488" w:type="dxa"/>
            <w:tcBorders>
              <w:top w:val="single" w:color="000000" w:sz="4" w:space="0"/>
              <w:left w:val="single" w:color="000000" w:sz="4" w:space="0"/>
              <w:bottom w:val="single" w:color="000000" w:sz="4" w:space="0"/>
              <w:right w:val="single" w:color="000000" w:sz="4" w:space="0"/>
            </w:tcBorders>
            <w:vAlign w:val="center"/>
          </w:tcPr>
          <w:p w14:paraId="04213D83">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0A41827D">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7553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B3C7CC6">
            <w:pPr>
              <w:pStyle w:val="62"/>
              <w:jc w:val="center"/>
              <w:rPr>
                <w:rFonts w:hint="eastAsia"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543" w:type="dxa"/>
            <w:tcBorders>
              <w:top w:val="single" w:color="000000" w:sz="4" w:space="0"/>
              <w:left w:val="single" w:color="000000" w:sz="4" w:space="0"/>
              <w:bottom w:val="single" w:color="000000" w:sz="4" w:space="0"/>
              <w:right w:val="single" w:color="000000" w:sz="4" w:space="0"/>
            </w:tcBorders>
            <w:vAlign w:val="center"/>
          </w:tcPr>
          <w:p w14:paraId="2A8B75E6">
            <w:pPr>
              <w:pStyle w:val="62"/>
              <w:spacing w:before="81"/>
              <w:ind w:left="7"/>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954" w:type="dxa"/>
            <w:tcBorders>
              <w:top w:val="single" w:color="000000" w:sz="4" w:space="0"/>
              <w:left w:val="single" w:color="000000" w:sz="4" w:space="0"/>
              <w:bottom w:val="single" w:color="000000" w:sz="4" w:space="0"/>
              <w:right w:val="single" w:color="000000" w:sz="4" w:space="0"/>
            </w:tcBorders>
            <w:vAlign w:val="center"/>
          </w:tcPr>
          <w:p w14:paraId="4336B459">
            <w:pPr>
              <w:pStyle w:val="62"/>
              <w:spacing w:before="81" w:line="276" w:lineRule="auto"/>
              <w:ind w:left="7" w:right="5"/>
              <w:jc w:val="center"/>
              <w:rPr>
                <w:rFonts w:hint="eastAsia"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488" w:type="dxa"/>
            <w:tcBorders>
              <w:top w:val="single" w:color="000000" w:sz="4" w:space="0"/>
              <w:left w:val="single" w:color="000000" w:sz="4" w:space="0"/>
              <w:bottom w:val="single" w:color="000000" w:sz="4" w:space="0"/>
              <w:right w:val="single" w:color="000000" w:sz="4" w:space="0"/>
            </w:tcBorders>
            <w:vAlign w:val="center"/>
          </w:tcPr>
          <w:p w14:paraId="24B1923A">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4B437105">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《平板电视能效限定值及能效等级》（GB24850）</w:t>
            </w:r>
          </w:p>
        </w:tc>
      </w:tr>
      <w:tr w14:paraId="41DC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3EB5B31">
            <w:pPr>
              <w:pStyle w:val="62"/>
              <w:jc w:val="center"/>
              <w:rPr>
                <w:rFonts w:hint="eastAsia"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17161B2E">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954" w:type="dxa"/>
            <w:tcBorders>
              <w:top w:val="single" w:color="000000" w:sz="4" w:space="0"/>
              <w:left w:val="single" w:color="000000" w:sz="4" w:space="0"/>
              <w:bottom w:val="single" w:color="000000" w:sz="4" w:space="0"/>
              <w:right w:val="single" w:color="000000" w:sz="4" w:space="0"/>
            </w:tcBorders>
            <w:vAlign w:val="center"/>
          </w:tcPr>
          <w:p w14:paraId="461D65EA">
            <w:pPr>
              <w:pStyle w:val="62"/>
              <w:spacing w:line="276" w:lineRule="auto"/>
              <w:ind w:right="5"/>
              <w:jc w:val="center"/>
              <w:rPr>
                <w:rFonts w:hint="eastAsia"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488" w:type="dxa"/>
            <w:tcBorders>
              <w:top w:val="single" w:color="000000" w:sz="4" w:space="0"/>
              <w:left w:val="single" w:color="000000" w:sz="4" w:space="0"/>
              <w:bottom w:val="single" w:color="000000" w:sz="4" w:space="0"/>
              <w:right w:val="single" w:color="000000" w:sz="4" w:space="0"/>
            </w:tcBorders>
            <w:vAlign w:val="center"/>
          </w:tcPr>
          <w:p w14:paraId="70DB904E">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4287" w:type="dxa"/>
            <w:tcBorders>
              <w:top w:val="single" w:color="000000" w:sz="4" w:space="0"/>
              <w:left w:val="single" w:color="000000" w:sz="4" w:space="0"/>
              <w:bottom w:val="single" w:color="000000" w:sz="4" w:space="0"/>
              <w:right w:val="single" w:color="000000" w:sz="4" w:space="0"/>
            </w:tcBorders>
          </w:tcPr>
          <w:p w14:paraId="323BF96C">
            <w:pPr>
              <w:pStyle w:val="62"/>
              <w:spacing w:before="131" w:line="276" w:lineRule="auto"/>
              <w:ind w:left="7" w:right="4"/>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0135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2B8F9D">
            <w:pPr>
              <w:pStyle w:val="62"/>
              <w:jc w:val="center"/>
              <w:rPr>
                <w:rFonts w:hint="eastAsia"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543" w:type="dxa"/>
            <w:tcBorders>
              <w:top w:val="single" w:color="000000" w:sz="4" w:space="0"/>
              <w:left w:val="single" w:color="000000" w:sz="4" w:space="0"/>
              <w:bottom w:val="single" w:color="000000" w:sz="4" w:space="0"/>
              <w:right w:val="single" w:color="000000" w:sz="4" w:space="0"/>
            </w:tcBorders>
            <w:vAlign w:val="center"/>
          </w:tcPr>
          <w:p w14:paraId="62314B08">
            <w:pPr>
              <w:pStyle w:val="62"/>
              <w:spacing w:before="76"/>
              <w:ind w:left="7"/>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954" w:type="dxa"/>
            <w:tcBorders>
              <w:top w:val="single" w:color="000000" w:sz="4" w:space="0"/>
              <w:left w:val="single" w:color="000000" w:sz="4" w:space="0"/>
              <w:bottom w:val="single" w:color="000000" w:sz="4" w:space="0"/>
              <w:right w:val="single" w:color="000000" w:sz="4" w:space="0"/>
            </w:tcBorders>
            <w:vAlign w:val="center"/>
          </w:tcPr>
          <w:p w14:paraId="1818594F">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488" w:type="dxa"/>
            <w:tcBorders>
              <w:top w:val="single" w:color="000000" w:sz="4" w:space="0"/>
              <w:left w:val="single" w:color="000000" w:sz="4" w:space="0"/>
              <w:bottom w:val="single" w:color="000000" w:sz="4" w:space="0"/>
              <w:right w:val="single" w:color="000000" w:sz="4" w:space="0"/>
            </w:tcBorders>
            <w:vAlign w:val="center"/>
          </w:tcPr>
          <w:p w14:paraId="7926F8A6">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671DE70C">
            <w:pPr>
              <w:pStyle w:val="62"/>
              <w:spacing w:before="131" w:line="276" w:lineRule="auto"/>
              <w:ind w:left="7" w:right="4"/>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《商用燃气灶具能效限定值及能效等级》（GB30531）</w:t>
            </w:r>
          </w:p>
        </w:tc>
      </w:tr>
      <w:tr w14:paraId="65E3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1C2042A">
            <w:pPr>
              <w:jc w:val="center"/>
              <w:rPr>
                <w:rFonts w:hint="eastAsia" w:ascii="宋体" w:hAnsi="宋体"/>
                <w:color w:val="auto"/>
                <w:sz w:val="24"/>
                <w:highlight w:val="none"/>
              </w:rPr>
            </w:pPr>
            <w:r>
              <w:rPr>
                <w:rFonts w:hint="eastAsia" w:ascii="宋体" w:hAnsi="宋体"/>
                <w:color w:val="auto"/>
                <w:sz w:val="24"/>
                <w:highlight w:val="none"/>
              </w:rPr>
              <w:t>15</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0B267AAE">
            <w:pPr>
              <w:pStyle w:val="62"/>
              <w:jc w:val="center"/>
              <w:rPr>
                <w:rFonts w:hint="eastAsia"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A05020105</w:t>
            </w:r>
            <w:r>
              <w:rPr>
                <w:rFonts w:hint="eastAsia" w:ascii="宋体" w:hAnsi="宋体" w:cs="宋体"/>
                <w:color w:val="auto"/>
                <w:w w:val="99"/>
                <w:kern w:val="2"/>
                <w:sz w:val="24"/>
                <w:szCs w:val="24"/>
                <w:highlight w:val="none"/>
              </w:rPr>
              <w:t>便器</w:t>
            </w:r>
          </w:p>
        </w:tc>
        <w:tc>
          <w:tcPr>
            <w:tcW w:w="1954" w:type="dxa"/>
            <w:tcBorders>
              <w:top w:val="single" w:color="000000" w:sz="4" w:space="0"/>
              <w:left w:val="single" w:color="000000" w:sz="4" w:space="0"/>
              <w:bottom w:val="single" w:color="000000" w:sz="4" w:space="0"/>
              <w:right w:val="single" w:color="000000" w:sz="4" w:space="0"/>
            </w:tcBorders>
            <w:vAlign w:val="center"/>
          </w:tcPr>
          <w:p w14:paraId="5E3D25C2">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6ADE6C0C">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71E3F0A8">
            <w:pPr>
              <w:pStyle w:val="62"/>
              <w:spacing w:before="131" w:line="276" w:lineRule="auto"/>
              <w:ind w:left="7" w:right="4"/>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14:paraId="5094573D">
            <w:pPr>
              <w:pStyle w:val="62"/>
              <w:spacing w:before="131" w:line="276" w:lineRule="auto"/>
              <w:ind w:left="7" w:right="4"/>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14:paraId="7F12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ECD599">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60CB4771">
            <w:pPr>
              <w:widowControl/>
              <w:jc w:val="left"/>
              <w:rPr>
                <w:rFonts w:hint="eastAsia" w:ascii="宋体" w:hAnsi="宋体" w:cs="宋体"/>
                <w:color w:val="auto"/>
                <w:w w:val="99"/>
                <w:sz w:val="24"/>
                <w:highlight w:val="none"/>
                <w:lang w:eastAsia="en-US"/>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7180935D">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6CA24467">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282719BB">
            <w:pPr>
              <w:pStyle w:val="62"/>
              <w:spacing w:before="131" w:line="276" w:lineRule="auto"/>
              <w:ind w:left="7" w:right="4"/>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14:paraId="53E8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312E05">
            <w:pPr>
              <w:widowControl/>
              <w:jc w:val="left"/>
              <w:rPr>
                <w:rFonts w:hint="eastAsia" w:ascii="宋体" w:hAnsi="宋体"/>
                <w:color w:val="auto"/>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DBF34FB">
            <w:pPr>
              <w:widowControl/>
              <w:jc w:val="left"/>
              <w:rPr>
                <w:rFonts w:hint="eastAsia" w:ascii="宋体" w:hAnsi="宋体" w:cs="宋体"/>
                <w:color w:val="auto"/>
                <w:w w:val="99"/>
                <w:sz w:val="24"/>
                <w:highlight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14:paraId="6B605FBE">
            <w:pPr>
              <w:pStyle w:val="62"/>
              <w:jc w:val="center"/>
              <w:rPr>
                <w:rFonts w:hint="eastAsia"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488" w:type="dxa"/>
            <w:tcBorders>
              <w:top w:val="single" w:color="000000" w:sz="4" w:space="0"/>
              <w:left w:val="single" w:color="000000" w:sz="4" w:space="0"/>
              <w:bottom w:val="single" w:color="000000" w:sz="4" w:space="0"/>
              <w:right w:val="single" w:color="000000" w:sz="4" w:space="0"/>
            </w:tcBorders>
            <w:vAlign w:val="center"/>
          </w:tcPr>
          <w:p w14:paraId="6B45DEB4">
            <w:pPr>
              <w:jc w:val="center"/>
              <w:rPr>
                <w:rFonts w:hint="eastAsia" w:ascii="宋体" w:hAnsi="宋体"/>
                <w:color w:val="auto"/>
                <w:sz w:val="24"/>
                <w:highlight w:val="none"/>
              </w:rPr>
            </w:pPr>
          </w:p>
        </w:tc>
        <w:tc>
          <w:tcPr>
            <w:tcW w:w="4287" w:type="dxa"/>
            <w:tcBorders>
              <w:top w:val="single" w:color="000000" w:sz="4" w:space="0"/>
              <w:left w:val="single" w:color="000000" w:sz="4" w:space="0"/>
              <w:bottom w:val="single" w:color="000000" w:sz="4" w:space="0"/>
              <w:right w:val="single" w:color="000000" w:sz="4" w:space="0"/>
            </w:tcBorders>
          </w:tcPr>
          <w:p w14:paraId="727D81C5">
            <w:pPr>
              <w:pStyle w:val="62"/>
              <w:spacing w:before="131" w:line="276" w:lineRule="auto"/>
              <w:ind w:left="7" w:right="4"/>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14:paraId="379A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23C52AF">
            <w:pPr>
              <w:pStyle w:val="62"/>
              <w:jc w:val="center"/>
              <w:rPr>
                <w:rFonts w:hint="eastAsia"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543" w:type="dxa"/>
            <w:tcBorders>
              <w:top w:val="single" w:color="000000" w:sz="4" w:space="0"/>
              <w:left w:val="single" w:color="000000" w:sz="4" w:space="0"/>
              <w:bottom w:val="single" w:color="000000" w:sz="4" w:space="0"/>
              <w:right w:val="single" w:color="000000" w:sz="4" w:space="0"/>
            </w:tcBorders>
            <w:vAlign w:val="center"/>
          </w:tcPr>
          <w:p w14:paraId="2F3CB2A1">
            <w:pPr>
              <w:pStyle w:val="62"/>
              <w:spacing w:before="153"/>
              <w:ind w:left="7"/>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A05020106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954" w:type="dxa"/>
            <w:tcBorders>
              <w:top w:val="single" w:color="000000" w:sz="4" w:space="0"/>
              <w:left w:val="single" w:color="000000" w:sz="4" w:space="0"/>
              <w:bottom w:val="single" w:color="000000" w:sz="4" w:space="0"/>
              <w:right w:val="single" w:color="000000" w:sz="4" w:space="0"/>
            </w:tcBorders>
            <w:vAlign w:val="center"/>
          </w:tcPr>
          <w:p w14:paraId="469DA706">
            <w:pPr>
              <w:jc w:val="center"/>
              <w:rPr>
                <w:rFonts w:hint="eastAsia" w:ascii="宋体" w:hAnsi="宋体"/>
                <w:color w:val="auto"/>
                <w:sz w:val="24"/>
                <w:highlight w:val="none"/>
                <w:lang w:eastAsia="en-US"/>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91D7789">
            <w:pPr>
              <w:jc w:val="center"/>
              <w:rPr>
                <w:rFonts w:hint="eastAsia" w:ascii="宋体" w:hAnsi="宋体"/>
                <w:color w:val="auto"/>
                <w:sz w:val="24"/>
                <w:highlight w:val="none"/>
                <w:lang w:eastAsia="en-US"/>
              </w:rPr>
            </w:pPr>
          </w:p>
        </w:tc>
        <w:tc>
          <w:tcPr>
            <w:tcW w:w="4287" w:type="dxa"/>
            <w:tcBorders>
              <w:top w:val="single" w:color="000000" w:sz="4" w:space="0"/>
              <w:left w:val="single" w:color="000000" w:sz="4" w:space="0"/>
              <w:bottom w:val="single" w:color="000000" w:sz="4" w:space="0"/>
              <w:right w:val="single" w:color="000000" w:sz="4" w:space="0"/>
            </w:tcBorders>
          </w:tcPr>
          <w:p w14:paraId="6A7F7AE3">
            <w:pPr>
              <w:pStyle w:val="62"/>
              <w:spacing w:before="153" w:line="276" w:lineRule="auto"/>
              <w:ind w:left="7" w:right="4"/>
              <w:rPr>
                <w:rFonts w:hint="eastAsia"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 25501）</w:t>
            </w:r>
          </w:p>
        </w:tc>
      </w:tr>
      <w:tr w14:paraId="502E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438C90">
            <w:pPr>
              <w:pStyle w:val="62"/>
              <w:jc w:val="center"/>
              <w:rPr>
                <w:rFonts w:hint="eastAsia"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543" w:type="dxa"/>
            <w:tcBorders>
              <w:top w:val="single" w:color="000000" w:sz="4" w:space="0"/>
              <w:left w:val="single" w:color="000000" w:sz="4" w:space="0"/>
              <w:bottom w:val="single" w:color="000000" w:sz="4" w:space="0"/>
              <w:right w:val="single" w:color="000000" w:sz="4" w:space="0"/>
            </w:tcBorders>
            <w:vAlign w:val="center"/>
          </w:tcPr>
          <w:p w14:paraId="35742F67">
            <w:pPr>
              <w:pStyle w:val="62"/>
              <w:spacing w:before="112"/>
              <w:ind w:left="7"/>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A05020107</w:t>
            </w:r>
            <w:r>
              <w:rPr>
                <w:rFonts w:hint="eastAsia" w:ascii="宋体" w:hAnsi="宋体" w:cs="宋体"/>
                <w:color w:val="auto"/>
                <w:kern w:val="2"/>
                <w:sz w:val="24"/>
                <w:szCs w:val="24"/>
                <w:highlight w:val="none"/>
              </w:rPr>
              <w:t>便器冲洗阀</w:t>
            </w:r>
          </w:p>
        </w:tc>
        <w:tc>
          <w:tcPr>
            <w:tcW w:w="1954" w:type="dxa"/>
            <w:tcBorders>
              <w:top w:val="single" w:color="000000" w:sz="4" w:space="0"/>
              <w:left w:val="single" w:color="000000" w:sz="4" w:space="0"/>
              <w:bottom w:val="single" w:color="000000" w:sz="4" w:space="0"/>
              <w:right w:val="single" w:color="000000" w:sz="4" w:space="0"/>
            </w:tcBorders>
            <w:vAlign w:val="center"/>
          </w:tcPr>
          <w:p w14:paraId="454B5A02">
            <w:pPr>
              <w:jc w:val="center"/>
              <w:rPr>
                <w:rFonts w:hint="eastAsia" w:ascii="宋体" w:hAnsi="宋体"/>
                <w:color w:val="auto"/>
                <w:sz w:val="24"/>
                <w:highlight w:val="none"/>
                <w:lang w:eastAsia="en-US"/>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6C8E586">
            <w:pPr>
              <w:jc w:val="center"/>
              <w:rPr>
                <w:rFonts w:hint="eastAsia" w:ascii="宋体" w:hAnsi="宋体"/>
                <w:color w:val="auto"/>
                <w:sz w:val="24"/>
                <w:highlight w:val="none"/>
                <w:lang w:eastAsia="en-US"/>
              </w:rPr>
            </w:pPr>
          </w:p>
        </w:tc>
        <w:tc>
          <w:tcPr>
            <w:tcW w:w="4287" w:type="dxa"/>
            <w:tcBorders>
              <w:top w:val="single" w:color="000000" w:sz="4" w:space="0"/>
              <w:left w:val="single" w:color="000000" w:sz="4" w:space="0"/>
              <w:bottom w:val="single" w:color="000000" w:sz="4" w:space="0"/>
              <w:right w:val="single" w:color="000000" w:sz="4" w:space="0"/>
            </w:tcBorders>
          </w:tcPr>
          <w:p w14:paraId="141A4DFA">
            <w:pPr>
              <w:pStyle w:val="62"/>
              <w:spacing w:before="112" w:line="276" w:lineRule="auto"/>
              <w:ind w:left="7" w:right="4"/>
              <w:rPr>
                <w:rFonts w:hint="eastAsia"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14:paraId="645A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762D162">
            <w:pPr>
              <w:pStyle w:val="62"/>
              <w:jc w:val="center"/>
              <w:rPr>
                <w:rFonts w:hint="eastAsia"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543" w:type="dxa"/>
            <w:tcBorders>
              <w:top w:val="single" w:color="000000" w:sz="4" w:space="0"/>
              <w:left w:val="single" w:color="000000" w:sz="4" w:space="0"/>
              <w:bottom w:val="single" w:color="000000" w:sz="4" w:space="0"/>
              <w:right w:val="single" w:color="000000" w:sz="4" w:space="0"/>
            </w:tcBorders>
            <w:vAlign w:val="center"/>
          </w:tcPr>
          <w:p w14:paraId="450768CE">
            <w:pPr>
              <w:pStyle w:val="62"/>
              <w:spacing w:before="131"/>
              <w:ind w:left="7"/>
              <w:jc w:val="center"/>
              <w:rPr>
                <w:rFonts w:hint="eastAsia" w:ascii="宋体" w:hAnsi="宋体" w:cs="宋体"/>
                <w:color w:val="auto"/>
                <w:kern w:val="2"/>
                <w:sz w:val="24"/>
                <w:szCs w:val="24"/>
                <w:highlight w:val="none"/>
              </w:rPr>
            </w:pPr>
            <w:r>
              <w:rPr>
                <w:rFonts w:hint="eastAsia" w:ascii="宋体" w:hAnsi="宋体" w:cs="仿宋_GB2312"/>
                <w:color w:val="auto"/>
                <w:kern w:val="2"/>
                <w:sz w:val="24"/>
                <w:szCs w:val="24"/>
                <w:highlight w:val="none"/>
              </w:rPr>
              <w:t>A05020110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954" w:type="dxa"/>
            <w:tcBorders>
              <w:top w:val="single" w:color="000000" w:sz="4" w:space="0"/>
              <w:left w:val="single" w:color="000000" w:sz="4" w:space="0"/>
              <w:bottom w:val="single" w:color="000000" w:sz="4" w:space="0"/>
              <w:right w:val="single" w:color="000000" w:sz="4" w:space="0"/>
            </w:tcBorders>
            <w:vAlign w:val="center"/>
          </w:tcPr>
          <w:p w14:paraId="484C7642">
            <w:pPr>
              <w:jc w:val="center"/>
              <w:rPr>
                <w:rFonts w:hint="eastAsia" w:ascii="宋体" w:hAnsi="宋体"/>
                <w:color w:val="auto"/>
                <w:sz w:val="24"/>
                <w:highlight w:val="none"/>
                <w:lang w:eastAsia="en-US"/>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3861B07F">
            <w:pPr>
              <w:jc w:val="center"/>
              <w:rPr>
                <w:rFonts w:hint="eastAsia" w:ascii="宋体" w:hAnsi="宋体"/>
                <w:color w:val="auto"/>
                <w:sz w:val="24"/>
                <w:highlight w:val="none"/>
                <w:lang w:eastAsia="en-US"/>
              </w:rPr>
            </w:pPr>
          </w:p>
        </w:tc>
        <w:tc>
          <w:tcPr>
            <w:tcW w:w="4287" w:type="dxa"/>
            <w:tcBorders>
              <w:top w:val="single" w:color="000000" w:sz="4" w:space="0"/>
              <w:left w:val="single" w:color="000000" w:sz="4" w:space="0"/>
              <w:bottom w:val="single" w:color="000000" w:sz="4" w:space="0"/>
              <w:right w:val="single" w:color="000000" w:sz="4" w:space="0"/>
            </w:tcBorders>
          </w:tcPr>
          <w:p w14:paraId="16BCCEE8">
            <w:pPr>
              <w:pStyle w:val="62"/>
              <w:spacing w:before="131" w:line="276" w:lineRule="auto"/>
              <w:ind w:left="7" w:right="4"/>
              <w:rPr>
                <w:rFonts w:hint="eastAsia"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14:paraId="795A06A4">
      <w:pPr>
        <w:spacing w:line="360" w:lineRule="auto"/>
        <w:ind w:firstLine="470" w:firstLineChars="200"/>
        <w:rPr>
          <w:rFonts w:hint="eastAsia" w:ascii="楷体" w:hAnsi="楷体" w:eastAsia="楷体" w:cs="宋体"/>
          <w:color w:val="auto"/>
          <w:spacing w:val="-3"/>
          <w:kern w:val="0"/>
          <w:sz w:val="24"/>
          <w:highlight w:val="none"/>
        </w:rPr>
      </w:pPr>
      <w:r>
        <w:rPr>
          <w:rFonts w:hint="eastAsia" w:ascii="楷体" w:hAnsi="楷体" w:eastAsia="楷体" w:cs="宋体"/>
          <w:b/>
          <w:color w:val="auto"/>
          <w:spacing w:val="-3"/>
          <w:kern w:val="0"/>
          <w:sz w:val="24"/>
          <w:highlight w:val="none"/>
        </w:rPr>
        <w:t>注：</w:t>
      </w:r>
      <w:r>
        <w:rPr>
          <w:rFonts w:hint="eastAsia" w:ascii="楷体" w:hAnsi="楷体" w:eastAsia="楷体" w:cs="宋体"/>
          <w:color w:val="auto"/>
          <w:spacing w:val="-3"/>
          <w:kern w:val="0"/>
          <w:sz w:val="24"/>
          <w:highlight w:val="none"/>
        </w:rPr>
        <w:t>1.节能产品认证应依据相关国家标准的最新版本，依据国家标准中二级能效（水效）指标。</w:t>
      </w:r>
    </w:p>
    <w:p w14:paraId="0DBDCD2C">
      <w:pPr>
        <w:spacing w:line="360" w:lineRule="auto"/>
        <w:ind w:firstLine="468" w:firstLineChars="200"/>
        <w:rPr>
          <w:rFonts w:hint="eastAsia" w:ascii="楷体" w:hAnsi="楷体" w:eastAsia="楷体" w:cs="宋体"/>
          <w:color w:val="auto"/>
          <w:spacing w:val="-3"/>
          <w:kern w:val="0"/>
          <w:sz w:val="24"/>
          <w:highlight w:val="none"/>
        </w:rPr>
      </w:pPr>
      <w:r>
        <w:rPr>
          <w:rFonts w:hint="eastAsia" w:ascii="楷体" w:hAnsi="楷体" w:eastAsia="楷体" w:cs="宋体"/>
          <w:color w:val="auto"/>
          <w:spacing w:val="-3"/>
          <w:kern w:val="0"/>
          <w:sz w:val="24"/>
          <w:highlight w:val="none"/>
        </w:rPr>
        <w:t>2.以“★”标注的为政府强制采购产品。</w:t>
      </w:r>
    </w:p>
    <w:p w14:paraId="4574D3BF">
      <w:pPr>
        <w:pStyle w:val="15"/>
        <w:ind w:firstLine="468" w:firstLineChars="200"/>
        <w:jc w:val="left"/>
        <w:rPr>
          <w:rFonts w:hint="eastAsia" w:hAnsi="宋体" w:cs="宋体"/>
          <w:color w:val="auto"/>
          <w:sz w:val="24"/>
          <w:szCs w:val="24"/>
          <w:highlight w:val="none"/>
        </w:rPr>
      </w:pPr>
      <w:r>
        <w:rPr>
          <w:rFonts w:hint="eastAsia" w:ascii="楷体" w:hAnsi="楷体" w:eastAsia="楷体" w:cs="宋体"/>
          <w:color w:val="auto"/>
          <w:spacing w:val="-3"/>
          <w:sz w:val="24"/>
          <w:szCs w:val="24"/>
          <w:highlight w:val="none"/>
        </w:rPr>
        <w:t>3.本表格原为《关于印发节能产品政府采购品目清单的通知》（财库〔2019〕19号）规定的表格附件，其中名称及编码已根据《财政部关于印发〈政府采购品目分类目录〉的通知》（财库〔2022〕31号）修改。</w:t>
      </w:r>
    </w:p>
    <w:p w14:paraId="2DEC1A28">
      <w:pPr>
        <w:pStyle w:val="15"/>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附件2：</w:t>
      </w:r>
    </w:p>
    <w:p w14:paraId="55B44D37">
      <w:pPr>
        <w:spacing w:line="528" w:lineRule="exact"/>
        <w:ind w:left="22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26"/>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0B699980">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01032B46">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719FCC4E">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1A6DCF2A">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01B142D2">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085D2D7C">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79A6B48E">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17074EBE">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6D3279AC">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4472A1D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CB76D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3EBE5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2BD1240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115F7B3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40EC9D2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E648D5E">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4290076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A797D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1D1358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1FE55B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352AAAF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9C7E6C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05553C1">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47AFF9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DACDE1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BD1BB4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180B5EB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073DD2A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6702CFC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4EE29E7">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2FCA5E2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18BEDB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02A771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28288F3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370C1EB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038294D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1EA172D">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C880C4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4A4C3EE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A173EA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18CC43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6F3C9DE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6BDE62D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394C190">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3CD299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661AF9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C9B422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0B4682E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2B18A77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0D8FAF0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D83AD2C">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F97589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C2F3A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AE52F6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05592F1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4970F5B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33BB7C7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C3A3379">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3FD58EE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ED948D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0CBDD5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57F6EA8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368F54F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5966BBC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AA2E149">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5A9714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06AAC3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75EBA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4820549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1B59A6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97CFD1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53E92AA">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5C8D67A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7CDB6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9EF6C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11C92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6037030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F499F2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B0710E3">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91F95A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BBD028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D17E8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792F80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2E5E35F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72E21A7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66B3AC9">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0ABB240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862403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C465AB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3213FFE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444DAC9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371F5DE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71EB86C">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095FC0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4F3390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1DF34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1AEB41F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4E4E910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C70559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962AAB5">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693BAD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173809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7190E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573ECED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1F91EE5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5AC28A5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C907C97">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E08749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56C8BA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0359F1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04251C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1EB32C9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230A93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4417A73">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0F0387F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584B2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EB81E9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879732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0644384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59A66B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FD90C4F">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4B9FE4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E5DCB6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F5028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4126C03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06A8679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ABD025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F626A8C">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4D9E32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915C0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282789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25854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1A9D0D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30B5E0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00FE60D">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CF952C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3E9256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24DF34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637BEB5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23FFAFE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C1AF19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623D040">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26F8CB3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198DE0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089FB8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5883F74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9B1912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ACCC32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0B22471">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D2CB19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6A573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443468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33F6631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0E4366D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6D13B7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68B8B1">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488237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68E104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3143E7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AACB1D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E3087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F165A0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3E2C1E9">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D35C9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377AD7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147888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704E51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079A8CC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65FD4C3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7885B78">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3529C26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E1442B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A5010A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3C9C2DB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4E9284C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2FBA6291">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162C0F6">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491806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5CF88E0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66D270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647F809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0A746E5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2B57530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C640F6C">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45B0654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B2ADDE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68F40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5098425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7C357F0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59A0005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019674C">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99C9F1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88FC59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E9D01E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385F145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329D5A5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59D2D73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A3AEF89">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72044F5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A65482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A8EB26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F5EDAE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500C6A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7135B56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897B9FE">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FC70AA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51F0B08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9B0777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21E4F7D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6803B4A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E93BF04">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347CB7E9">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2FA845C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589BE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06BB00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E4DAA0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3481B1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3513E833">
      <w:pPr>
        <w:spacing w:line="360" w:lineRule="auto"/>
        <w:ind w:firstLine="602" w:firstLineChars="250"/>
        <w:rPr>
          <w:rFonts w:hint="eastAsia" w:ascii="楷体" w:hAnsi="楷体" w:eastAsia="楷体" w:cs="宋体"/>
          <w:b/>
          <w:color w:val="auto"/>
          <w:sz w:val="24"/>
          <w:highlight w:val="none"/>
        </w:rPr>
      </w:pPr>
      <w:r>
        <w:rPr>
          <w:rFonts w:hint="eastAsia" w:ascii="楷体" w:hAnsi="楷体" w:eastAsia="楷体" w:cs="宋体"/>
          <w:b/>
          <w:color w:val="auto"/>
          <w:sz w:val="24"/>
          <w:highlight w:val="none"/>
        </w:rPr>
        <w:t>说明：</w:t>
      </w:r>
    </w:p>
    <w:p w14:paraId="57BFCE28">
      <w:pPr>
        <w:spacing w:line="360" w:lineRule="auto"/>
        <w:ind w:firstLine="600" w:firstLineChars="250"/>
        <w:rPr>
          <w:rFonts w:hint="eastAsia" w:ascii="楷体" w:hAnsi="楷体" w:eastAsia="楷体" w:cs="宋体"/>
          <w:color w:val="auto"/>
          <w:sz w:val="24"/>
          <w:highlight w:val="none"/>
        </w:rPr>
      </w:pP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002DDCC5">
      <w:pPr>
        <w:widowControl/>
        <w:jc w:val="left"/>
        <w:rPr>
          <w:rFonts w:hint="eastAsia" w:ascii="宋体" w:hAnsi="宋体" w:cs="宋体"/>
          <w:color w:val="auto"/>
          <w:sz w:val="24"/>
          <w:highlight w:val="none"/>
        </w:rPr>
        <w:sectPr>
          <w:footerReference r:id="rId8" w:type="default"/>
          <w:pgSz w:w="11906" w:h="16838"/>
          <w:pgMar w:top="1134" w:right="1134" w:bottom="1134" w:left="1134" w:header="720" w:footer="720" w:gutter="0"/>
          <w:pgNumType w:start="1"/>
          <w:cols w:space="720" w:num="1"/>
          <w:docGrid w:type="lines" w:linePitch="331" w:charSpace="0"/>
        </w:sectPr>
      </w:pPr>
    </w:p>
    <w:p w14:paraId="7A7B2ABC">
      <w:pPr>
        <w:pStyle w:val="3"/>
        <w:spacing w:before="0" w:after="0" w:line="360" w:lineRule="auto"/>
        <w:ind w:firstLine="883" w:firstLineChars="200"/>
        <w:jc w:val="left"/>
        <w:rPr>
          <w:rFonts w:hint="eastAsia" w:ascii="宋体" w:hAnsi="宋体" w:cs="宋体"/>
          <w:color w:val="auto"/>
          <w:highlight w:val="none"/>
        </w:rPr>
      </w:pPr>
      <w:bookmarkStart w:id="27" w:name="_Toc3333"/>
      <w:r>
        <w:rPr>
          <w:rFonts w:hint="eastAsia" w:ascii="宋体" w:hAnsi="宋体" w:cs="宋体"/>
          <w:color w:val="auto"/>
          <w:highlight w:val="none"/>
        </w:rPr>
        <w:t xml:space="preserve">第四章  </w:t>
      </w:r>
      <w:bookmarkStart w:id="28" w:name="_Hlk68601507"/>
      <w:r>
        <w:rPr>
          <w:rFonts w:hint="eastAsia" w:ascii="宋体" w:hAnsi="宋体" w:cs="宋体"/>
          <w:color w:val="auto"/>
          <w:highlight w:val="none"/>
        </w:rPr>
        <w:t>评审程序和评定成交的标准</w:t>
      </w:r>
      <w:bookmarkEnd w:id="27"/>
      <w:bookmarkEnd w:id="28"/>
    </w:p>
    <w:p w14:paraId="62235ED7">
      <w:pPr>
        <w:spacing w:line="360" w:lineRule="auto"/>
        <w:jc w:val="center"/>
        <w:rPr>
          <w:rFonts w:hint="eastAsia" w:ascii="宋体" w:hAnsi="宋体" w:cs="宋体"/>
          <w:b/>
          <w:color w:val="auto"/>
          <w:sz w:val="32"/>
          <w:szCs w:val="32"/>
          <w:highlight w:val="none"/>
        </w:rPr>
      </w:pPr>
    </w:p>
    <w:p w14:paraId="01FA3F97">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78664364">
      <w:pPr>
        <w:spacing w:line="360" w:lineRule="auto"/>
        <w:ind w:firstLine="482" w:firstLineChars="200"/>
        <w:rPr>
          <w:rFonts w:hint="eastAsia" w:ascii="宋体" w:hAnsi="宋体" w:cs="宋体"/>
          <w:b/>
          <w:bCs/>
          <w:color w:val="auto"/>
          <w:sz w:val="24"/>
          <w:highlight w:val="none"/>
        </w:rPr>
      </w:pPr>
    </w:p>
    <w:p w14:paraId="063454B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1.确认谈判文件</w:t>
      </w:r>
    </w:p>
    <w:p w14:paraId="20A36F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由谈判小组确认谈判文件。</w:t>
      </w:r>
    </w:p>
    <w:p w14:paraId="38E6A13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02C31CF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2.1响应文件开启后，谈判小组依法对供应商的资格证明文件进行审查。</w:t>
      </w:r>
    </w:p>
    <w:p w14:paraId="1239DCE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 xml:space="preserve">） </w:t>
      </w:r>
    </w:p>
    <w:p w14:paraId="50DB9EB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14640648">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5C51B60C">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（4）信用信息使用规则：信用信息使用规则：根据财政部《关于在政府采购活动中查询及使用信用记录有关问题的通知》（财库〔2016〕125号）的规定，对在“信用中国”网站(www.creditchina.gov.cn)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5C1C58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2.2资格审查标准为本谈判文件中载明对供应商资格要求的条件。本项目资格审查采用合格制，凡符合谈判文件规定的供应商资格要求的供应商均通过资格审查。</w:t>
      </w:r>
    </w:p>
    <w:p w14:paraId="35C467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供应商有下列情形之一的，资格审查不通过，其响应文件按无效响应处理：</w:t>
      </w:r>
    </w:p>
    <w:p w14:paraId="4AD1B1F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（1）不具备谈判文件中规定的资格要求的；</w:t>
      </w:r>
    </w:p>
    <w:p w14:paraId="69A48C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（2）响应文件中的资格证明文件缺少任一项“供应商须知前附表”资格证明文件规定的“必须提供”的文件资料的；</w:t>
      </w:r>
    </w:p>
    <w:p w14:paraId="68A525F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22AEC0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251D24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2.4通过资格审查的合格供应商不足3家（本章3.7条规定除外）的，不得进入符合性审查环节，应当重新开展采购活动。</w:t>
      </w:r>
    </w:p>
    <w:p w14:paraId="69FB2B3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63B558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3.1由谈判小组对资格审查的合格的供应商的响应文件进行</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报价、商务、技术等实质性要求符合性审查，以确定其是否满足谈判文件的实质性要求。</w:t>
      </w:r>
    </w:p>
    <w:p w14:paraId="3F1ECA2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3D6EDE">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供应商公章。</w:t>
      </w:r>
    </w:p>
    <w:p w14:paraId="1ED2FF6F">
      <w:pPr>
        <w:spacing w:line="360" w:lineRule="auto"/>
        <w:ind w:firstLine="456" w:firstLineChars="200"/>
        <w:rPr>
          <w:rFonts w:hint="eastAsia" w:ascii="宋体" w:hAnsi="宋体" w:cs="宋体"/>
          <w:color w:val="auto"/>
          <w:sz w:val="24"/>
          <w:highlight w:val="none"/>
        </w:rPr>
      </w:pPr>
      <w:r>
        <w:rPr>
          <w:rFonts w:hint="eastAsia" w:ascii="宋体" w:hAnsi="宋体" w:cs="宋体"/>
          <w:color w:val="auto"/>
          <w:spacing w:val="-6"/>
          <w:sz w:val="24"/>
          <w:highlight w:val="none"/>
        </w:rPr>
        <w:t>3.4</w:t>
      </w:r>
      <w:r>
        <w:rPr>
          <w:rFonts w:hint="eastAsia" w:ascii="宋体" w:hAnsi="宋体" w:cs="宋体"/>
          <w:color w:val="auto"/>
          <w:sz w:val="24"/>
          <w:highlight w:val="none"/>
        </w:rPr>
        <w:t xml:space="preserve">首次响应文件报价出现前后不一致的，按照下列规定修正： </w:t>
      </w:r>
    </w:p>
    <w:p w14:paraId="1F9E15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0EA8B0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789141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7779ED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1B8848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56456C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3.5商务技术报价评审</w:t>
      </w:r>
    </w:p>
    <w:p w14:paraId="406E52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636FEC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（1）商务技术评审</w:t>
      </w:r>
    </w:p>
    <w:p w14:paraId="57C31B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1）响应文件未按谈判文件要求签署、盖章的；</w:t>
      </w:r>
    </w:p>
    <w:p w14:paraId="72F203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497F81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3）提交的谈判保证金无效的或者未按照谈判文件的规定提交谈判保证金；</w:t>
      </w:r>
    </w:p>
    <w:p w14:paraId="3B9721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4）响应文件中的报价商务技术文件出现任一项不符合“供应商须知前附表”中“必须提供”或者“委托时必须提供”文件资料要求的规定或者提供的报价商务技术文件无效。</w:t>
      </w:r>
    </w:p>
    <w:p w14:paraId="2FE65E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33C7C7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6）未对</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有效期作出响应或者响应文件承诺的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有效期不满足谈判文件要求；</w:t>
      </w:r>
    </w:p>
    <w:p w14:paraId="12321B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7）响应文件的实质性内容未使用中文表述、使用计量单位不符合谈判文件要求的；</w:t>
      </w:r>
    </w:p>
    <w:p w14:paraId="2763BE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8）响应文件中的文件资料因填写不齐全或者内容虚假或者出现其他情形而导致被谈判小组认定无效的；</w:t>
      </w:r>
    </w:p>
    <w:p w14:paraId="388D774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9）响应文件含有采购人不能接受的附加条件的；</w:t>
      </w:r>
    </w:p>
    <w:p w14:paraId="262689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10）属于“供应商须知正文”第7.</w:t>
      </w:r>
      <w:r>
        <w:rPr>
          <w:rFonts w:ascii="宋体" w:hAnsi="宋体" w:cs="宋体"/>
          <w:color w:val="auto"/>
          <w:sz w:val="24"/>
          <w:highlight w:val="none"/>
        </w:rPr>
        <w:t>4</w:t>
      </w:r>
      <w:r>
        <w:rPr>
          <w:rFonts w:hint="eastAsia" w:ascii="宋体" w:hAnsi="宋体" w:cs="宋体"/>
          <w:color w:val="auto"/>
          <w:sz w:val="24"/>
          <w:highlight w:val="none"/>
        </w:rPr>
        <w:t>条的情形的；</w:t>
      </w:r>
    </w:p>
    <w:p w14:paraId="2F7CC7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11）技术要求中标“▲”的条款发生负偏离或允许负偏离的条款数超过“供应商须知前附表”规定项数的；</w:t>
      </w:r>
    </w:p>
    <w:p w14:paraId="610629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12）虚假响应，或者出现其他情形而导致被谈判小组认定无效的；</w:t>
      </w:r>
    </w:p>
    <w:p w14:paraId="44607C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w:t>
      </w:r>
      <w:bookmarkStart w:id="29" w:name="_Hlk71704147"/>
      <w:r>
        <w:rPr>
          <w:rFonts w:hint="eastAsia" w:ascii="宋体" w:hAnsi="宋体" w:cs="宋体"/>
          <w:color w:val="auto"/>
          <w:sz w:val="24"/>
          <w:highlight w:val="none"/>
        </w:rPr>
        <w:t>谈判文件未载明允许提供备选（替代）响应方案或明确不允许提供备选（替代）响应方案时，供应商提供了备选（替代）响应方案的；</w:t>
      </w:r>
      <w:bookmarkEnd w:id="29"/>
    </w:p>
    <w:p w14:paraId="449468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14）响应文件标注的项目名称或者项目编号与谈判文件标注的项目名称或者项目编号不一致的；</w:t>
      </w:r>
    </w:p>
    <w:p w14:paraId="0C7807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w:t>
      </w:r>
      <w:r>
        <w:rPr>
          <w:rFonts w:hint="eastAsia" w:ascii="宋体" w:hAnsi="宋体" w:cs="宋体"/>
          <w:b/>
          <w:color w:val="auto"/>
          <w:sz w:val="24"/>
          <w:highlight w:val="none"/>
        </w:rPr>
        <w:t>谈判文件明确不允许分包，响应文件拟分包的；</w:t>
      </w:r>
    </w:p>
    <w:p w14:paraId="73D5DF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16）未响应谈判文件实质性要求；</w:t>
      </w:r>
    </w:p>
    <w:p w14:paraId="6ED8E8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17）法律、法规和谈判文件规定的其他无效情形。</w:t>
      </w:r>
    </w:p>
    <w:p w14:paraId="124F02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（2）报价评审</w:t>
      </w:r>
    </w:p>
    <w:p w14:paraId="7C1BE1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1）响应文件未提供“供应商须知前附表” 报价商务技术文件中规定的“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报价表”的；</w:t>
      </w:r>
    </w:p>
    <w:p w14:paraId="54B986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2）未采用人民币报价或者未按照谈判文件标明的币种报价的；</w:t>
      </w:r>
    </w:p>
    <w:p w14:paraId="6C592E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分标进行报价或者存在漏项报价的；供应商未就所参与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分标的单项内容作唯一报价的；供应商未就所参与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分标的全部内容作完整唯一总价报价的；供应商响应文件中存在有选择、有条件报价的（谈判文件允许有备选方案或者其他约定的除外）；</w:t>
      </w:r>
    </w:p>
    <w:p w14:paraId="345581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报价（包含首次报价、最后报价）超过所参与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分标规定的采购预算金额或者最高限价的；</w:t>
      </w:r>
    </w:p>
    <w:p w14:paraId="4F59D1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报价（包含首次报价、最后报价）超过分项采购预算金额或者最高限价的，其响应文件将作无效处理；</w:t>
      </w:r>
    </w:p>
    <w:p w14:paraId="43CDC6CB">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）修正后的报价，供应商不确认的；或者经供应商确认修正后的最后报价超过所参与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分标规定的采购预算金额或者最高限价（如本项目公布了最高限价）；</w:t>
      </w:r>
    </w:p>
    <w:p w14:paraId="485037A2">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）响应文件响应的标的数量及单位与竞争性谈判采购文件要求实质性不一致的。</w:t>
      </w:r>
    </w:p>
    <w:p w14:paraId="48730C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00A721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竞争性谈判方式采购的货物、服务项目，竞争性谈判过程中提交响应文件或者经评审实质性响应文件要求的供应商只有两家时，采购人、采购代理机构按照《政府采购非招标采购方式管理办法》（财政部74号令）第四条经本级财政部门批准后可以与该两家供应商进行竞争性谈判采购，采购人、采购代理机构应当根据</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文件中的采购需求编制谈判文件，成立谈判小组，由谈判小组对谈判文件进行确认。</w:t>
      </w:r>
    </w:p>
    <w:p w14:paraId="26C658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3.8通过符合性审查的合格供应商不足3家的，不得进入谈判环节，应当重新开展采购活动。</w:t>
      </w:r>
    </w:p>
    <w:p w14:paraId="223D341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4.谈判程序</w:t>
      </w:r>
    </w:p>
    <w:p w14:paraId="210407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4.1谈判小组按照“供应商须知前附表”第26条确定的</w:t>
      </w:r>
      <w:r>
        <w:rPr>
          <w:rFonts w:hint="eastAsia" w:ascii="宋体" w:hAnsi="宋体" w:cs="宋体"/>
          <w:color w:val="auto"/>
          <w:sz w:val="24"/>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3299B6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DF6AA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4.3对谈判文件作出的实质性变动是谈判文件的有效组成部分，谈判小组应当及时以电子谈判记录形式同时通知所有参加谈判的供应商。</w:t>
      </w:r>
    </w:p>
    <w:p w14:paraId="0B0255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color w:val="auto"/>
          <w:sz w:val="24"/>
          <w:highlight w:val="none"/>
        </w:rPr>
        <w:t>若委托代理人不是响应文件中授权的委托代理人时，必须同时出示有效的授权委托书原件</w:t>
      </w:r>
      <w:r>
        <w:rPr>
          <w:rFonts w:hint="eastAsia" w:ascii="宋体" w:hAnsi="宋体" w:cs="宋体"/>
          <w:color w:val="auto"/>
          <w:sz w:val="24"/>
          <w:highlight w:val="none"/>
        </w:rPr>
        <w:t>。供应商为自然人的，必须由本人签字并附身份证明。参加谈判的供应商未在规定时间内以电子回函的形式重新提交响应文件的，视同退出谈判，其响应文件按无效响应处理。</w:t>
      </w:r>
    </w:p>
    <w:p w14:paraId="73A8D9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4.5谈判中，谈判的任何一方不得透露与谈判有关的其他供应商的技术资料、价格和其他信息。</w:t>
      </w:r>
    </w:p>
    <w:p w14:paraId="2FB729C4">
      <w:pPr>
        <w:tabs>
          <w:tab w:val="left" w:pos="283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4.6对谈判过程提交的响应文件进行有效性、完整性和响应程度审查，通过审查的合格供应商不足3家的，采购人或者采购代理机构应当重新开展采购活动。</w:t>
      </w:r>
    </w:p>
    <w:p w14:paraId="20CA1DE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5.最后报价</w:t>
      </w:r>
    </w:p>
    <w:p w14:paraId="04E99D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115C6E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2210C9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5.3最后报价是供应商响应文件的有效组成部分。</w:t>
      </w:r>
    </w:p>
    <w:p w14:paraId="790B93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5.4已经提交响应文件的供应商，在提交最后报价之前，可以根据谈判情况退出谈判。采购人、采购代理机构将退还退出谈判的供应商的保证金。</w:t>
      </w:r>
    </w:p>
    <w:p w14:paraId="4C3753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5.5供应商未在规定时间内提交最后报价的，视为退出谈判，其响应文件按无效响应处理。</w:t>
      </w:r>
    </w:p>
    <w:p w14:paraId="018667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5.6谈判小组收齐某一分标最后报价后或达到规定时间后统一开启，谈判小组对最后报价进行有效性、完整性和响应程度的审查。</w:t>
      </w:r>
    </w:p>
    <w:p w14:paraId="1C2AAF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5.7响应文件首次及最后报价出现前后不一致的，按照本章第3.4条的规定修正。 </w:t>
      </w:r>
    </w:p>
    <w:p w14:paraId="2C9A2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5.8经供应商确认修正后的最后报价作为评审及签订合同的依据。</w:t>
      </w:r>
    </w:p>
    <w:p w14:paraId="30A6FA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5.9供应商出现最后报价按无效响应处理或者响应文件按无效响应处理时，谈判小组应当告知有关供应商。</w:t>
      </w:r>
    </w:p>
    <w:p w14:paraId="10E898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5.10最后报价结束后，谈判小组不得再与供应商进行任何形式的商谈。</w:t>
      </w:r>
    </w:p>
    <w:p w14:paraId="462EA78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5.11政府采购异常低价审查</w:t>
      </w:r>
    </w:p>
    <w:p w14:paraId="06DD930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（一）政府采购评审中出现下列情形之一的，谈判小组应当启动异常低价响应审查程序：</w:t>
      </w:r>
    </w:p>
    <w:p w14:paraId="7D5EB0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1)最后报价低于全部通过符合性审查供应商投标最后报价平均值</w:t>
      </w:r>
      <w:r>
        <w:rPr>
          <w:rFonts w:hint="eastAsia" w:asciiTheme="minorEastAsia" w:hAnsiTheme="minorEastAsia" w:eastAsiaTheme="minorEastAsia" w:cstheme="minorEastAsia"/>
          <w:color w:val="auto"/>
          <w:sz w:val="24"/>
          <w:highlight w:val="none"/>
          <w:lang w:val="en-US" w:eastAsia="zh-CN"/>
        </w:rPr>
        <w:t>50</w:t>
      </w:r>
      <w:r>
        <w:rPr>
          <w:rFonts w:hint="eastAsia" w:asciiTheme="minorEastAsia" w:hAnsiTheme="minorEastAsia" w:eastAsiaTheme="minorEastAsia" w:cstheme="minorEastAsia"/>
          <w:color w:val="auto"/>
          <w:sz w:val="24"/>
          <w:highlight w:val="none"/>
        </w:rPr>
        <w:t>%的，即最后报价＜全部通过符合性审查供应商最后报价平均值×</w:t>
      </w:r>
      <w:r>
        <w:rPr>
          <w:rFonts w:hint="eastAsia" w:asciiTheme="minorEastAsia" w:hAnsiTheme="minorEastAsia" w:eastAsiaTheme="minorEastAsia" w:cstheme="minorEastAsia"/>
          <w:color w:val="auto"/>
          <w:sz w:val="24"/>
          <w:highlight w:val="none"/>
          <w:lang w:val="en-US" w:eastAsia="zh-CN"/>
        </w:rPr>
        <w:t>50</w:t>
      </w:r>
      <w:r>
        <w:rPr>
          <w:rFonts w:hint="eastAsia" w:asciiTheme="minorEastAsia" w:hAnsiTheme="minorEastAsia" w:eastAsiaTheme="minorEastAsia" w:cstheme="minorEastAsia"/>
          <w:color w:val="auto"/>
          <w:sz w:val="24"/>
          <w:highlight w:val="none"/>
        </w:rPr>
        <w:t>%；</w:t>
      </w:r>
    </w:p>
    <w:p w14:paraId="349AEFB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2）最后报价低于通过符合性审查的次低报价供应商最后报价</w:t>
      </w:r>
      <w:r>
        <w:rPr>
          <w:rFonts w:hint="eastAsia" w:asciiTheme="minorEastAsia" w:hAnsiTheme="minorEastAsia" w:eastAsiaTheme="minorEastAsia" w:cstheme="minorEastAsia"/>
          <w:color w:val="auto"/>
          <w:sz w:val="24"/>
          <w:highlight w:val="none"/>
          <w:lang w:val="en-US" w:eastAsia="zh-CN"/>
        </w:rPr>
        <w:t>50</w:t>
      </w:r>
      <w:r>
        <w:rPr>
          <w:rFonts w:hint="eastAsia" w:asciiTheme="minorEastAsia" w:hAnsiTheme="minorEastAsia" w:eastAsiaTheme="minorEastAsia" w:cstheme="minorEastAsia"/>
          <w:color w:val="auto"/>
          <w:sz w:val="24"/>
          <w:highlight w:val="none"/>
        </w:rPr>
        <w:t>%的，即最后报价＜通过符合性审查的次低报价供应商投标最后报价×</w:t>
      </w:r>
      <w:r>
        <w:rPr>
          <w:rFonts w:hint="eastAsia" w:asciiTheme="minorEastAsia" w:hAnsiTheme="minorEastAsia" w:eastAsiaTheme="minorEastAsia" w:cstheme="minorEastAsia"/>
          <w:color w:val="auto"/>
          <w:sz w:val="24"/>
          <w:highlight w:val="none"/>
          <w:lang w:val="en-US" w:eastAsia="zh-CN"/>
        </w:rPr>
        <w:t>50</w:t>
      </w:r>
      <w:r>
        <w:rPr>
          <w:rFonts w:hint="eastAsia" w:asciiTheme="minorEastAsia" w:hAnsiTheme="minorEastAsia" w:eastAsiaTheme="minorEastAsia" w:cstheme="minorEastAsia"/>
          <w:color w:val="auto"/>
          <w:sz w:val="24"/>
          <w:highlight w:val="none"/>
        </w:rPr>
        <w:t>%；</w:t>
      </w:r>
    </w:p>
    <w:p w14:paraId="36EA3EA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3）最后报价低于采购项目最高限价</w:t>
      </w:r>
      <w:r>
        <w:rPr>
          <w:rFonts w:hint="eastAsia" w:asciiTheme="minorEastAsia" w:hAnsiTheme="minorEastAsia" w:eastAsiaTheme="minorEastAsia" w:cstheme="minorEastAsia"/>
          <w:color w:val="auto"/>
          <w:sz w:val="24"/>
          <w:highlight w:val="none"/>
          <w:lang w:val="en-US" w:eastAsia="zh-CN"/>
        </w:rPr>
        <w:t>45</w:t>
      </w:r>
      <w:r>
        <w:rPr>
          <w:rFonts w:hint="eastAsia" w:asciiTheme="minorEastAsia" w:hAnsiTheme="minorEastAsia" w:eastAsiaTheme="minorEastAsia" w:cstheme="minorEastAsia"/>
          <w:color w:val="auto"/>
          <w:sz w:val="24"/>
          <w:highlight w:val="none"/>
        </w:rPr>
        <w:t>%的，即最后报价＜采购项目最高限价×</w:t>
      </w:r>
      <w:r>
        <w:rPr>
          <w:rFonts w:hint="eastAsia" w:asciiTheme="minorEastAsia" w:hAnsiTheme="minorEastAsia" w:eastAsiaTheme="minorEastAsia" w:cstheme="minorEastAsia"/>
          <w:color w:val="auto"/>
          <w:sz w:val="24"/>
          <w:highlight w:val="none"/>
          <w:lang w:val="en-US" w:eastAsia="zh-CN"/>
        </w:rPr>
        <w:t>45</w:t>
      </w:r>
      <w:r>
        <w:rPr>
          <w:rFonts w:hint="eastAsia" w:asciiTheme="minorEastAsia" w:hAnsiTheme="minorEastAsia" w:eastAsiaTheme="minorEastAsia" w:cstheme="minorEastAsia"/>
          <w:color w:val="auto"/>
          <w:sz w:val="24"/>
          <w:highlight w:val="none"/>
        </w:rPr>
        <w:t>%；</w:t>
      </w:r>
    </w:p>
    <w:p w14:paraId="537369D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4）谈判小组基于专业判断，认为供应商报价过低，有可能影响产品质量或者不能诚信履约的其他情形。</w:t>
      </w:r>
    </w:p>
    <w:p w14:paraId="0DAFFB4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谈判小组启动异常低价响应审查后，属于前述第1项至第4项情形的，应当要求相关供应商在评审现场合理的时间内对最后报价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3489A88">
      <w:pPr>
        <w:spacing w:line="360" w:lineRule="auto"/>
        <w:ind w:firstLine="480" w:firstLineChars="200"/>
        <w:rPr>
          <w:color w:val="auto"/>
          <w:highlight w:val="none"/>
        </w:rPr>
      </w:pPr>
      <w:r>
        <w:rPr>
          <w:rFonts w:hint="eastAsia" w:asciiTheme="minorEastAsia" w:hAnsiTheme="minorEastAsia" w:eastAsiaTheme="minorEastAsia" w:cstheme="minorEastAsia"/>
          <w:color w:val="auto"/>
          <w:sz w:val="24"/>
          <w:highlight w:val="none"/>
        </w:rPr>
        <w:t>谈判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最后报价应当将其作为无效响应处理。</w:t>
      </w:r>
    </w:p>
    <w:p w14:paraId="035D19EB">
      <w:pPr>
        <w:spacing w:line="360" w:lineRule="auto"/>
        <w:ind w:firstLine="472" w:firstLineChars="196"/>
        <w:rPr>
          <w:rFonts w:hint="eastAsia" w:ascii="宋体" w:hAnsi="宋体" w:cs="宋体"/>
          <w:b/>
          <w:bCs/>
          <w:color w:val="auto"/>
          <w:sz w:val="24"/>
          <w:highlight w:val="none"/>
        </w:rPr>
      </w:pPr>
      <w:r>
        <w:rPr>
          <w:rFonts w:hint="eastAsia" w:ascii="宋体" w:hAnsi="宋体" w:cs="宋体"/>
          <w:b/>
          <w:bCs/>
          <w:color w:val="auto"/>
          <w:sz w:val="24"/>
          <w:highlight w:val="none"/>
        </w:rPr>
        <w:t>6.最后报价政府采购政策性扣除</w:t>
      </w:r>
    </w:p>
    <w:p w14:paraId="25B7FC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6.1评标价为供应商的最后报价进行政策性扣除后的价格，评标价只是作为评审时使用。最终成交供应商的成交金额等于最后报价（如有修正，以确认修正后的最后报价为准）。</w:t>
      </w:r>
    </w:p>
    <w:p w14:paraId="1E6ED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6.2政策性扣除计算方法。</w:t>
      </w:r>
    </w:p>
    <w:p w14:paraId="1E5C81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根据《政府采购促进中小企业发展管理办法》</w:t>
      </w:r>
      <w:r>
        <w:rPr>
          <w:rFonts w:hint="eastAsia" w:hAnsi="宋体" w:cs="宋体"/>
          <w:bCs/>
          <w:color w:val="auto"/>
          <w:sz w:val="24"/>
          <w:highlight w:val="none"/>
        </w:rPr>
        <w:t>及《广西壮族自治区财政厅关于持续优化政府采购营商环境推动高质量发展的通知》</w:t>
      </w:r>
      <w:r>
        <w:rPr>
          <w:rFonts w:hint="eastAsia" w:ascii="宋体" w:hAnsi="宋体" w:cs="宋体"/>
          <w:color w:val="auto"/>
          <w:sz w:val="24"/>
          <w:highlight w:val="none"/>
        </w:rPr>
        <w:t>的规定，</w:t>
      </w:r>
      <w:r>
        <w:rPr>
          <w:rFonts w:hint="eastAsia" w:hAnsi="宋体" w:cs="宋体"/>
          <w:bCs/>
          <w:color w:val="auto"/>
          <w:sz w:val="24"/>
          <w:highlight w:val="none"/>
        </w:rPr>
        <w:t>调整对小微企业的价格评审优惠幅度</w:t>
      </w:r>
      <w:r>
        <w:rPr>
          <w:rFonts w:hint="eastAsia" w:ascii="宋体" w:hAnsi="宋体" w:cs="宋体"/>
          <w:color w:val="auto"/>
          <w:sz w:val="24"/>
          <w:highlight w:val="none"/>
        </w:rPr>
        <w:t>，供应商属于《政府采购促进中小企业发展管理办法》规定的小微企业的，对</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给予20%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最后报价×（1 - 扣除比例）。</w:t>
      </w:r>
    </w:p>
    <w:p w14:paraId="5DE18A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09BAE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F80FB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6.5除上述情况外，评审价＝最后报价。</w:t>
      </w:r>
    </w:p>
    <w:p w14:paraId="723F0E69">
      <w:pPr>
        <w:spacing w:line="360" w:lineRule="auto"/>
        <w:ind w:firstLine="480" w:firstLineChars="200"/>
        <w:rPr>
          <w:rFonts w:hint="eastAsia" w:ascii="宋体" w:hAnsi="宋体" w:cs="宋体"/>
          <w:color w:val="auto"/>
          <w:sz w:val="24"/>
          <w:highlight w:val="none"/>
        </w:rPr>
      </w:pPr>
    </w:p>
    <w:p w14:paraId="7818C934">
      <w:pPr>
        <w:spacing w:line="360" w:lineRule="auto"/>
        <w:jc w:val="center"/>
        <w:rPr>
          <w:rFonts w:hint="eastAsia" w:ascii="宋体" w:hAnsi="宋体" w:cs="宋体"/>
          <w:b/>
          <w:color w:val="auto"/>
          <w:sz w:val="24"/>
          <w:highlight w:val="none"/>
        </w:rPr>
      </w:pPr>
    </w:p>
    <w:p w14:paraId="69EBC1D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1478D30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7.成交候选人推荐原则</w:t>
      </w:r>
    </w:p>
    <w:p w14:paraId="7A44F0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w:t>
      </w:r>
    </w:p>
    <w:p w14:paraId="41C5EF6F">
      <w:pPr>
        <w:pStyle w:val="3"/>
        <w:spacing w:before="0" w:after="0" w:line="360" w:lineRule="auto"/>
        <w:jc w:val="center"/>
        <w:rPr>
          <w:rFonts w:hint="eastAsia" w:ascii="宋体" w:hAnsi="宋体" w:cs="宋体"/>
          <w:color w:val="auto"/>
          <w:highlight w:val="none"/>
        </w:rPr>
      </w:pPr>
      <w:r>
        <w:rPr>
          <w:rFonts w:hint="eastAsia" w:ascii="宋体" w:hAnsi="宋体" w:cs="宋体"/>
          <w:color w:val="auto"/>
          <w:sz w:val="24"/>
          <w:szCs w:val="24"/>
          <w:highlight w:val="none"/>
        </w:rPr>
        <w:br w:type="page"/>
      </w:r>
    </w:p>
    <w:p w14:paraId="617F5275">
      <w:pPr>
        <w:rPr>
          <w:rFonts w:hint="eastAsia" w:ascii="宋体" w:hAnsi="宋体" w:cs="宋体"/>
          <w:color w:val="auto"/>
          <w:highlight w:val="none"/>
        </w:rPr>
      </w:pPr>
    </w:p>
    <w:p w14:paraId="6C8B4A3D">
      <w:pPr>
        <w:pStyle w:val="3"/>
        <w:spacing w:before="0" w:after="0"/>
        <w:jc w:val="center"/>
        <w:rPr>
          <w:rFonts w:hint="eastAsia" w:ascii="宋体" w:hAnsi="宋体" w:cs="宋体"/>
          <w:color w:val="auto"/>
          <w:highlight w:val="none"/>
        </w:rPr>
      </w:pPr>
      <w:bookmarkStart w:id="30" w:name="_Toc27214"/>
      <w:r>
        <w:rPr>
          <w:rFonts w:hint="eastAsia" w:ascii="宋体" w:hAnsi="宋体" w:cs="宋体"/>
          <w:color w:val="auto"/>
          <w:highlight w:val="none"/>
        </w:rPr>
        <w:t>第五章 响应文件格式</w:t>
      </w:r>
      <w:bookmarkEnd w:id="30"/>
    </w:p>
    <w:p w14:paraId="36ABEA0A">
      <w:pPr>
        <w:spacing w:line="240" w:lineRule="atLeast"/>
        <w:rPr>
          <w:rFonts w:hint="eastAsia" w:ascii="宋体" w:hAnsi="宋体" w:cs="宋体"/>
          <w:b/>
          <w:color w:val="auto"/>
          <w:sz w:val="32"/>
          <w:szCs w:val="32"/>
          <w:highlight w:val="none"/>
        </w:rPr>
      </w:pPr>
    </w:p>
    <w:p w14:paraId="7C3E606A">
      <w:pPr>
        <w:spacing w:line="240" w:lineRule="atLeast"/>
        <w:rPr>
          <w:rFonts w:hint="eastAsia" w:ascii="宋体" w:hAnsi="宋体" w:cs="宋体"/>
          <w:b/>
          <w:color w:val="auto"/>
          <w:sz w:val="32"/>
          <w:szCs w:val="32"/>
          <w:highlight w:val="none"/>
        </w:rPr>
      </w:pPr>
    </w:p>
    <w:p w14:paraId="0005BA19">
      <w:pPr>
        <w:spacing w:line="360" w:lineRule="auto"/>
        <w:rPr>
          <w:rFonts w:hint="eastAsia" w:ascii="宋体" w:hAnsi="宋体" w:cs="宋体"/>
          <w:b/>
          <w:color w:val="auto"/>
          <w:sz w:val="32"/>
          <w:szCs w:val="32"/>
          <w:highlight w:val="none"/>
        </w:rPr>
      </w:pPr>
      <w:bookmarkStart w:id="31" w:name="_Toc71366060"/>
      <w:bookmarkStart w:id="32" w:name="_Toc71365382"/>
      <w:r>
        <w:rPr>
          <w:rFonts w:hint="eastAsia" w:ascii="宋体" w:hAnsi="宋体" w:cs="宋体"/>
          <w:b/>
          <w:color w:val="auto"/>
          <w:sz w:val="32"/>
          <w:szCs w:val="32"/>
          <w:highlight w:val="none"/>
        </w:rPr>
        <w:t>一、资格证明文件格式</w:t>
      </w:r>
      <w:bookmarkEnd w:id="31"/>
      <w:bookmarkEnd w:id="32"/>
    </w:p>
    <w:p w14:paraId="76C100A9">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65433A58">
      <w:pPr>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F223FC6">
      <w:pPr>
        <w:snapToGrid w:val="0"/>
        <w:spacing w:line="360" w:lineRule="auto"/>
        <w:jc w:val="center"/>
        <w:rPr>
          <w:rFonts w:hint="eastAsia" w:ascii="宋体" w:hAnsi="宋体" w:cs="宋体"/>
          <w:bCs/>
          <w:color w:val="auto"/>
          <w:sz w:val="44"/>
          <w:szCs w:val="44"/>
          <w:highlight w:val="none"/>
        </w:rPr>
      </w:pPr>
    </w:p>
    <w:p w14:paraId="3FF567CC">
      <w:pPr>
        <w:snapToGrid w:val="0"/>
        <w:spacing w:line="360" w:lineRule="auto"/>
        <w:jc w:val="center"/>
        <w:rPr>
          <w:rFonts w:hint="eastAsia"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449BC0EB">
      <w:pPr>
        <w:snapToGrid w:val="0"/>
        <w:spacing w:line="360" w:lineRule="auto"/>
        <w:rPr>
          <w:rFonts w:hint="eastAsia" w:ascii="宋体" w:hAnsi="宋体" w:cs="宋体"/>
          <w:color w:val="auto"/>
          <w:sz w:val="24"/>
          <w:szCs w:val="20"/>
          <w:highlight w:val="none"/>
        </w:rPr>
      </w:pPr>
    </w:p>
    <w:p w14:paraId="2644DFF9">
      <w:pPr>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3B511CD0">
      <w:pPr>
        <w:snapToGrid w:val="0"/>
        <w:spacing w:line="360" w:lineRule="auto"/>
        <w:rPr>
          <w:rFonts w:hint="eastAsia" w:ascii="宋体" w:hAnsi="宋体" w:cs="宋体"/>
          <w:bCs/>
          <w:color w:val="auto"/>
          <w:sz w:val="24"/>
          <w:szCs w:val="20"/>
          <w:highlight w:val="none"/>
        </w:rPr>
      </w:pPr>
    </w:p>
    <w:p w14:paraId="31CB2ABC">
      <w:pPr>
        <w:snapToGrid w:val="0"/>
        <w:spacing w:line="360" w:lineRule="auto"/>
        <w:rPr>
          <w:rFonts w:hint="eastAsia" w:ascii="宋体" w:hAnsi="宋体" w:cs="宋体"/>
          <w:bCs/>
          <w:color w:val="auto"/>
          <w:sz w:val="24"/>
          <w:szCs w:val="20"/>
          <w:highlight w:val="none"/>
        </w:rPr>
      </w:pPr>
    </w:p>
    <w:p w14:paraId="5A333999">
      <w:pPr>
        <w:snapToGrid w:val="0"/>
        <w:spacing w:line="360" w:lineRule="auto"/>
        <w:ind w:firstLine="2739" w:firstLineChars="856"/>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A359179">
      <w:pPr>
        <w:snapToGrid w:val="0"/>
        <w:spacing w:line="360" w:lineRule="auto"/>
        <w:ind w:firstLine="2739" w:firstLineChars="856"/>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741AC890">
      <w:pPr>
        <w:snapToGrid w:val="0"/>
        <w:spacing w:line="360" w:lineRule="auto"/>
        <w:ind w:firstLine="2739" w:firstLineChars="856"/>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w:t>
      </w:r>
    </w:p>
    <w:p w14:paraId="428D3506">
      <w:pPr>
        <w:pStyle w:val="7"/>
        <w:snapToGrid w:val="0"/>
        <w:spacing w:line="360" w:lineRule="auto"/>
        <w:ind w:firstLine="2739" w:firstLineChars="856"/>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E37F2A2">
      <w:pPr>
        <w:pStyle w:val="7"/>
        <w:snapToGrid w:val="0"/>
        <w:spacing w:line="360" w:lineRule="auto"/>
        <w:ind w:firstLine="0"/>
        <w:rPr>
          <w:rFonts w:hint="eastAsia" w:ascii="宋体" w:hAnsi="宋体" w:cs="宋体"/>
          <w:bCs/>
          <w:color w:val="auto"/>
          <w:sz w:val="32"/>
          <w:szCs w:val="32"/>
          <w:highlight w:val="none"/>
        </w:rPr>
      </w:pPr>
    </w:p>
    <w:p w14:paraId="03640753">
      <w:pPr>
        <w:pStyle w:val="7"/>
        <w:snapToGrid w:val="0"/>
        <w:spacing w:line="360" w:lineRule="auto"/>
        <w:ind w:firstLine="1280" w:firstLineChars="400"/>
        <w:rPr>
          <w:rFonts w:hint="eastAsia" w:ascii="宋体" w:hAnsi="宋体" w:cs="宋体"/>
          <w:bCs/>
          <w:color w:val="auto"/>
          <w:sz w:val="32"/>
          <w:szCs w:val="32"/>
          <w:highlight w:val="none"/>
        </w:rPr>
      </w:pPr>
    </w:p>
    <w:p w14:paraId="2F799FCB">
      <w:pPr>
        <w:snapToGrid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7F401C4">
      <w:pPr>
        <w:snapToGrid w:val="0"/>
        <w:spacing w:line="360" w:lineRule="auto"/>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6F49FEF">
      <w:pPr>
        <w:snapToGrid w:val="0"/>
        <w:spacing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41A86499">
      <w:pPr>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4281413">
      <w:pPr>
        <w:spacing w:line="360" w:lineRule="auto"/>
        <w:rPr>
          <w:rFonts w:hint="eastAsia" w:ascii="宋体" w:hAnsi="宋体" w:cs="宋体"/>
          <w:color w:val="auto"/>
          <w:szCs w:val="21"/>
          <w:highlight w:val="none"/>
        </w:rPr>
      </w:pPr>
    </w:p>
    <w:p w14:paraId="40971C95">
      <w:pPr>
        <w:spacing w:line="360" w:lineRule="auto"/>
        <w:rPr>
          <w:rFonts w:hint="eastAsia" w:ascii="宋体" w:hAnsi="宋体" w:cs="宋体"/>
          <w:color w:val="auto"/>
          <w:szCs w:val="21"/>
          <w:highlight w:val="none"/>
        </w:rPr>
      </w:pPr>
    </w:p>
    <w:p w14:paraId="00304764">
      <w:pPr>
        <w:spacing w:line="360" w:lineRule="auto"/>
        <w:rPr>
          <w:rFonts w:hint="eastAsia" w:ascii="宋体" w:hAnsi="宋体" w:cs="宋体"/>
          <w:color w:val="auto"/>
          <w:szCs w:val="21"/>
          <w:highlight w:val="none"/>
        </w:rPr>
      </w:pPr>
    </w:p>
    <w:p w14:paraId="572F70D6">
      <w:pPr>
        <w:spacing w:line="360" w:lineRule="auto"/>
        <w:rPr>
          <w:rFonts w:hint="eastAsia" w:ascii="宋体" w:hAnsi="宋体" w:cs="宋体"/>
          <w:color w:val="auto"/>
          <w:szCs w:val="21"/>
          <w:highlight w:val="none"/>
        </w:rPr>
      </w:pPr>
    </w:p>
    <w:p w14:paraId="5208B3B5">
      <w:pPr>
        <w:spacing w:line="360" w:lineRule="auto"/>
        <w:rPr>
          <w:rFonts w:hint="eastAsia" w:ascii="宋体" w:hAnsi="宋体" w:cs="宋体"/>
          <w:color w:val="auto"/>
          <w:szCs w:val="21"/>
          <w:highlight w:val="none"/>
        </w:rPr>
      </w:pPr>
    </w:p>
    <w:p w14:paraId="32E3198C">
      <w:pPr>
        <w:spacing w:line="360" w:lineRule="auto"/>
        <w:rPr>
          <w:rFonts w:hint="eastAsia" w:ascii="宋体" w:hAnsi="宋体" w:cs="宋体"/>
          <w:color w:val="auto"/>
          <w:szCs w:val="21"/>
          <w:highlight w:val="none"/>
        </w:rPr>
      </w:pPr>
    </w:p>
    <w:p w14:paraId="4D57CDD3">
      <w:pPr>
        <w:spacing w:line="360" w:lineRule="auto"/>
        <w:rPr>
          <w:rFonts w:hint="eastAsia" w:ascii="宋体" w:hAnsi="宋体" w:cs="宋体"/>
          <w:color w:val="auto"/>
          <w:szCs w:val="21"/>
          <w:highlight w:val="none"/>
        </w:rPr>
      </w:pPr>
    </w:p>
    <w:p w14:paraId="3C7FF9CF">
      <w:pPr>
        <w:spacing w:line="360" w:lineRule="auto"/>
        <w:rPr>
          <w:rFonts w:hint="eastAsia" w:ascii="宋体" w:hAnsi="宋体" w:cs="宋体"/>
          <w:color w:val="auto"/>
          <w:szCs w:val="21"/>
          <w:highlight w:val="none"/>
        </w:rPr>
      </w:pPr>
    </w:p>
    <w:p w14:paraId="149F5218">
      <w:pPr>
        <w:spacing w:line="360" w:lineRule="auto"/>
        <w:rPr>
          <w:rFonts w:hint="eastAsia" w:ascii="宋体" w:hAnsi="宋体" w:cs="宋体"/>
          <w:color w:val="auto"/>
          <w:szCs w:val="21"/>
          <w:highlight w:val="none"/>
        </w:rPr>
      </w:pPr>
    </w:p>
    <w:p w14:paraId="3F1D18AB">
      <w:pPr>
        <w:spacing w:line="360" w:lineRule="auto"/>
        <w:rPr>
          <w:rFonts w:hint="eastAsia" w:ascii="宋体" w:hAnsi="宋体" w:cs="宋体"/>
          <w:color w:val="auto"/>
          <w:szCs w:val="21"/>
          <w:highlight w:val="none"/>
        </w:rPr>
      </w:pPr>
    </w:p>
    <w:p w14:paraId="5A482991">
      <w:pPr>
        <w:spacing w:line="360" w:lineRule="auto"/>
        <w:rPr>
          <w:rFonts w:hint="eastAsia" w:ascii="宋体" w:hAnsi="宋体" w:cs="宋体"/>
          <w:color w:val="auto"/>
          <w:szCs w:val="21"/>
          <w:highlight w:val="none"/>
        </w:rPr>
      </w:pPr>
    </w:p>
    <w:p w14:paraId="1D6F8A87">
      <w:pPr>
        <w:spacing w:line="360" w:lineRule="auto"/>
        <w:rPr>
          <w:rFonts w:hint="eastAsia" w:ascii="宋体" w:hAnsi="宋体" w:cs="宋体"/>
          <w:color w:val="auto"/>
          <w:szCs w:val="21"/>
          <w:highlight w:val="none"/>
        </w:rPr>
      </w:pPr>
    </w:p>
    <w:p w14:paraId="5B221144">
      <w:pPr>
        <w:spacing w:line="360" w:lineRule="auto"/>
        <w:rPr>
          <w:rFonts w:hint="eastAsia" w:ascii="宋体" w:hAnsi="宋体" w:cs="宋体"/>
          <w:color w:val="auto"/>
          <w:szCs w:val="21"/>
          <w:highlight w:val="none"/>
        </w:rPr>
      </w:pPr>
    </w:p>
    <w:p w14:paraId="44FD4EB2">
      <w:pPr>
        <w:spacing w:line="360" w:lineRule="auto"/>
        <w:rPr>
          <w:rFonts w:hint="eastAsia" w:ascii="宋体" w:hAnsi="宋体" w:cs="宋体"/>
          <w:color w:val="auto"/>
          <w:szCs w:val="21"/>
          <w:highlight w:val="none"/>
        </w:rPr>
      </w:pPr>
    </w:p>
    <w:p w14:paraId="44C0D935">
      <w:pPr>
        <w:spacing w:line="360" w:lineRule="auto"/>
        <w:rPr>
          <w:rFonts w:hint="eastAsia" w:ascii="宋体" w:hAnsi="宋体" w:cs="宋体"/>
          <w:color w:val="auto"/>
          <w:szCs w:val="21"/>
          <w:highlight w:val="none"/>
        </w:rPr>
      </w:pPr>
    </w:p>
    <w:p w14:paraId="3559983A">
      <w:pPr>
        <w:spacing w:line="360" w:lineRule="auto"/>
        <w:jc w:val="left"/>
        <w:rPr>
          <w:rFonts w:hint="eastAsia" w:ascii="宋体" w:hAnsi="宋体" w:cs="宋体"/>
          <w:color w:val="auto"/>
          <w:szCs w:val="21"/>
          <w:highlight w:val="none"/>
        </w:rPr>
      </w:pPr>
    </w:p>
    <w:p w14:paraId="4931B7F8">
      <w:pP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3.供应商直接控股、管理关系信息表</w:t>
      </w:r>
    </w:p>
    <w:p w14:paraId="136B8933">
      <w:pPr>
        <w:snapToGrid w:val="0"/>
        <w:spacing w:line="360" w:lineRule="auto"/>
        <w:jc w:val="center"/>
        <w:rPr>
          <w:rFonts w:hint="eastAsia" w:ascii="宋体" w:hAnsi="宋体" w:cs="宋体"/>
          <w:b/>
          <w:color w:val="auto"/>
          <w:sz w:val="32"/>
          <w:szCs w:val="32"/>
          <w:highlight w:val="none"/>
        </w:rPr>
      </w:pPr>
    </w:p>
    <w:p w14:paraId="1F7B36C8">
      <w:pP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54F1548C">
      <w:pPr>
        <w:snapToGrid w:val="0"/>
        <w:spacing w:line="360" w:lineRule="auto"/>
        <w:jc w:val="center"/>
        <w:rPr>
          <w:rFonts w:hint="eastAsia" w:ascii="宋体" w:hAnsi="宋体" w:cs="宋体"/>
          <w:b/>
          <w:color w:val="auto"/>
          <w:sz w:val="32"/>
          <w:szCs w:val="32"/>
          <w:highlight w:val="none"/>
        </w:rPr>
      </w:pPr>
    </w:p>
    <w:tbl>
      <w:tblPr>
        <w:tblStyle w:val="26"/>
        <w:tblW w:w="9318" w:type="dxa"/>
        <w:jc w:val="center"/>
        <w:shd w:val="clear" w:color="auto" w:fill="FBFBFB"/>
        <w:tblLayout w:type="fixed"/>
        <w:tblCellMar>
          <w:top w:w="0" w:type="dxa"/>
          <w:left w:w="0" w:type="dxa"/>
          <w:bottom w:w="0" w:type="dxa"/>
          <w:right w:w="0" w:type="dxa"/>
        </w:tblCellMar>
      </w:tblPr>
      <w:tblGrid>
        <w:gridCol w:w="880"/>
        <w:gridCol w:w="2655"/>
        <w:gridCol w:w="1455"/>
        <w:gridCol w:w="3503"/>
        <w:gridCol w:w="825"/>
      </w:tblGrid>
      <w:tr w14:paraId="7392FAC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455A0C">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9C5A60">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43CA72">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0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BA72BF">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D0E2A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95527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AB7849">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327A30">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864BF8">
            <w:pPr>
              <w:widowControl/>
              <w:spacing w:line="360" w:lineRule="auto"/>
              <w:jc w:val="center"/>
              <w:rPr>
                <w:rFonts w:hint="eastAsia"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D3C57">
            <w:pPr>
              <w:widowControl/>
              <w:spacing w:line="360" w:lineRule="auto"/>
              <w:jc w:val="center"/>
              <w:rPr>
                <w:rFonts w:hint="eastAsia"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A0A7E1">
            <w:pPr>
              <w:widowControl/>
              <w:spacing w:line="360" w:lineRule="auto"/>
              <w:jc w:val="center"/>
              <w:rPr>
                <w:rFonts w:hint="eastAsia" w:ascii="宋体" w:hAnsi="宋体" w:cs="宋体"/>
                <w:color w:val="auto"/>
                <w:kern w:val="0"/>
                <w:sz w:val="28"/>
                <w:szCs w:val="28"/>
                <w:highlight w:val="none"/>
              </w:rPr>
            </w:pPr>
          </w:p>
        </w:tc>
      </w:tr>
      <w:tr w14:paraId="1AA05A4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CBB06D">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3C1458">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E57080">
            <w:pPr>
              <w:widowControl/>
              <w:spacing w:line="360" w:lineRule="auto"/>
              <w:jc w:val="center"/>
              <w:rPr>
                <w:rFonts w:hint="eastAsia"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19B424">
            <w:pPr>
              <w:widowControl/>
              <w:spacing w:line="360" w:lineRule="auto"/>
              <w:jc w:val="center"/>
              <w:rPr>
                <w:rFonts w:hint="eastAsia"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0BA84">
            <w:pPr>
              <w:widowControl/>
              <w:spacing w:line="360" w:lineRule="auto"/>
              <w:jc w:val="center"/>
              <w:rPr>
                <w:rFonts w:hint="eastAsia" w:ascii="宋体" w:hAnsi="宋体" w:cs="宋体"/>
                <w:color w:val="auto"/>
                <w:kern w:val="0"/>
                <w:sz w:val="28"/>
                <w:szCs w:val="28"/>
                <w:highlight w:val="none"/>
              </w:rPr>
            </w:pPr>
          </w:p>
        </w:tc>
      </w:tr>
      <w:tr w14:paraId="0414195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54206">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291F0">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9548AD">
            <w:pPr>
              <w:widowControl/>
              <w:spacing w:line="360" w:lineRule="auto"/>
              <w:jc w:val="center"/>
              <w:rPr>
                <w:rFonts w:hint="eastAsia"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12004C">
            <w:pPr>
              <w:widowControl/>
              <w:spacing w:line="360" w:lineRule="auto"/>
              <w:jc w:val="center"/>
              <w:rPr>
                <w:rFonts w:hint="eastAsia"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A22938">
            <w:pPr>
              <w:widowControl/>
              <w:spacing w:line="360" w:lineRule="auto"/>
              <w:jc w:val="center"/>
              <w:rPr>
                <w:rFonts w:hint="eastAsia" w:ascii="宋体" w:hAnsi="宋体" w:cs="宋体"/>
                <w:color w:val="auto"/>
                <w:kern w:val="0"/>
                <w:sz w:val="28"/>
                <w:szCs w:val="28"/>
                <w:highlight w:val="none"/>
              </w:rPr>
            </w:pPr>
          </w:p>
        </w:tc>
      </w:tr>
      <w:tr w14:paraId="2E2D539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1E04B1">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A6B01A">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BE98F5">
            <w:pPr>
              <w:widowControl/>
              <w:spacing w:line="360" w:lineRule="auto"/>
              <w:jc w:val="center"/>
              <w:rPr>
                <w:rFonts w:hint="eastAsia"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EBBBC">
            <w:pPr>
              <w:widowControl/>
              <w:spacing w:line="360" w:lineRule="auto"/>
              <w:jc w:val="center"/>
              <w:rPr>
                <w:rFonts w:hint="eastAsia"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74CEC6">
            <w:pPr>
              <w:widowControl/>
              <w:spacing w:line="360" w:lineRule="auto"/>
              <w:jc w:val="center"/>
              <w:rPr>
                <w:rFonts w:hint="eastAsia" w:ascii="宋体" w:hAnsi="宋体" w:cs="宋体"/>
                <w:color w:val="auto"/>
                <w:kern w:val="0"/>
                <w:sz w:val="28"/>
                <w:szCs w:val="28"/>
                <w:highlight w:val="none"/>
              </w:rPr>
            </w:pPr>
          </w:p>
        </w:tc>
      </w:tr>
    </w:tbl>
    <w:p w14:paraId="1BED1456">
      <w:pPr>
        <w:spacing w:line="360" w:lineRule="auto"/>
        <w:contextualSpacing/>
        <w:jc w:val="left"/>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7131F577">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A2C859">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13ECCA63">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7E1CF973">
      <w:pPr>
        <w:spacing w:line="360" w:lineRule="auto"/>
        <w:ind w:firstLine="420" w:firstLineChars="200"/>
        <w:contextualSpacing/>
        <w:jc w:val="left"/>
        <w:rPr>
          <w:rFonts w:hint="eastAsia" w:ascii="宋体" w:hAnsi="宋体" w:cs="宋体"/>
          <w:color w:val="auto"/>
          <w:szCs w:val="21"/>
          <w:highlight w:val="none"/>
        </w:rPr>
      </w:pPr>
    </w:p>
    <w:p w14:paraId="389AA78A">
      <w:pPr>
        <w:spacing w:line="360" w:lineRule="auto"/>
        <w:ind w:firstLine="560" w:firstLineChars="200"/>
        <w:contextualSpacing/>
        <w:jc w:val="left"/>
        <w:rPr>
          <w:rFonts w:hint="eastAsia" w:ascii="宋体" w:hAnsi="宋体" w:cs="宋体"/>
          <w:color w:val="auto"/>
          <w:sz w:val="28"/>
          <w:szCs w:val="28"/>
          <w:highlight w:val="none"/>
        </w:rPr>
      </w:pPr>
    </w:p>
    <w:p w14:paraId="201A2F3A">
      <w:pPr>
        <w:spacing w:line="360" w:lineRule="auto"/>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w:t>
      </w:r>
      <w:r>
        <w:rPr>
          <w:rFonts w:hint="eastAsia" w:ascii="宋体" w:hAnsi="宋体" w:cs="宋体"/>
          <w:color w:val="auto"/>
          <w:sz w:val="24"/>
          <w:highlight w:val="none"/>
          <w:u w:val="single"/>
        </w:rPr>
        <w:t xml:space="preserve">                    </w:t>
      </w:r>
    </w:p>
    <w:p w14:paraId="27929299">
      <w:pPr>
        <w:spacing w:line="360" w:lineRule="auto"/>
        <w:ind w:firstLine="3120" w:firstLineChars="130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供应商（公章 ）： </w:t>
      </w:r>
      <w:r>
        <w:rPr>
          <w:rFonts w:hint="eastAsia" w:ascii="宋体" w:hAnsi="宋体" w:cs="宋体"/>
          <w:color w:val="auto"/>
          <w:sz w:val="24"/>
          <w:highlight w:val="none"/>
          <w:u w:val="single"/>
        </w:rPr>
        <w:t xml:space="preserve">                              </w:t>
      </w:r>
    </w:p>
    <w:p w14:paraId="3D0EB8D8">
      <w:pPr>
        <w:spacing w:line="360" w:lineRule="auto"/>
        <w:ind w:firstLine="3120" w:firstLineChars="1300"/>
        <w:contextualSpacing/>
        <w:rPr>
          <w:rFonts w:hint="eastAsia" w:ascii="宋体" w:hAnsi="宋体" w:cs="宋体"/>
          <w:b/>
          <w:color w:val="auto"/>
          <w:sz w:val="28"/>
          <w:szCs w:val="28"/>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r>
        <w:rPr>
          <w:rFonts w:hint="eastAsia" w:ascii="宋体" w:hAnsi="宋体" w:cs="宋体"/>
          <w:b/>
          <w:color w:val="auto"/>
          <w:sz w:val="28"/>
          <w:szCs w:val="28"/>
          <w:highlight w:val="none"/>
        </w:rPr>
        <w:br w:type="page"/>
      </w:r>
    </w:p>
    <w:p w14:paraId="78D61852">
      <w:pP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48700A88">
      <w:pPr>
        <w:snapToGrid w:val="0"/>
        <w:spacing w:line="360" w:lineRule="auto"/>
        <w:jc w:val="center"/>
        <w:rPr>
          <w:rFonts w:hint="eastAsia" w:ascii="宋体" w:hAnsi="宋体" w:cs="宋体"/>
          <w:b/>
          <w:color w:val="auto"/>
          <w:sz w:val="32"/>
          <w:szCs w:val="32"/>
          <w:highlight w:val="none"/>
        </w:rPr>
      </w:pPr>
    </w:p>
    <w:tbl>
      <w:tblPr>
        <w:tblStyle w:val="26"/>
        <w:tblW w:w="8942" w:type="dxa"/>
        <w:jc w:val="center"/>
        <w:shd w:val="clear" w:color="auto" w:fill="FBFBFB"/>
        <w:tblLayout w:type="fixed"/>
        <w:tblCellMar>
          <w:top w:w="0" w:type="dxa"/>
          <w:left w:w="0" w:type="dxa"/>
          <w:bottom w:w="0" w:type="dxa"/>
          <w:right w:w="0" w:type="dxa"/>
        </w:tblCellMar>
      </w:tblPr>
      <w:tblGrid>
        <w:gridCol w:w="808"/>
        <w:gridCol w:w="3600"/>
        <w:gridCol w:w="3555"/>
        <w:gridCol w:w="979"/>
      </w:tblGrid>
      <w:tr w14:paraId="4B55D7BA">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50F048">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1EAAB5">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487D69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9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3F5968">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919453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41D875">
            <w:pPr>
              <w:widowControl/>
              <w:wordWrap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19CAD4">
            <w:pPr>
              <w:widowControl/>
              <w:wordWrap w:val="0"/>
              <w:spacing w:line="360" w:lineRule="auto"/>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872E6A">
            <w:pPr>
              <w:widowControl/>
              <w:wordWrap w:val="0"/>
              <w:spacing w:line="360" w:lineRule="auto"/>
              <w:jc w:val="center"/>
              <w:rPr>
                <w:rFonts w:hint="eastAsia"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0C54AE">
            <w:pPr>
              <w:widowControl/>
              <w:wordWrap w:val="0"/>
              <w:spacing w:line="360" w:lineRule="auto"/>
              <w:jc w:val="center"/>
              <w:rPr>
                <w:rFonts w:hint="eastAsia" w:ascii="宋体" w:hAnsi="宋体" w:cs="宋体"/>
                <w:color w:val="auto"/>
                <w:kern w:val="0"/>
                <w:sz w:val="28"/>
                <w:szCs w:val="28"/>
                <w:highlight w:val="none"/>
              </w:rPr>
            </w:pPr>
          </w:p>
        </w:tc>
      </w:tr>
      <w:tr w14:paraId="1B1645C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813D0E">
            <w:pPr>
              <w:widowControl/>
              <w:wordWrap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0FEF0C">
            <w:pPr>
              <w:widowControl/>
              <w:wordWrap w:val="0"/>
              <w:spacing w:line="360" w:lineRule="auto"/>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52523D">
            <w:pPr>
              <w:widowControl/>
              <w:wordWrap w:val="0"/>
              <w:spacing w:line="360" w:lineRule="auto"/>
              <w:jc w:val="center"/>
              <w:rPr>
                <w:rFonts w:hint="eastAsia"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29AE73">
            <w:pPr>
              <w:widowControl/>
              <w:wordWrap w:val="0"/>
              <w:spacing w:line="360" w:lineRule="auto"/>
              <w:jc w:val="center"/>
              <w:rPr>
                <w:rFonts w:hint="eastAsia" w:ascii="宋体" w:hAnsi="宋体" w:cs="宋体"/>
                <w:color w:val="auto"/>
                <w:kern w:val="0"/>
                <w:sz w:val="28"/>
                <w:szCs w:val="28"/>
                <w:highlight w:val="none"/>
              </w:rPr>
            </w:pPr>
          </w:p>
        </w:tc>
      </w:tr>
      <w:tr w14:paraId="44C95B5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7F8828">
            <w:pPr>
              <w:widowControl/>
              <w:wordWrap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974E74">
            <w:pPr>
              <w:widowControl/>
              <w:wordWrap w:val="0"/>
              <w:spacing w:line="360" w:lineRule="auto"/>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A9B5E0">
            <w:pPr>
              <w:widowControl/>
              <w:wordWrap w:val="0"/>
              <w:spacing w:line="360" w:lineRule="auto"/>
              <w:jc w:val="center"/>
              <w:rPr>
                <w:rFonts w:hint="eastAsia"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B2FE0F">
            <w:pPr>
              <w:widowControl/>
              <w:wordWrap w:val="0"/>
              <w:spacing w:line="360" w:lineRule="auto"/>
              <w:jc w:val="center"/>
              <w:rPr>
                <w:rFonts w:hint="eastAsia" w:ascii="宋体" w:hAnsi="宋体" w:cs="宋体"/>
                <w:color w:val="auto"/>
                <w:kern w:val="0"/>
                <w:sz w:val="28"/>
                <w:szCs w:val="28"/>
                <w:highlight w:val="none"/>
              </w:rPr>
            </w:pPr>
          </w:p>
        </w:tc>
      </w:tr>
      <w:tr w14:paraId="600C5A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C12969">
            <w:pPr>
              <w:widowControl/>
              <w:wordWrap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5E8C11">
            <w:pPr>
              <w:widowControl/>
              <w:wordWrap w:val="0"/>
              <w:spacing w:line="360" w:lineRule="auto"/>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3049CF">
            <w:pPr>
              <w:widowControl/>
              <w:wordWrap w:val="0"/>
              <w:spacing w:line="360" w:lineRule="auto"/>
              <w:jc w:val="center"/>
              <w:rPr>
                <w:rFonts w:hint="eastAsia"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8C57AC">
            <w:pPr>
              <w:widowControl/>
              <w:wordWrap w:val="0"/>
              <w:spacing w:line="360" w:lineRule="auto"/>
              <w:jc w:val="center"/>
              <w:rPr>
                <w:rFonts w:hint="eastAsia" w:ascii="宋体" w:hAnsi="宋体" w:cs="宋体"/>
                <w:color w:val="auto"/>
                <w:kern w:val="0"/>
                <w:sz w:val="28"/>
                <w:szCs w:val="28"/>
                <w:highlight w:val="none"/>
              </w:rPr>
            </w:pPr>
          </w:p>
        </w:tc>
      </w:tr>
    </w:tbl>
    <w:p w14:paraId="54FE3AC4">
      <w:pPr>
        <w:spacing w:line="360" w:lineRule="auto"/>
        <w:contextualSpacing/>
        <w:jc w:val="left"/>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38214E57">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70C730FA">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24AECAB4">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60A313CF">
      <w:pPr>
        <w:spacing w:line="360" w:lineRule="auto"/>
        <w:contextualSpacing/>
        <w:jc w:val="left"/>
        <w:rPr>
          <w:rFonts w:hint="eastAsia" w:ascii="宋体" w:hAnsi="宋体" w:cs="宋体"/>
          <w:color w:val="auto"/>
          <w:sz w:val="28"/>
          <w:szCs w:val="28"/>
          <w:highlight w:val="none"/>
        </w:rPr>
      </w:pPr>
    </w:p>
    <w:p w14:paraId="6B3BE3C8">
      <w:pPr>
        <w:spacing w:line="360" w:lineRule="auto"/>
        <w:contextualSpacing/>
        <w:jc w:val="left"/>
        <w:rPr>
          <w:rFonts w:hint="eastAsia" w:ascii="宋体" w:hAnsi="宋体" w:cs="宋体"/>
          <w:color w:val="auto"/>
          <w:sz w:val="28"/>
          <w:szCs w:val="28"/>
          <w:highlight w:val="none"/>
        </w:rPr>
      </w:pPr>
    </w:p>
    <w:p w14:paraId="739E6BF6">
      <w:pPr>
        <w:spacing w:line="360" w:lineRule="auto"/>
        <w:contextualSpacing/>
        <w:jc w:val="left"/>
        <w:rPr>
          <w:rFonts w:hint="eastAsia" w:ascii="宋体" w:hAnsi="宋体" w:cs="宋体"/>
          <w:color w:val="auto"/>
          <w:sz w:val="28"/>
          <w:szCs w:val="28"/>
          <w:highlight w:val="none"/>
        </w:rPr>
      </w:pPr>
    </w:p>
    <w:p w14:paraId="1FA0A365">
      <w:pPr>
        <w:spacing w:line="360" w:lineRule="auto"/>
        <w:contextualSpacing/>
        <w:jc w:val="left"/>
        <w:rPr>
          <w:rFonts w:hint="eastAsia" w:ascii="宋体" w:hAnsi="宋体" w:cs="宋体"/>
          <w:color w:val="auto"/>
          <w:sz w:val="28"/>
          <w:szCs w:val="28"/>
          <w:highlight w:val="none"/>
        </w:rPr>
      </w:pPr>
    </w:p>
    <w:p w14:paraId="70A92A3D">
      <w:pPr>
        <w:spacing w:line="360" w:lineRule="auto"/>
        <w:contextualSpacing/>
        <w:jc w:val="left"/>
        <w:rPr>
          <w:rFonts w:hint="eastAsia" w:ascii="宋体" w:hAnsi="宋体" w:cs="宋体"/>
          <w:color w:val="auto"/>
          <w:sz w:val="28"/>
          <w:szCs w:val="28"/>
          <w:highlight w:val="none"/>
        </w:rPr>
      </w:pPr>
    </w:p>
    <w:p w14:paraId="24C64A1E">
      <w:pPr>
        <w:spacing w:line="360" w:lineRule="auto"/>
        <w:contextualSpacing/>
        <w:jc w:val="left"/>
        <w:rPr>
          <w:rFonts w:hint="eastAsia" w:ascii="宋体" w:hAnsi="宋体" w:cs="宋体"/>
          <w:color w:val="auto"/>
          <w:sz w:val="28"/>
          <w:szCs w:val="28"/>
          <w:highlight w:val="none"/>
        </w:rPr>
      </w:pPr>
    </w:p>
    <w:p w14:paraId="6616205C">
      <w:pPr>
        <w:spacing w:line="360" w:lineRule="auto"/>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w:t>
      </w:r>
      <w:r>
        <w:rPr>
          <w:rFonts w:hint="eastAsia" w:ascii="宋体" w:hAnsi="宋体" w:cs="宋体"/>
          <w:color w:val="auto"/>
          <w:sz w:val="24"/>
          <w:highlight w:val="none"/>
          <w:u w:val="single"/>
        </w:rPr>
        <w:t xml:space="preserve">                   </w:t>
      </w:r>
    </w:p>
    <w:p w14:paraId="79E463DA">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49D79AC1">
      <w:pPr>
        <w:spacing w:line="360" w:lineRule="auto"/>
        <w:ind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F58C1FD">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参与竞争性谈判声明</w:t>
      </w:r>
    </w:p>
    <w:p w14:paraId="3B170BFC">
      <w:pPr>
        <w:spacing w:line="360" w:lineRule="auto"/>
        <w:jc w:val="center"/>
        <w:rPr>
          <w:rFonts w:hint="eastAsia" w:ascii="宋体" w:hAnsi="宋体" w:cs="宋体"/>
          <w:color w:val="auto"/>
          <w:sz w:val="24"/>
          <w:szCs w:val="20"/>
          <w:highlight w:val="none"/>
        </w:rPr>
      </w:pPr>
    </w:p>
    <w:p w14:paraId="7E338CC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AAD6E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A76648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，为便于贵方公正、择优地确定成交供应商及其参与</w:t>
      </w:r>
      <w:r>
        <w:rPr>
          <w:rFonts w:hint="eastAsia" w:ascii="宋体" w:hAnsi="宋体" w:cs="宋体"/>
          <w:color w:val="auto"/>
          <w:sz w:val="24"/>
          <w:highlight w:val="none"/>
          <w:lang w:bidi="ar"/>
        </w:rPr>
        <w:t>竞争性谈判的</w:t>
      </w:r>
      <w:r>
        <w:rPr>
          <w:rFonts w:hint="eastAsia" w:ascii="宋体" w:hAnsi="宋体" w:cs="宋体"/>
          <w:color w:val="auto"/>
          <w:sz w:val="24"/>
          <w:highlight w:val="none"/>
        </w:rPr>
        <w:t>产品和服务，我方就本次参与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有关事项郑重声明如下：</w:t>
      </w:r>
    </w:p>
    <w:p w14:paraId="7AFA371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C20A78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BC8B49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DC52C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3047DE1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50202B2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D23D78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有效期。</w:t>
      </w:r>
    </w:p>
    <w:p w14:paraId="6310FD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DC820C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219D67D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EA4F0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89B14B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076AE6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40EBF2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4C7108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3D300E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0D7B98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EF433D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974F4B4">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56DC6911">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B79C8C">
      <w:pPr>
        <w:pStyle w:val="13"/>
        <w:tabs>
          <w:tab w:val="left" w:pos="939"/>
        </w:tabs>
        <w:spacing w:line="360" w:lineRule="auto"/>
        <w:ind w:left="0" w:leftChars="0"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7EFD8BDC">
      <w:pPr>
        <w:pStyle w:val="13"/>
        <w:tabs>
          <w:tab w:val="left" w:pos="939"/>
        </w:tabs>
        <w:spacing w:line="360" w:lineRule="auto"/>
        <w:ind w:left="0" w:leftChars="0" w:firstLine="360" w:firstLineChars="15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w:t>
      </w:r>
      <w:r>
        <w:rPr>
          <w:rFonts w:ascii="宋体" w:hAnsi="宋体" w:cs="宋体"/>
          <w:color w:val="auto"/>
          <w:sz w:val="24"/>
          <w:highlight w:val="none"/>
        </w:rPr>
        <w:t>我方若</w:t>
      </w:r>
      <w:r>
        <w:rPr>
          <w:rFonts w:hint="eastAsia" w:ascii="宋体" w:hAnsi="宋体" w:cs="宋体"/>
          <w:color w:val="auto"/>
          <w:sz w:val="24"/>
          <w:highlight w:val="none"/>
        </w:rPr>
        <w:t>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成功</w:t>
      </w:r>
      <w:r>
        <w:rPr>
          <w:rFonts w:ascii="宋体" w:hAnsi="宋体" w:cs="宋体"/>
          <w:color w:val="auto"/>
          <w:sz w:val="24"/>
          <w:highlight w:val="none"/>
        </w:rPr>
        <w:t>，将采取</w:t>
      </w:r>
      <w:r>
        <w:rPr>
          <w:rFonts w:ascii="宋体" w:hAnsi="宋体" w:cs="宋体"/>
          <w:color w:val="auto"/>
          <w:sz w:val="24"/>
          <w:highlight w:val="none"/>
          <w:u w:val="single"/>
        </w:rPr>
        <w:t>      </w:t>
      </w:r>
      <w:r>
        <w:rPr>
          <w:rFonts w:ascii="宋体" w:hAnsi="宋体" w:cs="宋体"/>
          <w:color w:val="auto"/>
          <w:sz w:val="24"/>
          <w:highlight w:val="none"/>
        </w:rPr>
        <w:t>（</w:t>
      </w:r>
      <w:r>
        <w:rPr>
          <w:rFonts w:hint="eastAsia" w:ascii="宋体" w:hAnsi="宋体" w:cs="宋体"/>
          <w:color w:val="auto"/>
          <w:sz w:val="24"/>
          <w:highlight w:val="none"/>
        </w:rPr>
        <w:t>汽车、火车、飞机等</w:t>
      </w:r>
      <w:r>
        <w:rPr>
          <w:rFonts w:ascii="宋体" w:hAnsi="宋体" w:cs="宋体"/>
          <w:color w:val="auto"/>
          <w:sz w:val="24"/>
          <w:highlight w:val="none"/>
        </w:rPr>
        <w:t>）方式运输货物。</w:t>
      </w:r>
    </w:p>
    <w:p w14:paraId="5FEB716E">
      <w:pPr>
        <w:pStyle w:val="13"/>
        <w:tabs>
          <w:tab w:val="left" w:pos="939"/>
        </w:tabs>
        <w:spacing w:line="360" w:lineRule="auto"/>
        <w:ind w:left="0" w:leftChars="0" w:firstLine="360" w:firstLineChars="15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我方若参与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成功，除非发生不可抗力，承诺与采购人及时签订《合同书》。如果放弃，自愿按照本文件之《供应商须知正文》第2</w:t>
      </w:r>
      <w:r>
        <w:rPr>
          <w:rFonts w:ascii="宋体" w:hAnsi="宋体" w:cs="宋体"/>
          <w:color w:val="auto"/>
          <w:sz w:val="24"/>
          <w:highlight w:val="none"/>
        </w:rPr>
        <w:t>7.5</w:t>
      </w:r>
      <w:r>
        <w:rPr>
          <w:rFonts w:hint="eastAsia" w:ascii="宋体" w:hAnsi="宋体" w:cs="宋体"/>
          <w:color w:val="auto"/>
          <w:sz w:val="24"/>
          <w:highlight w:val="none"/>
        </w:rPr>
        <w:t>条的要求承担法律责任和失信惩戒。</w:t>
      </w:r>
    </w:p>
    <w:p w14:paraId="666B6233">
      <w:pPr>
        <w:pStyle w:val="13"/>
        <w:tabs>
          <w:tab w:val="left" w:pos="939"/>
        </w:tabs>
        <w:spacing w:line="360" w:lineRule="auto"/>
        <w:ind w:left="0" w:leftChars="0" w:firstLine="360" w:firstLineChars="15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.以上事项如有虚假或者隐瞒，我方愿意承担一切后果，并不再寻求任何旨在减轻或者免除法律责任的辩解。</w:t>
      </w:r>
    </w:p>
    <w:p w14:paraId="40A3252E">
      <w:pPr>
        <w:pStyle w:val="13"/>
        <w:tabs>
          <w:tab w:val="left" w:pos="939"/>
        </w:tabs>
        <w:spacing w:line="360" w:lineRule="auto"/>
        <w:ind w:left="0" w:leftChars="0"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4DD629B4">
      <w:pPr>
        <w:spacing w:line="360" w:lineRule="auto"/>
        <w:contextualSpacing/>
        <w:jc w:val="left"/>
        <w:rPr>
          <w:rFonts w:hint="eastAsia" w:ascii="楷体" w:hAnsi="楷体" w:eastAsia="楷体" w:cs="宋体"/>
          <w:b/>
          <w:color w:val="auto"/>
          <w:sz w:val="24"/>
          <w:highlight w:val="none"/>
        </w:rPr>
      </w:pPr>
      <w:r>
        <w:rPr>
          <w:rFonts w:hint="eastAsia" w:ascii="宋体" w:hAnsi="宋体" w:cs="宋体"/>
          <w:b/>
          <w:color w:val="auto"/>
          <w:sz w:val="24"/>
          <w:highlight w:val="none"/>
        </w:rPr>
        <w:t xml:space="preserve">   </w:t>
      </w:r>
      <w:r>
        <w:rPr>
          <w:rFonts w:hint="eastAsia" w:ascii="楷体" w:hAnsi="楷体" w:eastAsia="楷体" w:cs="宋体"/>
          <w:b/>
          <w:color w:val="auto"/>
          <w:sz w:val="24"/>
          <w:highlight w:val="none"/>
        </w:rPr>
        <w:t xml:space="preserve"> 注：如为联合体参与</w:t>
      </w:r>
      <w:r>
        <w:rPr>
          <w:rFonts w:hint="eastAsia" w:ascii="楷体" w:hAnsi="楷体" w:eastAsia="楷体" w:cs="宋体"/>
          <w:b/>
          <w:color w:val="auto"/>
          <w:sz w:val="24"/>
          <w:highlight w:val="none"/>
          <w:lang w:bidi="ar"/>
        </w:rPr>
        <w:t>竞争性谈判</w:t>
      </w:r>
      <w:r>
        <w:rPr>
          <w:rFonts w:hint="eastAsia" w:ascii="楷体" w:hAnsi="楷体" w:eastAsia="楷体" w:cs="宋体"/>
          <w:b/>
          <w:color w:val="auto"/>
          <w:sz w:val="24"/>
          <w:highlight w:val="none"/>
        </w:rPr>
        <w:t>，盖章处须加盖联合体各方公章并由联合体各方法定代表人分别签署，否则响应文件按无效响应处理。</w:t>
      </w:r>
    </w:p>
    <w:p w14:paraId="2C0ACFFC">
      <w:pPr>
        <w:spacing w:line="360" w:lineRule="auto"/>
        <w:contextualSpacing/>
        <w:jc w:val="left"/>
        <w:rPr>
          <w:rFonts w:hint="eastAsia" w:ascii="宋体" w:hAnsi="宋体" w:cs="宋体"/>
          <w:color w:val="auto"/>
          <w:szCs w:val="21"/>
          <w:highlight w:val="none"/>
        </w:rPr>
      </w:pPr>
    </w:p>
    <w:p w14:paraId="35D9B81C">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C78E189">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4713D08">
      <w:pPr>
        <w:spacing w:line="360" w:lineRule="auto"/>
        <w:ind w:firstLine="240" w:firstLineChars="100"/>
        <w:contextualSpacing/>
        <w:jc w:val="center"/>
        <w:rPr>
          <w:rFonts w:hint="eastAsia" w:ascii="宋体" w:hAnsi="宋体" w:cs="宋体"/>
          <w:b/>
          <w:color w:val="auto"/>
          <w:sz w:val="32"/>
          <w:szCs w:val="32"/>
          <w:highlight w:val="none"/>
        </w:rPr>
      </w:pPr>
      <w:r>
        <w:rPr>
          <w:rFonts w:hint="eastAsia" w:ascii="宋体" w:hAnsi="宋体" w:cs="宋体"/>
          <w:color w:val="auto"/>
          <w:sz w:val="24"/>
          <w:highlight w:val="none"/>
        </w:rPr>
        <w:t xml:space="preserve">                      日期： </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联合体参与竞争性谈判协议书</w:t>
      </w:r>
    </w:p>
    <w:p w14:paraId="473F23EA">
      <w:pPr>
        <w:pStyle w:val="7"/>
        <w:overflowPunct w:val="0"/>
        <w:spacing w:line="360" w:lineRule="auto"/>
        <w:ind w:firstLine="0"/>
        <w:contextualSpacing/>
        <w:rPr>
          <w:rFonts w:hint="eastAsia" w:ascii="宋体" w:hAnsi="宋体" w:cs="宋体"/>
          <w:color w:val="auto"/>
          <w:sz w:val="24"/>
          <w:szCs w:val="24"/>
          <w:highlight w:val="none"/>
        </w:rPr>
      </w:pPr>
    </w:p>
    <w:p w14:paraId="5C5190D6">
      <w:pPr>
        <w:pStyle w:val="7"/>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w:t>
      </w:r>
      <w:r>
        <w:rPr>
          <w:rFonts w:hint="eastAsia" w:ascii="宋体" w:hAnsi="宋体" w:cs="宋体"/>
          <w:color w:val="auto"/>
          <w:sz w:val="24"/>
          <w:highlight w:val="none"/>
          <w:lang w:bidi="ar"/>
        </w:rPr>
        <w:t>竞争性谈判</w:t>
      </w:r>
      <w:r>
        <w:rPr>
          <w:rFonts w:hint="eastAsia" w:ascii="宋体" w:hAnsi="宋体" w:cs="宋体"/>
          <w:color w:val="auto"/>
          <w:sz w:val="24"/>
          <w:szCs w:val="24"/>
          <w:highlight w:val="none"/>
        </w:rPr>
        <w:t>。现就联合体参与</w:t>
      </w:r>
      <w:r>
        <w:rPr>
          <w:rFonts w:hint="eastAsia" w:ascii="宋体" w:hAnsi="宋体" w:cs="宋体"/>
          <w:color w:val="auto"/>
          <w:sz w:val="24"/>
          <w:highlight w:val="none"/>
          <w:lang w:bidi="ar"/>
        </w:rPr>
        <w:t>竞争性谈判</w:t>
      </w:r>
      <w:r>
        <w:rPr>
          <w:rFonts w:hint="eastAsia" w:ascii="宋体" w:hAnsi="宋体" w:cs="宋体"/>
          <w:color w:val="auto"/>
          <w:sz w:val="24"/>
          <w:szCs w:val="24"/>
          <w:highlight w:val="none"/>
        </w:rPr>
        <w:t>事宜订立如下协议。</w:t>
      </w:r>
    </w:p>
    <w:p w14:paraId="402E50DC">
      <w:pPr>
        <w:pStyle w:val="7"/>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4BE0F012">
      <w:pPr>
        <w:pStyle w:val="7"/>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w:t>
      </w:r>
      <w:r>
        <w:rPr>
          <w:rFonts w:hint="eastAsia" w:ascii="宋体" w:hAnsi="宋体" w:cs="宋体"/>
          <w:color w:val="auto"/>
          <w:sz w:val="24"/>
          <w:highlight w:val="none"/>
          <w:lang w:bidi="ar"/>
        </w:rPr>
        <w:t>竞争性谈判</w:t>
      </w:r>
      <w:r>
        <w:rPr>
          <w:rFonts w:hint="eastAsia" w:ascii="宋体" w:hAnsi="宋体" w:cs="宋体"/>
          <w:color w:val="auto"/>
          <w:sz w:val="24"/>
          <w:szCs w:val="24"/>
          <w:highlight w:val="none"/>
        </w:rPr>
        <w:t>活动，签署文件及对文件的盖章，提交和接收相关的资料、信息及指示，进行合同谈判活动，负责合同实施阶段的组织和协调工作，以及处理与本</w:t>
      </w:r>
      <w:r>
        <w:rPr>
          <w:rFonts w:hint="eastAsia" w:ascii="宋体" w:hAnsi="宋体" w:cs="宋体"/>
          <w:color w:val="auto"/>
          <w:sz w:val="24"/>
          <w:highlight w:val="none"/>
          <w:lang w:bidi="ar"/>
        </w:rPr>
        <w:t>竞争性谈判</w:t>
      </w:r>
      <w:r>
        <w:rPr>
          <w:rFonts w:hint="eastAsia" w:ascii="宋体" w:hAnsi="宋体" w:cs="宋体"/>
          <w:color w:val="auto"/>
          <w:sz w:val="24"/>
          <w:szCs w:val="24"/>
          <w:highlight w:val="none"/>
        </w:rPr>
        <w:t>项目有关的一切事宜。</w:t>
      </w:r>
    </w:p>
    <w:p w14:paraId="0F66CED0">
      <w:pPr>
        <w:pStyle w:val="7"/>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7618C718">
      <w:pPr>
        <w:pStyle w:val="7"/>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F9AD323">
      <w:pPr>
        <w:pStyle w:val="7"/>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协议书自所有成员单位法定代表人或者其委托代理人签字或者盖单位章之日起生效，合同履行完毕后自动失效。</w:t>
      </w:r>
    </w:p>
    <w:p w14:paraId="61A2C373">
      <w:pPr>
        <w:pStyle w:val="7"/>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份，联合体成员和采购人各执壹份。</w:t>
      </w:r>
    </w:p>
    <w:p w14:paraId="3C30F589">
      <w:pPr>
        <w:pStyle w:val="7"/>
        <w:overflowPunct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注：本协议书由法定代表人签字的，应附法定代表人身份证明；由委托代理人签字的，应附联合体协议签订授权委托书（格式自拟）。</w:t>
      </w:r>
    </w:p>
    <w:p w14:paraId="3D484BAE">
      <w:pPr>
        <w:pStyle w:val="7"/>
        <w:overflowPunct w:val="0"/>
        <w:spacing w:line="360" w:lineRule="auto"/>
        <w:ind w:firstLineChars="175"/>
        <w:contextualSpacing/>
        <w:rPr>
          <w:rFonts w:hint="eastAsia" w:ascii="宋体" w:hAnsi="宋体" w:cs="宋体"/>
          <w:color w:val="auto"/>
          <w:sz w:val="24"/>
          <w:szCs w:val="24"/>
          <w:highlight w:val="none"/>
        </w:rPr>
      </w:pPr>
    </w:p>
    <w:p w14:paraId="198C33EC">
      <w:pPr>
        <w:pStyle w:val="7"/>
        <w:overflowPunct w:val="0"/>
        <w:spacing w:line="360" w:lineRule="auto"/>
        <w:ind w:firstLine="0"/>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联合体牵头人名称（公章）：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32B092D1">
      <w:pPr>
        <w:pStyle w:val="7"/>
        <w:overflowPunct w:val="0"/>
        <w:spacing w:line="360" w:lineRule="auto"/>
        <w:ind w:firstLine="0"/>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3AFD2A9A">
      <w:pPr>
        <w:pStyle w:val="7"/>
        <w:overflowPunct w:val="0"/>
        <w:spacing w:line="360" w:lineRule="auto"/>
        <w:ind w:firstLine="0"/>
        <w:contextualSpacing/>
        <w:rPr>
          <w:rFonts w:hint="eastAsia" w:ascii="宋体" w:hAnsi="宋体" w:cs="宋体"/>
          <w:color w:val="auto"/>
          <w:sz w:val="24"/>
          <w:szCs w:val="24"/>
          <w:highlight w:val="none"/>
        </w:rPr>
      </w:pPr>
    </w:p>
    <w:p w14:paraId="1D582526">
      <w:pPr>
        <w:pStyle w:val="7"/>
        <w:overflowPunct w:val="0"/>
        <w:spacing w:line="360" w:lineRule="auto"/>
        <w:ind w:firstLine="0"/>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联合体成员名称（公章）：</w:t>
      </w:r>
      <w:r>
        <w:rPr>
          <w:rFonts w:ascii="宋体" w:hAnsi="宋体" w:cs="宋体"/>
          <w:color w:val="auto"/>
          <w:sz w:val="24"/>
          <w:szCs w:val="24"/>
          <w:highlight w:val="none"/>
          <w:u w:val="single"/>
        </w:rPr>
        <w:t xml:space="preserve">               </w:t>
      </w:r>
    </w:p>
    <w:p w14:paraId="5995D60E">
      <w:pPr>
        <w:pStyle w:val="7"/>
        <w:overflowPunct w:val="0"/>
        <w:spacing w:line="360" w:lineRule="auto"/>
        <w:ind w:firstLine="0"/>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6441BA37">
      <w:pPr>
        <w:pStyle w:val="7"/>
        <w:overflowPunct w:val="0"/>
        <w:spacing w:line="360" w:lineRule="auto"/>
        <w:ind w:firstLine="0"/>
        <w:contextualSpacing/>
        <w:rPr>
          <w:rFonts w:hint="eastAsia" w:ascii="宋体" w:hAnsi="宋体" w:cs="宋体"/>
          <w:color w:val="auto"/>
          <w:sz w:val="24"/>
          <w:szCs w:val="24"/>
          <w:highlight w:val="none"/>
        </w:rPr>
      </w:pPr>
    </w:p>
    <w:p w14:paraId="4891B5BC">
      <w:pPr>
        <w:pStyle w:val="7"/>
        <w:overflowPunct w:val="0"/>
        <w:spacing w:line="360" w:lineRule="auto"/>
        <w:ind w:firstLine="0"/>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联合体成员名称（公章）：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18F5BA67">
      <w:pPr>
        <w:pStyle w:val="7"/>
        <w:overflowPunct w:val="0"/>
        <w:spacing w:line="360" w:lineRule="auto"/>
        <w:ind w:firstLine="0"/>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25FCB160">
      <w:pPr>
        <w:pStyle w:val="7"/>
        <w:overflowPunct w:val="0"/>
        <w:spacing w:line="360" w:lineRule="auto"/>
        <w:ind w:firstLine="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6A2D6CF0">
      <w:pPr>
        <w:spacing w:line="360" w:lineRule="auto"/>
        <w:contextualSpacing/>
        <w:jc w:val="righ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r>
        <w:rPr>
          <w:rFonts w:hint="eastAsia" w:ascii="宋体" w:hAnsi="宋体" w:cs="宋体"/>
          <w:color w:val="auto"/>
          <w:sz w:val="32"/>
          <w:szCs w:val="32"/>
          <w:highlight w:val="none"/>
        </w:rPr>
        <w:t xml:space="preserve"> </w:t>
      </w:r>
    </w:p>
    <w:p w14:paraId="6BB934D0">
      <w:pPr>
        <w:spacing w:line="360" w:lineRule="auto"/>
        <w:contextualSpacing/>
        <w:jc w:val="left"/>
        <w:rPr>
          <w:rFonts w:hint="eastAsia"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报价商务技术文件格式 </w:t>
      </w:r>
    </w:p>
    <w:p w14:paraId="3B2BF28B">
      <w:pPr>
        <w:snapToGrid w:val="0"/>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2004966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B0A3046">
      <w:pPr>
        <w:snapToGrid w:val="0"/>
        <w:spacing w:line="360" w:lineRule="auto"/>
        <w:rPr>
          <w:rFonts w:hint="eastAsia" w:ascii="宋体" w:hAnsi="宋体" w:cs="宋体"/>
          <w:color w:val="auto"/>
          <w:sz w:val="24"/>
          <w:highlight w:val="none"/>
        </w:rPr>
      </w:pPr>
    </w:p>
    <w:p w14:paraId="00EAE53F">
      <w:pPr>
        <w:snapToGrid w:val="0"/>
        <w:spacing w:line="360" w:lineRule="auto"/>
        <w:rPr>
          <w:rFonts w:hint="eastAsia" w:ascii="宋体" w:hAnsi="宋体" w:cs="宋体"/>
          <w:color w:val="auto"/>
          <w:sz w:val="24"/>
          <w:szCs w:val="20"/>
          <w:highlight w:val="none"/>
        </w:rPr>
      </w:pPr>
    </w:p>
    <w:p w14:paraId="4E694015">
      <w:pPr>
        <w:snapToGrid w:val="0"/>
        <w:spacing w:line="360" w:lineRule="auto"/>
        <w:jc w:val="center"/>
        <w:rPr>
          <w:rFonts w:hint="eastAsia" w:ascii="宋体" w:hAnsi="宋体" w:cs="宋体"/>
          <w:bCs/>
          <w:color w:val="auto"/>
          <w:sz w:val="84"/>
          <w:szCs w:val="84"/>
          <w:highlight w:val="none"/>
        </w:rPr>
      </w:pPr>
      <w:r>
        <w:rPr>
          <w:rFonts w:hint="eastAsia" w:ascii="宋体" w:hAnsi="宋体" w:cs="宋体"/>
          <w:b/>
          <w:color w:val="auto"/>
          <w:sz w:val="84"/>
          <w:szCs w:val="84"/>
          <w:highlight w:val="none"/>
        </w:rPr>
        <w:t>响  应  文  件</w:t>
      </w:r>
    </w:p>
    <w:p w14:paraId="36CC4730">
      <w:pPr>
        <w:snapToGrid w:val="0"/>
        <w:spacing w:line="360" w:lineRule="auto"/>
        <w:rPr>
          <w:rFonts w:hint="eastAsia" w:ascii="宋体" w:hAnsi="宋体" w:cs="宋体"/>
          <w:color w:val="auto"/>
          <w:sz w:val="24"/>
          <w:szCs w:val="20"/>
          <w:highlight w:val="none"/>
        </w:rPr>
      </w:pPr>
    </w:p>
    <w:p w14:paraId="55D3CE68">
      <w:pPr>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报价商务技术文件</w:t>
      </w:r>
    </w:p>
    <w:p w14:paraId="39A2610B">
      <w:pPr>
        <w:snapToGrid w:val="0"/>
        <w:spacing w:line="360" w:lineRule="auto"/>
        <w:rPr>
          <w:rFonts w:hint="eastAsia" w:ascii="宋体" w:hAnsi="宋体" w:cs="宋体"/>
          <w:bCs/>
          <w:color w:val="auto"/>
          <w:sz w:val="28"/>
          <w:szCs w:val="28"/>
          <w:highlight w:val="none"/>
        </w:rPr>
      </w:pPr>
    </w:p>
    <w:p w14:paraId="2571C71A">
      <w:pPr>
        <w:snapToGrid w:val="0"/>
        <w:spacing w:line="360" w:lineRule="auto"/>
        <w:rPr>
          <w:rFonts w:hint="eastAsia" w:ascii="宋体" w:hAnsi="宋体" w:cs="宋体"/>
          <w:bCs/>
          <w:color w:val="auto"/>
          <w:sz w:val="28"/>
          <w:szCs w:val="28"/>
          <w:highlight w:val="none"/>
        </w:rPr>
      </w:pPr>
    </w:p>
    <w:p w14:paraId="18EFFDB3">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49E479EB">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5D26078F">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w:t>
      </w:r>
    </w:p>
    <w:p w14:paraId="16FCD4F7">
      <w:pPr>
        <w:pStyle w:val="7"/>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7C82BD4D">
      <w:pPr>
        <w:pStyle w:val="7"/>
        <w:snapToGrid w:val="0"/>
        <w:spacing w:line="360" w:lineRule="auto"/>
        <w:ind w:firstLine="1680" w:firstLineChars="600"/>
        <w:rPr>
          <w:rFonts w:hint="eastAsia" w:ascii="宋体" w:hAnsi="宋体" w:cs="宋体"/>
          <w:bCs/>
          <w:color w:val="auto"/>
          <w:sz w:val="28"/>
          <w:szCs w:val="28"/>
          <w:highlight w:val="none"/>
        </w:rPr>
      </w:pPr>
    </w:p>
    <w:p w14:paraId="3EA52E4E">
      <w:pPr>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61EE3F93">
      <w:pPr>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8"/>
          <w:szCs w:val="28"/>
          <w:highlight w:val="none"/>
        </w:rPr>
        <w:br w:type="page"/>
      </w:r>
      <w:r>
        <w:rPr>
          <w:rFonts w:hint="eastAsia" w:ascii="宋体" w:hAnsi="宋体" w:cs="宋体"/>
          <w:b/>
          <w:bCs/>
          <w:color w:val="auto"/>
          <w:sz w:val="32"/>
          <w:szCs w:val="32"/>
          <w:highlight w:val="none"/>
        </w:rPr>
        <w:t>2.报价商务技术文件目录</w:t>
      </w:r>
    </w:p>
    <w:p w14:paraId="0C09D10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根据谈判文件规定及供应商提供的材料自行编写目录（部分格式后附）。</w:t>
      </w:r>
    </w:p>
    <w:p w14:paraId="6FA5DA14">
      <w:pPr>
        <w:spacing w:line="360" w:lineRule="auto"/>
        <w:rPr>
          <w:rFonts w:hint="eastAsia" w:ascii="宋体" w:hAnsi="宋体" w:cs="宋体"/>
          <w:color w:val="auto"/>
          <w:sz w:val="32"/>
          <w:szCs w:val="32"/>
          <w:highlight w:val="none"/>
        </w:rPr>
      </w:pPr>
    </w:p>
    <w:p w14:paraId="48AC22DB">
      <w:pPr>
        <w:spacing w:line="360" w:lineRule="auto"/>
        <w:jc w:val="center"/>
        <w:rPr>
          <w:rFonts w:hint="eastAsia" w:ascii="宋体" w:hAnsi="宋体" w:cs="宋体"/>
          <w:b/>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44"/>
          <w:szCs w:val="44"/>
          <w:highlight w:val="none"/>
        </w:rPr>
        <w:t>无串通参与竞争性谈判行为的承诺函</w:t>
      </w:r>
    </w:p>
    <w:p w14:paraId="0EC2137D">
      <w:pPr>
        <w:spacing w:line="360" w:lineRule="auto"/>
        <w:ind w:firstLine="640" w:firstLineChars="200"/>
        <w:contextualSpacing/>
        <w:rPr>
          <w:rFonts w:hint="eastAsia" w:ascii="宋体" w:hAnsi="宋体" w:cs="宋体"/>
          <w:color w:val="auto"/>
          <w:sz w:val="32"/>
          <w:szCs w:val="32"/>
          <w:highlight w:val="none"/>
        </w:rPr>
      </w:pPr>
    </w:p>
    <w:p w14:paraId="4672536A">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一、我方承诺无下列相互串通参与</w:t>
      </w:r>
      <w:r>
        <w:rPr>
          <w:rFonts w:hint="eastAsia" w:ascii="宋体" w:hAnsi="宋体" w:cs="宋体"/>
          <w:b/>
          <w:color w:val="auto"/>
          <w:sz w:val="24"/>
          <w:highlight w:val="none"/>
          <w:lang w:bidi="ar"/>
        </w:rPr>
        <w:t>竞争性谈判</w:t>
      </w:r>
      <w:r>
        <w:rPr>
          <w:rFonts w:hint="eastAsia" w:ascii="宋体" w:hAnsi="宋体" w:cs="宋体"/>
          <w:b/>
          <w:bCs/>
          <w:color w:val="auto"/>
          <w:sz w:val="24"/>
          <w:highlight w:val="none"/>
        </w:rPr>
        <w:t>的情形：</w:t>
      </w:r>
    </w:p>
    <w:p w14:paraId="2AF6DB6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r>
        <w:rPr>
          <w:rFonts w:hint="eastAsia" w:ascii="宋体" w:hAnsi="宋体" w:cs="宋体"/>
          <w:color w:val="auto"/>
          <w:sz w:val="24"/>
          <w:highlight w:val="none"/>
        </w:rPr>
        <w:t>或者上传提交响应文件硬件设备CPU编号、硬盘编号、网卡地址一致的情况；</w:t>
      </w:r>
    </w:p>
    <w:p w14:paraId="5B4BEC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事宜；</w:t>
      </w:r>
    </w:p>
    <w:p w14:paraId="0AC4EA5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3F5EFED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同供应商的响应文件异常一致或者参与</w:t>
      </w:r>
      <w:r>
        <w:rPr>
          <w:rFonts w:hint="eastAsia" w:ascii="宋体" w:hAnsi="宋体" w:cs="宋体"/>
          <w:color w:val="auto"/>
          <w:sz w:val="24"/>
          <w:highlight w:val="none"/>
          <w:lang w:bidi="ar"/>
        </w:rPr>
        <w:t>竞争性谈判的</w:t>
      </w:r>
      <w:r>
        <w:rPr>
          <w:rFonts w:hint="eastAsia" w:ascii="宋体" w:hAnsi="宋体" w:cs="宋体"/>
          <w:color w:val="auto"/>
          <w:spacing w:val="-6"/>
          <w:sz w:val="24"/>
          <w:highlight w:val="none"/>
        </w:rPr>
        <w:t>报价呈规律性差异；</w:t>
      </w:r>
    </w:p>
    <w:p w14:paraId="3A638C3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180816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6.不同供应商的谈判保证金从同一单位或者个人账户转出。</w:t>
      </w:r>
    </w:p>
    <w:p w14:paraId="094CFB91">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95BB0D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D9CB0D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F3884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36492AB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FF78EA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报价,或者在竞争性谈判项目中事先约定轮流以高价位或者低价位成交,或者事先约定由某一特定供应商成交,然后再参加</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w:t>
      </w:r>
    </w:p>
    <w:p w14:paraId="4728B26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7F4FE39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6DA1196">
      <w:pPr>
        <w:spacing w:line="360" w:lineRule="auto"/>
        <w:ind w:firstLine="480" w:firstLineChars="200"/>
        <w:contextualSpacing/>
        <w:rPr>
          <w:rFonts w:hint="eastAsia" w:ascii="宋体" w:hAnsi="宋体" w:cs="宋体"/>
          <w:color w:val="auto"/>
          <w:sz w:val="24"/>
          <w:highlight w:val="none"/>
        </w:rPr>
      </w:pPr>
    </w:p>
    <w:p w14:paraId="66E16E26">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714B8CA8">
      <w:pPr>
        <w:spacing w:line="360" w:lineRule="auto"/>
        <w:ind w:firstLine="480" w:firstLineChars="200"/>
        <w:contextualSpacing/>
        <w:rPr>
          <w:rFonts w:hint="eastAsia" w:ascii="宋体" w:hAnsi="宋体" w:cs="宋体"/>
          <w:color w:val="auto"/>
          <w:sz w:val="24"/>
          <w:highlight w:val="none"/>
        </w:rPr>
      </w:pPr>
    </w:p>
    <w:p w14:paraId="7A5FF599">
      <w:pPr>
        <w:spacing w:line="360" w:lineRule="auto"/>
        <w:ind w:firstLine="3600" w:firstLineChars="15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供应商（公章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E5DF66D">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05C39994">
      <w:pPr>
        <w:tabs>
          <w:tab w:val="left" w:pos="3479"/>
        </w:tabs>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44"/>
          <w:szCs w:val="44"/>
          <w:highlight w:val="none"/>
        </w:rPr>
        <w:t>竞争性谈判报价表</w:t>
      </w:r>
    </w:p>
    <w:p w14:paraId="3BE77E69">
      <w:pPr>
        <w:spacing w:line="360" w:lineRule="auto"/>
        <w:jc w:val="center"/>
        <w:rPr>
          <w:rFonts w:hint="eastAsia" w:ascii="宋体" w:hAnsi="宋体" w:cs="宋体"/>
          <w:bCs/>
          <w:color w:val="auto"/>
          <w:sz w:val="24"/>
          <w:highlight w:val="none"/>
        </w:rPr>
      </w:pPr>
    </w:p>
    <w:p w14:paraId="3AE94C1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分标（如有）：</w:t>
      </w:r>
      <w:r>
        <w:rPr>
          <w:rFonts w:hint="eastAsia" w:ascii="宋体" w:hAnsi="宋体" w:cs="宋体"/>
          <w:color w:val="auto"/>
          <w:sz w:val="24"/>
          <w:highlight w:val="none"/>
          <w:u w:val="single"/>
        </w:rPr>
        <w:t xml:space="preserve">            </w:t>
      </w:r>
    </w:p>
    <w:p w14:paraId="23193FA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AAB20EA">
      <w:pPr>
        <w:snapToGrid w:val="0"/>
        <w:spacing w:line="360" w:lineRule="auto"/>
        <w:ind w:firstLine="5520" w:firstLineChars="2300"/>
        <w:rPr>
          <w:rFonts w:hint="eastAsia" w:ascii="宋体" w:hAnsi="宋体" w:cs="宋体"/>
          <w:color w:val="auto"/>
          <w:sz w:val="24"/>
          <w:highlight w:val="none"/>
        </w:rPr>
      </w:pPr>
      <w:r>
        <w:rPr>
          <w:rFonts w:hint="eastAsia" w:ascii="宋体" w:hAnsi="宋体" w:cs="宋体"/>
          <w:color w:val="auto"/>
          <w:sz w:val="24"/>
          <w:highlight w:val="none"/>
        </w:rPr>
        <w:t>货币单位：人民币元</w:t>
      </w:r>
    </w:p>
    <w:tbl>
      <w:tblPr>
        <w:tblStyle w:val="26"/>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179E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321A7C89">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3D287135">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货物名称</w:t>
            </w:r>
          </w:p>
        </w:tc>
        <w:tc>
          <w:tcPr>
            <w:tcW w:w="1134" w:type="dxa"/>
            <w:vAlign w:val="center"/>
          </w:tcPr>
          <w:p w14:paraId="538BC523">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3416A31C">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637C4961">
            <w:pPr>
              <w:snapToGrid w:val="0"/>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3217F0C5">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5B7C89EF">
            <w:pPr>
              <w:snapToGrid w:val="0"/>
              <w:jc w:val="center"/>
              <w:rPr>
                <w:rFonts w:hint="eastAsia"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53C483E5">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3504BB83">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单  价</w:t>
            </w:r>
          </w:p>
          <w:p w14:paraId="119A69D5">
            <w:pPr>
              <w:snapToGrid w:val="0"/>
              <w:jc w:val="center"/>
              <w:rPr>
                <w:rFonts w:hint="eastAsia"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6BDAD0AA">
            <w:pPr>
              <w:snapToGrid w:val="0"/>
              <w:spacing w:before="50" w:after="50" w:line="360" w:lineRule="auto"/>
              <w:jc w:val="center"/>
              <w:rPr>
                <w:rFonts w:hint="eastAsia" w:ascii="宋体" w:hAnsi="宋体" w:cs="宋体"/>
                <w:color w:val="auto"/>
                <w:sz w:val="24"/>
                <w:highlight w:val="none"/>
              </w:rPr>
            </w:pP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w:t>
            </w:r>
          </w:p>
          <w:p w14:paraId="4484041E">
            <w:pPr>
              <w:snapToGrid w:val="0"/>
              <w:jc w:val="center"/>
              <w:rPr>
                <w:rFonts w:hint="eastAsia" w:ascii="宋体" w:hAnsi="宋体" w:cs="宋体"/>
                <w:color w:val="auto"/>
                <w:sz w:val="24"/>
                <w:highlight w:val="none"/>
              </w:rPr>
            </w:pPr>
            <w:r>
              <w:rPr>
                <w:rFonts w:hint="eastAsia" w:ascii="宋体" w:hAnsi="宋体" w:cs="宋体"/>
                <w:color w:val="auto"/>
                <w:sz w:val="24"/>
                <w:highlight w:val="none"/>
              </w:rPr>
              <w:t>③=①×②</w:t>
            </w:r>
          </w:p>
        </w:tc>
      </w:tr>
      <w:tr w14:paraId="6AA8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3FF3996C">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7F51977A">
            <w:pPr>
              <w:snapToGrid w:val="0"/>
              <w:spacing w:line="460" w:lineRule="exact"/>
              <w:jc w:val="center"/>
              <w:rPr>
                <w:rFonts w:hint="eastAsia" w:ascii="宋体" w:hAnsi="宋体" w:cs="宋体"/>
                <w:color w:val="auto"/>
                <w:sz w:val="24"/>
                <w:highlight w:val="none"/>
              </w:rPr>
            </w:pPr>
          </w:p>
        </w:tc>
        <w:tc>
          <w:tcPr>
            <w:tcW w:w="1134" w:type="dxa"/>
            <w:vAlign w:val="center"/>
          </w:tcPr>
          <w:p w14:paraId="782D1BF4">
            <w:pPr>
              <w:snapToGrid w:val="0"/>
              <w:spacing w:line="460" w:lineRule="exact"/>
              <w:jc w:val="center"/>
              <w:rPr>
                <w:rFonts w:hint="eastAsia" w:ascii="宋体" w:hAnsi="宋体" w:cs="宋体"/>
                <w:color w:val="auto"/>
                <w:sz w:val="24"/>
                <w:highlight w:val="none"/>
              </w:rPr>
            </w:pPr>
          </w:p>
        </w:tc>
        <w:tc>
          <w:tcPr>
            <w:tcW w:w="1276" w:type="dxa"/>
            <w:vAlign w:val="center"/>
          </w:tcPr>
          <w:p w14:paraId="75964A8F">
            <w:pPr>
              <w:snapToGrid w:val="0"/>
              <w:spacing w:line="460" w:lineRule="exact"/>
              <w:jc w:val="center"/>
              <w:rPr>
                <w:rFonts w:hint="eastAsia" w:ascii="宋体" w:hAnsi="宋体" w:cs="宋体"/>
                <w:color w:val="auto"/>
                <w:sz w:val="24"/>
                <w:highlight w:val="none"/>
              </w:rPr>
            </w:pPr>
          </w:p>
        </w:tc>
        <w:tc>
          <w:tcPr>
            <w:tcW w:w="1134" w:type="dxa"/>
          </w:tcPr>
          <w:p w14:paraId="21B757F2">
            <w:pPr>
              <w:snapToGrid w:val="0"/>
              <w:spacing w:line="460" w:lineRule="exact"/>
              <w:jc w:val="center"/>
              <w:rPr>
                <w:rFonts w:hint="eastAsia" w:ascii="宋体" w:hAnsi="宋体" w:cs="宋体"/>
                <w:color w:val="auto"/>
                <w:sz w:val="24"/>
                <w:highlight w:val="none"/>
              </w:rPr>
            </w:pPr>
          </w:p>
        </w:tc>
        <w:tc>
          <w:tcPr>
            <w:tcW w:w="992" w:type="dxa"/>
            <w:vAlign w:val="center"/>
          </w:tcPr>
          <w:p w14:paraId="11B5AC78">
            <w:pPr>
              <w:snapToGrid w:val="0"/>
              <w:spacing w:line="460" w:lineRule="exact"/>
              <w:jc w:val="center"/>
              <w:rPr>
                <w:rFonts w:hint="eastAsia" w:ascii="宋体" w:hAnsi="宋体" w:cs="宋体"/>
                <w:color w:val="auto"/>
                <w:sz w:val="24"/>
                <w:highlight w:val="none"/>
              </w:rPr>
            </w:pPr>
          </w:p>
        </w:tc>
        <w:tc>
          <w:tcPr>
            <w:tcW w:w="709" w:type="dxa"/>
            <w:vAlign w:val="center"/>
          </w:tcPr>
          <w:p w14:paraId="01A62B00">
            <w:pPr>
              <w:pStyle w:val="77"/>
              <w:snapToGrid w:val="0"/>
              <w:spacing w:line="460" w:lineRule="exact"/>
              <w:ind w:left="360" w:firstLine="0" w:firstLineChars="0"/>
              <w:rPr>
                <w:rFonts w:hint="eastAsia" w:ascii="宋体" w:hAnsi="宋体" w:cs="宋体"/>
                <w:color w:val="auto"/>
                <w:sz w:val="24"/>
                <w:highlight w:val="none"/>
              </w:rPr>
            </w:pPr>
          </w:p>
        </w:tc>
        <w:tc>
          <w:tcPr>
            <w:tcW w:w="830" w:type="dxa"/>
          </w:tcPr>
          <w:p w14:paraId="5ECC4357">
            <w:pPr>
              <w:snapToGrid w:val="0"/>
              <w:spacing w:line="460" w:lineRule="exact"/>
              <w:jc w:val="center"/>
              <w:rPr>
                <w:rFonts w:hint="eastAsia" w:ascii="宋体" w:hAnsi="宋体" w:cs="宋体"/>
                <w:color w:val="auto"/>
                <w:sz w:val="24"/>
                <w:highlight w:val="none"/>
              </w:rPr>
            </w:pPr>
          </w:p>
        </w:tc>
        <w:tc>
          <w:tcPr>
            <w:tcW w:w="1722" w:type="dxa"/>
            <w:vAlign w:val="center"/>
          </w:tcPr>
          <w:p w14:paraId="5D403E1E">
            <w:pPr>
              <w:pStyle w:val="77"/>
              <w:snapToGrid w:val="0"/>
              <w:spacing w:line="460" w:lineRule="exact"/>
              <w:ind w:left="360" w:firstLine="0" w:firstLineChars="0"/>
              <w:rPr>
                <w:rFonts w:hint="eastAsia" w:ascii="宋体" w:hAnsi="宋体" w:cs="宋体"/>
                <w:color w:val="auto"/>
                <w:sz w:val="24"/>
                <w:highlight w:val="none"/>
              </w:rPr>
            </w:pPr>
          </w:p>
        </w:tc>
        <w:tc>
          <w:tcPr>
            <w:tcW w:w="1276" w:type="dxa"/>
          </w:tcPr>
          <w:p w14:paraId="049BDE38">
            <w:pPr>
              <w:snapToGrid w:val="0"/>
              <w:spacing w:line="460" w:lineRule="exact"/>
              <w:jc w:val="center"/>
              <w:rPr>
                <w:rFonts w:hint="eastAsia" w:ascii="宋体" w:hAnsi="宋体" w:cs="宋体"/>
                <w:color w:val="auto"/>
                <w:sz w:val="24"/>
                <w:highlight w:val="none"/>
              </w:rPr>
            </w:pPr>
          </w:p>
        </w:tc>
      </w:tr>
      <w:tr w14:paraId="0DED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63BE1308">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7FE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59ED4E6A">
            <w:pPr>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交货时间：合同签订后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日内全部完成设备的供货并安装调试完毕。。</w:t>
            </w:r>
          </w:p>
        </w:tc>
      </w:tr>
    </w:tbl>
    <w:p w14:paraId="3AA5179F">
      <w:pPr>
        <w:pStyle w:val="39"/>
        <w:rPr>
          <w:color w:val="auto"/>
          <w:highlight w:val="none"/>
        </w:rPr>
      </w:pPr>
    </w:p>
    <w:p w14:paraId="6A880B98">
      <w:pPr>
        <w:spacing w:line="300" w:lineRule="exact"/>
        <w:contextualSpacing/>
        <w:jc w:val="left"/>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0031C873">
      <w:pPr>
        <w:spacing w:line="300" w:lineRule="exact"/>
        <w:ind w:firstLine="480" w:firstLineChars="200"/>
        <w:contextualSpacing/>
        <w:jc w:val="left"/>
        <w:rPr>
          <w:rFonts w:hint="eastAsia" w:ascii="楷体" w:hAnsi="楷体" w:eastAsia="楷体" w:cs="宋体"/>
          <w:b/>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竞争性谈判报价表中“货物名称、数量、单位、品牌、型号、生产厂家、产地”必须如实填写完整，定制产品在型号栏中填写“定制”。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其响应文件按无效响应处理。</w:t>
      </w:r>
    </w:p>
    <w:p w14:paraId="10E38B6B">
      <w:pPr>
        <w:snapToGrid w:val="0"/>
        <w:spacing w:before="50" w:after="50" w:line="300" w:lineRule="exact"/>
        <w:ind w:firstLine="482" w:firstLineChars="200"/>
        <w:jc w:val="left"/>
        <w:rPr>
          <w:rFonts w:hint="eastAsia" w:ascii="楷体" w:hAnsi="楷体" w:eastAsia="楷体"/>
          <w:color w:val="auto"/>
          <w:highlight w:val="none"/>
        </w:rPr>
      </w:pPr>
      <w:r>
        <w:rPr>
          <w:rFonts w:ascii="楷体" w:hAnsi="楷体" w:eastAsia="楷体" w:cs="宋体"/>
          <w:b/>
          <w:color w:val="auto"/>
          <w:sz w:val="24"/>
          <w:highlight w:val="none"/>
        </w:rPr>
        <w:t>2.所填写的型号与货物铭牌一致。</w:t>
      </w:r>
    </w:p>
    <w:p w14:paraId="04683EB9">
      <w:pPr>
        <w:spacing w:line="300" w:lineRule="exact"/>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3.供应商的报价表必须加盖供应商公章并由法定代表人或者委托代理人签字，</w:t>
      </w:r>
      <w:r>
        <w:rPr>
          <w:rFonts w:hint="eastAsia" w:ascii="楷体" w:hAnsi="楷体" w:eastAsia="楷体" w:cs="宋体"/>
          <w:b/>
          <w:color w:val="auto"/>
          <w:sz w:val="24"/>
          <w:highlight w:val="none"/>
        </w:rPr>
        <w:t>否则其响应文件按无效响应处理</w:t>
      </w:r>
      <w:r>
        <w:rPr>
          <w:rFonts w:hint="eastAsia" w:ascii="楷体" w:hAnsi="楷体" w:eastAsia="楷体" w:cs="宋体"/>
          <w:color w:val="auto"/>
          <w:sz w:val="24"/>
          <w:highlight w:val="none"/>
        </w:rPr>
        <w:t>。</w:t>
      </w:r>
    </w:p>
    <w:p w14:paraId="2E3AFF8E">
      <w:pPr>
        <w:spacing w:line="300" w:lineRule="exact"/>
        <w:ind w:firstLine="480" w:firstLineChars="200"/>
        <w:contextualSpacing/>
        <w:jc w:val="left"/>
        <w:rPr>
          <w:rFonts w:hint="eastAsia" w:ascii="楷体" w:hAnsi="楷体" w:eastAsia="楷体" w:cs="宋体"/>
          <w:b/>
          <w:color w:val="auto"/>
          <w:sz w:val="24"/>
          <w:highlight w:val="none"/>
        </w:rPr>
      </w:pPr>
      <w:r>
        <w:rPr>
          <w:rFonts w:ascii="楷体" w:hAnsi="楷体" w:eastAsia="楷体" w:cs="宋体"/>
          <w:bCs/>
          <w:color w:val="auto"/>
          <w:sz w:val="24"/>
          <w:highlight w:val="none"/>
        </w:rPr>
        <w:t>4.</w:t>
      </w:r>
      <w:r>
        <w:rPr>
          <w:rFonts w:hint="eastAsia" w:ascii="楷体" w:hAnsi="楷体" w:eastAsia="楷体" w:cs="宋体"/>
          <w:color w:val="auto"/>
          <w:sz w:val="24"/>
          <w:highlight w:val="none"/>
        </w:rPr>
        <w:t>报价一经涂改，应在涂改处加盖供应商公章或者由法定代表人或者授权委托人签字或者盖章</w:t>
      </w:r>
      <w:r>
        <w:rPr>
          <w:rFonts w:hint="eastAsia" w:ascii="楷体" w:hAnsi="楷体" w:eastAsia="楷体" w:cs="宋体"/>
          <w:b/>
          <w:color w:val="auto"/>
          <w:sz w:val="24"/>
          <w:highlight w:val="none"/>
        </w:rPr>
        <w:t>，否则其响应文件按无效响应处理。</w:t>
      </w:r>
    </w:p>
    <w:p w14:paraId="286AA709">
      <w:pPr>
        <w:spacing w:line="300" w:lineRule="exact"/>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5.谈判文件中列明采购专用耗材的，应按谈判文件规定的耗材量或者按耗材的常规</w:t>
      </w:r>
      <w:r>
        <w:rPr>
          <w:rFonts w:hint="eastAsia" w:ascii="楷体" w:hAnsi="楷体" w:eastAsia="楷体" w:cs="宋体"/>
          <w:color w:val="auto"/>
          <w:sz w:val="24"/>
          <w:highlight w:val="none"/>
        </w:rPr>
        <w:t>使用量提供报价。</w:t>
      </w:r>
    </w:p>
    <w:p w14:paraId="1E96D605">
      <w:pPr>
        <w:spacing w:line="300" w:lineRule="exact"/>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6.如为联合体</w:t>
      </w:r>
      <w:r>
        <w:rPr>
          <w:rFonts w:hint="eastAsia" w:ascii="楷体" w:hAnsi="楷体" w:eastAsia="楷体" w:cs="宋体"/>
          <w:color w:val="auto"/>
          <w:sz w:val="24"/>
          <w:highlight w:val="none"/>
        </w:rPr>
        <w:t>参与竞争性谈判</w:t>
      </w:r>
      <w:r>
        <w:rPr>
          <w:rFonts w:ascii="楷体" w:hAnsi="楷体" w:eastAsia="楷体" w:cs="宋体"/>
          <w:color w:val="auto"/>
          <w:sz w:val="24"/>
          <w:highlight w:val="none"/>
        </w:rPr>
        <w:t>,“供应商名称”处必须列明联合体各方名称，标注联合体牵头人名称，</w:t>
      </w:r>
      <w:r>
        <w:rPr>
          <w:rFonts w:hint="eastAsia" w:ascii="楷体" w:hAnsi="楷体" w:eastAsia="楷体" w:cs="宋体"/>
          <w:b/>
          <w:color w:val="auto"/>
          <w:sz w:val="24"/>
          <w:highlight w:val="none"/>
        </w:rPr>
        <w:t>否则其响应文件按无效响应处理。（采购人可根据项目情况自行修改是否需要联合体各方签字盖章）</w:t>
      </w:r>
    </w:p>
    <w:p w14:paraId="1B9D37D0">
      <w:pPr>
        <w:spacing w:line="300" w:lineRule="exact"/>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7.如为联合体</w:t>
      </w:r>
      <w:r>
        <w:rPr>
          <w:rFonts w:hint="eastAsia" w:ascii="楷体" w:hAnsi="楷体" w:eastAsia="楷体" w:cs="宋体"/>
          <w:color w:val="auto"/>
          <w:sz w:val="24"/>
          <w:highlight w:val="none"/>
        </w:rPr>
        <w:t>参与竞争性谈判</w:t>
      </w:r>
      <w:r>
        <w:rPr>
          <w:rFonts w:ascii="楷体" w:hAnsi="楷体" w:eastAsia="楷体" w:cs="宋体"/>
          <w:color w:val="auto"/>
          <w:sz w:val="24"/>
          <w:highlight w:val="none"/>
        </w:rPr>
        <w:t>,盖章处须加盖联合体各方公章，</w:t>
      </w:r>
      <w:r>
        <w:rPr>
          <w:rFonts w:hint="eastAsia" w:ascii="楷体" w:hAnsi="楷体" w:eastAsia="楷体" w:cs="宋体"/>
          <w:b/>
          <w:color w:val="auto"/>
          <w:sz w:val="24"/>
          <w:highlight w:val="none"/>
        </w:rPr>
        <w:t>否则其响应文件按无效响应处理。</w:t>
      </w:r>
    </w:p>
    <w:p w14:paraId="7972F0AA">
      <w:pPr>
        <w:spacing w:line="300" w:lineRule="exact"/>
        <w:ind w:firstLine="480" w:firstLineChars="200"/>
        <w:contextualSpacing/>
        <w:rPr>
          <w:rFonts w:hint="eastAsia"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pacing w:val="-6"/>
          <w:sz w:val="24"/>
          <w:highlight w:val="none"/>
        </w:rPr>
        <w:t>如有多分标，分别列明各分标的报价表，</w:t>
      </w:r>
      <w:r>
        <w:rPr>
          <w:rFonts w:hint="eastAsia" w:ascii="楷体" w:hAnsi="楷体" w:eastAsia="楷体" w:cs="宋体"/>
          <w:b/>
          <w:color w:val="auto"/>
          <w:spacing w:val="-6"/>
          <w:sz w:val="24"/>
          <w:highlight w:val="none"/>
        </w:rPr>
        <w:t>否则其响应文件按无效响应处理。</w:t>
      </w:r>
      <w:r>
        <w:rPr>
          <w:rFonts w:hint="eastAsia" w:ascii="楷体" w:hAnsi="楷体" w:eastAsia="楷体" w:cs="宋体"/>
          <w:b/>
          <w:color w:val="auto"/>
          <w:sz w:val="24"/>
          <w:highlight w:val="none"/>
        </w:rPr>
        <w:t>（采购人可根据项目情况自行修改是否需要联合体各方签字盖章）</w:t>
      </w:r>
    </w:p>
    <w:p w14:paraId="49879C3F">
      <w:pPr>
        <w:pStyle w:val="39"/>
        <w:rPr>
          <w:color w:val="auto"/>
          <w:highlight w:val="none"/>
        </w:rPr>
      </w:pPr>
    </w:p>
    <w:p w14:paraId="72820BB4">
      <w:pPr>
        <w:spacing w:line="360" w:lineRule="auto"/>
        <w:ind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207EB09">
      <w:pPr>
        <w:spacing w:line="360" w:lineRule="auto"/>
        <w:ind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供应商（公章）：</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4D06874">
      <w:pPr>
        <w:spacing w:line="360" w:lineRule="auto"/>
        <w:ind w:firstLine="2640" w:firstLineChars="1100"/>
        <w:contextualSpacing/>
        <w:rPr>
          <w:rFonts w:hint="eastAsia" w:ascii="宋体" w:hAnsi="宋体" w:cs="宋体"/>
          <w:b/>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4A43D5C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44"/>
          <w:szCs w:val="44"/>
          <w:highlight w:val="none"/>
        </w:rPr>
        <w:t>法定代表人身份证明</w:t>
      </w:r>
    </w:p>
    <w:p w14:paraId="276C0CA5">
      <w:pPr>
        <w:spacing w:line="360" w:lineRule="auto"/>
        <w:contextualSpacing/>
        <w:rPr>
          <w:rFonts w:hint="eastAsia" w:ascii="宋体" w:hAnsi="宋体" w:cs="宋体"/>
          <w:color w:val="auto"/>
          <w:sz w:val="32"/>
          <w:szCs w:val="32"/>
          <w:highlight w:val="none"/>
        </w:rPr>
      </w:pPr>
    </w:p>
    <w:p w14:paraId="772DE1B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363835A4">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256EB59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33A0421">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3BD336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C694F2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3F0E847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2AFD1915">
      <w:pPr>
        <w:spacing w:line="360" w:lineRule="auto"/>
        <w:contextualSpacing/>
        <w:rPr>
          <w:rFonts w:hint="eastAsia" w:ascii="宋体" w:hAnsi="宋体" w:cs="宋体"/>
          <w:color w:val="auto"/>
          <w:sz w:val="24"/>
          <w:highlight w:val="none"/>
        </w:rPr>
      </w:pPr>
    </w:p>
    <w:p w14:paraId="4AB80F86">
      <w:pPr>
        <w:spacing w:line="360" w:lineRule="auto"/>
        <w:contextualSpacing/>
        <w:rPr>
          <w:rFonts w:hint="eastAsia" w:ascii="宋体" w:hAnsi="宋体" w:cs="宋体"/>
          <w:color w:val="auto"/>
          <w:sz w:val="24"/>
          <w:highlight w:val="none"/>
        </w:rPr>
      </w:pPr>
    </w:p>
    <w:p w14:paraId="123859CE">
      <w:pPr>
        <w:spacing w:line="360" w:lineRule="auto"/>
        <w:contextualSpacing/>
        <w:rPr>
          <w:rFonts w:hint="eastAsia" w:ascii="宋体" w:hAnsi="宋体" w:cs="宋体"/>
          <w:color w:val="auto"/>
          <w:sz w:val="24"/>
          <w:highlight w:val="none"/>
        </w:rPr>
      </w:pPr>
    </w:p>
    <w:p w14:paraId="16D9EA5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40FEB490">
      <w:pPr>
        <w:spacing w:line="360" w:lineRule="auto"/>
        <w:contextualSpacing/>
        <w:rPr>
          <w:rFonts w:hint="eastAsia" w:ascii="宋体" w:hAnsi="宋体" w:cs="宋体"/>
          <w:color w:val="auto"/>
          <w:sz w:val="24"/>
          <w:highlight w:val="none"/>
        </w:rPr>
      </w:pPr>
    </w:p>
    <w:p w14:paraId="0661C651">
      <w:pPr>
        <w:spacing w:line="360" w:lineRule="auto"/>
        <w:ind w:right="960" w:firstLine="5040" w:firstLineChars="2100"/>
        <w:contextualSpacing/>
        <w:rPr>
          <w:rFonts w:hint="eastAsia"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7001C845">
      <w:pPr>
        <w:spacing w:line="360" w:lineRule="auto"/>
        <w:ind w:firstLine="5040" w:firstLineChars="2100"/>
        <w:contextualSpacing/>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F6CFDC6">
      <w:pPr>
        <w:spacing w:line="360" w:lineRule="auto"/>
        <w:contextualSpacing/>
        <w:jc w:val="center"/>
        <w:rPr>
          <w:rFonts w:hint="eastAsia" w:ascii="宋体" w:hAnsi="宋体" w:cs="宋体"/>
          <w:b/>
          <w:color w:val="auto"/>
          <w:sz w:val="24"/>
          <w:highlight w:val="none"/>
        </w:rPr>
      </w:pPr>
    </w:p>
    <w:p w14:paraId="63504E66">
      <w:pPr>
        <w:spacing w:line="360" w:lineRule="auto"/>
        <w:contextualSpacing/>
        <w:jc w:val="left"/>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1ADC851C">
      <w:pPr>
        <w:spacing w:line="360" w:lineRule="auto"/>
        <w:ind w:firstLine="480" w:firstLineChars="200"/>
        <w:contextualSpacing/>
        <w:jc w:val="left"/>
        <w:rPr>
          <w:rFonts w:hint="eastAsia" w:ascii="楷体" w:hAnsi="楷体" w:eastAsia="楷体" w:cs="宋体"/>
          <w:color w:val="auto"/>
          <w:sz w:val="24"/>
          <w:highlight w:val="none"/>
        </w:rPr>
      </w:pPr>
      <w:r>
        <w:rPr>
          <w:rFonts w:hint="eastAsia" w:ascii="楷体" w:hAnsi="楷体" w:eastAsia="楷体" w:cs="宋体"/>
          <w:color w:val="auto"/>
          <w:sz w:val="24"/>
          <w:highlight w:val="none"/>
        </w:rPr>
        <w:t>自然人参与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的无需提供，联合体参与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的只需牵头人出具。</w:t>
      </w:r>
    </w:p>
    <w:p w14:paraId="18EB45C9">
      <w:pPr>
        <w:adjustRightInd w:val="0"/>
        <w:snapToGrid w:val="0"/>
        <w:spacing w:line="360" w:lineRule="auto"/>
        <w:jc w:val="left"/>
        <w:rPr>
          <w:rFonts w:hint="eastAsia" w:ascii="楷体" w:hAnsi="楷体" w:eastAsia="楷体" w:cs="宋体"/>
          <w:b/>
          <w:color w:val="auto"/>
          <w:szCs w:val="21"/>
          <w:highlight w:val="none"/>
        </w:rPr>
      </w:pPr>
    </w:p>
    <w:p w14:paraId="14E0F5DB">
      <w:pPr>
        <w:spacing w:line="360" w:lineRule="auto"/>
        <w:jc w:val="center"/>
        <w:rPr>
          <w:rFonts w:hint="eastAsia" w:ascii="宋体" w:hAnsi="宋体" w:cs="宋体"/>
          <w:b/>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44"/>
          <w:szCs w:val="44"/>
          <w:highlight w:val="none"/>
        </w:rPr>
        <w:t>授权委托书</w:t>
      </w:r>
    </w:p>
    <w:p w14:paraId="15449120">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（非联合体参与竞争性谈判格式）</w:t>
      </w:r>
    </w:p>
    <w:p w14:paraId="028045CE">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（如有委托时）</w:t>
      </w:r>
    </w:p>
    <w:p w14:paraId="0E02A6C3">
      <w:pPr>
        <w:spacing w:line="360" w:lineRule="auto"/>
        <w:contextualSpacing/>
        <w:rPr>
          <w:rFonts w:hint="eastAsia" w:ascii="宋体" w:hAnsi="宋体" w:cs="宋体"/>
          <w:color w:val="auto"/>
          <w:sz w:val="32"/>
          <w:szCs w:val="32"/>
          <w:highlight w:val="none"/>
        </w:rPr>
      </w:pPr>
    </w:p>
    <w:p w14:paraId="16C43FC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1CFF4A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活动，并代表我方全权办理针对上述项目的所有采购程序和环节的具体事务和签署相关文件。</w:t>
      </w:r>
    </w:p>
    <w:p w14:paraId="21E9CDC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188826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D00310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5B6540B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56718E24">
      <w:pPr>
        <w:spacing w:line="360" w:lineRule="auto"/>
        <w:contextualSpacing/>
        <w:rPr>
          <w:rFonts w:hint="eastAsia" w:ascii="宋体" w:hAnsi="宋体" w:cs="宋体"/>
          <w:color w:val="auto"/>
          <w:sz w:val="24"/>
          <w:highlight w:val="none"/>
        </w:rPr>
      </w:pPr>
    </w:p>
    <w:p w14:paraId="5D66E21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EFCF648">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9810524">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5AF1FE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A66C07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02F3A61A">
      <w:pPr>
        <w:spacing w:line="360" w:lineRule="auto"/>
        <w:contextualSpacing/>
        <w:rPr>
          <w:rFonts w:hint="eastAsia" w:ascii="宋体" w:hAnsi="宋体" w:cs="宋体"/>
          <w:color w:val="auto"/>
          <w:sz w:val="24"/>
          <w:highlight w:val="none"/>
        </w:rPr>
      </w:pPr>
    </w:p>
    <w:p w14:paraId="5837DE61">
      <w:pPr>
        <w:spacing w:line="360" w:lineRule="auto"/>
        <w:contextualSpacing/>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725B0C26">
      <w:pPr>
        <w:spacing w:line="360" w:lineRule="auto"/>
        <w:ind w:firstLine="480" w:firstLineChars="200"/>
        <w:contextualSpacing/>
        <w:rPr>
          <w:rFonts w:hint="eastAsia"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color w:val="auto"/>
          <w:sz w:val="24"/>
          <w:highlight w:val="none"/>
        </w:rPr>
        <w:t>否则其响应文件按无效响应处理。</w:t>
      </w:r>
    </w:p>
    <w:p w14:paraId="29EE07A4">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2.法人、其他组织</w:t>
      </w:r>
      <w:r>
        <w:rPr>
          <w:rFonts w:hint="eastAsia" w:ascii="楷体" w:hAnsi="楷体" w:eastAsia="楷体" w:cs="宋体"/>
          <w:color w:val="auto"/>
          <w:sz w:val="24"/>
          <w:highlight w:val="none"/>
        </w:rPr>
        <w:t>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时“我方”是指“我单位”，自然人参与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时“我方”是指“本人”。</w:t>
      </w:r>
    </w:p>
    <w:p w14:paraId="2BA7DF8B">
      <w:pPr>
        <w:spacing w:line="360" w:lineRule="auto"/>
        <w:ind w:firstLine="420" w:firstLineChars="200"/>
        <w:contextualSpacing/>
        <w:jc w:val="left"/>
        <w:rPr>
          <w:rFonts w:hint="eastAsia" w:ascii="宋体" w:hAnsi="宋体" w:cs="宋体"/>
          <w:color w:val="auto"/>
          <w:szCs w:val="21"/>
          <w:highlight w:val="none"/>
        </w:rPr>
      </w:pPr>
    </w:p>
    <w:p w14:paraId="62379D7A">
      <w:pPr>
        <w:spacing w:line="360" w:lineRule="auto"/>
        <w:contextualSpacing/>
        <w:jc w:val="center"/>
        <w:rPr>
          <w:rFonts w:hint="eastAsia" w:ascii="宋体" w:hAnsi="宋体" w:cs="宋体"/>
          <w:b/>
          <w:color w:val="auto"/>
          <w:sz w:val="44"/>
          <w:szCs w:val="44"/>
          <w:highlight w:val="none"/>
        </w:rPr>
      </w:pPr>
      <w:r>
        <w:rPr>
          <w:rFonts w:hint="eastAsia" w:ascii="宋体" w:hAnsi="宋体" w:cs="宋体"/>
          <w:color w:val="auto"/>
          <w:szCs w:val="21"/>
          <w:highlight w:val="none"/>
        </w:rPr>
        <w:br w:type="page"/>
      </w:r>
      <w:r>
        <w:rPr>
          <w:rFonts w:hint="eastAsia" w:ascii="宋体" w:hAnsi="宋体" w:cs="宋体"/>
          <w:b/>
          <w:color w:val="auto"/>
          <w:sz w:val="44"/>
          <w:szCs w:val="44"/>
          <w:highlight w:val="none"/>
        </w:rPr>
        <w:t>授权委托书</w:t>
      </w:r>
    </w:p>
    <w:p w14:paraId="0AA14430">
      <w:pPr>
        <w:spacing w:line="360" w:lineRule="auto"/>
        <w:contextualSpacing/>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（联合体参与竞争性谈判格式）</w:t>
      </w:r>
    </w:p>
    <w:p w14:paraId="67C1AA5F">
      <w:pPr>
        <w:spacing w:line="360" w:lineRule="auto"/>
        <w:contextualSpacing/>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（如有委托时）</w:t>
      </w:r>
    </w:p>
    <w:p w14:paraId="0BB1DC8D">
      <w:pPr>
        <w:spacing w:line="360" w:lineRule="auto"/>
        <w:contextualSpacing/>
        <w:rPr>
          <w:rFonts w:hint="eastAsia" w:ascii="宋体" w:hAnsi="宋体" w:cs="宋体"/>
          <w:color w:val="auto"/>
          <w:sz w:val="32"/>
          <w:szCs w:val="32"/>
          <w:highlight w:val="none"/>
        </w:rPr>
      </w:pPr>
    </w:p>
    <w:p w14:paraId="4166BF2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（联合体其他成员名称）签订的《联合体参与竞争性谈判协议书》的内容，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1DBF076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48C50B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60142D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096DFB17">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5B4651A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牵头人法定代表人（签字）：</w:t>
      </w:r>
    </w:p>
    <w:p w14:paraId="33B8867C">
      <w:pPr>
        <w:spacing w:line="360" w:lineRule="auto"/>
        <w:ind w:firstLine="3120" w:firstLineChars="1300"/>
        <w:contextualSpacing/>
        <w:rPr>
          <w:rFonts w:hint="eastAsia"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90C09B4">
      <w:pPr>
        <w:spacing w:line="360" w:lineRule="auto"/>
        <w:ind w:firstLine="3840" w:firstLineChars="1600"/>
        <w:contextualSpacing/>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DDD233E">
      <w:pPr>
        <w:spacing w:line="360" w:lineRule="auto"/>
        <w:contextualSpacing/>
        <w:rPr>
          <w:rFonts w:hint="eastAsia" w:ascii="宋体" w:hAnsi="宋体" w:cs="宋体"/>
          <w:color w:val="auto"/>
          <w:sz w:val="24"/>
          <w:highlight w:val="none"/>
        </w:rPr>
      </w:pPr>
    </w:p>
    <w:p w14:paraId="579DEE18">
      <w:pPr>
        <w:spacing w:line="360" w:lineRule="auto"/>
        <w:ind w:firstLine="3120" w:firstLineChars="1300"/>
        <w:contextualSpacing/>
        <w:rPr>
          <w:rFonts w:hint="eastAsia"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0C3F033">
      <w:pPr>
        <w:spacing w:line="360" w:lineRule="auto"/>
        <w:ind w:firstLine="3840" w:firstLineChars="1600"/>
        <w:contextualSpacing/>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57E2BA6E">
      <w:pPr>
        <w:spacing w:line="360" w:lineRule="auto"/>
        <w:contextualSpacing/>
        <w:rPr>
          <w:rFonts w:hint="eastAsia" w:ascii="宋体" w:hAnsi="宋体" w:cs="宋体"/>
          <w:color w:val="auto"/>
          <w:sz w:val="24"/>
          <w:highlight w:val="none"/>
        </w:rPr>
      </w:pPr>
    </w:p>
    <w:p w14:paraId="3016E900">
      <w:pPr>
        <w:spacing w:line="360" w:lineRule="auto"/>
        <w:contextualSpacing/>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79F57312">
      <w:pPr>
        <w:spacing w:line="360" w:lineRule="auto"/>
        <w:ind w:firstLine="480" w:firstLineChars="200"/>
        <w:contextualSpacing/>
        <w:rPr>
          <w:rFonts w:hint="eastAsia"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w:t>
      </w:r>
      <w:r>
        <w:rPr>
          <w:rFonts w:hint="eastAsia" w:ascii="楷体" w:hAnsi="楷体" w:eastAsia="楷体" w:cs="宋体"/>
          <w:b/>
          <w:color w:val="auto"/>
          <w:sz w:val="24"/>
          <w:highlight w:val="none"/>
        </w:rPr>
        <w:t>则其响应文件按无效响应处理。</w:t>
      </w:r>
    </w:p>
    <w:p w14:paraId="584C8415">
      <w:pPr>
        <w:spacing w:line="360" w:lineRule="auto"/>
        <w:ind w:firstLine="480" w:firstLineChars="200"/>
        <w:contextualSpacing/>
        <w:jc w:val="left"/>
        <w:rPr>
          <w:rFonts w:hint="eastAsia"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2.本授权委托书应由联合体牵头人的法定代表人按上述规定签署。</w:t>
      </w:r>
    </w:p>
    <w:p w14:paraId="0A73EDED">
      <w:pPr>
        <w:spacing w:line="360" w:lineRule="auto"/>
        <w:ind w:firstLine="480" w:firstLineChars="200"/>
        <w:contextualSpacing/>
        <w:jc w:val="left"/>
        <w:rPr>
          <w:rFonts w:hint="eastAsia" w:ascii="楷体" w:hAnsi="楷体" w:eastAsia="楷体" w:cs="宋体"/>
          <w:color w:val="auto"/>
          <w:szCs w:val="21"/>
          <w:highlight w:val="none"/>
        </w:rPr>
      </w:pPr>
      <w:r>
        <w:rPr>
          <w:rFonts w:ascii="楷体" w:hAnsi="楷体" w:eastAsia="楷体" w:cs="宋体"/>
          <w:color w:val="auto"/>
          <w:sz w:val="24"/>
          <w:highlight w:val="none"/>
        </w:rPr>
        <w:t>3.法人、其他组织</w:t>
      </w:r>
      <w:r>
        <w:rPr>
          <w:rFonts w:hint="eastAsia" w:ascii="楷体" w:hAnsi="楷体" w:eastAsia="楷体" w:cs="宋体"/>
          <w:color w:val="auto"/>
          <w:sz w:val="24"/>
          <w:highlight w:val="none"/>
        </w:rPr>
        <w:t>参与竞争性谈判时“我方”是指“我单位”，自然人参与竞争性谈判时“我方”是指“本人”。</w:t>
      </w:r>
    </w:p>
    <w:p w14:paraId="1C7B5DD7">
      <w:pPr>
        <w:spacing w:line="360" w:lineRule="auto"/>
        <w:jc w:val="center"/>
        <w:rPr>
          <w:rFonts w:hint="eastAsia" w:ascii="宋体" w:hAnsi="宋体" w:cs="宋体"/>
          <w:b/>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bCs/>
          <w:color w:val="auto"/>
          <w:sz w:val="44"/>
          <w:szCs w:val="44"/>
          <w:highlight w:val="none"/>
        </w:rPr>
        <w:t>商务要求偏离表格式</w:t>
      </w:r>
    </w:p>
    <w:p w14:paraId="43CBB22F">
      <w:pPr>
        <w:spacing w:line="360" w:lineRule="auto"/>
        <w:jc w:val="center"/>
        <w:rPr>
          <w:rFonts w:hint="eastAsia" w:ascii="宋体" w:hAnsi="宋体" w:cs="宋体"/>
          <w:b/>
          <w:color w:val="auto"/>
          <w:sz w:val="28"/>
          <w:szCs w:val="28"/>
          <w:highlight w:val="none"/>
        </w:rPr>
      </w:pPr>
      <w:r>
        <w:rPr>
          <w:rFonts w:hint="eastAsia" w:ascii="宋体" w:hAnsi="宋体" w:cs="宋体"/>
          <w:bCs/>
          <w:color w:val="auto"/>
          <w:sz w:val="28"/>
          <w:szCs w:val="28"/>
          <w:highlight w:val="none"/>
        </w:rPr>
        <w:t>（注：按采购需求具体条款修改）</w:t>
      </w:r>
    </w:p>
    <w:p w14:paraId="787F8DF0">
      <w:pPr>
        <w:snapToGrid w:val="0"/>
        <w:spacing w:line="360" w:lineRule="auto"/>
        <w:jc w:val="left"/>
        <w:rPr>
          <w:rFonts w:hint="eastAsia" w:ascii="宋体" w:hAnsi="宋体" w:cs="宋体"/>
          <w:color w:val="auto"/>
          <w:sz w:val="24"/>
          <w:highlight w:val="none"/>
        </w:rPr>
      </w:pPr>
    </w:p>
    <w:p w14:paraId="50751A5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378124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052A367">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26"/>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1DE23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2D539BD5">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B8E0621">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128E1255">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6F62018C">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721F2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0AE402FB">
            <w:pPr>
              <w:spacing w:line="500" w:lineRule="exact"/>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8530A95">
            <w:pPr>
              <w:spacing w:line="500" w:lineRule="exact"/>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4C9E732">
            <w:pPr>
              <w:snapToGrid w:val="0"/>
              <w:spacing w:line="500" w:lineRule="exact"/>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60B746AC">
            <w:pPr>
              <w:snapToGrid w:val="0"/>
              <w:spacing w:line="500" w:lineRule="exact"/>
              <w:jc w:val="center"/>
              <w:rPr>
                <w:rFonts w:hint="eastAsia" w:ascii="宋体" w:hAnsi="宋体" w:cs="宋体"/>
                <w:color w:val="auto"/>
                <w:sz w:val="24"/>
                <w:highlight w:val="none"/>
              </w:rPr>
            </w:pPr>
          </w:p>
        </w:tc>
      </w:tr>
      <w:tr w14:paraId="353FC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30692A4E">
            <w:pPr>
              <w:spacing w:line="500" w:lineRule="exact"/>
              <w:jc w:val="center"/>
              <w:rPr>
                <w:rFonts w:hint="eastAsia"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D88ACB4">
            <w:pPr>
              <w:spacing w:line="500" w:lineRule="exact"/>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0F566257">
            <w:pPr>
              <w:snapToGrid w:val="0"/>
              <w:spacing w:line="500" w:lineRule="exact"/>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0075B22">
            <w:pPr>
              <w:snapToGrid w:val="0"/>
              <w:spacing w:line="500" w:lineRule="exact"/>
              <w:jc w:val="center"/>
              <w:rPr>
                <w:rFonts w:hint="eastAsia" w:ascii="宋体" w:hAnsi="宋体" w:cs="宋体"/>
                <w:color w:val="auto"/>
                <w:sz w:val="24"/>
                <w:highlight w:val="none"/>
              </w:rPr>
            </w:pPr>
          </w:p>
        </w:tc>
      </w:tr>
      <w:tr w14:paraId="6BD62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B67C375">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06C24F9A">
            <w:pPr>
              <w:snapToGrid w:val="0"/>
              <w:spacing w:line="500" w:lineRule="exact"/>
              <w:jc w:val="center"/>
              <w:rPr>
                <w:rFonts w:hint="eastAsia"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774703B">
            <w:pPr>
              <w:snapToGrid w:val="0"/>
              <w:spacing w:line="500" w:lineRule="exact"/>
              <w:jc w:val="center"/>
              <w:rPr>
                <w:rFonts w:hint="eastAsia"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902647E">
            <w:pPr>
              <w:snapToGrid w:val="0"/>
              <w:spacing w:line="500" w:lineRule="exact"/>
              <w:jc w:val="center"/>
              <w:rPr>
                <w:rFonts w:hint="eastAsia" w:ascii="宋体" w:hAnsi="宋体" w:cs="宋体"/>
                <w:color w:val="auto"/>
                <w:sz w:val="24"/>
                <w:highlight w:val="none"/>
              </w:rPr>
            </w:pPr>
          </w:p>
        </w:tc>
      </w:tr>
    </w:tbl>
    <w:p w14:paraId="11916436">
      <w:pPr>
        <w:pStyle w:val="10"/>
        <w:spacing w:after="0" w:line="360" w:lineRule="auto"/>
        <w:contextualSpacing/>
        <w:rPr>
          <w:rFonts w:hint="eastAsia" w:ascii="楷体" w:hAnsi="楷体" w:eastAsia="楷体" w:cs="宋体"/>
          <w:b/>
          <w:color w:val="auto"/>
          <w:kern w:val="0"/>
          <w:sz w:val="24"/>
          <w:szCs w:val="24"/>
          <w:highlight w:val="none"/>
        </w:rPr>
      </w:pPr>
      <w:r>
        <w:rPr>
          <w:rFonts w:hint="eastAsia" w:ascii="楷体" w:hAnsi="楷体" w:eastAsia="楷体" w:cs="宋体"/>
          <w:b/>
          <w:color w:val="auto"/>
          <w:kern w:val="0"/>
          <w:sz w:val="24"/>
          <w:szCs w:val="24"/>
          <w:highlight w:val="none"/>
        </w:rPr>
        <w:t>注：</w:t>
      </w:r>
    </w:p>
    <w:p w14:paraId="11BE2AA3">
      <w:pPr>
        <w:pStyle w:val="10"/>
        <w:spacing w:after="0" w:line="360" w:lineRule="auto"/>
        <w:ind w:firstLine="480" w:firstLineChars="200"/>
        <w:contextualSpacing/>
        <w:rPr>
          <w:rFonts w:hint="eastAsia" w:ascii="楷体" w:hAnsi="楷体" w:eastAsia="楷体" w:cs="宋体"/>
          <w:color w:val="auto"/>
          <w:kern w:val="0"/>
          <w:sz w:val="24"/>
          <w:szCs w:val="24"/>
          <w:highlight w:val="none"/>
        </w:rPr>
      </w:pPr>
      <w:r>
        <w:rPr>
          <w:rFonts w:ascii="楷体" w:hAnsi="楷体" w:eastAsia="楷体" w:cs="宋体"/>
          <w:color w:val="auto"/>
          <w:kern w:val="0"/>
          <w:sz w:val="24"/>
          <w:szCs w:val="24"/>
          <w:highlight w:val="none"/>
        </w:rPr>
        <w:t xml:space="preserve">1.说明：应对照谈判文件“第三章 </w:t>
      </w:r>
      <w:r>
        <w:rPr>
          <w:rFonts w:hint="eastAsia" w:ascii="楷体" w:hAnsi="楷体" w:eastAsia="楷体" w:cs="宋体"/>
          <w:color w:val="auto"/>
          <w:kern w:val="0"/>
          <w:sz w:val="24"/>
          <w:szCs w:val="24"/>
          <w:highlight w:val="none"/>
        </w:rPr>
        <w:t>采购需求”中的商务要求逐条明确响应，并作出偏离说明。</w:t>
      </w:r>
    </w:p>
    <w:p w14:paraId="47765979">
      <w:pPr>
        <w:pStyle w:val="10"/>
        <w:spacing w:after="0" w:line="360" w:lineRule="auto"/>
        <w:ind w:firstLine="480" w:firstLineChars="200"/>
        <w:contextualSpacing/>
        <w:rPr>
          <w:rFonts w:hint="eastAsia" w:ascii="楷体" w:hAnsi="楷体" w:eastAsia="楷体" w:cs="宋体"/>
          <w:color w:val="auto"/>
          <w:kern w:val="0"/>
          <w:sz w:val="24"/>
          <w:szCs w:val="24"/>
          <w:highlight w:val="none"/>
        </w:rPr>
      </w:pPr>
      <w:r>
        <w:rPr>
          <w:rFonts w:ascii="楷体" w:hAnsi="楷体" w:eastAsia="楷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225361E2">
      <w:pPr>
        <w:spacing w:line="360" w:lineRule="auto"/>
        <w:contextualSpacing/>
        <w:jc w:val="left"/>
        <w:rPr>
          <w:rFonts w:hint="eastAsia" w:ascii="宋体" w:hAnsi="宋体" w:cs="宋体"/>
          <w:color w:val="auto"/>
          <w:sz w:val="24"/>
          <w:highlight w:val="none"/>
          <w:u w:val="single"/>
        </w:rPr>
      </w:pPr>
    </w:p>
    <w:p w14:paraId="73DED64B">
      <w:pPr>
        <w:spacing w:line="360" w:lineRule="auto"/>
        <w:contextualSpacing/>
        <w:jc w:val="left"/>
        <w:rPr>
          <w:rFonts w:hint="eastAsia" w:ascii="宋体" w:hAnsi="宋体" w:cs="宋体"/>
          <w:color w:val="auto"/>
          <w:sz w:val="24"/>
          <w:highlight w:val="none"/>
          <w:u w:val="single"/>
        </w:rPr>
      </w:pPr>
    </w:p>
    <w:p w14:paraId="46CFE81E">
      <w:pPr>
        <w:spacing w:line="360" w:lineRule="auto"/>
        <w:contextualSpacing/>
        <w:rPr>
          <w:rFonts w:hint="eastAsia" w:ascii="宋体" w:hAnsi="宋体" w:cs="宋体"/>
          <w:color w:val="auto"/>
          <w:sz w:val="24"/>
          <w:highlight w:val="none"/>
        </w:rPr>
      </w:pPr>
    </w:p>
    <w:p w14:paraId="31089DE4">
      <w:pPr>
        <w:spacing w:line="360" w:lineRule="auto"/>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29E093F">
      <w:pPr>
        <w:spacing w:line="360" w:lineRule="auto"/>
        <w:ind w:firstLine="3240" w:firstLineChars="1350"/>
        <w:contextualSpacing/>
        <w:rPr>
          <w:rFonts w:hint="eastAsia"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3D5926C">
      <w:pPr>
        <w:spacing w:line="360" w:lineRule="auto"/>
        <w:ind w:firstLine="3240" w:firstLineChars="1350"/>
        <w:contextualSpacing/>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35F1F96">
      <w:pPr>
        <w:adjustRightInd w:val="0"/>
        <w:snapToGrid w:val="0"/>
        <w:spacing w:line="360" w:lineRule="auto"/>
        <w:ind w:firstLine="7040" w:firstLineChars="1600"/>
        <w:jc w:val="center"/>
        <w:rPr>
          <w:rFonts w:hint="eastAsia" w:ascii="宋体" w:hAnsi="宋体" w:cs="宋体"/>
          <w:bCs/>
          <w:color w:val="auto"/>
          <w:sz w:val="44"/>
          <w:szCs w:val="44"/>
          <w:highlight w:val="none"/>
        </w:rPr>
      </w:pPr>
    </w:p>
    <w:p w14:paraId="534B9C20">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货物配置清单</w:t>
      </w:r>
    </w:p>
    <w:p w14:paraId="16B16147">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DED989E">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04A53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所竞分标（如有）：</w:t>
      </w:r>
      <w:r>
        <w:rPr>
          <w:rFonts w:hint="eastAsia" w:ascii="宋体" w:hAnsi="宋体" w:cs="宋体"/>
          <w:color w:val="auto"/>
          <w:sz w:val="24"/>
          <w:highlight w:val="none"/>
          <w:u w:val="single"/>
        </w:rPr>
        <w:t xml:space="preserve">                 </w:t>
      </w:r>
    </w:p>
    <w:tbl>
      <w:tblPr>
        <w:tblStyle w:val="26"/>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0BBAF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043E5B5">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07D034B6">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货物名称</w:t>
            </w:r>
          </w:p>
        </w:tc>
        <w:tc>
          <w:tcPr>
            <w:tcW w:w="929" w:type="dxa"/>
            <w:tcBorders>
              <w:top w:val="single" w:color="auto" w:sz="4" w:space="0"/>
              <w:left w:val="single" w:color="auto" w:sz="4" w:space="0"/>
              <w:bottom w:val="single" w:color="auto" w:sz="4" w:space="0"/>
              <w:right w:val="single" w:color="auto" w:sz="4" w:space="0"/>
            </w:tcBorders>
            <w:vAlign w:val="center"/>
          </w:tcPr>
          <w:p w14:paraId="5982E96E">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0E420D76">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170B1BF2">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203BCF9C">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31984C18">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3AAC05F1">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746CC47E">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参数性能、指标及配置</w:t>
            </w:r>
          </w:p>
        </w:tc>
      </w:tr>
      <w:tr w14:paraId="3A93C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F7E353A">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7CCBAC0">
            <w:pPr>
              <w:snapToGrid w:val="0"/>
              <w:spacing w:before="50" w:after="50"/>
              <w:jc w:val="center"/>
              <w:rPr>
                <w:rFonts w:hint="eastAsia"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142538EF">
            <w:pPr>
              <w:snapToGrid w:val="0"/>
              <w:spacing w:before="50" w:after="50"/>
              <w:jc w:val="center"/>
              <w:rPr>
                <w:rFonts w:hint="eastAsia"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7305F2DA">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64280B8">
            <w:pPr>
              <w:snapToGrid w:val="0"/>
              <w:spacing w:before="50" w:after="50"/>
              <w:jc w:val="center"/>
              <w:rPr>
                <w:rFonts w:hint="eastAsia"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0050DF80">
            <w:pPr>
              <w:snapToGrid w:val="0"/>
              <w:spacing w:before="50" w:after="50"/>
              <w:jc w:val="center"/>
              <w:rPr>
                <w:rFonts w:hint="eastAsia"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399ADE02">
            <w:pPr>
              <w:snapToGrid w:val="0"/>
              <w:spacing w:before="50" w:after="50"/>
              <w:jc w:val="center"/>
              <w:rPr>
                <w:rFonts w:hint="eastAsia"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0543C886">
            <w:pPr>
              <w:snapToGrid w:val="0"/>
              <w:spacing w:before="50" w:after="50"/>
              <w:jc w:val="center"/>
              <w:rPr>
                <w:rFonts w:hint="eastAsia"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14707DB8">
            <w:pPr>
              <w:snapToGrid w:val="0"/>
              <w:spacing w:before="50" w:after="50"/>
              <w:jc w:val="center"/>
              <w:rPr>
                <w:rFonts w:hint="eastAsia" w:ascii="宋体" w:hAnsi="宋体" w:cs="宋体"/>
                <w:color w:val="auto"/>
                <w:sz w:val="24"/>
                <w:highlight w:val="none"/>
              </w:rPr>
            </w:pPr>
          </w:p>
        </w:tc>
      </w:tr>
      <w:tr w14:paraId="66C4E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28B027D">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9EB6115">
            <w:pPr>
              <w:snapToGrid w:val="0"/>
              <w:spacing w:before="50" w:after="50"/>
              <w:jc w:val="center"/>
              <w:rPr>
                <w:rFonts w:hint="eastAsia"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15F83D25">
            <w:pPr>
              <w:snapToGrid w:val="0"/>
              <w:spacing w:before="50" w:after="50"/>
              <w:jc w:val="center"/>
              <w:rPr>
                <w:rFonts w:hint="eastAsia"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6F4E7819">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062581C">
            <w:pPr>
              <w:snapToGrid w:val="0"/>
              <w:spacing w:before="50" w:after="50"/>
              <w:jc w:val="center"/>
              <w:rPr>
                <w:rFonts w:hint="eastAsia"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47DAFBEB">
            <w:pPr>
              <w:snapToGrid w:val="0"/>
              <w:spacing w:before="50" w:after="50"/>
              <w:jc w:val="center"/>
              <w:rPr>
                <w:rFonts w:hint="eastAsia"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36FF46BB">
            <w:pPr>
              <w:snapToGrid w:val="0"/>
              <w:spacing w:before="50" w:after="50"/>
              <w:jc w:val="center"/>
              <w:rPr>
                <w:rFonts w:hint="eastAsia"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7A493E09">
            <w:pPr>
              <w:snapToGrid w:val="0"/>
              <w:spacing w:before="50" w:after="50"/>
              <w:jc w:val="center"/>
              <w:rPr>
                <w:rFonts w:hint="eastAsia"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66DDD1C2">
            <w:pPr>
              <w:snapToGrid w:val="0"/>
              <w:spacing w:before="50" w:after="50"/>
              <w:jc w:val="center"/>
              <w:rPr>
                <w:rFonts w:hint="eastAsia" w:ascii="宋体" w:hAnsi="宋体" w:cs="宋体"/>
                <w:color w:val="auto"/>
                <w:sz w:val="24"/>
                <w:highlight w:val="none"/>
              </w:rPr>
            </w:pPr>
          </w:p>
        </w:tc>
      </w:tr>
      <w:tr w14:paraId="2CE9A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BF6A5E3">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046CBDC">
            <w:pPr>
              <w:snapToGrid w:val="0"/>
              <w:spacing w:before="50" w:after="50"/>
              <w:jc w:val="center"/>
              <w:rPr>
                <w:rFonts w:hint="eastAsia"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27077AF5">
            <w:pPr>
              <w:snapToGrid w:val="0"/>
              <w:spacing w:before="50" w:after="50"/>
              <w:jc w:val="center"/>
              <w:rPr>
                <w:rFonts w:hint="eastAsia"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6504E025">
            <w:pPr>
              <w:snapToGrid w:val="0"/>
              <w:spacing w:before="50" w:after="50"/>
              <w:jc w:val="center"/>
              <w:rPr>
                <w:rFonts w:hint="eastAsia"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0717CECD">
            <w:pPr>
              <w:snapToGrid w:val="0"/>
              <w:spacing w:before="50" w:after="50"/>
              <w:jc w:val="center"/>
              <w:rPr>
                <w:rFonts w:hint="eastAsia"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37653C68">
            <w:pPr>
              <w:snapToGrid w:val="0"/>
              <w:spacing w:before="50" w:after="50"/>
              <w:jc w:val="center"/>
              <w:rPr>
                <w:rFonts w:hint="eastAsia"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41CB2285">
            <w:pPr>
              <w:snapToGrid w:val="0"/>
              <w:spacing w:before="50" w:after="50"/>
              <w:jc w:val="center"/>
              <w:rPr>
                <w:rFonts w:hint="eastAsia"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28F81FC2">
            <w:pPr>
              <w:snapToGrid w:val="0"/>
              <w:spacing w:before="50" w:after="50"/>
              <w:jc w:val="center"/>
              <w:rPr>
                <w:rFonts w:hint="eastAsia"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51E72E57">
            <w:pPr>
              <w:snapToGrid w:val="0"/>
              <w:spacing w:before="50" w:after="50"/>
              <w:jc w:val="center"/>
              <w:rPr>
                <w:rFonts w:hint="eastAsia" w:ascii="宋体" w:hAnsi="宋体" w:cs="宋体"/>
                <w:color w:val="auto"/>
                <w:sz w:val="24"/>
                <w:highlight w:val="none"/>
              </w:rPr>
            </w:pPr>
          </w:p>
        </w:tc>
      </w:tr>
    </w:tbl>
    <w:p w14:paraId="1B231FE5">
      <w:pPr>
        <w:spacing w:line="360" w:lineRule="auto"/>
        <w:contextualSpacing/>
        <w:rPr>
          <w:rFonts w:hint="eastAsia" w:ascii="楷体" w:hAnsi="楷体" w:eastAsia="楷体" w:cs="宋体"/>
          <w:b/>
          <w:color w:val="auto"/>
          <w:sz w:val="24"/>
          <w:highlight w:val="none"/>
        </w:rPr>
      </w:pPr>
      <w:r>
        <w:rPr>
          <w:rFonts w:hint="eastAsia" w:ascii="楷体" w:hAnsi="楷体" w:eastAsia="楷体" w:cs="宋体"/>
          <w:b/>
          <w:color w:val="auto"/>
          <w:sz w:val="24"/>
          <w:highlight w:val="none"/>
        </w:rPr>
        <w:t>备注：</w:t>
      </w:r>
    </w:p>
    <w:p w14:paraId="2D8B5D8C">
      <w:pPr>
        <w:tabs>
          <w:tab w:val="left" w:pos="1065"/>
        </w:tabs>
        <w:adjustRightInd w:val="0"/>
        <w:spacing w:line="360" w:lineRule="auto"/>
        <w:ind w:firstLine="482" w:firstLineChars="200"/>
        <w:contextualSpacing/>
        <w:rPr>
          <w:rFonts w:hint="eastAsia" w:ascii="楷体" w:hAnsi="楷体" w:eastAsia="楷体" w:cs="宋体"/>
          <w:color w:val="auto"/>
          <w:sz w:val="24"/>
          <w:highlight w:val="none"/>
        </w:rPr>
      </w:pPr>
      <w:r>
        <w:rPr>
          <w:rFonts w:hint="eastAsia" w:ascii="楷体" w:hAnsi="楷体" w:eastAsia="楷体" w:cs="宋体"/>
          <w:b/>
          <w:bCs/>
          <w:color w:val="auto"/>
          <w:sz w:val="24"/>
          <w:highlight w:val="none"/>
        </w:rPr>
        <w:t>以上货物配置清单中“货物名称、数量、单位、品牌、型号、生产厂家、产地、参数性能、指标及配置”必须如实填写完整，定制产品在型号栏中填写“定制”。填写有缺漏的，响应文件按无效响应处理</w:t>
      </w:r>
      <w:r>
        <w:rPr>
          <w:rFonts w:hint="eastAsia" w:ascii="楷体" w:hAnsi="楷体" w:eastAsia="楷体" w:cs="宋体"/>
          <w:b/>
          <w:color w:val="auto"/>
          <w:sz w:val="24"/>
          <w:highlight w:val="none"/>
        </w:rPr>
        <w:t>。</w:t>
      </w:r>
      <w:r>
        <w:rPr>
          <w:rFonts w:hint="eastAsia" w:ascii="楷体" w:hAnsi="楷体" w:eastAsia="楷体" w:cs="宋体"/>
          <w:color w:val="auto"/>
          <w:sz w:val="24"/>
          <w:highlight w:val="none"/>
        </w:rPr>
        <w:t>货物名称、数量、单位、品牌等必须与“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报价表”一致，</w:t>
      </w:r>
      <w:r>
        <w:rPr>
          <w:rFonts w:hint="eastAsia" w:ascii="楷体" w:hAnsi="楷体" w:eastAsia="楷体" w:cs="宋体"/>
          <w:bCs/>
          <w:color w:val="auto"/>
          <w:sz w:val="24"/>
          <w:highlight w:val="none"/>
        </w:rPr>
        <w:t>否则响应文件按无效响应处理</w:t>
      </w:r>
      <w:r>
        <w:rPr>
          <w:rFonts w:hint="eastAsia" w:ascii="楷体" w:hAnsi="楷体" w:eastAsia="楷体" w:cs="宋体"/>
          <w:b/>
          <w:color w:val="auto"/>
          <w:sz w:val="24"/>
          <w:highlight w:val="none"/>
        </w:rPr>
        <w:t>。</w:t>
      </w:r>
      <w:r>
        <w:rPr>
          <w:rFonts w:ascii="楷体" w:hAnsi="楷体" w:eastAsia="楷体" w:cs="宋体"/>
          <w:color w:val="auto"/>
          <w:sz w:val="24"/>
          <w:highlight w:val="none"/>
        </w:rPr>
        <w:tab/>
      </w:r>
    </w:p>
    <w:p w14:paraId="56909707">
      <w:pPr>
        <w:adjustRightInd w:val="0"/>
        <w:spacing w:line="360" w:lineRule="auto"/>
        <w:contextualSpacing/>
        <w:jc w:val="left"/>
        <w:rPr>
          <w:rFonts w:hint="eastAsia" w:ascii="宋体" w:hAnsi="宋体" w:cs="宋体"/>
          <w:color w:val="auto"/>
          <w:sz w:val="24"/>
          <w:highlight w:val="none"/>
        </w:rPr>
      </w:pPr>
    </w:p>
    <w:p w14:paraId="03FED937">
      <w:pPr>
        <w:adjustRightInd w:val="0"/>
        <w:spacing w:line="360" w:lineRule="auto"/>
        <w:contextualSpacing/>
        <w:jc w:val="left"/>
        <w:rPr>
          <w:rFonts w:hint="eastAsia" w:ascii="宋体" w:hAnsi="宋体" w:cs="宋体"/>
          <w:color w:val="auto"/>
          <w:sz w:val="24"/>
          <w:highlight w:val="none"/>
        </w:rPr>
      </w:pPr>
    </w:p>
    <w:p w14:paraId="62DFB525">
      <w:pPr>
        <w:adjustRightInd w:val="0"/>
        <w:spacing w:line="360" w:lineRule="auto"/>
        <w:contextualSpacing/>
        <w:jc w:val="left"/>
        <w:rPr>
          <w:rFonts w:hint="eastAsia" w:ascii="宋体" w:hAnsi="宋体" w:cs="宋体"/>
          <w:color w:val="auto"/>
          <w:sz w:val="24"/>
          <w:highlight w:val="none"/>
        </w:rPr>
      </w:pPr>
    </w:p>
    <w:p w14:paraId="3B35460D">
      <w:pPr>
        <w:spacing w:line="360" w:lineRule="auto"/>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5CD32FF">
      <w:pPr>
        <w:spacing w:line="360" w:lineRule="auto"/>
        <w:ind w:firstLine="3240" w:firstLineChars="1350"/>
        <w:contextualSpacing/>
        <w:rPr>
          <w:rFonts w:hint="eastAsia"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C2A250C">
      <w:pPr>
        <w:spacing w:line="360" w:lineRule="auto"/>
        <w:ind w:firstLine="3240" w:firstLineChars="1350"/>
        <w:contextualSpacing/>
        <w:rPr>
          <w:rFonts w:hint="eastAsia" w:ascii="宋体" w:hAnsi="宋体" w:cs="宋体"/>
          <w:color w:val="auto"/>
          <w:szCs w:val="21"/>
          <w:highlight w:val="none"/>
          <w:u w:val="singl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7DC10FA">
      <w:pPr>
        <w:adjustRightInd w:val="0"/>
        <w:snapToGrid w:val="0"/>
        <w:spacing w:line="360" w:lineRule="auto"/>
        <w:rPr>
          <w:rFonts w:hint="eastAsia" w:ascii="宋体" w:hAnsi="宋体" w:cs="宋体"/>
          <w:color w:val="auto"/>
          <w:szCs w:val="21"/>
          <w:highlight w:val="none"/>
          <w:u w:val="single"/>
        </w:rPr>
      </w:pPr>
    </w:p>
    <w:p w14:paraId="00843BF0">
      <w:pPr>
        <w:adjustRightInd w:val="0"/>
        <w:snapToGrid w:val="0"/>
        <w:spacing w:line="360" w:lineRule="auto"/>
        <w:rPr>
          <w:rFonts w:hint="eastAsia" w:ascii="宋体" w:hAnsi="宋体" w:cs="宋体"/>
          <w:color w:val="auto"/>
          <w:szCs w:val="21"/>
          <w:highlight w:val="none"/>
          <w:u w:val="single"/>
        </w:rPr>
      </w:pPr>
    </w:p>
    <w:p w14:paraId="6BFC15FD">
      <w:pPr>
        <w:adjustRightInd w:val="0"/>
        <w:snapToGrid w:val="0"/>
        <w:spacing w:line="360" w:lineRule="auto"/>
        <w:rPr>
          <w:rFonts w:hint="eastAsia" w:ascii="宋体" w:hAnsi="宋体" w:cs="宋体"/>
          <w:color w:val="auto"/>
          <w:szCs w:val="21"/>
          <w:highlight w:val="none"/>
          <w:u w:val="single"/>
        </w:rPr>
      </w:pPr>
    </w:p>
    <w:p w14:paraId="40E486C5">
      <w:pPr>
        <w:adjustRightInd w:val="0"/>
        <w:snapToGrid w:val="0"/>
        <w:spacing w:line="360" w:lineRule="auto"/>
        <w:rPr>
          <w:rFonts w:hint="eastAsia" w:ascii="宋体" w:hAnsi="宋体" w:cs="宋体"/>
          <w:color w:val="auto"/>
          <w:szCs w:val="21"/>
          <w:highlight w:val="none"/>
          <w:u w:val="single"/>
        </w:rPr>
      </w:pPr>
    </w:p>
    <w:p w14:paraId="1A12FC53">
      <w:pPr>
        <w:adjustRightInd w:val="0"/>
        <w:snapToGrid w:val="0"/>
        <w:spacing w:line="360" w:lineRule="auto"/>
        <w:rPr>
          <w:rFonts w:hint="eastAsia" w:ascii="宋体" w:hAnsi="宋体" w:cs="宋体"/>
          <w:color w:val="auto"/>
          <w:szCs w:val="21"/>
          <w:highlight w:val="none"/>
          <w:u w:val="single"/>
        </w:rPr>
      </w:pPr>
    </w:p>
    <w:p w14:paraId="6566BDF0">
      <w:pPr>
        <w:adjustRightInd w:val="0"/>
        <w:snapToGrid w:val="0"/>
        <w:spacing w:line="360" w:lineRule="auto"/>
        <w:jc w:val="center"/>
        <w:rPr>
          <w:rFonts w:hint="eastAsia" w:ascii="宋体" w:hAnsi="宋体" w:cs="宋体"/>
          <w:b/>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技术要求偏离表</w:t>
      </w:r>
    </w:p>
    <w:p w14:paraId="31918C76">
      <w:pPr>
        <w:spacing w:line="360" w:lineRule="auto"/>
        <w:rPr>
          <w:rFonts w:hint="eastAsia" w:ascii="宋体" w:hAnsi="宋体" w:cs="宋体"/>
          <w:color w:val="auto"/>
          <w:sz w:val="32"/>
          <w:szCs w:val="32"/>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37C65067">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4E07487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9"/>
        <w:gridCol w:w="990"/>
        <w:gridCol w:w="3293"/>
        <w:gridCol w:w="2964"/>
        <w:gridCol w:w="1617"/>
      </w:tblGrid>
      <w:tr w14:paraId="08323D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0874279F">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502" w:type="pct"/>
            <w:tcBorders>
              <w:right w:val="single" w:color="auto" w:sz="4" w:space="0"/>
            </w:tcBorders>
            <w:vAlign w:val="center"/>
          </w:tcPr>
          <w:p w14:paraId="6B20B42F">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货物名称</w:t>
            </w:r>
          </w:p>
        </w:tc>
        <w:tc>
          <w:tcPr>
            <w:tcW w:w="1670" w:type="pct"/>
            <w:tcBorders>
              <w:left w:val="single" w:color="auto" w:sz="4" w:space="0"/>
            </w:tcBorders>
            <w:vAlign w:val="center"/>
          </w:tcPr>
          <w:p w14:paraId="60AD5C78">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技术要求</w:t>
            </w:r>
          </w:p>
        </w:tc>
        <w:tc>
          <w:tcPr>
            <w:tcW w:w="1503" w:type="pct"/>
            <w:vAlign w:val="center"/>
          </w:tcPr>
          <w:p w14:paraId="75C148EC">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竞争性谈判响应</w:t>
            </w:r>
          </w:p>
        </w:tc>
        <w:tc>
          <w:tcPr>
            <w:tcW w:w="820" w:type="pct"/>
            <w:vAlign w:val="center"/>
          </w:tcPr>
          <w:p w14:paraId="13178411">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36D4D7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0A644ECA">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502" w:type="pct"/>
            <w:tcBorders>
              <w:right w:val="single" w:color="auto" w:sz="4" w:space="0"/>
            </w:tcBorders>
            <w:vAlign w:val="center"/>
          </w:tcPr>
          <w:p w14:paraId="452F5800">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1670" w:type="pct"/>
            <w:tcBorders>
              <w:left w:val="single" w:color="auto" w:sz="4" w:space="0"/>
            </w:tcBorders>
            <w:vAlign w:val="center"/>
          </w:tcPr>
          <w:p w14:paraId="444FCFD1">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1503" w:type="pct"/>
            <w:vAlign w:val="center"/>
          </w:tcPr>
          <w:p w14:paraId="44E45A45">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820" w:type="pct"/>
            <w:vAlign w:val="center"/>
          </w:tcPr>
          <w:p w14:paraId="0767DEA3">
            <w:pPr>
              <w:pStyle w:val="12"/>
              <w:spacing w:line="500" w:lineRule="exact"/>
              <w:ind w:firstLine="0" w:firstLineChars="0"/>
              <w:jc w:val="center"/>
              <w:rPr>
                <w:rFonts w:hint="eastAsia" w:ascii="宋体" w:hAnsi="宋体" w:eastAsia="宋体" w:cs="宋体"/>
                <w:color w:val="auto"/>
                <w:kern w:val="2"/>
                <w:sz w:val="24"/>
                <w:szCs w:val="24"/>
                <w:highlight w:val="none"/>
              </w:rPr>
            </w:pPr>
          </w:p>
        </w:tc>
      </w:tr>
      <w:tr w14:paraId="69FDE1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1E556944">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502" w:type="pct"/>
            <w:tcBorders>
              <w:right w:val="single" w:color="auto" w:sz="4" w:space="0"/>
            </w:tcBorders>
            <w:vAlign w:val="center"/>
          </w:tcPr>
          <w:p w14:paraId="4DB40E93">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1670" w:type="pct"/>
            <w:tcBorders>
              <w:left w:val="single" w:color="auto" w:sz="4" w:space="0"/>
            </w:tcBorders>
            <w:vAlign w:val="center"/>
          </w:tcPr>
          <w:p w14:paraId="0F9FF213">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1503" w:type="pct"/>
            <w:vAlign w:val="center"/>
          </w:tcPr>
          <w:p w14:paraId="0616801F">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820" w:type="pct"/>
            <w:vAlign w:val="center"/>
          </w:tcPr>
          <w:p w14:paraId="283DE819">
            <w:pPr>
              <w:pStyle w:val="12"/>
              <w:spacing w:line="500" w:lineRule="exact"/>
              <w:ind w:firstLine="0" w:firstLineChars="0"/>
              <w:jc w:val="center"/>
              <w:rPr>
                <w:rFonts w:hint="eastAsia" w:ascii="宋体" w:hAnsi="宋体" w:eastAsia="宋体" w:cs="宋体"/>
                <w:color w:val="auto"/>
                <w:kern w:val="2"/>
                <w:sz w:val="24"/>
                <w:szCs w:val="24"/>
                <w:highlight w:val="none"/>
              </w:rPr>
            </w:pPr>
          </w:p>
        </w:tc>
      </w:tr>
      <w:tr w14:paraId="7BF2C1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4BCD0DDB">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502" w:type="pct"/>
            <w:tcBorders>
              <w:right w:val="single" w:color="auto" w:sz="4" w:space="0"/>
            </w:tcBorders>
            <w:vAlign w:val="center"/>
          </w:tcPr>
          <w:p w14:paraId="149958DD">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1670" w:type="pct"/>
            <w:tcBorders>
              <w:left w:val="single" w:color="auto" w:sz="4" w:space="0"/>
            </w:tcBorders>
            <w:vAlign w:val="center"/>
          </w:tcPr>
          <w:p w14:paraId="59F2C2A4">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1503" w:type="pct"/>
            <w:vAlign w:val="center"/>
          </w:tcPr>
          <w:p w14:paraId="5121FBCC">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820" w:type="pct"/>
            <w:vAlign w:val="center"/>
          </w:tcPr>
          <w:p w14:paraId="1FC5A25E">
            <w:pPr>
              <w:pStyle w:val="12"/>
              <w:spacing w:line="500" w:lineRule="exact"/>
              <w:ind w:firstLine="0" w:firstLineChars="0"/>
              <w:jc w:val="center"/>
              <w:rPr>
                <w:rFonts w:hint="eastAsia" w:ascii="宋体" w:hAnsi="宋体" w:eastAsia="宋体" w:cs="宋体"/>
                <w:color w:val="auto"/>
                <w:kern w:val="2"/>
                <w:sz w:val="24"/>
                <w:szCs w:val="24"/>
                <w:highlight w:val="none"/>
              </w:rPr>
            </w:pPr>
          </w:p>
        </w:tc>
      </w:tr>
      <w:tr w14:paraId="5B86B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2" w:type="pct"/>
            <w:vAlign w:val="center"/>
          </w:tcPr>
          <w:p w14:paraId="2AE88FD8">
            <w:pPr>
              <w:pStyle w:val="12"/>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502" w:type="pct"/>
            <w:tcBorders>
              <w:right w:val="single" w:color="auto" w:sz="4" w:space="0"/>
            </w:tcBorders>
            <w:vAlign w:val="center"/>
          </w:tcPr>
          <w:p w14:paraId="36E31E6C">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1670" w:type="pct"/>
            <w:tcBorders>
              <w:left w:val="single" w:color="auto" w:sz="4" w:space="0"/>
            </w:tcBorders>
            <w:vAlign w:val="center"/>
          </w:tcPr>
          <w:p w14:paraId="4212DD9E">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1503" w:type="pct"/>
            <w:vAlign w:val="center"/>
          </w:tcPr>
          <w:p w14:paraId="68CCBBB4">
            <w:pPr>
              <w:pStyle w:val="12"/>
              <w:spacing w:line="500" w:lineRule="exact"/>
              <w:ind w:firstLine="0" w:firstLineChars="0"/>
              <w:jc w:val="center"/>
              <w:rPr>
                <w:rFonts w:hint="eastAsia" w:ascii="宋体" w:hAnsi="宋体" w:eastAsia="宋体" w:cs="宋体"/>
                <w:color w:val="auto"/>
                <w:kern w:val="2"/>
                <w:sz w:val="24"/>
                <w:szCs w:val="24"/>
                <w:highlight w:val="none"/>
              </w:rPr>
            </w:pPr>
          </w:p>
        </w:tc>
        <w:tc>
          <w:tcPr>
            <w:tcW w:w="820" w:type="pct"/>
            <w:tcBorders>
              <w:right w:val="single" w:color="auto" w:sz="4" w:space="0"/>
            </w:tcBorders>
            <w:vAlign w:val="center"/>
          </w:tcPr>
          <w:p w14:paraId="1149E945">
            <w:pPr>
              <w:pStyle w:val="12"/>
              <w:spacing w:line="500" w:lineRule="exact"/>
              <w:ind w:firstLine="0" w:firstLineChars="0"/>
              <w:jc w:val="center"/>
              <w:rPr>
                <w:rFonts w:hint="eastAsia" w:ascii="宋体" w:hAnsi="宋体" w:eastAsia="宋体" w:cs="宋体"/>
                <w:color w:val="auto"/>
                <w:kern w:val="2"/>
                <w:sz w:val="24"/>
                <w:szCs w:val="24"/>
                <w:highlight w:val="none"/>
              </w:rPr>
            </w:pPr>
          </w:p>
        </w:tc>
      </w:tr>
    </w:tbl>
    <w:p w14:paraId="5B761D3B">
      <w:pPr>
        <w:pStyle w:val="12"/>
        <w:spacing w:line="360" w:lineRule="auto"/>
        <w:ind w:firstLine="0" w:firstLineChars="0"/>
        <w:contextualSpacing/>
        <w:rPr>
          <w:rFonts w:hint="eastAsia" w:ascii="楷体" w:hAnsi="楷体" w:eastAsia="楷体" w:cs="宋体"/>
          <w:b/>
          <w:color w:val="auto"/>
          <w:sz w:val="24"/>
          <w:szCs w:val="24"/>
          <w:highlight w:val="none"/>
        </w:rPr>
      </w:pPr>
      <w:r>
        <w:rPr>
          <w:rFonts w:hint="eastAsia" w:ascii="楷体" w:hAnsi="楷体" w:eastAsia="楷体" w:cs="宋体"/>
          <w:b/>
          <w:color w:val="auto"/>
          <w:sz w:val="24"/>
          <w:szCs w:val="24"/>
          <w:highlight w:val="none"/>
        </w:rPr>
        <w:t>注：</w:t>
      </w:r>
    </w:p>
    <w:p w14:paraId="5D4C5864">
      <w:pPr>
        <w:pStyle w:val="12"/>
        <w:spacing w:line="360" w:lineRule="auto"/>
        <w:ind w:firstLine="480" w:firstLineChars="200"/>
        <w:contextualSpacing/>
        <w:rPr>
          <w:rFonts w:hint="eastAsia" w:ascii="楷体" w:hAnsi="楷体" w:eastAsia="楷体" w:cs="宋体"/>
          <w:color w:val="auto"/>
          <w:sz w:val="24"/>
          <w:szCs w:val="24"/>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说明：应对照谈判文件“第三章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采购需求”中的技术要求逐条实质性响应，并作出偏离说明。</w:t>
      </w:r>
    </w:p>
    <w:p w14:paraId="54E7ED1D">
      <w:pPr>
        <w:pStyle w:val="12"/>
        <w:spacing w:line="360" w:lineRule="auto"/>
        <w:ind w:firstLine="480" w:firstLineChars="200"/>
        <w:contextualSpacing/>
        <w:rPr>
          <w:rFonts w:hint="eastAsia" w:ascii="楷体" w:hAnsi="楷体" w:eastAsia="楷体" w:cs="宋体"/>
          <w:color w:val="auto"/>
          <w:sz w:val="24"/>
          <w:szCs w:val="24"/>
          <w:highlight w:val="none"/>
        </w:rPr>
      </w:pPr>
      <w:r>
        <w:rPr>
          <w:rFonts w:ascii="楷体" w:hAnsi="楷体" w:eastAsia="楷体" w:cs="宋体"/>
          <w:color w:val="auto"/>
          <w:sz w:val="24"/>
          <w:szCs w:val="24"/>
          <w:highlight w:val="none"/>
        </w:rPr>
        <w:t>2.供应商应根据</w:t>
      </w:r>
      <w:r>
        <w:rPr>
          <w:rFonts w:hint="eastAsia" w:ascii="楷体" w:hAnsi="楷体" w:eastAsia="楷体" w:cs="宋体"/>
          <w:color w:val="auto"/>
          <w:sz w:val="24"/>
          <w:szCs w:val="24"/>
          <w:highlight w:val="none"/>
        </w:rPr>
        <w:t>其参与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szCs w:val="24"/>
          <w:highlight w:val="none"/>
        </w:rPr>
        <w:t>设备的性能指标，对照谈判文件要求，在“偏离说明”中注明“正偏离”、“负偏离”或者“无偏离”。既不属于“正偏离”也不属于“负偏离”即为“无偏离”。</w:t>
      </w:r>
    </w:p>
    <w:p w14:paraId="608043E1">
      <w:pPr>
        <w:pStyle w:val="12"/>
        <w:spacing w:line="360" w:lineRule="auto"/>
        <w:ind w:firstLine="480" w:firstLineChars="200"/>
        <w:contextualSpacing/>
        <w:rPr>
          <w:rFonts w:hint="eastAsia" w:ascii="楷体" w:hAnsi="楷体" w:eastAsia="楷体" w:cs="宋体"/>
          <w:color w:val="auto"/>
          <w:sz w:val="24"/>
          <w:szCs w:val="24"/>
          <w:highlight w:val="none"/>
        </w:rPr>
      </w:pPr>
      <w:r>
        <w:rPr>
          <w:rFonts w:ascii="楷体" w:hAnsi="楷体" w:eastAsia="楷体" w:cs="宋体"/>
          <w:color w:val="auto"/>
          <w:sz w:val="24"/>
          <w:szCs w:val="24"/>
          <w:highlight w:val="none"/>
        </w:rPr>
        <w:t>3.供应商认为其</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szCs w:val="24"/>
          <w:highlight w:val="none"/>
        </w:rPr>
        <w:t>响应有正偏离的，请在技术偏离表中列明，且在响应文件中提供参与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szCs w:val="24"/>
          <w:highlight w:val="none"/>
        </w:rPr>
        <w:t>产品的彩页或国家认可有资质的第三方检测机构出具的检测报告复印件或产品生产厂家出具的技术参数说明证明作为佐证，以上佐证材料均需加盖生产厂家或代理商（附生产厂家授权资料）公章。</w:t>
      </w:r>
    </w:p>
    <w:p w14:paraId="33B9007B">
      <w:pPr>
        <w:pStyle w:val="12"/>
        <w:spacing w:line="360" w:lineRule="auto"/>
        <w:ind w:firstLine="480" w:firstLineChars="200"/>
        <w:contextualSpacing/>
        <w:rPr>
          <w:rFonts w:hint="eastAsia"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如技术偏离表中的</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szCs w:val="24"/>
          <w:highlight w:val="none"/>
        </w:rPr>
        <w:t>响应与佐证材料不一致的，以佐证材料为准。</w:t>
      </w:r>
    </w:p>
    <w:p w14:paraId="5B543E2E">
      <w:pPr>
        <w:pStyle w:val="12"/>
        <w:spacing w:line="360" w:lineRule="auto"/>
        <w:ind w:firstLine="0" w:firstLineChars="0"/>
        <w:contextualSpacing/>
        <w:rPr>
          <w:rFonts w:hint="eastAsia" w:ascii="宋体" w:hAnsi="宋体" w:eastAsia="宋体" w:cs="宋体"/>
          <w:color w:val="auto"/>
          <w:sz w:val="24"/>
          <w:szCs w:val="24"/>
          <w:highlight w:val="none"/>
        </w:rPr>
      </w:pPr>
    </w:p>
    <w:p w14:paraId="49E26033">
      <w:pPr>
        <w:spacing w:line="360" w:lineRule="auto"/>
        <w:contextualSpacing/>
        <w:rPr>
          <w:rFonts w:hint="eastAsia" w:ascii="宋体" w:hAnsi="宋体" w:cs="宋体"/>
          <w:color w:val="auto"/>
          <w:sz w:val="24"/>
          <w:highlight w:val="none"/>
        </w:rPr>
      </w:pPr>
    </w:p>
    <w:p w14:paraId="0C91572D">
      <w:pPr>
        <w:spacing w:line="360" w:lineRule="auto"/>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3ECA1A3C">
      <w:pPr>
        <w:spacing w:line="360" w:lineRule="auto"/>
        <w:ind w:firstLine="2880" w:firstLineChars="1200"/>
        <w:contextualSpacing/>
        <w:rPr>
          <w:rFonts w:hint="eastAsia"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A5D552C">
      <w:pPr>
        <w:spacing w:line="360" w:lineRule="auto"/>
        <w:ind w:firstLine="2880" w:firstLineChars="1200"/>
        <w:contextualSpacing/>
        <w:rPr>
          <w:rFonts w:hint="eastAsia" w:ascii="宋体" w:hAnsi="宋体" w:cs="宋体"/>
          <w:color w:val="auto"/>
          <w:sz w:val="32"/>
          <w:szCs w:val="32"/>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19996FF9">
      <w:pPr>
        <w:spacing w:line="360" w:lineRule="auto"/>
        <w:rPr>
          <w:rFonts w:hint="eastAsia"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2E696805">
      <w:pPr>
        <w:adjustRightInd w:val="0"/>
        <w:snapToGrid w:val="0"/>
        <w:spacing w:line="360" w:lineRule="auto"/>
        <w:jc w:val="center"/>
        <w:rPr>
          <w:rFonts w:hint="eastAsia" w:ascii="宋体" w:hAnsi="宋体" w:cs="宋体"/>
          <w:b/>
          <w:bCs/>
          <w:color w:val="auto"/>
          <w:sz w:val="44"/>
          <w:szCs w:val="44"/>
          <w:highlight w:val="none"/>
        </w:rPr>
      </w:pPr>
      <w:bookmarkStart w:id="33" w:name="_Toc71366061"/>
      <w:bookmarkStart w:id="34" w:name="_Toc71365383"/>
      <w:r>
        <w:rPr>
          <w:rFonts w:hint="eastAsia" w:ascii="宋体" w:hAnsi="宋体" w:cs="宋体"/>
          <w:b/>
          <w:bCs/>
          <w:color w:val="auto"/>
          <w:sz w:val="44"/>
          <w:szCs w:val="44"/>
          <w:highlight w:val="none"/>
        </w:rPr>
        <w:t>中小企业声明函（货物）</w:t>
      </w:r>
      <w:bookmarkEnd w:id="33"/>
      <w:bookmarkEnd w:id="34"/>
    </w:p>
    <w:p w14:paraId="1CC84303">
      <w:pPr>
        <w:spacing w:line="360" w:lineRule="auto"/>
        <w:rPr>
          <w:rFonts w:hint="eastAsia" w:ascii="宋体" w:hAnsi="宋体" w:cs="宋体"/>
          <w:color w:val="auto"/>
          <w:highlight w:val="none"/>
        </w:rPr>
      </w:pPr>
    </w:p>
    <w:p w14:paraId="49BF9099">
      <w:pPr>
        <w:pStyle w:val="11"/>
        <w:spacing w:after="0" w:line="360" w:lineRule="auto"/>
        <w:ind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14:paraId="551B147F">
      <w:pPr>
        <w:tabs>
          <w:tab w:val="left" w:pos="1384"/>
          <w:tab w:val="left" w:pos="4562"/>
          <w:tab w:val="left" w:pos="6803"/>
        </w:tabs>
        <w:spacing w:line="360" w:lineRule="auto"/>
        <w:ind w:firstLine="655"/>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0AEE40F4">
      <w:pPr>
        <w:tabs>
          <w:tab w:val="left" w:pos="1065"/>
          <w:tab w:val="left" w:pos="6477"/>
        </w:tabs>
        <w:spacing w:line="360" w:lineRule="auto"/>
        <w:ind w:firstLine="655"/>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13E8AEF">
      <w:pPr>
        <w:pStyle w:val="11"/>
        <w:spacing w:after="0"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764D8CE">
      <w:pPr>
        <w:pStyle w:val="11"/>
        <w:spacing w:after="0" w:line="360" w:lineRule="auto"/>
        <w:ind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2DE128E">
      <w:pPr>
        <w:pStyle w:val="11"/>
        <w:spacing w:after="0" w:line="360" w:lineRule="auto"/>
        <w:ind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C7AA282">
      <w:pPr>
        <w:pStyle w:val="11"/>
        <w:spacing w:after="0" w:line="360" w:lineRule="auto"/>
        <w:contextualSpacing/>
        <w:rPr>
          <w:rFonts w:hint="eastAsia" w:ascii="宋体" w:hAnsi="宋体" w:cs="宋体"/>
          <w:color w:val="auto"/>
          <w:sz w:val="24"/>
          <w:highlight w:val="none"/>
        </w:rPr>
      </w:pPr>
    </w:p>
    <w:p w14:paraId="67B935A8">
      <w:pPr>
        <w:pStyle w:val="11"/>
        <w:spacing w:after="0" w:line="360" w:lineRule="auto"/>
        <w:ind w:firstLine="3360" w:firstLineChars="140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企业名称（公章）： </w:t>
      </w:r>
      <w:r>
        <w:rPr>
          <w:rFonts w:ascii="宋体" w:hAnsi="宋体" w:cs="宋体"/>
          <w:color w:val="auto"/>
          <w:sz w:val="24"/>
          <w:highlight w:val="none"/>
          <w:u w:val="single"/>
        </w:rPr>
        <w:t xml:space="preserve">                   </w:t>
      </w:r>
    </w:p>
    <w:p w14:paraId="474C6578">
      <w:pPr>
        <w:pStyle w:val="11"/>
        <w:spacing w:after="0" w:line="360" w:lineRule="auto"/>
        <w:ind w:firstLine="3360" w:firstLineChars="1400"/>
        <w:contextualSpacing/>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58DD7499">
      <w:pPr>
        <w:pStyle w:val="11"/>
        <w:spacing w:after="0" w:line="360" w:lineRule="auto"/>
        <w:contextualSpacing/>
        <w:rPr>
          <w:rFonts w:hint="eastAsia" w:ascii="宋体" w:hAnsi="宋体" w:cs="宋体"/>
          <w:color w:val="auto"/>
          <w:highlight w:val="none"/>
        </w:rPr>
      </w:pPr>
    </w:p>
    <w:p w14:paraId="42CF00C7">
      <w:pPr>
        <w:spacing w:line="360" w:lineRule="auto"/>
        <w:contextualSpacing/>
        <w:jc w:val="left"/>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1A5D9B0D">
      <w:pPr>
        <w:spacing w:line="360" w:lineRule="auto"/>
        <w:ind w:firstLine="480" w:firstLineChars="200"/>
        <w:contextualSpacing/>
        <w:jc w:val="left"/>
        <w:rPr>
          <w:rFonts w:hint="eastAsia" w:ascii="楷体" w:hAnsi="楷体" w:eastAsia="楷体" w:cs="宋体"/>
          <w:color w:val="auto"/>
          <w:sz w:val="24"/>
          <w:highlight w:val="none"/>
        </w:rPr>
      </w:pPr>
      <w:r>
        <w:rPr>
          <w:rFonts w:hint="eastAsia" w:ascii="楷体" w:hAnsi="楷体" w:eastAsia="楷体" w:cs="宋体"/>
          <w:color w:val="auto"/>
          <w:sz w:val="24"/>
          <w:highlight w:val="none"/>
        </w:rPr>
        <w:t>享受《政府采购促进中小企业发展管理办法》（财库〔</w:t>
      </w:r>
      <w:r>
        <w:rPr>
          <w:rFonts w:ascii="楷体" w:hAnsi="楷体" w:eastAsia="楷体" w:cs="宋体"/>
          <w:color w:val="auto"/>
          <w:sz w:val="24"/>
          <w:highlight w:val="none"/>
        </w:rPr>
        <w:t>2020〕46号）规定的中小企业扶持政策的，采购人、采购代理机构应当随成交结果公开成交供应商的《中小企业声明函》。从业人员、营业收入、资产总额填报上一年度数据，无上一年度数据的新成立企业可不填报。</w:t>
      </w:r>
    </w:p>
    <w:p w14:paraId="14120383">
      <w:pPr>
        <w:spacing w:line="360" w:lineRule="auto"/>
        <w:contextualSpacing/>
        <w:jc w:val="center"/>
        <w:rPr>
          <w:rFonts w:hint="eastAsia" w:ascii="宋体" w:hAnsi="宋体" w:cs="宋体"/>
          <w:color w:val="auto"/>
          <w:sz w:val="24"/>
          <w:highlight w:val="none"/>
        </w:rPr>
      </w:pPr>
    </w:p>
    <w:p w14:paraId="121D7E80">
      <w:pPr>
        <w:spacing w:line="360" w:lineRule="auto"/>
        <w:contextualSpacing/>
        <w:jc w:val="center"/>
        <w:rPr>
          <w:rFonts w:hint="eastAsia" w:ascii="宋体" w:hAnsi="宋体" w:cs="宋体"/>
          <w:color w:val="auto"/>
          <w:sz w:val="24"/>
          <w:highlight w:val="none"/>
        </w:rPr>
      </w:pPr>
    </w:p>
    <w:p w14:paraId="108ABA09">
      <w:pPr>
        <w:spacing w:line="360" w:lineRule="auto"/>
        <w:ind w:firstLine="800" w:firstLineChars="250"/>
        <w:jc w:val="center"/>
        <w:rPr>
          <w:rFonts w:hint="eastAsia" w:ascii="宋体" w:hAnsi="宋体" w:cs="宋体"/>
          <w:b/>
          <w:color w:val="auto"/>
          <w:sz w:val="32"/>
          <w:szCs w:val="32"/>
          <w:highlight w:val="none"/>
        </w:rPr>
      </w:pPr>
      <w:r>
        <w:rPr>
          <w:rFonts w:hint="eastAsia" w:hAnsi="宋体" w:cs="宋体"/>
          <w:color w:val="auto"/>
          <w:sz w:val="32"/>
          <w:szCs w:val="32"/>
          <w:highlight w:val="none"/>
        </w:rPr>
        <w:br w:type="page"/>
      </w:r>
      <w:r>
        <w:rPr>
          <w:rFonts w:hint="eastAsia" w:ascii="宋体" w:hAnsi="宋体" w:cs="宋体"/>
          <w:b/>
          <w:color w:val="auto"/>
          <w:sz w:val="44"/>
          <w:szCs w:val="44"/>
          <w:highlight w:val="none"/>
        </w:rPr>
        <w:t>残疾人福利性单位声明函</w:t>
      </w:r>
    </w:p>
    <w:p w14:paraId="350FB453">
      <w:pPr>
        <w:spacing w:line="360" w:lineRule="auto"/>
        <w:rPr>
          <w:rFonts w:hint="eastAsia" w:ascii="宋体" w:hAnsi="宋体" w:cs="宋体"/>
          <w:color w:val="auto"/>
          <w:sz w:val="32"/>
          <w:szCs w:val="32"/>
          <w:highlight w:val="none"/>
        </w:rPr>
      </w:pPr>
    </w:p>
    <w:p w14:paraId="3685B1D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203545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4C7C7BB">
      <w:pPr>
        <w:spacing w:line="360" w:lineRule="auto"/>
        <w:contextualSpacing/>
        <w:rPr>
          <w:rFonts w:hint="eastAsia" w:ascii="宋体" w:hAnsi="宋体" w:cs="宋体"/>
          <w:color w:val="auto"/>
          <w:sz w:val="24"/>
          <w:highlight w:val="none"/>
        </w:rPr>
      </w:pPr>
    </w:p>
    <w:p w14:paraId="4F460BE7">
      <w:pPr>
        <w:spacing w:line="360" w:lineRule="auto"/>
        <w:contextualSpacing/>
        <w:rPr>
          <w:rFonts w:hint="eastAsia" w:ascii="宋体" w:hAnsi="宋体" w:cs="宋体"/>
          <w:color w:val="auto"/>
          <w:sz w:val="24"/>
          <w:highlight w:val="none"/>
        </w:rPr>
      </w:pPr>
    </w:p>
    <w:p w14:paraId="4D4374E2">
      <w:pPr>
        <w:spacing w:line="360" w:lineRule="auto"/>
        <w:contextualSpacing/>
        <w:rPr>
          <w:rFonts w:hint="eastAsia" w:ascii="宋体" w:hAnsi="宋体" w:cs="宋体"/>
          <w:color w:val="auto"/>
          <w:sz w:val="24"/>
          <w:highlight w:val="none"/>
        </w:rPr>
      </w:pPr>
    </w:p>
    <w:p w14:paraId="2FE7E562">
      <w:pPr>
        <w:spacing w:line="360" w:lineRule="auto"/>
        <w:ind w:firstLine="3600" w:firstLineChars="1500"/>
        <w:contextualSpacing/>
        <w:rPr>
          <w:rFonts w:hint="eastAsia" w:ascii="宋体" w:hAnsi="宋体" w:cs="宋体"/>
          <w:color w:val="auto"/>
          <w:sz w:val="24"/>
          <w:highlight w:val="none"/>
          <w:u w:val="single"/>
        </w:rPr>
      </w:pPr>
      <w:r>
        <w:rPr>
          <w:rFonts w:hint="eastAsia" w:ascii="宋体" w:hAnsi="宋体" w:cs="宋体"/>
          <w:color w:val="auto"/>
          <w:sz w:val="24"/>
          <w:highlight w:val="none"/>
        </w:rPr>
        <w:t>单位名称（公章）：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E57ADED">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34B84852">
      <w:pPr>
        <w:spacing w:line="360" w:lineRule="auto"/>
        <w:contextualSpacing/>
        <w:rPr>
          <w:rFonts w:hint="eastAsia" w:ascii="宋体" w:hAnsi="宋体" w:cs="宋体"/>
          <w:color w:val="auto"/>
          <w:sz w:val="24"/>
          <w:highlight w:val="none"/>
        </w:rPr>
      </w:pPr>
    </w:p>
    <w:p w14:paraId="1CBB48EF">
      <w:pPr>
        <w:spacing w:line="360" w:lineRule="auto"/>
        <w:contextualSpacing/>
        <w:rPr>
          <w:rFonts w:hint="eastAsia" w:ascii="宋体" w:hAnsi="宋体" w:cs="宋体"/>
          <w:color w:val="auto"/>
          <w:sz w:val="24"/>
          <w:highlight w:val="none"/>
        </w:rPr>
      </w:pPr>
    </w:p>
    <w:p w14:paraId="57E9B5D1">
      <w:pPr>
        <w:spacing w:line="360" w:lineRule="auto"/>
        <w:contextualSpacing/>
        <w:rPr>
          <w:rFonts w:hint="eastAsia" w:ascii="宋体" w:hAnsi="宋体" w:cs="宋体"/>
          <w:color w:val="auto"/>
          <w:sz w:val="24"/>
          <w:highlight w:val="none"/>
        </w:rPr>
      </w:pPr>
    </w:p>
    <w:p w14:paraId="3BF0E738">
      <w:pPr>
        <w:spacing w:line="360" w:lineRule="auto"/>
        <w:contextualSpacing/>
        <w:rPr>
          <w:rFonts w:hint="eastAsia" w:ascii="楷体" w:hAnsi="楷体" w:eastAsia="楷体" w:cs="宋体"/>
          <w:b/>
          <w:color w:val="auto"/>
          <w:sz w:val="24"/>
          <w:highlight w:val="none"/>
        </w:rPr>
      </w:pPr>
      <w:r>
        <w:rPr>
          <w:rFonts w:hint="eastAsia" w:ascii="楷体" w:hAnsi="楷体" w:eastAsia="楷体" w:cs="宋体"/>
          <w:b/>
          <w:color w:val="auto"/>
          <w:sz w:val="24"/>
          <w:highlight w:val="none"/>
        </w:rPr>
        <w:t>注：</w:t>
      </w:r>
    </w:p>
    <w:p w14:paraId="23E33672">
      <w:pPr>
        <w:spacing w:line="360" w:lineRule="auto"/>
        <w:ind w:firstLine="480" w:firstLineChars="200"/>
        <w:contextualSpacing/>
        <w:rPr>
          <w:rFonts w:hint="eastAsia"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5EAC8ADB">
      <w:pPr>
        <w:rPr>
          <w:rFonts w:hint="eastAsia" w:ascii="宋体" w:hAnsi="宋体" w:cs="宋体"/>
          <w:color w:val="auto"/>
          <w:sz w:val="24"/>
          <w:highlight w:val="none"/>
        </w:rPr>
      </w:pPr>
      <w:r>
        <w:rPr>
          <w:rFonts w:hint="eastAsia" w:ascii="宋体" w:hAnsi="宋体" w:cs="宋体"/>
          <w:color w:val="auto"/>
          <w:sz w:val="24"/>
          <w:highlight w:val="none"/>
        </w:rPr>
        <w:br w:type="page"/>
      </w:r>
    </w:p>
    <w:p w14:paraId="1C57CC6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如供应商提供的产品属于本国产品，按以下格式提供关于符合本国产品标准的声明函</w:t>
      </w:r>
    </w:p>
    <w:p w14:paraId="6F4A3568">
      <w:pPr>
        <w:rPr>
          <w:rFonts w:hint="eastAsia" w:asciiTheme="minorEastAsia" w:hAnsiTheme="minorEastAsia" w:eastAsiaTheme="minorEastAsia" w:cstheme="minorEastAsia"/>
          <w:color w:val="auto"/>
          <w:highlight w:val="none"/>
        </w:rPr>
      </w:pPr>
    </w:p>
    <w:p w14:paraId="0CEFBF62">
      <w:pPr>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关于符合本国产品标准的声明函</w:t>
      </w:r>
    </w:p>
    <w:p w14:paraId="648DDBF4">
      <w:pPr>
        <w:rPr>
          <w:rFonts w:hint="eastAsia" w:asciiTheme="minorEastAsia" w:hAnsiTheme="minorEastAsia" w:eastAsiaTheme="minorEastAsia" w:cstheme="minorEastAsia"/>
          <w:color w:val="auto"/>
          <w:highlight w:val="none"/>
        </w:rPr>
      </w:pPr>
    </w:p>
    <w:p w14:paraId="313C192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99E9EA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（产品名称1）1</w:t>
      </w:r>
      <w:r>
        <w:rPr>
          <w:rFonts w:hint="eastAsia" w:asciiTheme="minorEastAsia" w:hAnsiTheme="minorEastAsia" w:eastAsiaTheme="minorEastAsia" w:cstheme="minorEastAsia"/>
          <w:color w:val="auto"/>
          <w:sz w:val="24"/>
          <w:highlight w:val="none"/>
        </w:rPr>
        <w:t>，生产厂为</w:t>
      </w:r>
      <w:r>
        <w:rPr>
          <w:rFonts w:hint="eastAsia" w:asciiTheme="minorEastAsia" w:hAnsiTheme="minorEastAsia" w:eastAsiaTheme="minorEastAsia" w:cstheme="minorEastAsia"/>
          <w:color w:val="auto"/>
          <w:sz w:val="24"/>
          <w:highlight w:val="none"/>
          <w:u w:val="single"/>
        </w:rPr>
        <w:t>（厂名）2</w:t>
      </w:r>
      <w:r>
        <w:rPr>
          <w:rFonts w:hint="eastAsia" w:asciiTheme="minorEastAsia" w:hAnsiTheme="minorEastAsia" w:eastAsiaTheme="minorEastAsia" w:cstheme="minorEastAsia"/>
          <w:color w:val="auto"/>
          <w:sz w:val="24"/>
          <w:highlight w:val="none"/>
        </w:rPr>
        <w:t>，厂址为</w:t>
      </w:r>
      <w:r>
        <w:rPr>
          <w:rFonts w:hint="eastAsia" w:asciiTheme="minorEastAsia" w:hAnsiTheme="minorEastAsia" w:eastAsiaTheme="minorEastAsia" w:cstheme="minorEastAsia"/>
          <w:color w:val="auto"/>
          <w:sz w:val="24"/>
          <w:highlight w:val="none"/>
          <w:u w:val="single"/>
        </w:rPr>
        <w:t>（生产厂址）</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（产品名称1）</w:t>
      </w:r>
      <w:r>
        <w:rPr>
          <w:rFonts w:hint="eastAsia" w:asciiTheme="minorEastAsia" w:hAnsiTheme="minorEastAsia" w:eastAsiaTheme="minorEastAsia" w:cstheme="minorEastAsia"/>
          <w:color w:val="auto"/>
          <w:sz w:val="24"/>
          <w:highlight w:val="none"/>
        </w:rPr>
        <w:t>的中国境内生产的组件成本占比≥</w:t>
      </w:r>
      <w:r>
        <w:rPr>
          <w:rFonts w:hint="eastAsia" w:asciiTheme="minorEastAsia" w:hAnsiTheme="minorEastAsia" w:eastAsiaTheme="minorEastAsia" w:cstheme="minorEastAsia"/>
          <w:color w:val="auto"/>
          <w:sz w:val="24"/>
          <w:highlight w:val="none"/>
          <w:u w:val="single"/>
        </w:rPr>
        <w:t>（规定比例）3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（产品名称1）</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（关键组件）4</w:t>
      </w:r>
      <w:r>
        <w:rPr>
          <w:rFonts w:hint="eastAsia" w:asciiTheme="minorEastAsia" w:hAnsiTheme="minorEastAsia" w:eastAsiaTheme="minorEastAsia" w:cstheme="minorEastAsia"/>
          <w:color w:val="auto"/>
          <w:sz w:val="24"/>
          <w:highlight w:val="none"/>
        </w:rPr>
        <w:t>在中国境内生产。（产品名称1）的（关键工序）5在中国境内完成。</w:t>
      </w:r>
    </w:p>
    <w:p w14:paraId="0539353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（产品名称2）</w:t>
      </w:r>
      <w:r>
        <w:rPr>
          <w:rFonts w:hint="eastAsia" w:asciiTheme="minorEastAsia" w:hAnsiTheme="minorEastAsia" w:eastAsiaTheme="minorEastAsia" w:cstheme="minorEastAsia"/>
          <w:color w:val="auto"/>
          <w:sz w:val="24"/>
          <w:highlight w:val="none"/>
        </w:rPr>
        <w:t>，生产厂为</w:t>
      </w:r>
      <w:r>
        <w:rPr>
          <w:rFonts w:hint="eastAsia" w:asciiTheme="minorEastAsia" w:hAnsiTheme="minorEastAsia" w:eastAsiaTheme="minorEastAsia" w:cstheme="minorEastAsia"/>
          <w:color w:val="auto"/>
          <w:sz w:val="24"/>
          <w:highlight w:val="none"/>
          <w:u w:val="single"/>
        </w:rPr>
        <w:t>（厂名）</w:t>
      </w:r>
      <w:r>
        <w:rPr>
          <w:rFonts w:hint="eastAsia" w:asciiTheme="minorEastAsia" w:hAnsiTheme="minorEastAsia" w:eastAsiaTheme="minorEastAsia" w:cstheme="minorEastAsia"/>
          <w:color w:val="auto"/>
          <w:sz w:val="24"/>
          <w:highlight w:val="none"/>
        </w:rPr>
        <w:t>，厂址为</w:t>
      </w:r>
      <w:r>
        <w:rPr>
          <w:rFonts w:hint="eastAsia" w:asciiTheme="minorEastAsia" w:hAnsiTheme="minorEastAsia" w:eastAsiaTheme="minorEastAsia" w:cstheme="minorEastAsia"/>
          <w:color w:val="auto"/>
          <w:sz w:val="24"/>
          <w:highlight w:val="none"/>
          <w:u w:val="single"/>
        </w:rPr>
        <w:t>（生产厂址）</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（产品名称2）</w:t>
      </w:r>
      <w:r>
        <w:rPr>
          <w:rFonts w:hint="eastAsia" w:asciiTheme="minorEastAsia" w:hAnsiTheme="minorEastAsia" w:eastAsiaTheme="minorEastAsia" w:cstheme="minorEastAsia"/>
          <w:color w:val="auto"/>
          <w:sz w:val="24"/>
          <w:highlight w:val="none"/>
        </w:rPr>
        <w:t>的中国境内生产的组件成本占比≥</w:t>
      </w:r>
      <w:r>
        <w:rPr>
          <w:rFonts w:hint="eastAsia" w:asciiTheme="minorEastAsia" w:hAnsiTheme="minorEastAsia" w:eastAsiaTheme="minorEastAsia" w:cstheme="minorEastAsia"/>
          <w:color w:val="auto"/>
          <w:sz w:val="24"/>
          <w:highlight w:val="none"/>
          <w:u w:val="single"/>
        </w:rPr>
        <w:t>（规定比例）</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（产品名称2）</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（关键组件）</w:t>
      </w:r>
      <w:r>
        <w:rPr>
          <w:rFonts w:hint="eastAsia" w:asciiTheme="minorEastAsia" w:hAnsiTheme="minorEastAsia" w:eastAsiaTheme="minorEastAsia" w:cstheme="minorEastAsia"/>
          <w:color w:val="auto"/>
          <w:sz w:val="24"/>
          <w:highlight w:val="none"/>
        </w:rPr>
        <w:t>在中国境内生产。</w:t>
      </w:r>
      <w:r>
        <w:rPr>
          <w:rFonts w:hint="eastAsia" w:asciiTheme="minorEastAsia" w:hAnsiTheme="minorEastAsia" w:eastAsiaTheme="minorEastAsia" w:cstheme="minorEastAsia"/>
          <w:color w:val="auto"/>
          <w:sz w:val="24"/>
          <w:highlight w:val="none"/>
          <w:u w:val="single"/>
        </w:rPr>
        <w:t>（产品名称2）</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（关键工序）</w:t>
      </w:r>
      <w:r>
        <w:rPr>
          <w:rFonts w:hint="eastAsia" w:asciiTheme="minorEastAsia" w:hAnsiTheme="minorEastAsia" w:eastAsiaTheme="minorEastAsia" w:cstheme="minorEastAsia"/>
          <w:color w:val="auto"/>
          <w:sz w:val="24"/>
          <w:highlight w:val="none"/>
        </w:rPr>
        <w:t>在中国境内完成。</w:t>
      </w:r>
    </w:p>
    <w:p w14:paraId="7EBAB8C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5C4F563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本公司（单位）对上述声明内容的真实性负责。如有虚假，愿承担相应法律责任。</w:t>
      </w:r>
    </w:p>
    <w:p w14:paraId="6AAACD73">
      <w:pPr>
        <w:spacing w:line="360" w:lineRule="auto"/>
        <w:rPr>
          <w:rFonts w:hint="eastAsia" w:asciiTheme="minorEastAsia" w:hAnsiTheme="minorEastAsia" w:eastAsiaTheme="minorEastAsia" w:cstheme="minorEastAsia"/>
          <w:color w:val="auto"/>
          <w:sz w:val="24"/>
          <w:highlight w:val="none"/>
        </w:rPr>
      </w:pPr>
    </w:p>
    <w:p w14:paraId="35989656">
      <w:pPr>
        <w:spacing w:line="360" w:lineRule="auto"/>
        <w:ind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单位名称（公章）：                   </w:t>
      </w:r>
    </w:p>
    <w:p w14:paraId="39CC27C0">
      <w:pPr>
        <w:spacing w:line="360" w:lineRule="auto"/>
        <w:ind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681DC7AA">
      <w:pPr>
        <w:spacing w:line="360" w:lineRule="auto"/>
        <w:rPr>
          <w:rFonts w:hint="eastAsia" w:asciiTheme="minorEastAsia" w:hAnsiTheme="minorEastAsia" w:eastAsiaTheme="minorEastAsia" w:cstheme="minorEastAsia"/>
          <w:color w:val="auto"/>
          <w:sz w:val="24"/>
          <w:highlight w:val="none"/>
        </w:rPr>
      </w:pPr>
    </w:p>
    <w:p w14:paraId="5981B992">
      <w:pPr>
        <w:spacing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 w:val="24"/>
          <w:highlight w:val="none"/>
        </w:rPr>
        <w:t>注：</w:t>
      </w:r>
    </w:p>
    <w:p w14:paraId="60B8F6B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1.产品如有型号，请在“产品名称”栏一并填写。</w:t>
      </w:r>
    </w:p>
    <w:p w14:paraId="32DCF0A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2.生产厂名与厂址应与生产厂营业执照载明的相关信息保持一致。</w:t>
      </w:r>
    </w:p>
    <w:p w14:paraId="6108A59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3.该产品的中国境内生产的组件成本占比相关要求实施前，“规定比例”栏可不填，下同。</w:t>
      </w:r>
    </w:p>
    <w:p w14:paraId="23C5357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4.该产品的关键组件要求实施前，“关键组件”栏可不填，下同。</w:t>
      </w:r>
    </w:p>
    <w:p w14:paraId="5FA03AF7">
      <w:pPr>
        <w:spacing w:line="360" w:lineRule="auto"/>
        <w:rPr>
          <w:rFonts w:hint="eastAsia" w:asciiTheme="minorEastAsia" w:hAnsiTheme="minorEastAsia" w:eastAsiaTheme="minorEastAsia" w:cstheme="minorEastAsia"/>
          <w:color w:val="auto"/>
          <w:szCs w:val="21"/>
          <w:highlight w:val="none"/>
        </w:rPr>
        <w:sectPr>
          <w:pgSz w:w="11905" w:h="16838"/>
          <w:pgMar w:top="1134" w:right="1134" w:bottom="1134" w:left="1134" w:header="850" w:footer="992" w:gutter="0"/>
          <w:cols w:space="720" w:num="1"/>
          <w:titlePg/>
          <w:docGrid w:type="lines" w:linePitch="318" w:charSpace="0"/>
        </w:sectPr>
      </w:pPr>
      <w:r>
        <w:rPr>
          <w:rFonts w:hint="eastAsia" w:asciiTheme="minorEastAsia" w:hAnsiTheme="minorEastAsia" w:eastAsiaTheme="minorEastAsia" w:cstheme="minorEastAsia"/>
          <w:color w:val="auto"/>
          <w:szCs w:val="21"/>
          <w:highlight w:val="none"/>
        </w:rPr>
        <w:t>5.该产品的关键工序要求实施前，“关键工序”栏可不填，下同</w:t>
      </w:r>
    </w:p>
    <w:p w14:paraId="21030CCB">
      <w:pPr>
        <w:spacing w:line="360" w:lineRule="auto"/>
        <w:jc w:val="center"/>
        <w:rPr>
          <w:rFonts w:hint="eastAsia" w:ascii="宋体" w:hAnsi="宋体" w:cs="宋体"/>
          <w:b/>
          <w:bCs/>
          <w:color w:val="auto"/>
          <w:sz w:val="32"/>
          <w:szCs w:val="32"/>
          <w:highlight w:val="none"/>
        </w:rPr>
      </w:pPr>
      <w:r>
        <w:rPr>
          <w:rFonts w:hint="eastAsia" w:ascii="宋体" w:hAnsi="宋体" w:cs="宋体"/>
          <w:b/>
          <w:color w:val="auto"/>
          <w:sz w:val="44"/>
          <w:szCs w:val="44"/>
          <w:highlight w:val="none"/>
        </w:rPr>
        <w:t>质疑函</w:t>
      </w:r>
      <w:r>
        <w:rPr>
          <w:rFonts w:hint="eastAsia" w:ascii="宋体" w:hAnsi="宋体" w:cs="宋体"/>
          <w:color w:val="auto"/>
          <w:sz w:val="28"/>
          <w:szCs w:val="28"/>
          <w:highlight w:val="none"/>
        </w:rPr>
        <w:t>（格式）</w:t>
      </w:r>
    </w:p>
    <w:p w14:paraId="0D0E9347">
      <w:pPr>
        <w:spacing w:line="360" w:lineRule="auto"/>
        <w:jc w:val="center"/>
        <w:rPr>
          <w:rFonts w:hint="eastAsia" w:ascii="宋体" w:hAnsi="宋体" w:cs="宋体"/>
          <w:b/>
          <w:bCs/>
          <w:color w:val="auto"/>
          <w:sz w:val="32"/>
          <w:szCs w:val="32"/>
          <w:highlight w:val="none"/>
        </w:rPr>
      </w:pPr>
    </w:p>
    <w:p w14:paraId="0334C1DF">
      <w:pPr>
        <w:pStyle w:val="15"/>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9FE2889">
      <w:pPr>
        <w:pStyle w:val="15"/>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665BCCE">
      <w:pPr>
        <w:pStyle w:val="1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808FBAF">
      <w:pPr>
        <w:pStyle w:val="1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BAC420B">
      <w:pPr>
        <w:pStyle w:val="1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A6E4ED4">
      <w:pPr>
        <w:pStyle w:val="15"/>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4D2E2A6">
      <w:pPr>
        <w:pStyle w:val="15"/>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94DC6A9">
      <w:pPr>
        <w:pStyle w:val="15"/>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57CAF864">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0A7FA9C">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745E3D3">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F41F57B">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20737C1A">
      <w:pPr>
        <w:pStyle w:val="15"/>
        <w:spacing w:line="360" w:lineRule="auto"/>
        <w:ind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096CB436">
      <w:pPr>
        <w:pStyle w:val="15"/>
        <w:spacing w:line="360" w:lineRule="auto"/>
        <w:ind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2A4A2906">
      <w:pPr>
        <w:pStyle w:val="15"/>
        <w:spacing w:line="360" w:lineRule="auto"/>
        <w:ind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7A14A7DD">
      <w:pPr>
        <w:pStyle w:val="15"/>
        <w:spacing w:line="360" w:lineRule="auto"/>
        <w:ind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0578BD94">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40D86A6">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5F34468">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309402CE">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393C5514">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5A98BB9A">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3061ECE5">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7C9E0E3">
      <w:pPr>
        <w:pStyle w:val="15"/>
        <w:spacing w:line="360" w:lineRule="auto"/>
        <w:ind w:firstLine="352" w:firstLineChars="147"/>
        <w:contextualSpacing/>
        <w:rPr>
          <w:rFonts w:hint="eastAsia" w:hAnsi="宋体" w:cs="宋体"/>
          <w:color w:val="auto"/>
          <w:sz w:val="24"/>
          <w:szCs w:val="24"/>
          <w:highlight w:val="none"/>
        </w:rPr>
      </w:pPr>
    </w:p>
    <w:p w14:paraId="56C53A2F">
      <w:pPr>
        <w:pStyle w:val="15"/>
        <w:spacing w:line="360" w:lineRule="auto"/>
        <w:ind w:firstLine="472" w:firstLineChars="197"/>
        <w:contextualSpacing/>
        <w:rPr>
          <w:rFonts w:hint="eastAsia"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755EF1E">
      <w:pPr>
        <w:pStyle w:val="15"/>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6C34E21">
      <w:pPr>
        <w:pStyle w:val="15"/>
        <w:spacing w:line="360" w:lineRule="auto"/>
        <w:contextualSpacing/>
        <w:rPr>
          <w:rFonts w:hint="eastAsia" w:hAnsi="宋体" w:cs="宋体"/>
          <w:b/>
          <w:color w:val="auto"/>
          <w:sz w:val="24"/>
          <w:szCs w:val="24"/>
          <w:highlight w:val="none"/>
        </w:rPr>
      </w:pPr>
    </w:p>
    <w:p w14:paraId="6D9927F8">
      <w:pPr>
        <w:pStyle w:val="15"/>
        <w:spacing w:line="360" w:lineRule="auto"/>
        <w:contextualSpacing/>
        <w:rPr>
          <w:rFonts w:hint="eastAsia"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279F4916">
      <w:pPr>
        <w:pStyle w:val="15"/>
        <w:spacing w:line="360" w:lineRule="auto"/>
        <w:ind w:firstLine="354" w:firstLineChars="147"/>
        <w:contextualSpacing/>
        <w:rPr>
          <w:rFonts w:hint="eastAsia"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24C38B5D">
      <w:pPr>
        <w:pStyle w:val="15"/>
        <w:spacing w:line="360" w:lineRule="auto"/>
        <w:ind w:firstLine="354" w:firstLineChars="147"/>
        <w:contextualSpacing/>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C6355D">
      <w:pPr>
        <w:pStyle w:val="15"/>
        <w:spacing w:line="360" w:lineRule="auto"/>
        <w:ind w:firstLine="354" w:firstLineChars="147"/>
        <w:contextualSpacing/>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5AFA3508">
      <w:pPr>
        <w:pStyle w:val="15"/>
        <w:spacing w:line="360" w:lineRule="auto"/>
        <w:ind w:firstLine="354" w:firstLineChars="147"/>
        <w:contextualSpacing/>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4BD164AC">
      <w:pPr>
        <w:pStyle w:val="15"/>
        <w:spacing w:line="360" w:lineRule="auto"/>
        <w:ind w:firstLine="354" w:firstLineChars="147"/>
        <w:contextualSpacing/>
        <w:rPr>
          <w:rFonts w:hint="eastAsia"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5.质疑供应商为法人或者其他组织的，质疑函应由法定代表人、主要负责人，或者其授权代表签字或者盖章，并加盖公章。</w:t>
      </w:r>
    </w:p>
    <w:p w14:paraId="3B10027C">
      <w:pPr>
        <w:pStyle w:val="15"/>
        <w:snapToGrid w:val="0"/>
        <w:spacing w:line="360" w:lineRule="auto"/>
        <w:rPr>
          <w:rFonts w:hint="eastAsia" w:hAnsi="宋体" w:cs="宋体"/>
          <w:b/>
          <w:color w:val="auto"/>
          <w:sz w:val="24"/>
          <w:szCs w:val="24"/>
          <w:highlight w:val="none"/>
        </w:rPr>
      </w:pPr>
    </w:p>
    <w:p w14:paraId="703C2D61">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4FA5D660">
      <w:pPr>
        <w:spacing w:line="360" w:lineRule="auto"/>
        <w:jc w:val="center"/>
        <w:rPr>
          <w:rFonts w:hint="eastAsia" w:ascii="宋体" w:hAnsi="宋体" w:cs="宋体"/>
          <w:color w:val="auto"/>
          <w:sz w:val="44"/>
          <w:szCs w:val="44"/>
          <w:highlight w:val="none"/>
        </w:rPr>
      </w:pPr>
      <w:r>
        <w:rPr>
          <w:rFonts w:hint="eastAsia" w:ascii="宋体" w:hAnsi="宋体" w:cs="宋体"/>
          <w:b/>
          <w:color w:val="auto"/>
          <w:sz w:val="44"/>
          <w:szCs w:val="44"/>
          <w:highlight w:val="none"/>
        </w:rPr>
        <w:t>投诉书</w:t>
      </w:r>
      <w:r>
        <w:rPr>
          <w:rFonts w:hint="eastAsia" w:ascii="宋体" w:hAnsi="宋体" w:cs="宋体"/>
          <w:color w:val="auto"/>
          <w:sz w:val="28"/>
          <w:szCs w:val="28"/>
          <w:highlight w:val="none"/>
        </w:rPr>
        <w:t>（格式）</w:t>
      </w:r>
    </w:p>
    <w:p w14:paraId="281E0FB2">
      <w:pPr>
        <w:pStyle w:val="1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44CEBF1">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60452F2">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EEED1F3">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AF92E6C">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476A23B">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63A5F5E">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86959E3">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CAA30E7">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58230D25">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3BC2EC4">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55AE560">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B1E7B5A">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1B6EFFB1">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0C53F488">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0BD8C6F9">
      <w:pPr>
        <w:pStyle w:val="1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1655EF77">
      <w:pPr>
        <w:pStyle w:val="1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9D053C3">
      <w:pPr>
        <w:pStyle w:val="1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482A4E22">
      <w:pPr>
        <w:pStyle w:val="15"/>
        <w:spacing w:line="360" w:lineRule="auto"/>
        <w:ind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1A045694">
      <w:pPr>
        <w:pStyle w:val="15"/>
        <w:spacing w:line="360" w:lineRule="auto"/>
        <w:ind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37A38A5">
      <w:pPr>
        <w:pStyle w:val="15"/>
        <w:spacing w:line="360" w:lineRule="auto"/>
        <w:ind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2DBD35A">
      <w:pPr>
        <w:pStyle w:val="15"/>
        <w:spacing w:line="360" w:lineRule="auto"/>
        <w:ind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7648137C">
      <w:pPr>
        <w:pStyle w:val="15"/>
        <w:spacing w:line="360" w:lineRule="auto"/>
        <w:ind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6207C8D">
      <w:pPr>
        <w:pStyle w:val="15"/>
        <w:spacing w:line="360" w:lineRule="auto"/>
        <w:ind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756F47A">
      <w:pPr>
        <w:pStyle w:val="15"/>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0DEDE28F">
      <w:pPr>
        <w:pStyle w:val="15"/>
        <w:spacing w:line="360" w:lineRule="auto"/>
        <w:ind w:left="479" w:leftChars="228" w:firstLine="60" w:firstLineChars="25"/>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A19538C">
      <w:pPr>
        <w:pStyle w:val="15"/>
        <w:spacing w:line="360" w:lineRule="auto"/>
        <w:ind w:firstLine="540" w:firstLineChars="225"/>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8A72CA1">
      <w:pPr>
        <w:pStyle w:val="15"/>
        <w:spacing w:line="360" w:lineRule="auto"/>
        <w:ind w:firstLine="540" w:firstLineChars="225"/>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067DF41">
      <w:pPr>
        <w:pStyle w:val="15"/>
        <w:spacing w:line="360" w:lineRule="auto"/>
        <w:ind w:firstLine="540" w:firstLineChars="225"/>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2BEC6E05">
      <w:pPr>
        <w:pStyle w:val="15"/>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28459282">
      <w:pPr>
        <w:pStyle w:val="15"/>
        <w:spacing w:line="360" w:lineRule="auto"/>
        <w:ind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10123B2E">
      <w:pPr>
        <w:pStyle w:val="15"/>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674FECC">
      <w:pPr>
        <w:pStyle w:val="15"/>
        <w:spacing w:line="360" w:lineRule="auto"/>
        <w:ind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715F9C97">
      <w:pPr>
        <w:pStyle w:val="15"/>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C074DCE">
      <w:pPr>
        <w:pStyle w:val="15"/>
        <w:spacing w:line="360" w:lineRule="auto"/>
        <w:ind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F40C8E7">
      <w:pPr>
        <w:pStyle w:val="15"/>
        <w:spacing w:line="360" w:lineRule="auto"/>
        <w:ind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3682381">
      <w:pPr>
        <w:pStyle w:val="15"/>
        <w:spacing w:line="360" w:lineRule="auto"/>
        <w:ind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3D26E0AF">
      <w:pPr>
        <w:pStyle w:val="15"/>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178664BB">
      <w:pPr>
        <w:pStyle w:val="15"/>
        <w:spacing w:line="360" w:lineRule="auto"/>
        <w:ind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9D31488">
      <w:pPr>
        <w:pStyle w:val="15"/>
        <w:spacing w:line="360" w:lineRule="auto"/>
        <w:ind w:firstLine="352" w:firstLineChars="147"/>
        <w:rPr>
          <w:rFonts w:hint="eastAsia" w:hAnsi="宋体" w:cs="宋体"/>
          <w:color w:val="auto"/>
          <w:sz w:val="24"/>
          <w:szCs w:val="24"/>
          <w:highlight w:val="none"/>
        </w:rPr>
      </w:pPr>
    </w:p>
    <w:p w14:paraId="51C75A88">
      <w:pPr>
        <w:pStyle w:val="15"/>
        <w:spacing w:line="360" w:lineRule="auto"/>
        <w:ind w:firstLine="472" w:firstLineChars="197"/>
        <w:rPr>
          <w:rFonts w:hint="eastAsia"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Ansi="宋体" w:cs="宋体"/>
          <w:color w:val="auto"/>
          <w:sz w:val="24"/>
          <w:szCs w:val="24"/>
          <w:highlight w:val="none"/>
          <w:u w:val="single"/>
        </w:rPr>
        <w:t xml:space="preserve">            </w:t>
      </w:r>
    </w:p>
    <w:p w14:paraId="67E8E4ED">
      <w:pPr>
        <w:pStyle w:val="15"/>
        <w:spacing w:line="360" w:lineRule="auto"/>
        <w:ind w:firstLine="352" w:firstLineChars="147"/>
        <w:rPr>
          <w:rFonts w:hint="eastAsia" w:hAnsi="宋体" w:cs="宋体"/>
          <w:color w:val="auto"/>
          <w:sz w:val="24"/>
          <w:szCs w:val="24"/>
          <w:highlight w:val="none"/>
        </w:rPr>
      </w:pPr>
    </w:p>
    <w:p w14:paraId="6CA349E9">
      <w:pPr>
        <w:pStyle w:val="15"/>
        <w:spacing w:line="360" w:lineRule="auto"/>
        <w:ind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bCs/>
          <w:color w:val="auto"/>
          <w:sz w:val="24"/>
          <w:szCs w:val="24"/>
          <w:highlight w:val="none"/>
        </w:rPr>
        <w:t xml:space="preserve">    </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r>
        <w:rPr>
          <w:rFonts w:hint="eastAsia" w:cs="宋体" w:asciiTheme="minorEastAsia" w:hAnsiTheme="minorEastAsia" w:eastAsiaTheme="minorEastAsia"/>
          <w:bCs/>
          <w:color w:val="auto"/>
          <w:sz w:val="24"/>
          <w:szCs w:val="24"/>
          <w:highlight w:val="none"/>
        </w:rPr>
        <w:t xml:space="preserve"> </w:t>
      </w:r>
      <w:r>
        <w:rPr>
          <w:rFonts w:hint="eastAsia" w:hAnsi="宋体" w:cs="宋体"/>
          <w:bCs/>
          <w:color w:val="auto"/>
          <w:sz w:val="24"/>
          <w:szCs w:val="24"/>
          <w:highlight w:val="none"/>
        </w:rPr>
        <w:t xml:space="preserve">                                                        </w:t>
      </w:r>
    </w:p>
    <w:p w14:paraId="4F576C79">
      <w:pPr>
        <w:pStyle w:val="15"/>
        <w:snapToGrid w:val="0"/>
        <w:spacing w:line="360" w:lineRule="auto"/>
        <w:rPr>
          <w:rFonts w:hint="eastAsia" w:hAnsi="宋体" w:cs="宋体"/>
          <w:b/>
          <w:color w:val="auto"/>
          <w:sz w:val="24"/>
          <w:szCs w:val="24"/>
          <w:highlight w:val="none"/>
        </w:rPr>
      </w:pPr>
    </w:p>
    <w:p w14:paraId="67E94F79">
      <w:pPr>
        <w:pStyle w:val="15"/>
        <w:snapToGrid w:val="0"/>
        <w:spacing w:line="360" w:lineRule="auto"/>
        <w:rPr>
          <w:rFonts w:hint="eastAsia"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7C9AB5E9">
      <w:pPr>
        <w:pStyle w:val="15"/>
        <w:spacing w:line="360" w:lineRule="auto"/>
        <w:ind w:firstLine="354" w:firstLineChars="147"/>
        <w:rPr>
          <w:rFonts w:hint="eastAsia"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5641AD7F">
      <w:pPr>
        <w:pStyle w:val="15"/>
        <w:spacing w:line="360" w:lineRule="auto"/>
        <w:ind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0A9B2BC">
      <w:pPr>
        <w:pStyle w:val="15"/>
        <w:spacing w:line="360" w:lineRule="auto"/>
        <w:ind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793AA8B7">
      <w:pPr>
        <w:pStyle w:val="15"/>
        <w:spacing w:line="360" w:lineRule="auto"/>
        <w:ind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5A676D30">
      <w:pPr>
        <w:pStyle w:val="15"/>
        <w:spacing w:line="360" w:lineRule="auto"/>
        <w:ind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4CD4BC41">
      <w:pPr>
        <w:pStyle w:val="15"/>
        <w:spacing w:line="360" w:lineRule="auto"/>
        <w:ind w:firstLine="354" w:firstLineChars="147"/>
        <w:rPr>
          <w:rFonts w:hint="eastAsia" w:ascii="楷体" w:hAnsi="楷体" w:eastAsia="楷体" w:cs="宋体"/>
          <w:b/>
          <w:color w:val="auto"/>
          <w:sz w:val="24"/>
          <w:szCs w:val="24"/>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p w14:paraId="1846E015">
      <w:pPr>
        <w:pStyle w:val="3"/>
        <w:spacing w:before="0" w:after="0" w:line="360" w:lineRule="auto"/>
        <w:jc w:val="center"/>
        <w:rPr>
          <w:rFonts w:hint="eastAsia" w:ascii="宋体" w:hAnsi="宋体" w:cs="宋体"/>
          <w:color w:val="auto"/>
          <w:highlight w:val="none"/>
        </w:rPr>
      </w:pPr>
      <w:bookmarkStart w:id="35" w:name="_Toc27857"/>
      <w:r>
        <w:rPr>
          <w:rFonts w:hint="eastAsia" w:ascii="宋体" w:hAnsi="宋体" w:cs="宋体"/>
          <w:color w:val="auto"/>
          <w:highlight w:val="none"/>
        </w:rPr>
        <w:t>第六章 合同文本</w:t>
      </w:r>
      <w:bookmarkEnd w:id="35"/>
    </w:p>
    <w:p w14:paraId="720F50A1">
      <w:pPr>
        <w:adjustRightInd w:val="0"/>
        <w:snapToGrid w:val="0"/>
        <w:spacing w:line="360" w:lineRule="auto"/>
        <w:ind w:firstLine="420" w:firstLineChars="200"/>
        <w:rPr>
          <w:rFonts w:hint="eastAsia" w:ascii="宋体" w:hAnsi="宋体" w:cs="宋体"/>
          <w:color w:val="auto"/>
          <w:szCs w:val="21"/>
          <w:highlight w:val="none"/>
        </w:rPr>
      </w:pPr>
    </w:p>
    <w:p w14:paraId="509529DF">
      <w:pPr>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一般货物类</w:t>
      </w:r>
    </w:p>
    <w:p w14:paraId="057433BF">
      <w:pP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项目名称：</w:t>
      </w:r>
    </w:p>
    <w:p w14:paraId="55F1D0C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合同编号：GXZC2026-J1-000***</w:t>
      </w:r>
      <w:r>
        <w:rPr>
          <w:rFonts w:ascii="宋体" w:hAnsi="宋体" w:cs="宋体"/>
          <w:color w:val="auto"/>
          <w:sz w:val="24"/>
          <w:highlight w:val="none"/>
        </w:rPr>
        <w:t>-</w:t>
      </w:r>
      <w:r>
        <w:rPr>
          <w:rFonts w:hint="eastAsia" w:ascii="宋体" w:hAnsi="宋体" w:cs="宋体"/>
          <w:color w:val="auto"/>
          <w:sz w:val="24"/>
          <w:highlight w:val="none"/>
        </w:rPr>
        <w:t>****</w:t>
      </w:r>
    </w:p>
    <w:p w14:paraId="38E3F49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采购人（甲方）：河池学院                      </w:t>
      </w:r>
    </w:p>
    <w:p w14:paraId="1C2BB7A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供应商（乙方）：   </w:t>
      </w:r>
    </w:p>
    <w:p w14:paraId="54303C62">
      <w:pP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项目编号：</w:t>
      </w:r>
      <w:r>
        <w:rPr>
          <w:rFonts w:ascii="宋体" w:hAnsi="宋体" w:cs="宋体"/>
          <w:color w:val="auto"/>
          <w:sz w:val="24"/>
          <w:highlight w:val="none"/>
          <w:u w:val="single"/>
        </w:rPr>
        <w:t>GXZC20</w:t>
      </w:r>
      <w:r>
        <w:rPr>
          <w:rFonts w:hint="eastAsia" w:ascii="宋体" w:hAnsi="宋体" w:cs="宋体"/>
          <w:color w:val="auto"/>
          <w:sz w:val="24"/>
          <w:highlight w:val="none"/>
          <w:u w:val="single"/>
        </w:rPr>
        <w:t>26</w:t>
      </w:r>
      <w:r>
        <w:rPr>
          <w:rFonts w:ascii="宋体" w:hAnsi="宋体" w:cs="宋体"/>
          <w:color w:val="auto"/>
          <w:sz w:val="24"/>
          <w:highlight w:val="none"/>
          <w:u w:val="single"/>
        </w:rPr>
        <w:t>-J1-000***-****</w:t>
      </w:r>
    </w:p>
    <w:p w14:paraId="59894B7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32152ED">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本合同为中小企业预留合同：（是</w:t>
      </w:r>
      <w:r>
        <w:rPr>
          <w:rFonts w:hint="eastAsia" w:ascii="黑体" w:hAnsi="黑体" w:eastAsia="黑体" w:cs="宋体"/>
          <w:b/>
          <w:color w:val="auto"/>
          <w:sz w:val="24"/>
          <w:highlight w:val="none"/>
        </w:rPr>
        <w:t>□</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宋体" w:hAnsi="宋体" w:cs="宋体"/>
          <w:color w:val="auto"/>
          <w:sz w:val="24"/>
          <w:highlight w:val="none"/>
        </w:rPr>
        <w:t>）</w:t>
      </w:r>
    </w:p>
    <w:p w14:paraId="30770C24">
      <w:pPr>
        <w:pStyle w:val="39"/>
        <w:rPr>
          <w:color w:val="auto"/>
          <w:highlight w:val="none"/>
        </w:rPr>
      </w:pPr>
    </w:p>
    <w:p w14:paraId="621983D7">
      <w:pPr>
        <w:snapToGrid w:val="0"/>
        <w:spacing w:line="360" w:lineRule="auto"/>
        <w:ind w:firstLine="480" w:firstLineChars="200"/>
        <w:rPr>
          <w:rFonts w:hint="eastAsia" w:ascii="宋体" w:hAnsi="宋体" w:cs="宋体"/>
          <w:color w:val="auto"/>
          <w:sz w:val="24"/>
          <w:highlight w:val="none"/>
        </w:rPr>
      </w:pPr>
      <w:bookmarkStart w:id="36" w:name="_Hlk55381736"/>
    </w:p>
    <w:p w14:paraId="07E3B9E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根据《中华人民共和国政府采购法》《中华人民共和国民法典》等法律、法规规定，按照竞争性谈判采购文件规定条款和成交供应商承诺，甲乙双方签订本合同。</w:t>
      </w:r>
    </w:p>
    <w:p w14:paraId="465EC05C">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第一条　合同标的</w:t>
      </w:r>
    </w:p>
    <w:p w14:paraId="3C06582C">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供货一览表</w:t>
      </w:r>
    </w:p>
    <w:tbl>
      <w:tblPr>
        <w:tblStyle w:val="26"/>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4669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5A716627">
            <w:pPr>
              <w:snapToGrid w:val="0"/>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034" w:type="dxa"/>
            <w:vAlign w:val="center"/>
          </w:tcPr>
          <w:p w14:paraId="4B68BBA9">
            <w:pPr>
              <w:snapToGrid w:val="0"/>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标的名称</w:t>
            </w:r>
          </w:p>
        </w:tc>
        <w:tc>
          <w:tcPr>
            <w:tcW w:w="1134" w:type="dxa"/>
            <w:vAlign w:val="center"/>
          </w:tcPr>
          <w:p w14:paraId="0BF425E7">
            <w:pPr>
              <w:snapToGrid w:val="0"/>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商标品牌</w:t>
            </w:r>
          </w:p>
        </w:tc>
        <w:tc>
          <w:tcPr>
            <w:tcW w:w="1276" w:type="dxa"/>
            <w:vAlign w:val="center"/>
          </w:tcPr>
          <w:p w14:paraId="305ECAC9">
            <w:pPr>
              <w:snapToGrid w:val="0"/>
              <w:spacing w:line="460" w:lineRule="exact"/>
              <w:jc w:val="center"/>
              <w:rPr>
                <w:rFonts w:hint="eastAsia" w:ascii="宋体" w:hAnsi="宋体" w:cs="宋体"/>
                <w:b/>
                <w:color w:val="auto"/>
                <w:sz w:val="24"/>
                <w:highlight w:val="none"/>
              </w:rPr>
            </w:pPr>
            <w:r>
              <w:rPr>
                <w:rFonts w:hint="eastAsia" w:ascii="宋体" w:hAnsi="宋体" w:cs="宋体"/>
                <w:b/>
                <w:color w:val="auto"/>
                <w:sz w:val="24"/>
                <w:highlight w:val="none"/>
              </w:rPr>
              <w:t>规格型号</w:t>
            </w:r>
          </w:p>
        </w:tc>
        <w:tc>
          <w:tcPr>
            <w:tcW w:w="1134" w:type="dxa"/>
            <w:vAlign w:val="center"/>
          </w:tcPr>
          <w:p w14:paraId="3F965FE1">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生产厂家</w:t>
            </w:r>
          </w:p>
        </w:tc>
        <w:tc>
          <w:tcPr>
            <w:tcW w:w="992" w:type="dxa"/>
            <w:vAlign w:val="center"/>
          </w:tcPr>
          <w:p w14:paraId="06E912EF">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产地</w:t>
            </w:r>
          </w:p>
        </w:tc>
        <w:tc>
          <w:tcPr>
            <w:tcW w:w="709" w:type="dxa"/>
            <w:vAlign w:val="center"/>
          </w:tcPr>
          <w:p w14:paraId="36880649">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数  量</w:t>
            </w:r>
          </w:p>
        </w:tc>
        <w:tc>
          <w:tcPr>
            <w:tcW w:w="830" w:type="dxa"/>
            <w:vAlign w:val="center"/>
          </w:tcPr>
          <w:p w14:paraId="1B65DF7C">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单位</w:t>
            </w:r>
          </w:p>
        </w:tc>
        <w:tc>
          <w:tcPr>
            <w:tcW w:w="1722" w:type="dxa"/>
            <w:vAlign w:val="center"/>
          </w:tcPr>
          <w:p w14:paraId="2E3B5E08">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单  价</w:t>
            </w:r>
          </w:p>
          <w:p w14:paraId="36932569">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（元/人民币）</w:t>
            </w:r>
          </w:p>
        </w:tc>
        <w:tc>
          <w:tcPr>
            <w:tcW w:w="1276" w:type="dxa"/>
            <w:vAlign w:val="center"/>
          </w:tcPr>
          <w:p w14:paraId="460EF214">
            <w:pPr>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单项合计</w:t>
            </w:r>
            <w:r>
              <w:rPr>
                <w:rFonts w:hint="eastAsia" w:ascii="宋体" w:hAnsi="宋体" w:cs="宋体"/>
                <w:b/>
                <w:color w:val="auto"/>
                <w:szCs w:val="21"/>
                <w:highlight w:val="none"/>
              </w:rPr>
              <w:t>（元/人民币）</w:t>
            </w:r>
          </w:p>
        </w:tc>
      </w:tr>
      <w:tr w14:paraId="254B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630FAD3D">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6B75D5F3">
            <w:pPr>
              <w:snapToGrid w:val="0"/>
              <w:spacing w:line="460" w:lineRule="exact"/>
              <w:jc w:val="center"/>
              <w:rPr>
                <w:rFonts w:hint="eastAsia" w:ascii="宋体" w:hAnsi="宋体" w:cs="宋体"/>
                <w:color w:val="auto"/>
                <w:sz w:val="24"/>
                <w:highlight w:val="none"/>
              </w:rPr>
            </w:pPr>
          </w:p>
        </w:tc>
        <w:tc>
          <w:tcPr>
            <w:tcW w:w="1134" w:type="dxa"/>
            <w:vAlign w:val="center"/>
          </w:tcPr>
          <w:p w14:paraId="229DAE7C">
            <w:pPr>
              <w:snapToGrid w:val="0"/>
              <w:spacing w:line="460" w:lineRule="exact"/>
              <w:jc w:val="center"/>
              <w:rPr>
                <w:rFonts w:hint="eastAsia" w:ascii="宋体" w:hAnsi="宋体" w:cs="宋体"/>
                <w:color w:val="auto"/>
                <w:sz w:val="24"/>
                <w:highlight w:val="none"/>
              </w:rPr>
            </w:pPr>
          </w:p>
        </w:tc>
        <w:tc>
          <w:tcPr>
            <w:tcW w:w="1276" w:type="dxa"/>
            <w:vAlign w:val="center"/>
          </w:tcPr>
          <w:p w14:paraId="163B9168">
            <w:pPr>
              <w:snapToGrid w:val="0"/>
              <w:spacing w:line="460" w:lineRule="exact"/>
              <w:jc w:val="center"/>
              <w:rPr>
                <w:rFonts w:hint="eastAsia" w:ascii="宋体" w:hAnsi="宋体" w:cs="宋体"/>
                <w:color w:val="auto"/>
                <w:sz w:val="24"/>
                <w:highlight w:val="none"/>
              </w:rPr>
            </w:pPr>
          </w:p>
        </w:tc>
        <w:tc>
          <w:tcPr>
            <w:tcW w:w="1134" w:type="dxa"/>
          </w:tcPr>
          <w:p w14:paraId="06460BC4">
            <w:pPr>
              <w:snapToGrid w:val="0"/>
              <w:spacing w:line="460" w:lineRule="exact"/>
              <w:jc w:val="center"/>
              <w:rPr>
                <w:rFonts w:hint="eastAsia" w:ascii="宋体" w:hAnsi="宋体" w:cs="宋体"/>
                <w:color w:val="auto"/>
                <w:sz w:val="24"/>
                <w:highlight w:val="none"/>
              </w:rPr>
            </w:pPr>
          </w:p>
        </w:tc>
        <w:tc>
          <w:tcPr>
            <w:tcW w:w="992" w:type="dxa"/>
            <w:vAlign w:val="center"/>
          </w:tcPr>
          <w:p w14:paraId="483E0E88">
            <w:pPr>
              <w:snapToGrid w:val="0"/>
              <w:spacing w:line="460" w:lineRule="exact"/>
              <w:jc w:val="center"/>
              <w:rPr>
                <w:rFonts w:hint="eastAsia" w:ascii="宋体" w:hAnsi="宋体" w:cs="宋体"/>
                <w:color w:val="auto"/>
                <w:sz w:val="24"/>
                <w:highlight w:val="none"/>
              </w:rPr>
            </w:pPr>
          </w:p>
        </w:tc>
        <w:tc>
          <w:tcPr>
            <w:tcW w:w="709" w:type="dxa"/>
            <w:vAlign w:val="center"/>
          </w:tcPr>
          <w:p w14:paraId="0FC05751">
            <w:pPr>
              <w:snapToGrid w:val="0"/>
              <w:spacing w:line="460" w:lineRule="exact"/>
              <w:jc w:val="center"/>
              <w:rPr>
                <w:rFonts w:hint="eastAsia" w:ascii="宋体" w:hAnsi="宋体" w:cs="宋体"/>
                <w:color w:val="auto"/>
                <w:sz w:val="24"/>
                <w:highlight w:val="none"/>
              </w:rPr>
            </w:pPr>
          </w:p>
        </w:tc>
        <w:tc>
          <w:tcPr>
            <w:tcW w:w="830" w:type="dxa"/>
          </w:tcPr>
          <w:p w14:paraId="60E28515">
            <w:pPr>
              <w:snapToGrid w:val="0"/>
              <w:spacing w:line="460" w:lineRule="exact"/>
              <w:jc w:val="center"/>
              <w:rPr>
                <w:rFonts w:hint="eastAsia" w:ascii="宋体" w:hAnsi="宋体" w:cs="宋体"/>
                <w:color w:val="auto"/>
                <w:sz w:val="24"/>
                <w:highlight w:val="none"/>
              </w:rPr>
            </w:pPr>
          </w:p>
        </w:tc>
        <w:tc>
          <w:tcPr>
            <w:tcW w:w="1722" w:type="dxa"/>
            <w:vAlign w:val="center"/>
          </w:tcPr>
          <w:p w14:paraId="6D185B7B">
            <w:pPr>
              <w:snapToGrid w:val="0"/>
              <w:spacing w:line="460" w:lineRule="exact"/>
              <w:jc w:val="center"/>
              <w:rPr>
                <w:rFonts w:hint="eastAsia" w:ascii="宋体" w:hAnsi="宋体" w:cs="宋体"/>
                <w:color w:val="auto"/>
                <w:sz w:val="24"/>
                <w:highlight w:val="none"/>
              </w:rPr>
            </w:pPr>
          </w:p>
        </w:tc>
        <w:tc>
          <w:tcPr>
            <w:tcW w:w="1276" w:type="dxa"/>
          </w:tcPr>
          <w:p w14:paraId="5A7A6A41">
            <w:pPr>
              <w:snapToGrid w:val="0"/>
              <w:spacing w:line="460" w:lineRule="exact"/>
              <w:jc w:val="center"/>
              <w:rPr>
                <w:rFonts w:hint="eastAsia" w:ascii="宋体" w:hAnsi="宋体" w:cs="宋体"/>
                <w:color w:val="auto"/>
                <w:sz w:val="24"/>
                <w:highlight w:val="none"/>
              </w:rPr>
            </w:pPr>
          </w:p>
        </w:tc>
      </w:tr>
      <w:tr w14:paraId="2AA6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4E417B9F">
            <w:pPr>
              <w:snapToGrid w:val="0"/>
              <w:spacing w:line="460" w:lineRule="exact"/>
              <w:jc w:val="center"/>
              <w:rPr>
                <w:rFonts w:hint="eastAsia" w:ascii="宋体" w:hAnsi="宋体" w:cs="宋体"/>
                <w:color w:val="auto"/>
                <w:sz w:val="24"/>
                <w:highlight w:val="none"/>
              </w:rPr>
            </w:pPr>
          </w:p>
        </w:tc>
        <w:tc>
          <w:tcPr>
            <w:tcW w:w="1034" w:type="dxa"/>
            <w:vAlign w:val="center"/>
          </w:tcPr>
          <w:p w14:paraId="41305DCD">
            <w:pPr>
              <w:snapToGrid w:val="0"/>
              <w:spacing w:line="460" w:lineRule="exact"/>
              <w:jc w:val="center"/>
              <w:rPr>
                <w:rFonts w:hint="eastAsia" w:ascii="宋体" w:hAnsi="宋体" w:cs="宋体"/>
                <w:color w:val="auto"/>
                <w:sz w:val="24"/>
                <w:highlight w:val="none"/>
              </w:rPr>
            </w:pPr>
          </w:p>
        </w:tc>
        <w:tc>
          <w:tcPr>
            <w:tcW w:w="1134" w:type="dxa"/>
            <w:vAlign w:val="center"/>
          </w:tcPr>
          <w:p w14:paraId="778B4F8B">
            <w:pPr>
              <w:snapToGrid w:val="0"/>
              <w:spacing w:line="460" w:lineRule="exact"/>
              <w:jc w:val="center"/>
              <w:rPr>
                <w:rFonts w:hint="eastAsia" w:ascii="宋体" w:hAnsi="宋体" w:cs="宋体"/>
                <w:color w:val="auto"/>
                <w:sz w:val="24"/>
                <w:highlight w:val="none"/>
              </w:rPr>
            </w:pPr>
          </w:p>
        </w:tc>
        <w:tc>
          <w:tcPr>
            <w:tcW w:w="1276" w:type="dxa"/>
            <w:vAlign w:val="center"/>
          </w:tcPr>
          <w:p w14:paraId="3677920A">
            <w:pPr>
              <w:snapToGrid w:val="0"/>
              <w:spacing w:line="460" w:lineRule="exact"/>
              <w:jc w:val="center"/>
              <w:rPr>
                <w:rFonts w:hint="eastAsia" w:ascii="宋体" w:hAnsi="宋体" w:cs="宋体"/>
                <w:color w:val="auto"/>
                <w:sz w:val="24"/>
                <w:highlight w:val="none"/>
              </w:rPr>
            </w:pPr>
          </w:p>
        </w:tc>
        <w:tc>
          <w:tcPr>
            <w:tcW w:w="1134" w:type="dxa"/>
          </w:tcPr>
          <w:p w14:paraId="242A5DEE">
            <w:pPr>
              <w:snapToGrid w:val="0"/>
              <w:spacing w:line="460" w:lineRule="exact"/>
              <w:jc w:val="center"/>
              <w:rPr>
                <w:rFonts w:hint="eastAsia" w:ascii="宋体" w:hAnsi="宋体" w:cs="宋体"/>
                <w:color w:val="auto"/>
                <w:sz w:val="24"/>
                <w:highlight w:val="none"/>
              </w:rPr>
            </w:pPr>
          </w:p>
        </w:tc>
        <w:tc>
          <w:tcPr>
            <w:tcW w:w="992" w:type="dxa"/>
            <w:vAlign w:val="center"/>
          </w:tcPr>
          <w:p w14:paraId="08623434">
            <w:pPr>
              <w:snapToGrid w:val="0"/>
              <w:spacing w:line="460" w:lineRule="exact"/>
              <w:jc w:val="center"/>
              <w:rPr>
                <w:rFonts w:hint="eastAsia" w:ascii="宋体" w:hAnsi="宋体" w:cs="宋体"/>
                <w:color w:val="auto"/>
                <w:sz w:val="24"/>
                <w:highlight w:val="none"/>
              </w:rPr>
            </w:pPr>
          </w:p>
        </w:tc>
        <w:tc>
          <w:tcPr>
            <w:tcW w:w="709" w:type="dxa"/>
            <w:vAlign w:val="center"/>
          </w:tcPr>
          <w:p w14:paraId="3A795FF8">
            <w:pPr>
              <w:snapToGrid w:val="0"/>
              <w:spacing w:line="460" w:lineRule="exact"/>
              <w:jc w:val="center"/>
              <w:rPr>
                <w:rFonts w:hint="eastAsia" w:ascii="宋体" w:hAnsi="宋体" w:cs="宋体"/>
                <w:color w:val="auto"/>
                <w:sz w:val="24"/>
                <w:highlight w:val="none"/>
              </w:rPr>
            </w:pPr>
          </w:p>
        </w:tc>
        <w:tc>
          <w:tcPr>
            <w:tcW w:w="830" w:type="dxa"/>
          </w:tcPr>
          <w:p w14:paraId="5D6385F5">
            <w:pPr>
              <w:snapToGrid w:val="0"/>
              <w:spacing w:line="460" w:lineRule="exact"/>
              <w:jc w:val="center"/>
              <w:rPr>
                <w:rFonts w:hint="eastAsia" w:ascii="宋体" w:hAnsi="宋体" w:cs="宋体"/>
                <w:color w:val="auto"/>
                <w:sz w:val="24"/>
                <w:highlight w:val="none"/>
              </w:rPr>
            </w:pPr>
          </w:p>
        </w:tc>
        <w:tc>
          <w:tcPr>
            <w:tcW w:w="1722" w:type="dxa"/>
            <w:vAlign w:val="center"/>
          </w:tcPr>
          <w:p w14:paraId="4E16F22D">
            <w:pPr>
              <w:snapToGrid w:val="0"/>
              <w:spacing w:line="460" w:lineRule="exact"/>
              <w:jc w:val="center"/>
              <w:rPr>
                <w:rFonts w:hint="eastAsia" w:ascii="宋体" w:hAnsi="宋体" w:cs="宋体"/>
                <w:color w:val="auto"/>
                <w:sz w:val="24"/>
                <w:highlight w:val="none"/>
              </w:rPr>
            </w:pPr>
          </w:p>
        </w:tc>
        <w:tc>
          <w:tcPr>
            <w:tcW w:w="1276" w:type="dxa"/>
          </w:tcPr>
          <w:p w14:paraId="615590F2">
            <w:pPr>
              <w:snapToGrid w:val="0"/>
              <w:spacing w:line="460" w:lineRule="exact"/>
              <w:jc w:val="center"/>
              <w:rPr>
                <w:rFonts w:hint="eastAsia" w:ascii="宋体" w:hAnsi="宋体" w:cs="宋体"/>
                <w:color w:val="auto"/>
                <w:sz w:val="24"/>
                <w:highlight w:val="none"/>
              </w:rPr>
            </w:pPr>
          </w:p>
        </w:tc>
      </w:tr>
      <w:tr w14:paraId="21D7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114B105">
            <w:pPr>
              <w:snapToGrid w:val="0"/>
              <w:spacing w:line="460" w:lineRule="exact"/>
              <w:jc w:val="left"/>
              <w:rPr>
                <w:rFonts w:hint="eastAsia" w:ascii="宋体" w:hAnsi="宋体" w:cs="宋体"/>
                <w:color w:val="auto"/>
                <w:sz w:val="24"/>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bl>
    <w:p w14:paraId="764AA393">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合计金额包括货物价款、配套软件、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甲方不再支付合同合计金额以外的其他费用。</w:t>
      </w:r>
    </w:p>
    <w:p w14:paraId="28723803">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第二条　质量要求</w:t>
      </w:r>
    </w:p>
    <w:p w14:paraId="40DB9D70">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1.乙方所提供的产品名称、商标品牌、生产厂家、规格型号、技术参数等质量必须与采购文件规定及响应文件承诺相一致。乙方提供的节能和环保产品必须是列入政府采购品目清单的产品。</w:t>
      </w:r>
    </w:p>
    <w:p w14:paraId="44339D11">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2.乙方所提供的货物必须是全新、未使用的原装产品，且在正常安装、使用和保养条件下，其使用寿命期内各项指标均达到采购文件规定或者响应文件承诺的质量要求。</w:t>
      </w:r>
    </w:p>
    <w:p w14:paraId="0B1D64AE">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货物已按规定办妥进口产品采购审核手续，投标产品是进口产品（即通过中国海关报关验放进入中国境内且产自关境外的产品）时，必须为全套原装进口产品；免税进口设备必须由甲方指定的外贸代理机构办理进口产品的相关手续，乙方不得自行选择外贸代理机构；乙方在中标后负责与指定外贸代理机构办理进口产品的相关手续，承担相关的所有费用（含办理免税证的费用），甲方负责协助乙方办理免税手续。</w:t>
      </w:r>
    </w:p>
    <w:p w14:paraId="01AC0FFA">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4.依法不能办理免税的进口设备由乙方办理进口产品的相关手续，供货时乙方需提供进口设备报关单。</w:t>
      </w:r>
    </w:p>
    <w:p w14:paraId="40ED961A">
      <w:pPr>
        <w:pStyle w:val="39"/>
        <w:rPr>
          <w:color w:val="auto"/>
          <w:highlight w:val="none"/>
        </w:rPr>
      </w:pPr>
    </w:p>
    <w:p w14:paraId="75A44AB2">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第三条　权利保证</w:t>
      </w:r>
    </w:p>
    <w:p w14:paraId="3AD28B0C">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w:t>
      </w:r>
    </w:p>
    <w:p w14:paraId="3A2D12EB">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2.乙方应按采购文件规定或者响应文件承诺的时间向甲方提供使用货物的有关技术资料。</w:t>
      </w:r>
    </w:p>
    <w:p w14:paraId="6E3B86C1">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7CAD7B97">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266B5C33">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第四条　包装、运输和签收</w:t>
      </w:r>
    </w:p>
    <w:p w14:paraId="7FBCCC3E">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1.乙方提供的货物均应包装完整，每一包装单元内应附详细的装箱单和质量合格证。</w:t>
      </w:r>
    </w:p>
    <w:p w14:paraId="08F45DD0">
      <w:pPr>
        <w:pStyle w:val="1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2.货物的运输：</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p>
    <w:p w14:paraId="21BFAEA2">
      <w:pPr>
        <w:pStyle w:val="1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 乙方负责货物运输，货物运输合理损耗及计算方法：</w:t>
      </w:r>
      <w:r>
        <w:rPr>
          <w:rFonts w:hint="eastAsia" w:hAnsi="宋体" w:cs="宋体"/>
          <w:color w:val="auto"/>
          <w:sz w:val="24"/>
          <w:szCs w:val="24"/>
          <w:highlight w:val="none"/>
          <w:u w:val="single"/>
        </w:rPr>
        <w:t>甲方不接受损耗。</w:t>
      </w:r>
    </w:p>
    <w:p w14:paraId="519B4DEC">
      <w:pPr>
        <w:pStyle w:val="1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4.</w:t>
      </w:r>
      <w:r>
        <w:rPr>
          <w:rFonts w:hint="eastAsia" w:hAnsi="宋体" w:cs="宋体"/>
          <w:color w:val="auto"/>
          <w:sz w:val="24"/>
          <w:szCs w:val="24"/>
          <w:highlight w:val="none"/>
        </w:rPr>
        <w:t>乙方应在货物发运前对其进行满足运输距离、防潮、防震、防锈和防破损装卸等要求包装，以保证货物安全运达甲方指定地点。</w:t>
      </w:r>
    </w:p>
    <w:p w14:paraId="4E09451A">
      <w:pPr>
        <w:pStyle w:val="1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 xml:space="preserve"> 使用说明书（货物属于进口产品的，供货时应同时附上中文使用说明书）、质量检验证明书、随配附件和工具以及清单一并附于货物内。</w:t>
      </w:r>
    </w:p>
    <w:p w14:paraId="54ACE5A3">
      <w:pPr>
        <w:pStyle w:val="1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.乙方在货物发运手续办理完毕后2</w:t>
      </w:r>
      <w:r>
        <w:rPr>
          <w:rFonts w:hAnsi="宋体" w:cs="宋体"/>
          <w:color w:val="auto"/>
          <w:sz w:val="24"/>
          <w:szCs w:val="24"/>
          <w:highlight w:val="none"/>
        </w:rPr>
        <w:t>4</w:t>
      </w:r>
      <w:r>
        <w:rPr>
          <w:rFonts w:hint="eastAsia" w:hAnsi="宋体" w:cs="宋体"/>
          <w:color w:val="auto"/>
          <w:sz w:val="24"/>
          <w:szCs w:val="24"/>
          <w:highlight w:val="none"/>
        </w:rPr>
        <w:t>小时内或者货到甲方4</w:t>
      </w:r>
      <w:r>
        <w:rPr>
          <w:rFonts w:hAnsi="宋体" w:cs="宋体"/>
          <w:color w:val="auto"/>
          <w:sz w:val="24"/>
          <w:szCs w:val="24"/>
          <w:highlight w:val="none"/>
        </w:rPr>
        <w:t>8</w:t>
      </w:r>
      <w:r>
        <w:rPr>
          <w:rFonts w:hint="eastAsia" w:hAnsi="宋体" w:cs="宋体"/>
          <w:color w:val="auto"/>
          <w:sz w:val="24"/>
          <w:szCs w:val="24"/>
          <w:highlight w:val="none"/>
        </w:rPr>
        <w:t>小时前通知甲方，以准备接货。</w:t>
      </w:r>
    </w:p>
    <w:p w14:paraId="07F28D56">
      <w:pPr>
        <w:pStyle w:val="1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7</w:t>
      </w:r>
      <w:r>
        <w:rPr>
          <w:rFonts w:hint="eastAsia" w:hAnsi="宋体" w:cs="宋体"/>
          <w:color w:val="auto"/>
          <w:sz w:val="24"/>
          <w:szCs w:val="24"/>
          <w:highlight w:val="none"/>
        </w:rPr>
        <w:t>.货物在规定的交付期限内由乙方送达甲方指定的地点，乙方同时需通知甲方货物已送达，甲方清点货物后签收，货物签收不作为最终验收合格的依据。</w:t>
      </w:r>
    </w:p>
    <w:p w14:paraId="7F24DE07">
      <w:pPr>
        <w:snapToGrid w:val="0"/>
        <w:spacing w:line="460" w:lineRule="exact"/>
        <w:ind w:firstLine="482" w:firstLineChars="200"/>
        <w:rPr>
          <w:rFonts w:hint="eastAsia"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14:paraId="44669ED0">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2FE77D89">
      <w:pPr>
        <w:snapToGrid w:val="0"/>
        <w:spacing w:line="4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2.乙方响应文件承诺负责甲方有关人员的培训：</w:t>
      </w:r>
      <w:r>
        <w:rPr>
          <w:rFonts w:hint="eastAsia" w:ascii="宋体" w:hAnsi="宋体" w:cs="宋体"/>
          <w:color w:val="auto"/>
          <w:sz w:val="24"/>
          <w:highlight w:val="none"/>
          <w:u w:val="single"/>
        </w:rPr>
        <w:t>根据甲方要求开展。</w:t>
      </w:r>
    </w:p>
    <w:p w14:paraId="5EC7C0CB">
      <w:pPr>
        <w:snapToGrid w:val="0"/>
        <w:spacing w:line="460" w:lineRule="exact"/>
        <w:ind w:firstLine="480" w:firstLineChars="200"/>
        <w:rPr>
          <w:color w:val="auto"/>
          <w:highlight w:val="non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甲方指定。</w:t>
      </w:r>
    </w:p>
    <w:p w14:paraId="303C0549">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第六条　调试、交付和验收</w:t>
      </w:r>
    </w:p>
    <w:p w14:paraId="09A39DAF">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1.交货时间：</w:t>
      </w:r>
      <w:r>
        <w:rPr>
          <w:rFonts w:hint="eastAsia" w:ascii="宋体" w:hAnsi="宋体" w:cs="宋体"/>
          <w:color w:val="auto"/>
          <w:sz w:val="24"/>
          <w:highlight w:val="none"/>
          <w:u w:val="single"/>
        </w:rPr>
        <w:t>合同签订后    日内全部完成设备的供货并安装调试完毕。</w:t>
      </w:r>
    </w:p>
    <w:p w14:paraId="64E50615">
      <w:pPr>
        <w:snapToGrid w:val="0"/>
        <w:spacing w:line="460" w:lineRule="exact"/>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交货地点：</w:t>
      </w:r>
      <w:r>
        <w:rPr>
          <w:rFonts w:hint="eastAsia" w:ascii="宋体" w:hAnsi="宋体" w:cs="宋体"/>
          <w:color w:val="auto"/>
          <w:sz w:val="24"/>
          <w:highlight w:val="none"/>
          <w:u w:val="single"/>
        </w:rPr>
        <w:t>甲方指定地点。</w:t>
      </w:r>
    </w:p>
    <w:p w14:paraId="412746B8">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2.乙方提供不符合采购文件规定或者响应文件承诺的和本合同规定的货物，甲方有权拒绝接受。</w:t>
      </w:r>
    </w:p>
    <w:p w14:paraId="1AD0DAAF">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3.乙方提供不符合招标文件要求或提供虚假承诺、虚假检测报告等虚假材料的，甲方有权拒绝验收并认定乙方违约，甲方有权单方面解除合同，乙方承担所有责任和费用，甲方保留进一步追究责任的权利。</w:t>
      </w:r>
    </w:p>
    <w:p w14:paraId="59623D3F">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应将所提供货物的装箱清单、用户手册、原厂保修卡、随机资料、工具和备品、备件等交付给甲方，货物属于进口产品的，供货时应同时附上中文使用说明书，如有缺失应在5个工作日内补齐，否则视为逾期交货。</w:t>
      </w:r>
    </w:p>
    <w:p w14:paraId="28D47347">
      <w:pPr>
        <w:snapToGrid w:val="0"/>
        <w:spacing w:line="360" w:lineRule="auto"/>
        <w:ind w:firstLine="480" w:firstLineChars="200"/>
        <w:rPr>
          <w:rFonts w:hint="eastAsia" w:ascii="宋体" w:hAnsi="宋体" w:cs="宋体"/>
          <w:color w:val="auto"/>
          <w:sz w:val="24"/>
          <w:highlight w:val="none"/>
        </w:rPr>
      </w:pPr>
      <w:r>
        <w:rPr>
          <w:rFonts w:ascii="宋体" w:hAnsi="宋体"/>
          <w:color w:val="auto"/>
          <w:sz w:val="24"/>
          <w:highlight w:val="none"/>
        </w:rPr>
        <w:t>5.</w:t>
      </w:r>
      <w:r>
        <w:rPr>
          <w:rFonts w:hint="eastAsia" w:ascii="宋体" w:hAnsi="宋体" w:cs="宋体"/>
          <w:color w:val="auto"/>
          <w:sz w:val="24"/>
          <w:highlight w:val="none"/>
        </w:rPr>
        <w:t>乙方应对产品作出全面检查和对验收文件进行整理，并列出清单，作为甲方验收和使用的技术条件依据，检验的结果应随货物交甲方。</w:t>
      </w:r>
    </w:p>
    <w:p w14:paraId="79573904">
      <w:pPr>
        <w:pStyle w:val="15"/>
        <w:snapToGrid w:val="0"/>
        <w:spacing w:line="360" w:lineRule="auto"/>
        <w:ind w:firstLine="480" w:firstLineChars="200"/>
        <w:rPr>
          <w:rFonts w:hint="eastAsia" w:hAnsi="宋体" w:cs="宋体"/>
          <w:color w:val="auto"/>
          <w:sz w:val="24"/>
          <w:szCs w:val="24"/>
          <w:highlight w:val="none"/>
        </w:rPr>
      </w:pPr>
      <w:r>
        <w:rPr>
          <w:rFonts w:hAnsi="宋体"/>
          <w:color w:val="auto"/>
          <w:sz w:val="24"/>
          <w:szCs w:val="24"/>
          <w:highlight w:val="none"/>
        </w:rPr>
        <w:t>6.</w:t>
      </w:r>
      <w:r>
        <w:rPr>
          <w:rFonts w:hint="eastAsia" w:hAnsi="宋体" w:cs="宋体"/>
          <w:color w:val="auto"/>
          <w:sz w:val="24"/>
          <w:szCs w:val="24"/>
          <w:highlight w:val="none"/>
        </w:rPr>
        <w:t>甲方对乙方提供的货物在使用前进行调试时，乙方需负责安装并培训甲方的使用操作人员，并协助甲方一起调试，直到符合技术要求，甲方才做最终验收。</w:t>
      </w:r>
    </w:p>
    <w:p w14:paraId="22334092">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乙方应当在到货并安装、调试完毕后，达到验收条件时以书面形式提请甲方进行验收，甲方应在收到乙方书面验收请求后</w:t>
      </w:r>
      <w:r>
        <w:rPr>
          <w:rFonts w:ascii="宋体" w:hAnsi="宋体" w:cs="宋体"/>
          <w:color w:val="auto"/>
          <w:sz w:val="24"/>
          <w:highlight w:val="none"/>
        </w:rPr>
        <w:t>7</w:t>
      </w:r>
      <w:r>
        <w:rPr>
          <w:rFonts w:hint="eastAsia" w:ascii="宋体" w:hAnsi="宋体" w:cs="宋体"/>
          <w:color w:val="auto"/>
          <w:sz w:val="24"/>
          <w:highlight w:val="none"/>
        </w:rPr>
        <w:t>个工作日内组织开展履约验收（预验收）。验收合格后由甲乙双方签署货物验收单并加盖甲方公章，甲乙双方各执壹份。甲方使用单位预验收及甲方履约验收过程中所产生的一切费用均由乙方承担。</w:t>
      </w:r>
    </w:p>
    <w:p w14:paraId="2340ED18">
      <w:pPr>
        <w:pStyle w:val="15"/>
        <w:snapToGrid w:val="0"/>
        <w:spacing w:line="360" w:lineRule="auto"/>
        <w:ind w:firstLine="480" w:firstLineChars="200"/>
        <w:rPr>
          <w:rFonts w:hint="eastAsia" w:hAnsi="宋体" w:cs="宋体"/>
          <w:color w:val="auto"/>
          <w:sz w:val="24"/>
          <w:szCs w:val="24"/>
          <w:highlight w:val="none"/>
        </w:rPr>
      </w:pPr>
      <w:r>
        <w:rPr>
          <w:rFonts w:hAnsi="宋体"/>
          <w:color w:val="auto"/>
          <w:sz w:val="24"/>
          <w:szCs w:val="24"/>
          <w:highlight w:val="none"/>
        </w:rPr>
        <w:t>8.</w:t>
      </w:r>
      <w:r>
        <w:rPr>
          <w:rFonts w:hint="eastAsia" w:hAnsi="宋体" w:cs="宋体"/>
          <w:color w:val="auto"/>
          <w:sz w:val="24"/>
          <w:szCs w:val="24"/>
          <w:highlight w:val="none"/>
        </w:rPr>
        <w:t>对技术复杂的货物，甲方可请国家认可的专业检测机构参与初步验收及最终验收，并由其出具质量检测报告。</w:t>
      </w:r>
    </w:p>
    <w:p w14:paraId="0CD47336">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预验收未通过或者履约验收未通过的，应限期整改或进行退换货处理，整改完成后重新组织履约验收。整改后仍不能通过验收的，依法追究相关责任。</w:t>
      </w:r>
    </w:p>
    <w:p w14:paraId="4D5488A7">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在验收过程中发现乙方有违约情形，可暂缓资金结算，待乙方违约情形整改后，方可办理资金结算事宜。</w:t>
      </w:r>
    </w:p>
    <w:p w14:paraId="3F0B44B0">
      <w:pPr>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11.</w:t>
      </w:r>
      <w:r>
        <w:rPr>
          <w:rFonts w:hint="eastAsia" w:ascii="宋体" w:hAnsi="宋体" w:cs="宋体"/>
          <w:color w:val="auto"/>
          <w:sz w:val="24"/>
          <w:highlight w:val="none"/>
        </w:rPr>
        <w:t>甲方对验收有异议的，在验收后</w:t>
      </w:r>
      <w:r>
        <w:rPr>
          <w:rFonts w:ascii="宋体" w:hAnsi="宋体" w:cs="宋体"/>
          <w:color w:val="auto"/>
          <w:sz w:val="24"/>
          <w:highlight w:val="none"/>
        </w:rPr>
        <w:t>5</w:t>
      </w:r>
      <w:r>
        <w:rPr>
          <w:rFonts w:hint="eastAsia" w:ascii="宋体" w:hAnsi="宋体" w:cs="宋体"/>
          <w:color w:val="auto"/>
          <w:sz w:val="24"/>
          <w:highlight w:val="none"/>
        </w:rPr>
        <w:t>个工作日内以书面形式向乙方提出，乙方应自收到甲方书面异议后</w:t>
      </w:r>
      <w:r>
        <w:rPr>
          <w:rFonts w:ascii="宋体" w:hAnsi="宋体" w:cs="宋体"/>
          <w:color w:val="auto"/>
          <w:sz w:val="24"/>
          <w:highlight w:val="none"/>
        </w:rPr>
        <w:t>7</w:t>
      </w:r>
      <w:r>
        <w:rPr>
          <w:rFonts w:hint="eastAsia" w:ascii="宋体" w:hAnsi="宋体" w:cs="宋体"/>
          <w:color w:val="auto"/>
          <w:sz w:val="24"/>
          <w:highlight w:val="none"/>
        </w:rPr>
        <w:t>日内及时予以解决。</w:t>
      </w:r>
    </w:p>
    <w:p w14:paraId="2E56DB7F">
      <w:pPr>
        <w:snapToGrid w:val="0"/>
        <w:spacing w:line="360" w:lineRule="auto"/>
        <w:ind w:left="-61" w:firstLine="514"/>
        <w:rPr>
          <w:rFonts w:hint="eastAsia"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验收时乙方必须在现场，验收完毕后作出验收结果报告；验收过程所产生的一切费用均由乙方承担。</w:t>
      </w:r>
    </w:p>
    <w:p w14:paraId="552F5C85">
      <w:pPr>
        <w:snapToGrid w:val="0"/>
        <w:spacing w:line="360" w:lineRule="auto"/>
        <w:ind w:left="-61" w:firstLine="514"/>
        <w:rPr>
          <w:rFonts w:hint="eastAsia"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货物在验收合同交付甲方前发生的风险均由乙方负责。</w:t>
      </w:r>
    </w:p>
    <w:p w14:paraId="14FD3BCD">
      <w:pPr>
        <w:pStyle w:val="11"/>
        <w:ind w:firstLine="480" w:firstLineChars="200"/>
        <w:rPr>
          <w:color w:val="auto"/>
          <w:highlight w:val="none"/>
        </w:rPr>
      </w:pPr>
      <w:r>
        <w:rPr>
          <w:rFonts w:ascii="宋体" w:hAnsi="宋体" w:cs="宋体"/>
          <w:color w:val="auto"/>
          <w:sz w:val="24"/>
          <w:highlight w:val="none"/>
        </w:rPr>
        <w:t>14.</w:t>
      </w:r>
      <w:r>
        <w:rPr>
          <w:rFonts w:hint="eastAsia" w:ascii="宋体" w:hAnsi="宋体" w:cs="宋体"/>
          <w:color w:val="auto"/>
          <w:sz w:val="24"/>
          <w:highlight w:val="none"/>
        </w:rPr>
        <w:t>本合同的验收条款与采购需求商务条款中的货物验收条款互为补充。</w:t>
      </w:r>
    </w:p>
    <w:p w14:paraId="51EBE703">
      <w:pPr>
        <w:snapToGrid w:val="0"/>
        <w:spacing w:line="360" w:lineRule="auto"/>
        <w:ind w:left="-61" w:firstLine="514"/>
        <w:rPr>
          <w:rFonts w:hint="eastAsia" w:ascii="宋体" w:hAnsi="宋体" w:cs="宋体"/>
          <w:b/>
          <w:color w:val="auto"/>
          <w:sz w:val="24"/>
          <w:highlight w:val="none"/>
        </w:rPr>
      </w:pPr>
      <w:r>
        <w:rPr>
          <w:rFonts w:hint="eastAsia" w:ascii="宋体" w:hAnsi="宋体" w:cs="宋体"/>
          <w:b/>
          <w:color w:val="auto"/>
          <w:sz w:val="24"/>
          <w:highlight w:val="none"/>
        </w:rPr>
        <w:t>第七条　付款方式</w:t>
      </w:r>
    </w:p>
    <w:p w14:paraId="620A3920">
      <w:pPr>
        <w:snapToGrid w:val="0"/>
        <w:spacing w:line="360" w:lineRule="auto"/>
        <w:ind w:left="-61" w:firstLine="514"/>
        <w:rPr>
          <w:color w:val="auto"/>
          <w:highlight w:val="none"/>
        </w:rPr>
      </w:pPr>
      <w:r>
        <w:rPr>
          <w:rFonts w:hint="eastAsia" w:ascii="宋体" w:hAnsi="宋体" w:cs="宋体"/>
          <w:bCs/>
          <w:color w:val="auto"/>
          <w:sz w:val="24"/>
          <w:highlight w:val="none"/>
        </w:rPr>
        <w:t>付款方式：</w:t>
      </w:r>
      <w:r>
        <w:rPr>
          <w:rFonts w:hint="eastAsia" w:ascii="宋体" w:hAnsi="宋体" w:cs="宋体"/>
          <w:bCs/>
          <w:color w:val="auto"/>
          <w:sz w:val="24"/>
          <w:highlight w:val="none"/>
          <w:u w:val="single"/>
        </w:rPr>
        <w:t xml:space="preserve">                                        </w:t>
      </w:r>
    </w:p>
    <w:p w14:paraId="3D3E7510">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第八条　履约保证金</w:t>
      </w:r>
    </w:p>
    <w:p w14:paraId="201DCAFE">
      <w:pPr>
        <w:snapToGrid w:val="0"/>
        <w:spacing w:line="460" w:lineRule="exact"/>
        <w:ind w:firstLine="514"/>
        <w:rPr>
          <w:rFonts w:hint="eastAsia" w:ascii="宋体" w:hAnsi="宋体" w:cs="宋体"/>
          <w:bCs/>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乙方</w:t>
      </w:r>
      <w:r>
        <w:rPr>
          <w:rFonts w:ascii="宋体" w:hAnsi="宋体" w:cs="宋体"/>
          <w:bCs/>
          <w:color w:val="auto"/>
          <w:sz w:val="24"/>
          <w:highlight w:val="none"/>
        </w:rPr>
        <w:t>于合同签订前按成交金额的</w:t>
      </w:r>
      <w:r>
        <w:rPr>
          <w:rFonts w:ascii="宋体" w:hAnsi="宋体" w:cs="宋体"/>
          <w:bCs/>
          <w:color w:val="auto"/>
          <w:sz w:val="24"/>
          <w:highlight w:val="none"/>
          <w:u w:val="single"/>
        </w:rPr>
        <w:t xml:space="preserve"> 2 </w:t>
      </w:r>
      <w:r>
        <w:rPr>
          <w:rFonts w:ascii="宋体" w:hAnsi="宋体" w:cs="宋体"/>
          <w:bCs/>
          <w:color w:val="auto"/>
          <w:sz w:val="24"/>
          <w:highlight w:val="none"/>
        </w:rPr>
        <w:t>%</w:t>
      </w:r>
      <w:r>
        <w:rPr>
          <w:rFonts w:ascii="宋体" w:hAnsi="宋体" w:cs="宋体"/>
          <w:bCs/>
          <w:color w:val="auto"/>
          <w:sz w:val="24"/>
          <w:highlight w:val="none"/>
        </w:rPr>
        <w:t>向</w:t>
      </w:r>
      <w:r>
        <w:rPr>
          <w:rFonts w:hint="eastAsia" w:ascii="宋体" w:hAnsi="宋体" w:cs="宋体"/>
          <w:bCs/>
          <w:color w:val="auto"/>
          <w:sz w:val="24"/>
          <w:highlight w:val="none"/>
        </w:rPr>
        <w:t>甲方</w:t>
      </w:r>
      <w:r>
        <w:rPr>
          <w:rFonts w:ascii="宋体" w:hAnsi="宋体" w:cs="宋体"/>
          <w:bCs/>
          <w:color w:val="auto"/>
          <w:sz w:val="24"/>
          <w:highlight w:val="none"/>
        </w:rPr>
        <w:t xml:space="preserve">指定账户提交履约保证金。 </w:t>
      </w:r>
    </w:p>
    <w:p w14:paraId="3201467E">
      <w:pPr>
        <w:snapToGrid w:val="0"/>
        <w:spacing w:line="460" w:lineRule="exact"/>
        <w:ind w:firstLine="514"/>
        <w:rPr>
          <w:rFonts w:hint="eastAsia" w:ascii="宋体" w:hAnsi="宋体" w:cs="宋体"/>
          <w:bCs/>
          <w:color w:val="auto"/>
          <w:sz w:val="24"/>
          <w:highlight w:val="none"/>
        </w:rPr>
      </w:pPr>
      <w:r>
        <w:rPr>
          <w:rFonts w:ascii="宋体" w:hAnsi="宋体" w:cs="宋体"/>
          <w:bCs/>
          <w:color w:val="auto"/>
          <w:sz w:val="24"/>
          <w:highlight w:val="none"/>
        </w:rPr>
        <w:t xml:space="preserve">2.递交方式：银行转账、支票、汇票、本票或者金融、担保机构出具的保函等非现金方式。 </w:t>
      </w:r>
    </w:p>
    <w:p w14:paraId="75FA2FE7">
      <w:pPr>
        <w:snapToGrid w:val="0"/>
        <w:spacing w:line="460" w:lineRule="exact"/>
        <w:ind w:firstLine="514"/>
        <w:rPr>
          <w:rFonts w:hint="eastAsia" w:ascii="宋体" w:hAnsi="宋体" w:cs="宋体"/>
          <w:bCs/>
          <w:color w:val="auto"/>
          <w:sz w:val="24"/>
          <w:highlight w:val="none"/>
        </w:rPr>
      </w:pPr>
      <w:r>
        <w:rPr>
          <w:rFonts w:ascii="宋体" w:hAnsi="宋体" w:cs="宋体"/>
          <w:bCs/>
          <w:color w:val="auto"/>
          <w:sz w:val="24"/>
          <w:highlight w:val="none"/>
        </w:rPr>
        <w:t>3.</w:t>
      </w:r>
      <w:r>
        <w:rPr>
          <w:rFonts w:hint="eastAsia" w:ascii="宋体" w:hAnsi="宋体" w:cs="宋体"/>
          <w:bCs/>
          <w:color w:val="auto"/>
          <w:sz w:val="24"/>
          <w:highlight w:val="none"/>
        </w:rPr>
        <w:t>乙方</w:t>
      </w:r>
      <w:r>
        <w:rPr>
          <w:rFonts w:ascii="宋体" w:hAnsi="宋体" w:cs="宋体"/>
          <w:bCs/>
          <w:color w:val="auto"/>
          <w:sz w:val="24"/>
          <w:highlight w:val="none"/>
        </w:rPr>
        <w:t>若不能完全履行合同，履约保证金不返还；</w:t>
      </w:r>
      <w:r>
        <w:rPr>
          <w:rFonts w:hint="eastAsia" w:ascii="宋体" w:hAnsi="宋体" w:cs="宋体"/>
          <w:bCs/>
          <w:color w:val="auto"/>
          <w:sz w:val="24"/>
          <w:highlight w:val="none"/>
        </w:rPr>
        <w:t>乙方</w:t>
      </w:r>
      <w:r>
        <w:rPr>
          <w:rFonts w:ascii="宋体" w:hAnsi="宋体" w:cs="宋体"/>
          <w:bCs/>
          <w:color w:val="auto"/>
          <w:sz w:val="24"/>
          <w:highlight w:val="none"/>
        </w:rPr>
        <w:t>若完全履行合同及质量保证义务，且没有任何未解决的质量问题，货到验收合格且质保期满后</w:t>
      </w:r>
      <w:r>
        <w:rPr>
          <w:rFonts w:hint="eastAsia" w:ascii="宋体" w:hAnsi="宋体" w:cs="宋体"/>
          <w:bCs/>
          <w:color w:val="auto"/>
          <w:sz w:val="24"/>
          <w:highlight w:val="none"/>
        </w:rPr>
        <w:t>乙方</w:t>
      </w:r>
      <w:r>
        <w:rPr>
          <w:rFonts w:ascii="宋体" w:hAnsi="宋体" w:cs="宋体"/>
          <w:bCs/>
          <w:color w:val="auto"/>
          <w:sz w:val="24"/>
          <w:highlight w:val="none"/>
        </w:rPr>
        <w:t>凭履约保证金退付申请书和履约保证金汇款（转账）单到</w:t>
      </w:r>
      <w:r>
        <w:rPr>
          <w:rFonts w:hint="eastAsia" w:ascii="宋体" w:hAnsi="宋体" w:cs="宋体"/>
          <w:bCs/>
          <w:color w:val="auto"/>
          <w:sz w:val="24"/>
          <w:highlight w:val="none"/>
        </w:rPr>
        <w:t>甲方单位</w:t>
      </w:r>
      <w:r>
        <w:rPr>
          <w:rFonts w:ascii="宋体" w:hAnsi="宋体" w:cs="宋体"/>
          <w:bCs/>
          <w:color w:val="auto"/>
          <w:sz w:val="24"/>
          <w:highlight w:val="none"/>
        </w:rPr>
        <w:t>办理无息退还手续。涉及违约的违约金和损失赔偿从履约保证金中扣减。</w:t>
      </w:r>
    </w:p>
    <w:p w14:paraId="1A0CB2D9">
      <w:pPr>
        <w:snapToGrid w:val="0"/>
        <w:spacing w:line="460" w:lineRule="exact"/>
        <w:ind w:firstLine="514"/>
        <w:rPr>
          <w:rFonts w:hint="eastAsia" w:ascii="宋体" w:hAnsi="宋体" w:cs="宋体"/>
          <w:bCs/>
          <w:color w:val="auto"/>
          <w:sz w:val="24"/>
          <w:highlight w:val="none"/>
        </w:rPr>
      </w:pPr>
      <w:r>
        <w:rPr>
          <w:rFonts w:ascii="宋体" w:hAnsi="宋体" w:cs="宋体"/>
          <w:bCs/>
          <w:color w:val="auto"/>
          <w:sz w:val="24"/>
          <w:highlight w:val="none"/>
        </w:rPr>
        <w:t xml:space="preserve">履约保证金指定账户： </w:t>
      </w:r>
    </w:p>
    <w:p w14:paraId="7435E11B">
      <w:pPr>
        <w:snapToGrid w:val="0"/>
        <w:spacing w:line="460" w:lineRule="exact"/>
        <w:ind w:firstLine="514"/>
        <w:rPr>
          <w:rFonts w:hint="eastAsia" w:ascii="宋体" w:hAnsi="宋体" w:cs="宋体"/>
          <w:bCs/>
          <w:color w:val="auto"/>
          <w:sz w:val="24"/>
          <w:highlight w:val="none"/>
        </w:rPr>
      </w:pPr>
      <w:r>
        <w:rPr>
          <w:rFonts w:ascii="宋体" w:hAnsi="宋体" w:cs="宋体"/>
          <w:bCs/>
          <w:color w:val="auto"/>
          <w:sz w:val="24"/>
          <w:highlight w:val="none"/>
        </w:rPr>
        <w:t xml:space="preserve">开户名称：河池学院 </w:t>
      </w:r>
    </w:p>
    <w:p w14:paraId="5209C471">
      <w:pPr>
        <w:snapToGrid w:val="0"/>
        <w:spacing w:line="460" w:lineRule="exact"/>
        <w:ind w:firstLine="514"/>
        <w:rPr>
          <w:rFonts w:hint="eastAsia" w:ascii="宋体" w:hAnsi="宋体" w:cs="宋体"/>
          <w:bCs/>
          <w:color w:val="auto"/>
          <w:sz w:val="24"/>
          <w:highlight w:val="none"/>
        </w:rPr>
      </w:pPr>
      <w:r>
        <w:rPr>
          <w:rFonts w:ascii="宋体" w:hAnsi="宋体" w:cs="宋体"/>
          <w:bCs/>
          <w:color w:val="auto"/>
          <w:sz w:val="24"/>
          <w:highlight w:val="none"/>
        </w:rPr>
        <w:t xml:space="preserve">开户行：建行宜州支行营业部 </w:t>
      </w:r>
    </w:p>
    <w:p w14:paraId="5BC1F1CD">
      <w:pPr>
        <w:snapToGrid w:val="0"/>
        <w:spacing w:line="460" w:lineRule="exact"/>
        <w:ind w:firstLine="514"/>
        <w:rPr>
          <w:rFonts w:hint="eastAsia" w:ascii="宋体" w:hAnsi="宋体" w:cs="宋体"/>
          <w:bCs/>
          <w:color w:val="auto"/>
          <w:sz w:val="24"/>
          <w:highlight w:val="none"/>
        </w:rPr>
      </w:pPr>
      <w:r>
        <w:rPr>
          <w:rFonts w:ascii="宋体" w:hAnsi="宋体" w:cs="宋体"/>
          <w:bCs/>
          <w:color w:val="auto"/>
          <w:sz w:val="24"/>
          <w:highlight w:val="none"/>
        </w:rPr>
        <w:t>账号：4500 1697 1460 5050 2776</w:t>
      </w:r>
    </w:p>
    <w:p w14:paraId="3A661BA4">
      <w:pPr>
        <w:snapToGrid w:val="0"/>
        <w:spacing w:line="460" w:lineRule="exact"/>
        <w:ind w:firstLine="514"/>
        <w:rPr>
          <w:rFonts w:hint="eastAsia" w:ascii="宋体" w:hAnsi="宋体" w:cs="宋体"/>
          <w:b/>
          <w:color w:val="auto"/>
          <w:sz w:val="24"/>
          <w:highlight w:val="none"/>
        </w:rPr>
      </w:pPr>
      <w:r>
        <w:rPr>
          <w:rFonts w:hint="eastAsia" w:ascii="宋体" w:hAnsi="宋体" w:cs="宋体"/>
          <w:b/>
          <w:color w:val="auto"/>
          <w:sz w:val="24"/>
          <w:highlight w:val="none"/>
        </w:rPr>
        <w:t>第九条  税费</w:t>
      </w:r>
    </w:p>
    <w:p w14:paraId="7A3F3811">
      <w:pPr>
        <w:snapToGrid w:val="0"/>
        <w:spacing w:line="460" w:lineRule="exact"/>
        <w:ind w:firstLine="514"/>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本合同执行中相关的一切税费均由乙方负担，合同另有约定的除外。合同执行期间税费发生变化的，由乙方承担。</w:t>
      </w:r>
    </w:p>
    <w:p w14:paraId="6656EE0B">
      <w:pPr>
        <w:snapToGrid w:val="0"/>
        <w:spacing w:line="460" w:lineRule="exact"/>
        <w:ind w:firstLine="514"/>
        <w:rPr>
          <w:rFonts w:hint="eastAsia" w:ascii="宋体" w:hAnsi="宋体" w:cs="宋体"/>
          <w:color w:val="auto"/>
          <w:sz w:val="24"/>
          <w:highlight w:val="none"/>
        </w:rPr>
      </w:pPr>
      <w:r>
        <w:rPr>
          <w:rFonts w:hint="eastAsia" w:ascii="宋体" w:hAnsi="宋体" w:cs="宋体"/>
          <w:b/>
          <w:color w:val="auto"/>
          <w:sz w:val="24"/>
          <w:highlight w:val="none"/>
        </w:rPr>
        <w:t>第十条  质量保证、售后服务</w:t>
      </w:r>
    </w:p>
    <w:p w14:paraId="2FF6FE3A">
      <w:pPr>
        <w:snapToGrid w:val="0"/>
        <w:spacing w:line="460" w:lineRule="exact"/>
        <w:ind w:firstLine="480" w:firstLineChars="200"/>
        <w:rPr>
          <w:rFonts w:hint="eastAsia" w:ascii="宋体" w:hAnsi="宋体" w:cs="宋体"/>
          <w:bCs/>
          <w:color w:val="auto"/>
          <w:kern w:val="0"/>
          <w:sz w:val="24"/>
          <w:highlight w:val="none"/>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.乙方应按照国家有关法律法规和“三包”规定以及采购文件要求、响应文件承诺和本合同所附的《售后服务承诺》，为甲方提供售后服务。</w:t>
      </w:r>
    </w:p>
    <w:p w14:paraId="3183D5EE">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2.乙方应按采购文件规定的设备和软件性能、技术要求、质量标准向甲方提供未经使用的全新产品。对达不到要求者，根据实际情况，经双方协商，可按以下办法处理：</w:t>
      </w:r>
    </w:p>
    <w:p w14:paraId="29B2E3A7">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14:paraId="4ED44F7D">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14:paraId="41FA55BD">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14:paraId="3BB7F9A5">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14:paraId="1BF0FB72">
      <w:pPr>
        <w:snapToGrid w:val="0"/>
        <w:spacing w:line="460" w:lineRule="exact"/>
        <w:ind w:firstLine="480" w:firstLineChars="200"/>
        <w:rPr>
          <w:rFonts w:hint="eastAsia" w:ascii="宋体" w:hAns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.乙方提供的服务承诺和售后服务及质量保证期责任等其他具体约定事项（见合同附件）。</w:t>
      </w:r>
    </w:p>
    <w:p w14:paraId="06EB095A">
      <w:pPr>
        <w:snapToGrid w:val="0"/>
        <w:spacing w:line="460" w:lineRule="exact"/>
        <w:ind w:firstLine="480" w:firstLineChars="200"/>
        <w:rPr>
          <w:rFonts w:hint="eastAsia" w:ascii="宋体" w:hAnsi="宋体" w:cs="宋体"/>
          <w:bCs/>
          <w:color w:val="auto"/>
          <w:kern w:val="0"/>
          <w:sz w:val="24"/>
          <w:highlight w:val="none"/>
        </w:rPr>
      </w:pPr>
      <w:r>
        <w:rPr>
          <w:rFonts w:hAnsi="宋体" w:cs="宋体"/>
          <w:color w:val="auto"/>
          <w:sz w:val="24"/>
          <w:highlight w:val="none"/>
        </w:rPr>
        <w:t>4</w:t>
      </w:r>
      <w:r>
        <w:rPr>
          <w:rFonts w:hint="eastAsia" w:ascii="宋体" w:hAnsi="宋体" w:cs="宋体"/>
          <w:bCs/>
          <w:color w:val="auto"/>
          <w:kern w:val="0"/>
          <w:sz w:val="24"/>
          <w:highlight w:val="none"/>
        </w:rPr>
        <w:t>.乙方除承担运输、安装、调试、验收与培训等义务外，还将为甲方提供技术支持，包括质量保证期外的技术指导。</w:t>
      </w:r>
    </w:p>
    <w:p w14:paraId="01D2795F">
      <w:pPr>
        <w:snapToGrid w:val="0"/>
        <w:spacing w:line="460" w:lineRule="exact"/>
        <w:ind w:firstLine="480" w:firstLineChars="200"/>
        <w:rPr>
          <w:rFonts w:hint="eastAsia" w:ascii="宋体" w:hAnsi="宋体" w:cs="宋体"/>
          <w:bCs/>
          <w:color w:val="auto"/>
          <w:kern w:val="0"/>
          <w:sz w:val="24"/>
          <w:highlight w:val="none"/>
        </w:rPr>
      </w:pPr>
      <w:r>
        <w:rPr>
          <w:rFonts w:hAnsi="宋体" w:cs="宋体"/>
          <w:color w:val="auto"/>
          <w:sz w:val="24"/>
          <w:highlight w:val="none"/>
        </w:rPr>
        <w:t>5</w:t>
      </w:r>
      <w:r>
        <w:rPr>
          <w:rFonts w:hint="eastAsia" w:ascii="宋体" w:hAnsi="宋体" w:cs="宋体"/>
          <w:bCs/>
          <w:color w:val="auto"/>
          <w:kern w:val="0"/>
          <w:sz w:val="24"/>
          <w:highlight w:val="none"/>
        </w:rPr>
        <w:t>.在质保期内，乙方应对货物出现的质量及安全问题负责处理解决并承担一切费用。</w:t>
      </w:r>
    </w:p>
    <w:p w14:paraId="0286E36B">
      <w:pPr>
        <w:snapToGrid w:val="0"/>
        <w:spacing w:line="460" w:lineRule="exact"/>
        <w:ind w:firstLine="480" w:firstLineChars="200"/>
        <w:rPr>
          <w:rFonts w:hint="eastAsia" w:ascii="宋体" w:hAnsi="宋体" w:cs="宋体"/>
          <w:bCs/>
          <w:color w:val="auto"/>
          <w:kern w:val="0"/>
          <w:sz w:val="24"/>
          <w:highlight w:val="none"/>
        </w:rPr>
      </w:pPr>
      <w:r>
        <w:rPr>
          <w:rFonts w:hAnsi="宋体" w:cs="宋体"/>
          <w:color w:val="auto"/>
          <w:sz w:val="24"/>
          <w:highlight w:val="none"/>
        </w:rPr>
        <w:t>6</w:t>
      </w:r>
      <w:r>
        <w:rPr>
          <w:rFonts w:hint="eastAsia" w:ascii="宋体" w:hAnsi="宋体" w:cs="宋体"/>
          <w:bCs/>
          <w:color w:val="auto"/>
          <w:kern w:val="0"/>
          <w:sz w:val="24"/>
          <w:highlight w:val="none"/>
        </w:rPr>
        <w:t>.超过质量保证期的机器设备，终身维修，维修时只收部件成本费。</w:t>
      </w:r>
    </w:p>
    <w:p w14:paraId="0BCF324E">
      <w:pPr>
        <w:snapToGrid w:val="0"/>
        <w:spacing w:line="460" w:lineRule="exact"/>
        <w:ind w:firstLine="480" w:firstLineChars="200"/>
        <w:rPr>
          <w:rFonts w:hint="eastAsia" w:ascii="宋体" w:hAnsi="宋体" w:cs="宋体"/>
          <w:color w:val="auto"/>
          <w:sz w:val="24"/>
          <w:highlight w:val="none"/>
        </w:rPr>
      </w:pPr>
      <w:r>
        <w:rPr>
          <w:rFonts w:hAnsi="宋体" w:cs="宋体"/>
          <w:color w:val="auto"/>
          <w:sz w:val="24"/>
          <w:highlight w:val="none"/>
        </w:rPr>
        <w:t>7</w:t>
      </w:r>
      <w:r>
        <w:rPr>
          <w:rFonts w:hint="eastAsia" w:ascii="宋体" w:hAnsi="宋体" w:cs="宋体"/>
          <w:bCs/>
          <w:color w:val="auto"/>
          <w:kern w:val="0"/>
          <w:sz w:val="24"/>
          <w:highlight w:val="none"/>
        </w:rPr>
        <w:t>.货物质量保证期：</w:t>
      </w:r>
      <w:r>
        <w:rPr>
          <w:rFonts w:hint="eastAsia" w:ascii="宋体" w:hAnsi="宋体" w:cs="宋体"/>
          <w:color w:val="auto"/>
          <w:sz w:val="24"/>
          <w:highlight w:val="none"/>
          <w:u w:val="single"/>
        </w:rPr>
        <w:t>按国家有关产品“三包”规定执行“三包”，质量保证期不少</w:t>
      </w:r>
      <w:r>
        <w:rPr>
          <w:rFonts w:hint="eastAsia" w:ascii="宋体" w:hAnsi="宋体" w:cs="宋体"/>
          <w:color w:val="auto"/>
          <w:sz w:val="24"/>
          <w:highlight w:val="none"/>
          <w:u w:val="single"/>
        </w:rPr>
        <w:t>于</w:t>
      </w:r>
      <w:r>
        <w:rPr>
          <w:rFonts w:ascii="宋体" w:hAnsi="宋体" w:cs="宋体"/>
          <w:color w:val="auto"/>
          <w:sz w:val="24"/>
          <w:highlight w:val="none"/>
          <w:u w:val="single"/>
        </w:rPr>
        <w:t>*</w:t>
      </w:r>
      <w:r>
        <w:rPr>
          <w:rFonts w:hint="eastAsia" w:ascii="宋体" w:hAnsi="宋体" w:cs="宋体"/>
          <w:color w:val="auto"/>
          <w:sz w:val="24"/>
          <w:highlight w:val="none"/>
          <w:u w:val="single"/>
        </w:rPr>
        <w:t>年</w:t>
      </w:r>
      <w:r>
        <w:rPr>
          <w:rFonts w:hint="eastAsia" w:ascii="宋体" w:hAnsi="宋体" w:cs="宋体"/>
          <w:color w:val="auto"/>
          <w:sz w:val="24"/>
          <w:highlight w:val="none"/>
          <w:u w:val="single"/>
        </w:rPr>
        <w:t>（质量保证期自货物验收合格之日起计。分项货物或配置有明确要求的按分项要求；生产厂家承诺的</w:t>
      </w:r>
      <w:r>
        <w:rPr>
          <w:rFonts w:hint="eastAsia" w:ascii="宋体" w:hAnsi="宋体" w:cs="宋体"/>
          <w:bCs/>
          <w:color w:val="auto"/>
          <w:kern w:val="0"/>
          <w:sz w:val="24"/>
          <w:highlight w:val="none"/>
          <w:u w:val="single"/>
        </w:rPr>
        <w:t>质量保证期</w:t>
      </w:r>
      <w:r>
        <w:rPr>
          <w:rFonts w:hint="eastAsia" w:ascii="宋体" w:hAnsi="宋体" w:cs="宋体"/>
          <w:color w:val="auto"/>
          <w:sz w:val="24"/>
          <w:highlight w:val="none"/>
          <w:u w:val="single"/>
        </w:rPr>
        <w:t>更长的按生产厂家的承诺；</w:t>
      </w:r>
      <w:r>
        <w:rPr>
          <w:rFonts w:hint="eastAsia" w:ascii="宋体" w:hAnsi="宋体" w:cs="宋体"/>
          <w:bCs/>
          <w:color w:val="auto"/>
          <w:kern w:val="0"/>
          <w:sz w:val="24"/>
          <w:highlight w:val="none"/>
          <w:u w:val="single"/>
        </w:rPr>
        <w:t>乙方响应文件承诺更优的，以乙方响应文件承诺为准</w:t>
      </w:r>
      <w:r>
        <w:rPr>
          <w:rFonts w:hint="eastAsia" w:ascii="宋体" w:hAnsi="宋体" w:cs="宋体"/>
          <w:color w:val="auto"/>
          <w:sz w:val="24"/>
          <w:highlight w:val="none"/>
          <w:u w:val="single"/>
        </w:rPr>
        <w:t>）</w:t>
      </w:r>
      <w:r>
        <w:rPr>
          <w:rFonts w:hint="eastAsia" w:ascii="宋体" w:hAnsi="宋体" w:cs="宋体"/>
          <w:bCs/>
          <w:color w:val="auto"/>
          <w:kern w:val="0"/>
          <w:sz w:val="24"/>
          <w:highlight w:val="none"/>
          <w:u w:val="single"/>
        </w:rPr>
        <w:t>。</w:t>
      </w:r>
    </w:p>
    <w:p w14:paraId="26C987D1">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第十一条　违约责任</w:t>
      </w:r>
    </w:p>
    <w:p w14:paraId="1C6C1298">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79122549">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482D5A14">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3.因包装、运输引起的货物损坏，按质量不合格处理。</w:t>
      </w:r>
    </w:p>
    <w:p w14:paraId="0EE59526">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4.合同一方不履行合同义务、履行合同义务不符合约定或者违反合同项下所作保证的，应向对方承担继续履行、采取修理、更换、退货等补救措施或者赔偿损失等违约责任。</w:t>
      </w:r>
    </w:p>
    <w:p w14:paraId="18978B27">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5.乙方未能按时交付货物的，应向甲方支付迟延交付违约金。迟延交付违约金的计算方法如下：</w:t>
      </w:r>
    </w:p>
    <w:p w14:paraId="08C2216D">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 1.5‰；</w:t>
      </w:r>
    </w:p>
    <w:p w14:paraId="1A89064D">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（2）从迟交的第3</w:t>
      </w:r>
      <w:r>
        <w:rPr>
          <w:rFonts w:hAnsi="宋体" w:cs="宋体"/>
          <w:color w:val="auto"/>
          <w:sz w:val="24"/>
          <w:szCs w:val="24"/>
          <w:highlight w:val="none"/>
        </w:rPr>
        <w:t>1</w:t>
      </w:r>
      <w:r>
        <w:rPr>
          <w:rFonts w:hint="eastAsia" w:hAnsi="宋体" w:cs="宋体"/>
          <w:color w:val="auto"/>
          <w:sz w:val="24"/>
          <w:szCs w:val="24"/>
          <w:highlight w:val="none"/>
        </w:rPr>
        <w:t>到第6</w:t>
      </w:r>
      <w:r>
        <w:rPr>
          <w:rFonts w:hAnsi="宋体" w:cs="宋体"/>
          <w:color w:val="auto"/>
          <w:sz w:val="24"/>
          <w:szCs w:val="24"/>
          <w:highlight w:val="none"/>
        </w:rPr>
        <w:t>0</w:t>
      </w:r>
      <w:r>
        <w:rPr>
          <w:rFonts w:hint="eastAsia" w:hAnsi="宋体" w:cs="宋体"/>
          <w:color w:val="auto"/>
          <w:sz w:val="24"/>
          <w:szCs w:val="24"/>
          <w:highlight w:val="none"/>
        </w:rPr>
        <w:t>日，每日迟延交付违约金为合同总价的 3‰；</w:t>
      </w:r>
    </w:p>
    <w:p w14:paraId="15C37830">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（3）从迟交的第6</w:t>
      </w:r>
      <w:r>
        <w:rPr>
          <w:rFonts w:hAnsi="宋体" w:cs="宋体"/>
          <w:color w:val="auto"/>
          <w:sz w:val="24"/>
          <w:szCs w:val="24"/>
          <w:highlight w:val="none"/>
        </w:rPr>
        <w:t>1</w:t>
      </w:r>
      <w:r>
        <w:rPr>
          <w:rFonts w:hint="eastAsia" w:hAnsi="宋体" w:cs="宋体"/>
          <w:color w:val="auto"/>
          <w:sz w:val="24"/>
          <w:szCs w:val="24"/>
          <w:highlight w:val="none"/>
        </w:rPr>
        <w:t>日起，每日迟延交付违约金为合同总价的5‰。</w:t>
      </w:r>
    </w:p>
    <w:p w14:paraId="06E69678">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（4）迟延交付违约金的总额不得超过合同总价的30%。迟延交付违约金的支付不能免除乙方继续交付相关合同货物的义务，但如迟延交付必然导致合同货物安装、调试、验收等工作推迟的，相关工作应相应顺延。</w:t>
      </w:r>
    </w:p>
    <w:p w14:paraId="57272294">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6.甲方未能按合同约定支付合同价款的，应向乙方支付延迟付款违约金。迟延付款违约金的计算方法如下：</w:t>
      </w:r>
    </w:p>
    <w:p w14:paraId="13666F52">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（1）从迟交的第1日到第3</w:t>
      </w:r>
      <w:r>
        <w:rPr>
          <w:rFonts w:hAnsi="宋体" w:cs="宋体"/>
          <w:color w:val="auto"/>
          <w:sz w:val="24"/>
          <w:szCs w:val="24"/>
          <w:highlight w:val="none"/>
        </w:rPr>
        <w:t>0</w:t>
      </w:r>
      <w:r>
        <w:rPr>
          <w:rFonts w:hint="eastAsia" w:hAnsi="宋体" w:cs="宋体"/>
          <w:color w:val="auto"/>
          <w:sz w:val="24"/>
          <w:szCs w:val="24"/>
          <w:highlight w:val="none"/>
        </w:rPr>
        <w:t>日，每日迟延付款违约金为迟延付款金额的1.5‰；</w:t>
      </w:r>
    </w:p>
    <w:p w14:paraId="5BC95150">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（2）从迟交的第3</w:t>
      </w:r>
      <w:r>
        <w:rPr>
          <w:rFonts w:hAnsi="宋体" w:cs="宋体"/>
          <w:color w:val="auto"/>
          <w:sz w:val="24"/>
          <w:szCs w:val="24"/>
          <w:highlight w:val="none"/>
        </w:rPr>
        <w:t>1</w:t>
      </w:r>
      <w:r>
        <w:rPr>
          <w:rFonts w:hint="eastAsia" w:hAnsi="宋体" w:cs="宋体"/>
          <w:color w:val="auto"/>
          <w:sz w:val="24"/>
          <w:szCs w:val="24"/>
          <w:highlight w:val="none"/>
        </w:rPr>
        <w:t>日到第60日，每日迟延付款违约金为迟延付款金额的3‰；</w:t>
      </w:r>
    </w:p>
    <w:p w14:paraId="55415090">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（3）从迟交的第6</w:t>
      </w:r>
      <w:r>
        <w:rPr>
          <w:rFonts w:hAnsi="宋体" w:cs="宋体"/>
          <w:color w:val="auto"/>
          <w:sz w:val="24"/>
          <w:szCs w:val="24"/>
          <w:highlight w:val="none"/>
        </w:rPr>
        <w:t>1</w:t>
      </w:r>
      <w:r>
        <w:rPr>
          <w:rFonts w:hint="eastAsia" w:hAnsi="宋体" w:cs="宋体"/>
          <w:color w:val="auto"/>
          <w:sz w:val="24"/>
          <w:szCs w:val="24"/>
          <w:highlight w:val="none"/>
        </w:rPr>
        <w:t>日起，每日迟延付款违约金为迟延付款金额的 5‰。迟延付款违约金的总额不得超过迟延付款金额的30% 。</w:t>
      </w:r>
    </w:p>
    <w:p w14:paraId="45BC90BC">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7.乙方未按本合同和响应文件承诺提供售后服务的，乙方应按本合同总价的5%向甲方支付违约金。</w:t>
      </w:r>
    </w:p>
    <w:p w14:paraId="6E094FC4">
      <w:pPr>
        <w:pStyle w:val="15"/>
        <w:snapToGrid w:val="0"/>
        <w:spacing w:line="440" w:lineRule="exact"/>
        <w:ind w:firstLine="480" w:firstLineChars="200"/>
        <w:rPr>
          <w:rFonts w:hint="eastAsia" w:cs="宋体"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8.</w:t>
      </w:r>
      <w:r>
        <w:rPr>
          <w:rFonts w:hint="eastAsia" w:asciiTheme="minorEastAsia" w:hAnsiTheme="minorEastAsia" w:eastAsiaTheme="minorEastAsia"/>
          <w:color w:val="auto"/>
          <w:sz w:val="24"/>
          <w:szCs w:val="24"/>
          <w:highlight w:val="none"/>
        </w:rPr>
        <w:t>乙方违约，甲方对本合同享有单方解除权。</w:t>
      </w:r>
    </w:p>
    <w:p w14:paraId="7645F960">
      <w:pPr>
        <w:pStyle w:val="15"/>
        <w:snapToGrid w:val="0"/>
        <w:spacing w:line="440" w:lineRule="exact"/>
        <w:ind w:firstLine="480" w:firstLineChars="200"/>
        <w:rPr>
          <w:rFonts w:hint="eastAsia"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9</w:t>
      </w:r>
      <w:r>
        <w:rPr>
          <w:rFonts w:hint="eastAsia" w:cs="宋体" w:asciiTheme="minorEastAsia" w:hAnsiTheme="minorEastAsia" w:eastAsiaTheme="minorEastAsia"/>
          <w:color w:val="auto"/>
          <w:sz w:val="24"/>
          <w:szCs w:val="24"/>
          <w:highlight w:val="none"/>
        </w:rPr>
        <w:t>.因某一方</w:t>
      </w:r>
      <w:r>
        <w:rPr>
          <w:rFonts w:hint="eastAsia" w:asciiTheme="minorEastAsia" w:hAnsiTheme="minorEastAsia" w:eastAsiaTheme="minorEastAsia"/>
          <w:bCs/>
          <w:color w:val="auto"/>
          <w:sz w:val="24"/>
          <w:highlight w:val="none"/>
          <w:shd w:val="clear" w:color="auto" w:fill="FFFFFF"/>
        </w:rPr>
        <w:t>单方面</w:t>
      </w:r>
      <w:r>
        <w:rPr>
          <w:rFonts w:hint="eastAsia" w:cs="宋体" w:asciiTheme="minorEastAsia" w:hAnsiTheme="minorEastAsia" w:eastAsiaTheme="minorEastAsia"/>
          <w:color w:val="auto"/>
          <w:sz w:val="24"/>
          <w:szCs w:val="24"/>
          <w:highlight w:val="none"/>
        </w:rPr>
        <w:t>原因导致变更、中止或者终止</w:t>
      </w:r>
      <w:bookmarkStart w:id="37" w:name="_Hlk123747227"/>
      <w:r>
        <w:rPr>
          <w:rFonts w:hint="eastAsia" w:asciiTheme="minorEastAsia" w:hAnsiTheme="minorEastAsia" w:eastAsiaTheme="minorEastAsia"/>
          <w:bCs/>
          <w:color w:val="auto"/>
          <w:sz w:val="24"/>
          <w:highlight w:val="none"/>
          <w:shd w:val="clear" w:color="auto" w:fill="FFFFFF"/>
        </w:rPr>
        <w:t>本</w:t>
      </w:r>
      <w:bookmarkEnd w:id="37"/>
      <w:r>
        <w:rPr>
          <w:rFonts w:hint="eastAsia" w:cs="宋体" w:asciiTheme="minorEastAsia" w:hAnsiTheme="minorEastAsia" w:eastAsiaTheme="minorEastAsia"/>
          <w:color w:val="auto"/>
          <w:sz w:val="24"/>
          <w:szCs w:val="24"/>
          <w:highlight w:val="none"/>
        </w:rPr>
        <w:t>合同的，该方应当对另一方</w:t>
      </w:r>
      <w:r>
        <w:rPr>
          <w:rFonts w:hint="eastAsia" w:asciiTheme="minorEastAsia" w:hAnsiTheme="minorEastAsia" w:eastAsiaTheme="minorEastAsia"/>
          <w:bCs/>
          <w:color w:val="auto"/>
          <w:sz w:val="24"/>
          <w:highlight w:val="none"/>
          <w:shd w:val="clear" w:color="auto" w:fill="FFFFFF"/>
        </w:rPr>
        <w:t>因此</w:t>
      </w:r>
      <w:r>
        <w:rPr>
          <w:rFonts w:hint="eastAsia" w:cs="宋体" w:asciiTheme="minorEastAsia" w:hAnsiTheme="minorEastAsia" w:eastAsiaTheme="minorEastAsia"/>
          <w:color w:val="auto"/>
          <w:sz w:val="24"/>
          <w:szCs w:val="24"/>
          <w:highlight w:val="none"/>
        </w:rPr>
        <w:t>受到的损失予以赔偿或者补偿。</w:t>
      </w:r>
    </w:p>
    <w:p w14:paraId="757CDCB8">
      <w:pPr>
        <w:pStyle w:val="15"/>
        <w:snapToGrid w:val="0"/>
        <w:spacing w:line="44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10</w:t>
      </w:r>
      <w:r>
        <w:rPr>
          <w:rFonts w:hint="eastAsia" w:hAnsi="宋体" w:cs="宋体"/>
          <w:color w:val="auto"/>
          <w:sz w:val="24"/>
          <w:szCs w:val="24"/>
          <w:highlight w:val="none"/>
        </w:rPr>
        <w:t>.乙方提供的货物在质量保证期内，因设计、工艺或者材料的缺陷和其它质量原因造成的问题，由乙方负责，费用从余款或者履约保证金中扣除，不足另补。</w:t>
      </w:r>
    </w:p>
    <w:p w14:paraId="522C80FE">
      <w:pPr>
        <w:pStyle w:val="15"/>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1</w:t>
      </w:r>
      <w:r>
        <w:rPr>
          <w:rFonts w:hint="eastAsia" w:hAnsi="宋体" w:cs="宋体"/>
          <w:color w:val="auto"/>
          <w:sz w:val="24"/>
          <w:szCs w:val="24"/>
          <w:highlight w:val="none"/>
        </w:rPr>
        <w:t>.甲乙双方有其他违约行为的，由违约方向对方支付违约货款额的5%，违约货款额的5%不足以赔偿经济损失的，须按实际损失作出赔偿。若双方通过诉讼解决合同纠纷，败诉方还应承担胜诉方在诉讼期间支出的相关费用（包括但不限于诉讼费、律师费、诉讼期间差旅费、鉴定费、执行费、保全费、保全保险费等）。</w:t>
      </w:r>
    </w:p>
    <w:p w14:paraId="105D7DBF">
      <w:pPr>
        <w:pStyle w:val="15"/>
        <w:snapToGrid w:val="0"/>
        <w:spacing w:line="44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w:t>
      </w:r>
      <w:r>
        <w:rPr>
          <w:rFonts w:hAnsi="宋体" w:cs="宋体"/>
          <w:color w:val="auto"/>
          <w:sz w:val="24"/>
          <w:szCs w:val="24"/>
          <w:highlight w:val="none"/>
        </w:rPr>
        <w:t>2</w:t>
      </w:r>
      <w:r>
        <w:rPr>
          <w:rFonts w:hint="eastAsia" w:hAnsi="宋体" w:cs="宋体"/>
          <w:color w:val="auto"/>
          <w:sz w:val="24"/>
          <w:szCs w:val="24"/>
          <w:highlight w:val="none"/>
        </w:rPr>
        <w:t>.其他违约责任按《中华人民共和国民法典》处理。</w:t>
      </w:r>
    </w:p>
    <w:p w14:paraId="6DADCA52">
      <w:pPr>
        <w:pStyle w:val="15"/>
        <w:snapToGrid w:val="0"/>
        <w:spacing w:line="460" w:lineRule="exact"/>
        <w:ind w:firstLine="472" w:firstLineChars="196"/>
        <w:rPr>
          <w:rFonts w:hint="eastAsia" w:hAnsi="宋体" w:cs="宋体"/>
          <w:b/>
          <w:bCs/>
          <w:color w:val="auto"/>
          <w:sz w:val="24"/>
          <w:szCs w:val="24"/>
          <w:highlight w:val="none"/>
        </w:rPr>
      </w:pPr>
      <w:r>
        <w:rPr>
          <w:rFonts w:hint="eastAsia" w:hAnsi="宋体" w:cs="宋体"/>
          <w:b/>
          <w:bCs/>
          <w:color w:val="auto"/>
          <w:sz w:val="24"/>
          <w:szCs w:val="24"/>
          <w:highlight w:val="none"/>
        </w:rPr>
        <w:t>第十二条  不可抗力事件处理</w:t>
      </w:r>
    </w:p>
    <w:p w14:paraId="3F37A5FF">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54E80B5E">
      <w:pPr>
        <w:pStyle w:val="15"/>
        <w:snapToGrid w:val="0"/>
        <w:spacing w:line="4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6508E5EB">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14:paraId="2169613C">
      <w:pPr>
        <w:snapToGrid w:val="0"/>
        <w:spacing w:line="46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第十三条  合同争议解决</w:t>
      </w:r>
    </w:p>
    <w:p w14:paraId="62C3EDBF">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1184A603">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28E16A9A">
      <w:pPr>
        <w:snapToGrid w:val="0"/>
        <w:spacing w:line="460" w:lineRule="exact"/>
        <w:ind w:firstLine="514"/>
        <w:rPr>
          <w:rFonts w:hint="eastAsia" w:ascii="宋体" w:hAnsi="宋体" w:cs="宋体"/>
          <w:color w:val="auto"/>
          <w:sz w:val="24"/>
          <w:highlight w:val="none"/>
        </w:rPr>
      </w:pPr>
      <w:r>
        <w:rPr>
          <w:rFonts w:hint="eastAsia" w:ascii="宋体" w:hAnsi="宋体" w:cs="宋体"/>
          <w:color w:val="auto"/>
          <w:sz w:val="24"/>
          <w:highlight w:val="none"/>
        </w:rPr>
        <w:t>3.诉讼期间，本合同无争议部分须继续履行。</w:t>
      </w:r>
    </w:p>
    <w:p w14:paraId="6AC3618C">
      <w:pPr>
        <w:pStyle w:val="15"/>
        <w:snapToGrid w:val="0"/>
        <w:spacing w:line="460" w:lineRule="exact"/>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第十四条  合同生效及其他</w:t>
      </w:r>
    </w:p>
    <w:p w14:paraId="64821C43">
      <w:pPr>
        <w:pStyle w:val="15"/>
        <w:snapToGrid w:val="0"/>
        <w:spacing w:line="46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14:paraId="6E831F76">
      <w:pPr>
        <w:pStyle w:val="15"/>
        <w:snapToGrid w:val="0"/>
        <w:spacing w:line="46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375AEC00">
      <w:pPr>
        <w:pStyle w:val="15"/>
        <w:snapToGrid w:val="0"/>
        <w:spacing w:line="460" w:lineRule="exact"/>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rPr>
        <w:t>3</w:t>
      </w:r>
      <w:r>
        <w:rPr>
          <w:rFonts w:hAnsi="宋体" w:cs="宋体"/>
          <w:color w:val="auto"/>
          <w:kern w:val="2"/>
          <w:sz w:val="24"/>
          <w:szCs w:val="24"/>
          <w:highlight w:val="none"/>
        </w:rPr>
        <w:t>.</w:t>
      </w:r>
      <w:r>
        <w:rPr>
          <w:rFonts w:hint="eastAsia" w:hAnsi="宋体" w:cs="宋体"/>
          <w:color w:val="auto"/>
          <w:kern w:val="2"/>
          <w:sz w:val="24"/>
          <w:szCs w:val="24"/>
          <w:highlight w:val="none"/>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361C98D6">
      <w:pPr>
        <w:snapToGrid w:val="0"/>
        <w:spacing w:line="4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第十五条　合同的变更、终止与转让</w:t>
      </w:r>
    </w:p>
    <w:p w14:paraId="0220259C">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264F7950">
      <w:pPr>
        <w:snapToGrid w:val="0"/>
        <w:spacing w:line="460" w:lineRule="exact"/>
        <w:ind w:firstLine="514"/>
        <w:rPr>
          <w:rFonts w:hint="eastAsia"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51EDA8E9">
      <w:pPr>
        <w:pStyle w:val="15"/>
        <w:snapToGrid w:val="0"/>
        <w:spacing w:line="460" w:lineRule="exact"/>
        <w:ind w:firstLine="472" w:firstLineChars="196"/>
        <w:rPr>
          <w:rFonts w:hint="eastAsia"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14:paraId="2575E1FD">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1.成交通知书</w:t>
      </w:r>
    </w:p>
    <w:p w14:paraId="366B7D9A">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2.采购需求</w:t>
      </w:r>
    </w:p>
    <w:p w14:paraId="54BE5CDA">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highlight w:val="none"/>
        </w:rPr>
        <w:t>参与竞争性谈判</w:t>
      </w:r>
      <w:r>
        <w:rPr>
          <w:rFonts w:hint="eastAsia" w:hAnsi="宋体" w:cs="宋体"/>
          <w:color w:val="auto"/>
          <w:sz w:val="24"/>
          <w:szCs w:val="24"/>
          <w:highlight w:val="none"/>
        </w:rPr>
        <w:t>声明函</w:t>
      </w:r>
    </w:p>
    <w:p w14:paraId="25FD0438">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4.</w:t>
      </w:r>
      <w:r>
        <w:rPr>
          <w:rFonts w:hint="eastAsia" w:hAnsi="宋体" w:cs="宋体"/>
          <w:color w:val="auto"/>
          <w:sz w:val="24"/>
          <w:highlight w:val="none"/>
        </w:rPr>
        <w:t>竞争性谈判</w:t>
      </w:r>
      <w:r>
        <w:rPr>
          <w:rFonts w:hint="eastAsia" w:hAnsi="宋体" w:cs="宋体"/>
          <w:color w:val="auto"/>
          <w:sz w:val="24"/>
          <w:szCs w:val="24"/>
          <w:highlight w:val="none"/>
        </w:rPr>
        <w:t>报价表及货物配置清单</w:t>
      </w:r>
    </w:p>
    <w:p w14:paraId="769796D5">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5.商务要求偏离表和技术要求偏离表</w:t>
      </w:r>
    </w:p>
    <w:p w14:paraId="308255F4">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6.售后服务承诺</w:t>
      </w:r>
    </w:p>
    <w:p w14:paraId="13282CC3">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7.其他合同文件</w:t>
      </w:r>
    </w:p>
    <w:p w14:paraId="0749F462">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上述合同文件互相补充和解释。如果合同文件之间存在矛盾或者不一致之处，以上述文件的排列顺序在先者为准。</w:t>
      </w:r>
    </w:p>
    <w:p w14:paraId="3B310847">
      <w:pPr>
        <w:pStyle w:val="15"/>
        <w:snapToGrid w:val="0"/>
        <w:spacing w:line="460" w:lineRule="exact"/>
        <w:ind w:firstLine="472" w:firstLineChars="196"/>
        <w:rPr>
          <w:rFonts w:hint="eastAsia" w:hAnsi="宋体" w:cs="宋体"/>
          <w:color w:val="auto"/>
          <w:sz w:val="24"/>
          <w:highlight w:val="none"/>
        </w:rPr>
      </w:pPr>
      <w:r>
        <w:rPr>
          <w:rFonts w:hint="eastAsia" w:hAnsi="宋体" w:cs="宋体"/>
          <w:b/>
          <w:color w:val="auto"/>
          <w:sz w:val="24"/>
          <w:highlight w:val="none"/>
        </w:rPr>
        <w:t>第十七条　</w:t>
      </w:r>
      <w:r>
        <w:rPr>
          <w:rFonts w:hint="eastAsia" w:hAnsi="宋体" w:cs="宋体"/>
          <w:color w:val="auto"/>
          <w:sz w:val="24"/>
          <w:szCs w:val="24"/>
          <w:highlight w:val="none"/>
        </w:rPr>
        <w:t>本合同一式柒份，具有同等法律效力，甲方伍份，乙方壹份，采购代理机构壹份。</w:t>
      </w:r>
    </w:p>
    <w:p w14:paraId="631759DE">
      <w:pPr>
        <w:pStyle w:val="15"/>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（以下无正文）</w:t>
      </w:r>
    </w:p>
    <w:p w14:paraId="11DF7DD5">
      <w:pPr>
        <w:pStyle w:val="15"/>
        <w:snapToGrid w:val="0"/>
        <w:spacing w:line="460" w:lineRule="exact"/>
        <w:ind w:firstLine="470" w:firstLineChars="196"/>
        <w:rPr>
          <w:rFonts w:hint="eastAsia" w:hAnsi="宋体" w:cs="宋体"/>
          <w:color w:val="auto"/>
          <w:sz w:val="24"/>
          <w:highlight w:val="none"/>
        </w:rPr>
      </w:pPr>
    </w:p>
    <w:bookmarkEnd w:id="36"/>
    <w:tbl>
      <w:tblPr>
        <w:tblStyle w:val="2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14:paraId="6D9B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71" w:hRule="atLeast"/>
          <w:jc w:val="center"/>
        </w:trPr>
        <w:tc>
          <w:tcPr>
            <w:tcW w:w="4359" w:type="dxa"/>
            <w:vAlign w:val="center"/>
          </w:tcPr>
          <w:p w14:paraId="45EB023C">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63C197EE">
            <w:pPr>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河池学院</w:t>
            </w:r>
          </w:p>
          <w:p w14:paraId="14EE6107">
            <w:pPr>
              <w:snapToGrid w:val="0"/>
              <w:spacing w:line="460" w:lineRule="exact"/>
              <w:ind w:firstLine="1080" w:firstLineChars="45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360" w:type="dxa"/>
            <w:vAlign w:val="center"/>
          </w:tcPr>
          <w:p w14:paraId="180CFBAC">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451FBCD1">
            <w:pPr>
              <w:snapToGrid w:val="0"/>
              <w:spacing w:line="46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526C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7FDB710B">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360" w:type="dxa"/>
            <w:vAlign w:val="center"/>
          </w:tcPr>
          <w:p w14:paraId="208CBE4A">
            <w:pPr>
              <w:pStyle w:val="22"/>
              <w:widowControl/>
              <w:spacing w:line="460" w:lineRule="exact"/>
              <w:rPr>
                <w:rFonts w:hint="eastAsia" w:ascii="宋体" w:hAnsi="宋体" w:cs="宋体"/>
                <w:color w:val="auto"/>
                <w:highlight w:val="none"/>
              </w:rPr>
            </w:pPr>
            <w:r>
              <w:rPr>
                <w:rFonts w:hint="eastAsia" w:ascii="宋体" w:hAnsi="宋体" w:cs="宋体"/>
                <w:color w:val="auto"/>
                <w:highlight w:val="none"/>
              </w:rPr>
              <w:t>单位地址：</w:t>
            </w:r>
          </w:p>
        </w:tc>
      </w:tr>
      <w:tr w14:paraId="6F74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375EFE9B">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法定代表人（签字）：</w:t>
            </w:r>
          </w:p>
        </w:tc>
        <w:tc>
          <w:tcPr>
            <w:tcW w:w="4360" w:type="dxa"/>
            <w:vAlign w:val="center"/>
          </w:tcPr>
          <w:p w14:paraId="525A5B7F">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法定代表人（签字）：</w:t>
            </w:r>
          </w:p>
        </w:tc>
      </w:tr>
      <w:tr w14:paraId="156F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14:paraId="74A0D4BD">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委托代理人（签字）：</w:t>
            </w:r>
          </w:p>
        </w:tc>
        <w:tc>
          <w:tcPr>
            <w:tcW w:w="4360" w:type="dxa"/>
            <w:vAlign w:val="center"/>
          </w:tcPr>
          <w:p w14:paraId="590E5211">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委托代理人（签字）：</w:t>
            </w:r>
          </w:p>
        </w:tc>
      </w:tr>
      <w:tr w14:paraId="7732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66835042">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电话：</w:t>
            </w:r>
          </w:p>
        </w:tc>
        <w:tc>
          <w:tcPr>
            <w:tcW w:w="4360" w:type="dxa"/>
            <w:vAlign w:val="center"/>
          </w:tcPr>
          <w:p w14:paraId="56AAF2D4">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lang w:bidi="ar"/>
              </w:rPr>
              <w:t xml:space="preserve"> </w:t>
            </w:r>
          </w:p>
        </w:tc>
      </w:tr>
      <w:tr w14:paraId="1F97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6BB2C8F5">
            <w:pPr>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电子邮箱：</w:t>
            </w:r>
          </w:p>
        </w:tc>
        <w:tc>
          <w:tcPr>
            <w:tcW w:w="4360" w:type="dxa"/>
            <w:vAlign w:val="center"/>
          </w:tcPr>
          <w:p w14:paraId="44D44CEC">
            <w:pPr>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电子邮箱：</w:t>
            </w:r>
          </w:p>
        </w:tc>
      </w:tr>
      <w:tr w14:paraId="6F23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214E610A">
            <w:pPr>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开户银行：</w:t>
            </w:r>
          </w:p>
        </w:tc>
        <w:tc>
          <w:tcPr>
            <w:tcW w:w="4360" w:type="dxa"/>
            <w:vAlign w:val="center"/>
          </w:tcPr>
          <w:p w14:paraId="56ED780D">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开户银行：</w:t>
            </w:r>
          </w:p>
        </w:tc>
      </w:tr>
      <w:tr w14:paraId="1064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3C121745">
            <w:pPr>
              <w:pStyle w:val="22"/>
              <w:widowControl/>
              <w:rPr>
                <w:rFonts w:hint="eastAsia" w:ascii="宋体" w:hAnsi="宋体" w:cs="宋体"/>
                <w:color w:val="auto"/>
                <w:highlight w:val="none"/>
              </w:rPr>
            </w:pPr>
            <w:r>
              <w:rPr>
                <w:rFonts w:hint="eastAsia" w:ascii="宋体" w:hAnsi="宋体" w:cs="宋体"/>
                <w:color w:val="auto"/>
                <w:highlight w:val="none"/>
              </w:rPr>
              <w:t>账号：</w:t>
            </w:r>
          </w:p>
        </w:tc>
        <w:tc>
          <w:tcPr>
            <w:tcW w:w="4360" w:type="dxa"/>
            <w:vAlign w:val="center"/>
          </w:tcPr>
          <w:p w14:paraId="1D1381B8">
            <w:pPr>
              <w:widowControl/>
              <w:spacing w:line="460" w:lineRule="exact"/>
              <w:jc w:val="left"/>
              <w:rPr>
                <w:rFonts w:hint="eastAsia" w:ascii="宋体" w:hAnsi="宋体" w:cs="宋体"/>
                <w:color w:val="auto"/>
                <w:highlight w:val="none"/>
              </w:rPr>
            </w:pPr>
            <w:r>
              <w:rPr>
                <w:rFonts w:hint="eastAsia" w:ascii="宋体" w:hAnsi="宋体" w:cs="宋体"/>
                <w:color w:val="auto"/>
                <w:highlight w:val="none"/>
              </w:rPr>
              <w:t>账号：</w:t>
            </w:r>
          </w:p>
        </w:tc>
      </w:tr>
      <w:tr w14:paraId="6621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vAlign w:val="center"/>
          </w:tcPr>
          <w:p w14:paraId="6D276CE6">
            <w:pPr>
              <w:pStyle w:val="22"/>
              <w:widowControl/>
              <w:rPr>
                <w:rFonts w:hint="eastAsia" w:ascii="宋体" w:hAnsi="宋体" w:cs="宋体"/>
                <w:color w:val="auto"/>
                <w:highlight w:val="none"/>
              </w:rPr>
            </w:pPr>
            <w:r>
              <w:rPr>
                <w:rFonts w:hint="eastAsia" w:ascii="宋体" w:hAnsi="宋体" w:cs="宋体"/>
                <w:color w:val="auto"/>
                <w:highlight w:val="none"/>
              </w:rPr>
              <w:t>邮政编码：</w:t>
            </w:r>
          </w:p>
        </w:tc>
        <w:tc>
          <w:tcPr>
            <w:tcW w:w="4360" w:type="dxa"/>
            <w:vAlign w:val="center"/>
          </w:tcPr>
          <w:p w14:paraId="1C899B8F">
            <w:pPr>
              <w:widowControl/>
              <w:spacing w:line="46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邮政编码：</w:t>
            </w:r>
          </w:p>
        </w:tc>
      </w:tr>
    </w:tbl>
    <w:p w14:paraId="2C8F4F83">
      <w:pPr>
        <w:spacing w:line="46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10EA1CE6">
      <w:pPr>
        <w:jc w:val="center"/>
        <w:rPr>
          <w:rFonts w:hint="eastAsia" w:ascii="宋体" w:hAnsi="宋体" w:cs="宋体"/>
          <w:color w:val="auto"/>
          <w:sz w:val="32"/>
          <w:szCs w:val="32"/>
          <w:highlight w:val="none"/>
        </w:rPr>
      </w:pPr>
      <w:r>
        <w:rPr>
          <w:rFonts w:hint="eastAsia" w:ascii="宋体" w:hAnsi="宋体" w:cs="宋体"/>
          <w:b/>
          <w:bCs/>
          <w:color w:val="auto"/>
          <w:kern w:val="0"/>
          <w:sz w:val="32"/>
          <w:szCs w:val="32"/>
          <w:highlight w:val="none"/>
        </w:rPr>
        <w:t>河池学院采购项目履约保证金退付意见书</w:t>
      </w:r>
    </w:p>
    <w:p w14:paraId="006361E6">
      <w:pPr>
        <w:snapToGrid w:val="0"/>
        <w:spacing w:line="400" w:lineRule="exact"/>
        <w:jc w:val="center"/>
        <w:rPr>
          <w:rFonts w:hint="eastAsia" w:ascii="宋体" w:hAnsi="宋体" w:cs="宋体"/>
          <w:b/>
          <w:color w:val="auto"/>
          <w:sz w:val="24"/>
          <w:highlight w:val="none"/>
        </w:rPr>
      </w:pPr>
    </w:p>
    <w:tbl>
      <w:tblPr>
        <w:tblStyle w:val="26"/>
        <w:tblW w:w="89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174"/>
      </w:tblGrid>
      <w:tr w14:paraId="6DED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30" w:type="dxa"/>
            <w:vMerge w:val="restart"/>
            <w:vAlign w:val="center"/>
          </w:tcPr>
          <w:p w14:paraId="7FAF6CD3">
            <w:pPr>
              <w:jc w:val="center"/>
              <w:rPr>
                <w:rFonts w:hint="eastAsia" w:ascii="宋体" w:hAnsi="宋体"/>
                <w:color w:val="auto"/>
                <w:sz w:val="24"/>
                <w:highlight w:val="none"/>
              </w:rPr>
            </w:pPr>
            <w:r>
              <w:rPr>
                <w:rFonts w:hint="eastAsia" w:ascii="宋体" w:hAnsi="宋体"/>
                <w:color w:val="auto"/>
                <w:sz w:val="24"/>
                <w:highlight w:val="none"/>
              </w:rPr>
              <w:t>供应商申请</w:t>
            </w:r>
          </w:p>
        </w:tc>
        <w:tc>
          <w:tcPr>
            <w:tcW w:w="7174" w:type="dxa"/>
            <w:vAlign w:val="center"/>
          </w:tcPr>
          <w:p w14:paraId="07EEC44E">
            <w:pPr>
              <w:rPr>
                <w:rFonts w:hint="eastAsia" w:ascii="宋体" w:hAnsi="宋体"/>
                <w:color w:val="auto"/>
                <w:sz w:val="24"/>
                <w:highlight w:val="none"/>
              </w:rPr>
            </w:pPr>
            <w:r>
              <w:rPr>
                <w:rFonts w:hint="eastAsia" w:ascii="宋体" w:hAnsi="宋体"/>
                <w:color w:val="auto"/>
                <w:sz w:val="24"/>
                <w:highlight w:val="none"/>
              </w:rPr>
              <w:t>项目名称：</w:t>
            </w:r>
          </w:p>
        </w:tc>
      </w:tr>
      <w:tr w14:paraId="3362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0" w:type="dxa"/>
            <w:vMerge w:val="continue"/>
          </w:tcPr>
          <w:p w14:paraId="51B477E7">
            <w:pPr>
              <w:rPr>
                <w:rFonts w:hint="eastAsia" w:ascii="宋体" w:hAnsi="宋体"/>
                <w:color w:val="auto"/>
                <w:sz w:val="24"/>
                <w:highlight w:val="none"/>
              </w:rPr>
            </w:pPr>
          </w:p>
        </w:tc>
        <w:tc>
          <w:tcPr>
            <w:tcW w:w="7174" w:type="dxa"/>
            <w:vAlign w:val="center"/>
          </w:tcPr>
          <w:p w14:paraId="1368B7DB">
            <w:pPr>
              <w:rPr>
                <w:rFonts w:hint="eastAsia" w:ascii="宋体" w:hAnsi="宋体"/>
                <w:color w:val="auto"/>
                <w:sz w:val="24"/>
                <w:highlight w:val="none"/>
              </w:rPr>
            </w:pPr>
            <w:r>
              <w:rPr>
                <w:rFonts w:hint="eastAsia" w:ascii="宋体" w:hAnsi="宋体"/>
                <w:color w:val="auto"/>
                <w:sz w:val="24"/>
                <w:highlight w:val="none"/>
              </w:rPr>
              <w:t>合同编号：</w:t>
            </w:r>
          </w:p>
        </w:tc>
      </w:tr>
      <w:tr w14:paraId="4D73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1730" w:type="dxa"/>
            <w:vMerge w:val="continue"/>
          </w:tcPr>
          <w:p w14:paraId="527441C2">
            <w:pPr>
              <w:rPr>
                <w:rFonts w:hint="eastAsia" w:ascii="宋体" w:hAnsi="宋体"/>
                <w:color w:val="auto"/>
                <w:sz w:val="24"/>
                <w:highlight w:val="none"/>
              </w:rPr>
            </w:pPr>
          </w:p>
        </w:tc>
        <w:tc>
          <w:tcPr>
            <w:tcW w:w="7174" w:type="dxa"/>
          </w:tcPr>
          <w:p w14:paraId="510B972D">
            <w:pPr>
              <w:rPr>
                <w:rFonts w:hint="eastAsia" w:ascii="宋体" w:hAnsi="宋体"/>
                <w:color w:val="auto"/>
                <w:sz w:val="24"/>
                <w:highlight w:val="none"/>
              </w:rPr>
            </w:pPr>
          </w:p>
          <w:p w14:paraId="44B3822C">
            <w:pPr>
              <w:ind w:firstLine="600" w:firstLineChars="250"/>
              <w:rPr>
                <w:rFonts w:hint="eastAsia" w:ascii="宋体" w:hAnsi="宋体"/>
                <w:color w:val="auto"/>
                <w:sz w:val="24"/>
                <w:highlight w:val="none"/>
              </w:rPr>
            </w:pPr>
            <w:r>
              <w:rPr>
                <w:rFonts w:hint="eastAsia" w:ascii="宋体" w:hAnsi="宋体"/>
                <w:color w:val="auto"/>
                <w:sz w:val="24"/>
                <w:highlight w:val="none"/>
              </w:rPr>
              <w:t>该项目已于   年    月   日按合同要求履约完成。根据合同规定，可将履约保证金（大写）人民币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.00</w:t>
            </w:r>
            <w:r>
              <w:rPr>
                <w:rFonts w:hint="eastAsia" w:ascii="宋体" w:hAnsi="宋体"/>
                <w:color w:val="auto"/>
                <w:sz w:val="24"/>
                <w:highlight w:val="none"/>
              </w:rPr>
              <w:t>退付到达以下账户：</w:t>
            </w:r>
          </w:p>
          <w:p w14:paraId="3595B03F">
            <w:pPr>
              <w:rPr>
                <w:rFonts w:hint="eastAsia" w:ascii="宋体" w:hAnsi="宋体"/>
                <w:color w:val="auto"/>
                <w:sz w:val="24"/>
                <w:highlight w:val="none"/>
              </w:rPr>
            </w:pPr>
          </w:p>
          <w:p w14:paraId="4A9727B2">
            <w:pPr>
              <w:spacing w:line="420" w:lineRule="exact"/>
              <w:rPr>
                <w:rFonts w:hint="eastAsia" w:ascii="宋体" w:hAnsi="宋体"/>
                <w:color w:val="auto"/>
                <w:sz w:val="24"/>
                <w:highlight w:val="none"/>
              </w:rPr>
            </w:pPr>
            <w:r>
              <w:rPr>
                <w:rFonts w:hint="eastAsia" w:ascii="宋体" w:hAnsi="宋体"/>
                <w:color w:val="auto"/>
                <w:sz w:val="24"/>
                <w:highlight w:val="none"/>
              </w:rPr>
              <w:t>单位名称：</w:t>
            </w:r>
          </w:p>
          <w:p w14:paraId="23DAA418">
            <w:pPr>
              <w:spacing w:line="420" w:lineRule="exact"/>
              <w:rPr>
                <w:rFonts w:hint="eastAsia" w:ascii="宋体" w:hAnsi="宋体"/>
                <w:color w:val="auto"/>
                <w:sz w:val="24"/>
                <w:highlight w:val="none"/>
              </w:rPr>
            </w:pPr>
            <w:r>
              <w:rPr>
                <w:rFonts w:hint="eastAsia" w:ascii="宋体" w:hAnsi="宋体"/>
                <w:color w:val="auto"/>
                <w:sz w:val="24"/>
                <w:highlight w:val="none"/>
              </w:rPr>
              <w:t>开户银行：</w:t>
            </w:r>
          </w:p>
          <w:p w14:paraId="15D5EAB0">
            <w:pPr>
              <w:spacing w:line="420" w:lineRule="exact"/>
              <w:rPr>
                <w:rFonts w:hint="eastAsia" w:ascii="宋体" w:hAnsi="宋体"/>
                <w:color w:val="auto"/>
                <w:sz w:val="24"/>
                <w:highlight w:val="none"/>
              </w:rPr>
            </w:pPr>
            <w:r>
              <w:rPr>
                <w:rFonts w:hint="eastAsia" w:ascii="宋体" w:hAnsi="宋体"/>
                <w:color w:val="auto"/>
                <w:sz w:val="24"/>
                <w:highlight w:val="none"/>
              </w:rPr>
              <w:t>银行账号：</w:t>
            </w:r>
          </w:p>
          <w:p w14:paraId="4A991DBB">
            <w:pPr>
              <w:rPr>
                <w:rFonts w:hint="eastAsia" w:ascii="宋体" w:hAnsi="宋体"/>
                <w:color w:val="auto"/>
                <w:sz w:val="24"/>
                <w:highlight w:val="none"/>
              </w:rPr>
            </w:pPr>
          </w:p>
          <w:p w14:paraId="6F1666D2">
            <w:pPr>
              <w:spacing w:line="420" w:lineRule="exact"/>
              <w:rPr>
                <w:rFonts w:hint="eastAsia" w:ascii="宋体" w:hAnsi="宋体"/>
                <w:color w:val="auto"/>
                <w:sz w:val="24"/>
                <w:highlight w:val="none"/>
              </w:rPr>
            </w:pPr>
            <w:r>
              <w:rPr>
                <w:rFonts w:hint="eastAsia" w:ascii="宋体" w:hAnsi="宋体"/>
                <w:color w:val="auto"/>
                <w:sz w:val="24"/>
                <w:highlight w:val="none"/>
              </w:rPr>
              <w:t>联系人：</w:t>
            </w:r>
          </w:p>
          <w:p w14:paraId="497388F7">
            <w:pPr>
              <w:spacing w:line="420" w:lineRule="exact"/>
              <w:rPr>
                <w:rFonts w:hint="eastAsia" w:ascii="宋体" w:hAnsi="宋体"/>
                <w:color w:val="auto"/>
                <w:sz w:val="24"/>
                <w:highlight w:val="none"/>
              </w:rPr>
            </w:pPr>
            <w:r>
              <w:rPr>
                <w:rFonts w:hint="eastAsia" w:ascii="宋体" w:hAnsi="宋体"/>
                <w:color w:val="auto"/>
                <w:sz w:val="24"/>
                <w:highlight w:val="none"/>
              </w:rPr>
              <w:t>联系电话：</w:t>
            </w:r>
          </w:p>
          <w:p w14:paraId="705A3D2D">
            <w:pPr>
              <w:rPr>
                <w:rFonts w:hint="eastAsia" w:ascii="宋体" w:hAnsi="宋体"/>
                <w:color w:val="auto"/>
                <w:sz w:val="24"/>
                <w:highlight w:val="none"/>
              </w:rPr>
            </w:pPr>
          </w:p>
          <w:p w14:paraId="50E9D232">
            <w:pPr>
              <w:spacing w:line="420" w:lineRule="exact"/>
              <w:rPr>
                <w:rFonts w:hint="eastAsia" w:ascii="宋体" w:hAnsi="宋体"/>
                <w:color w:val="auto"/>
                <w:sz w:val="24"/>
                <w:highlight w:val="none"/>
                <w:u w:val="single"/>
              </w:rPr>
            </w:pPr>
            <w:r>
              <w:rPr>
                <w:rFonts w:hint="eastAsia" w:ascii="宋体" w:hAnsi="宋体"/>
                <w:color w:val="auto"/>
                <w:sz w:val="24"/>
                <w:highlight w:val="none"/>
              </w:rPr>
              <w:t xml:space="preserve">                                 供应商（签章）：</w:t>
            </w:r>
          </w:p>
          <w:p w14:paraId="3531A2E7">
            <w:pPr>
              <w:spacing w:line="42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C43507C">
            <w:pPr>
              <w:rPr>
                <w:rFonts w:hint="eastAsia" w:ascii="宋体" w:hAnsi="宋体"/>
                <w:color w:val="auto"/>
                <w:sz w:val="24"/>
                <w:highlight w:val="none"/>
              </w:rPr>
            </w:pPr>
          </w:p>
        </w:tc>
      </w:tr>
      <w:tr w14:paraId="513B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730" w:type="dxa"/>
            <w:vAlign w:val="center"/>
          </w:tcPr>
          <w:p w14:paraId="611CF00D">
            <w:pPr>
              <w:jc w:val="center"/>
              <w:rPr>
                <w:rFonts w:hint="eastAsia" w:ascii="宋体" w:hAnsi="宋体"/>
                <w:color w:val="auto"/>
                <w:sz w:val="24"/>
                <w:highlight w:val="none"/>
              </w:rPr>
            </w:pPr>
            <w:r>
              <w:rPr>
                <w:rFonts w:hint="eastAsia" w:ascii="宋体" w:hAnsi="宋体"/>
                <w:color w:val="auto"/>
                <w:sz w:val="24"/>
                <w:highlight w:val="none"/>
              </w:rPr>
              <w:t>使用单位</w:t>
            </w:r>
          </w:p>
          <w:p w14:paraId="2E3210F2">
            <w:pPr>
              <w:jc w:val="center"/>
              <w:rPr>
                <w:rFonts w:hint="eastAsia" w:ascii="宋体" w:hAnsi="宋体"/>
                <w:color w:val="auto"/>
                <w:sz w:val="24"/>
                <w:highlight w:val="none"/>
              </w:rPr>
            </w:pPr>
            <w:r>
              <w:rPr>
                <w:rFonts w:hint="eastAsia" w:ascii="宋体" w:hAnsi="宋体"/>
                <w:color w:val="auto"/>
                <w:sz w:val="24"/>
                <w:highlight w:val="none"/>
              </w:rPr>
              <w:t>意见</w:t>
            </w:r>
          </w:p>
        </w:tc>
        <w:tc>
          <w:tcPr>
            <w:tcW w:w="7174" w:type="dxa"/>
          </w:tcPr>
          <w:p w14:paraId="51C0CECF">
            <w:pPr>
              <w:rPr>
                <w:rFonts w:hint="eastAsia" w:ascii="宋体" w:hAnsi="宋体"/>
                <w:color w:val="auto"/>
                <w:sz w:val="24"/>
                <w:highlight w:val="none"/>
              </w:rPr>
            </w:pPr>
            <w:r>
              <w:rPr>
                <w:rFonts w:hint="eastAsia" w:ascii="宋体" w:hAnsi="宋体"/>
                <w:color w:val="auto"/>
                <w:sz w:val="24"/>
                <w:highlight w:val="none"/>
              </w:rPr>
              <w:t>（退付意见：是否同意退付履约保证金）</w:t>
            </w:r>
          </w:p>
          <w:p w14:paraId="6CCAAC32">
            <w:pPr>
              <w:spacing w:line="420" w:lineRule="exact"/>
              <w:rPr>
                <w:rFonts w:hint="eastAsia" w:ascii="宋体" w:hAnsi="宋体"/>
                <w:color w:val="auto"/>
                <w:sz w:val="24"/>
                <w:highlight w:val="none"/>
              </w:rPr>
            </w:pPr>
          </w:p>
          <w:p w14:paraId="363CE191">
            <w:pPr>
              <w:spacing w:line="420" w:lineRule="exact"/>
              <w:rPr>
                <w:rFonts w:hint="eastAsia" w:ascii="宋体" w:hAnsi="宋体"/>
                <w:color w:val="auto"/>
                <w:sz w:val="24"/>
                <w:highlight w:val="none"/>
              </w:rPr>
            </w:pPr>
            <w:r>
              <w:rPr>
                <w:rFonts w:hint="eastAsia" w:ascii="宋体" w:hAnsi="宋体"/>
                <w:color w:val="auto"/>
                <w:sz w:val="24"/>
                <w:highlight w:val="none"/>
              </w:rPr>
              <w:t>项目负责人意见：</w:t>
            </w:r>
          </w:p>
          <w:p w14:paraId="58A644A0">
            <w:pPr>
              <w:spacing w:line="420" w:lineRule="exact"/>
              <w:rPr>
                <w:rFonts w:hint="eastAsia" w:ascii="宋体" w:hAnsi="宋体"/>
                <w:color w:val="auto"/>
                <w:sz w:val="24"/>
                <w:highlight w:val="none"/>
              </w:rPr>
            </w:pPr>
          </w:p>
          <w:p w14:paraId="7DA39CDE">
            <w:pPr>
              <w:spacing w:line="420" w:lineRule="exact"/>
              <w:rPr>
                <w:rFonts w:hint="eastAsia" w:ascii="宋体" w:hAnsi="宋体"/>
                <w:color w:val="auto"/>
                <w:sz w:val="24"/>
                <w:highlight w:val="none"/>
              </w:rPr>
            </w:pPr>
            <w:r>
              <w:rPr>
                <w:rFonts w:hint="eastAsia" w:ascii="宋体" w:hAnsi="宋体"/>
                <w:color w:val="auto"/>
                <w:sz w:val="24"/>
                <w:highlight w:val="none"/>
              </w:rPr>
              <w:t>联系人：</w:t>
            </w:r>
          </w:p>
          <w:p w14:paraId="08C5DC53">
            <w:pPr>
              <w:spacing w:line="420" w:lineRule="exact"/>
              <w:rPr>
                <w:rFonts w:hint="eastAsia" w:ascii="宋体" w:hAnsi="宋体"/>
                <w:color w:val="auto"/>
                <w:sz w:val="24"/>
                <w:highlight w:val="none"/>
              </w:rPr>
            </w:pPr>
            <w:r>
              <w:rPr>
                <w:rFonts w:hint="eastAsia" w:ascii="宋体" w:hAnsi="宋体"/>
                <w:color w:val="auto"/>
                <w:sz w:val="24"/>
                <w:highlight w:val="none"/>
              </w:rPr>
              <w:t>联系电话：</w:t>
            </w:r>
          </w:p>
          <w:p w14:paraId="29A21061">
            <w:pPr>
              <w:rPr>
                <w:rFonts w:hint="eastAsia" w:ascii="宋体" w:hAnsi="宋体"/>
                <w:color w:val="auto"/>
                <w:sz w:val="24"/>
                <w:highlight w:val="none"/>
              </w:rPr>
            </w:pPr>
          </w:p>
          <w:p w14:paraId="495B23DE">
            <w:pPr>
              <w:rPr>
                <w:rFonts w:hint="eastAsia" w:ascii="宋体" w:hAnsi="宋体"/>
                <w:color w:val="auto"/>
                <w:sz w:val="24"/>
                <w:highlight w:val="none"/>
                <w:u w:val="single"/>
              </w:rPr>
            </w:pPr>
            <w:r>
              <w:rPr>
                <w:rFonts w:hint="eastAsia" w:ascii="宋体" w:hAnsi="宋体"/>
                <w:color w:val="auto"/>
                <w:sz w:val="24"/>
                <w:highlight w:val="none"/>
              </w:rPr>
              <w:t xml:space="preserve">                                   单位（签章）：</w:t>
            </w:r>
          </w:p>
          <w:p w14:paraId="487BD231">
            <w:pPr>
              <w:spacing w:line="42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r w14:paraId="0378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1730" w:type="dxa"/>
            <w:vAlign w:val="center"/>
          </w:tcPr>
          <w:p w14:paraId="70D541D4">
            <w:pPr>
              <w:jc w:val="center"/>
              <w:rPr>
                <w:rFonts w:hint="eastAsia" w:ascii="宋体" w:hAnsi="宋体"/>
                <w:color w:val="auto"/>
                <w:sz w:val="24"/>
                <w:highlight w:val="none"/>
              </w:rPr>
            </w:pPr>
            <w:r>
              <w:rPr>
                <w:rFonts w:hint="eastAsia" w:ascii="宋体" w:hAnsi="宋体"/>
                <w:color w:val="auto"/>
                <w:sz w:val="24"/>
                <w:highlight w:val="none"/>
              </w:rPr>
              <w:t>国有资产与实验室管理处（招标与采购管理中心）意见</w:t>
            </w:r>
          </w:p>
        </w:tc>
        <w:tc>
          <w:tcPr>
            <w:tcW w:w="7174" w:type="dxa"/>
          </w:tcPr>
          <w:p w14:paraId="404B461F">
            <w:pPr>
              <w:rPr>
                <w:rFonts w:hint="eastAsia" w:ascii="宋体" w:hAnsi="宋体"/>
                <w:color w:val="auto"/>
                <w:sz w:val="24"/>
                <w:highlight w:val="none"/>
              </w:rPr>
            </w:pPr>
          </w:p>
          <w:p w14:paraId="22CDE084">
            <w:pPr>
              <w:rPr>
                <w:rFonts w:hint="eastAsia" w:ascii="宋体" w:hAnsi="宋体"/>
                <w:color w:val="auto"/>
                <w:sz w:val="24"/>
                <w:highlight w:val="none"/>
              </w:rPr>
            </w:pPr>
          </w:p>
          <w:p w14:paraId="4F2AE5D8">
            <w:pPr>
              <w:rPr>
                <w:rFonts w:hint="eastAsia" w:ascii="宋体" w:hAnsi="宋体"/>
                <w:color w:val="auto"/>
                <w:sz w:val="24"/>
                <w:highlight w:val="none"/>
              </w:rPr>
            </w:pPr>
          </w:p>
          <w:p w14:paraId="3BC06AA8">
            <w:pPr>
              <w:rPr>
                <w:rFonts w:hint="eastAsia" w:ascii="宋体" w:hAnsi="宋体"/>
                <w:color w:val="auto"/>
                <w:sz w:val="24"/>
                <w:highlight w:val="none"/>
              </w:rPr>
            </w:pPr>
            <w:r>
              <w:rPr>
                <w:rFonts w:hint="eastAsia" w:ascii="宋体" w:hAnsi="宋体"/>
                <w:color w:val="auto"/>
                <w:sz w:val="24"/>
                <w:highlight w:val="none"/>
              </w:rPr>
              <w:t xml:space="preserve">                  </w:t>
            </w:r>
          </w:p>
          <w:p w14:paraId="5FC88B0B">
            <w:pPr>
              <w:rPr>
                <w:rFonts w:hint="eastAsia" w:ascii="宋体" w:hAnsi="宋体"/>
                <w:color w:val="auto"/>
                <w:sz w:val="24"/>
                <w:highlight w:val="none"/>
              </w:rPr>
            </w:pPr>
          </w:p>
          <w:p w14:paraId="2B8B00EF">
            <w:pPr>
              <w:ind w:firstLine="4080" w:firstLineChars="1700"/>
              <w:rPr>
                <w:rFonts w:hint="eastAsia" w:ascii="宋体" w:hAnsi="宋体"/>
                <w:color w:val="auto"/>
                <w:sz w:val="24"/>
                <w:highlight w:val="none"/>
              </w:rPr>
            </w:pPr>
            <w:r>
              <w:rPr>
                <w:rFonts w:hint="eastAsia" w:ascii="宋体" w:hAnsi="宋体"/>
                <w:color w:val="auto"/>
                <w:sz w:val="24"/>
                <w:highlight w:val="none"/>
              </w:rPr>
              <w:t>单位（签章）：</w:t>
            </w:r>
          </w:p>
          <w:p w14:paraId="0EAFA5CC">
            <w:pP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bl>
    <w:p w14:paraId="35B62B75">
      <w:pPr>
        <w:snapToGrid w:val="0"/>
        <w:spacing w:line="360" w:lineRule="auto"/>
        <w:rPr>
          <w:rFonts w:hint="eastAsia" w:ascii="宋体" w:hAnsi="宋体" w:cs="宋体"/>
          <w:color w:val="auto"/>
          <w:sz w:val="24"/>
          <w:highlight w:val="none"/>
        </w:rPr>
      </w:pPr>
    </w:p>
    <w:sectPr>
      <w:footerReference r:id="rId9" w:type="first"/>
      <w:pgSz w:w="11905" w:h="16838"/>
      <w:pgMar w:top="1417" w:right="1417" w:bottom="1417" w:left="1417" w:header="850"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4474869-B068-4C2A-8FF4-2B20F4A4E208}"/>
  </w:font>
  <w:font w:name="Arial">
    <w:panose1 w:val="020B0604020202020204"/>
    <w:charset w:val="01"/>
    <w:family w:val="swiss"/>
    <w:pitch w:val="default"/>
    <w:sig w:usb0="E0002EFF" w:usb1="C000785B" w:usb2="00000009" w:usb3="00000000" w:csb0="400001FF" w:csb1="FFFF0000"/>
    <w:embedRegular r:id="rId2" w:fontKey="{1FF516CE-3A0E-461F-BF67-DFDDC4FB8EEB}"/>
  </w:font>
  <w:font w:name="黑体">
    <w:panose1 w:val="02010609060101010101"/>
    <w:charset w:val="86"/>
    <w:family w:val="auto"/>
    <w:pitch w:val="default"/>
    <w:sig w:usb0="800002BF" w:usb1="38CF7CFA" w:usb2="00000016" w:usb3="00000000" w:csb0="00040001" w:csb1="00000000"/>
    <w:embedRegular r:id="rId3" w:fontKey="{DDF3771A-5D48-4D8D-85D4-A57A0E33C9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DE90451E-7865-436A-89AC-82FE3C7E36E2}"/>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F4CE1332-7131-46BE-862B-1AB5FA7E52C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embedRegular r:id="rId6" w:fontKey="{528F08A7-B7F7-4D74-8FA3-1919AEA0EE66}"/>
  </w:font>
  <w:font w:name="楷体">
    <w:panose1 w:val="02010609060101010101"/>
    <w:charset w:val="86"/>
    <w:family w:val="modern"/>
    <w:pitch w:val="default"/>
    <w:sig w:usb0="800002BF" w:usb1="38CF7CFA" w:usb2="00000016" w:usb3="00000000" w:csb0="00040001" w:csb1="00000000"/>
    <w:embedRegular r:id="rId7" w:fontKey="{DE701411-7760-4B3E-A4C6-FFB5C3328316}"/>
  </w:font>
  <w:font w:name="Segoe UI Symbol">
    <w:panose1 w:val="020B0502040204020203"/>
    <w:charset w:val="00"/>
    <w:family w:val="swiss"/>
    <w:pitch w:val="default"/>
    <w:sig w:usb0="800001E3" w:usb1="1200FFEF" w:usb2="00040000" w:usb3="04000000" w:csb0="00000001" w:csb1="40000000"/>
    <w:embedRegular r:id="rId8" w:fontKey="{09860C6F-053B-47A7-A0C4-BBEB6260B73E}"/>
  </w:font>
  <w:font w:name="Segoe UI">
    <w:panose1 w:val="020B0502040204020203"/>
    <w:charset w:val="00"/>
    <w:family w:val="swiss"/>
    <w:pitch w:val="default"/>
    <w:sig w:usb0="E4002EFF" w:usb1="C000E47F" w:usb2="00000009" w:usb3="00000000" w:csb0="200001FF" w:csb1="00000000"/>
    <w:embedRegular r:id="rId9" w:fontKey="{D63470A3-0164-4337-BC1D-ADD04B6E39D3}"/>
  </w:font>
  <w:font w:name="方正小标宋简体">
    <w:panose1 w:val="03000509000000000000"/>
    <w:charset w:val="86"/>
    <w:family w:val="script"/>
    <w:pitch w:val="default"/>
    <w:sig w:usb0="00000001" w:usb1="080E0000" w:usb2="00000000" w:usb3="00000000" w:csb0="00040000" w:csb1="00000000"/>
    <w:embedRegular r:id="rId10" w:fontKey="{684AFAEA-FA27-428F-94AE-1E7C1E50ACBE}"/>
  </w:font>
  <w:font w:name="Wingdings">
    <w:panose1 w:val="05000000000000000000"/>
    <w:charset w:val="00"/>
    <w:family w:val="auto"/>
    <w:pitch w:val="default"/>
    <w:sig w:usb0="00000000" w:usb1="00000000" w:usb2="00000000" w:usb3="00000000" w:csb0="80000000" w:csb1="00000000"/>
    <w:embedRegular r:id="rId11" w:fontKey="{ED369D55-8455-49B7-B8FB-6295C96CAC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E035">
    <w:pPr>
      <w:pStyle w:val="2"/>
      <w:framePr w:wrap="around" w:vAnchor="text" w:hAnchor="margin" w:xAlign="center" w:y="1"/>
      <w:jc w:val="center"/>
      <w:rPr>
        <w:rStyle w:val="30"/>
      </w:rPr>
    </w:pPr>
    <w:r>
      <w:fldChar w:fldCharType="begin"/>
    </w:r>
    <w:r>
      <w:rPr>
        <w:rStyle w:val="30"/>
      </w:rPr>
      <w:instrText xml:space="preserve">PAGE  </w:instrText>
    </w:r>
    <w:r>
      <w:fldChar w:fldCharType="separate"/>
    </w:r>
    <w:r>
      <w:rPr>
        <w:rStyle w:val="30"/>
      </w:rPr>
      <w:t>27</w:t>
    </w:r>
    <w:r>
      <w:fldChar w:fldCharType="end"/>
    </w:r>
  </w:p>
  <w:p w14:paraId="22F02A1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BA24">
    <w:pPr>
      <w:pStyle w:val="2"/>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14:paraId="2070C06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5B8C">
    <w:pPr>
      <w:pStyle w:val="2"/>
      <w:jc w:val="center"/>
    </w:pPr>
    <w:r>
      <w:fldChar w:fldCharType="begin"/>
    </w:r>
    <w:r>
      <w:instrText xml:space="preserve"> PAGE   \* MERGEFORMAT </w:instrText>
    </w:r>
    <w:r>
      <w:fldChar w:fldCharType="separate"/>
    </w:r>
    <w:r>
      <w:rPr>
        <w:lang w:val="zh-CN"/>
      </w:rPr>
      <w:t>28</w:t>
    </w:r>
    <w:r>
      <w:fldChar w:fldCharType="end"/>
    </w:r>
  </w:p>
  <w:p w14:paraId="4860FA8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B74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09194">
                          <w:pPr>
                            <w:pStyle w:val="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7909194">
                    <w:pPr>
                      <w:pStyle w:val="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25A81">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8BB59">
                          <w:pPr>
                            <w:pStyle w:val="2"/>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4xfsUBAACQ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7uMX7FAQAAkAMAAA4AAAAAAAAAAQAgAAAAHgEAAGRycy9lMm9Eb2MueG1s&#10;UEsFBgAAAAAGAAYAWQEAAFUFAAAAAA==&#10;">
              <v:fill on="f" focussize="0,0"/>
              <v:stroke on="f"/>
              <v:imagedata o:title=""/>
              <o:lock v:ext="edit" aspectratio="f"/>
              <v:textbox inset="0mm,0mm,0mm,0mm" style="mso-fit-shape-to-text:t;">
                <w:txbxContent>
                  <w:p w14:paraId="4408BB59">
                    <w:pPr>
                      <w:pStyle w:val="2"/>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236C2">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6FC1">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207AB"/>
    <w:multiLevelType w:val="singleLevel"/>
    <w:tmpl w:val="A0A207AB"/>
    <w:lvl w:ilvl="0" w:tentative="0">
      <w:start w:val="1"/>
      <w:numFmt w:val="decimal"/>
      <w:suff w:val="nothing"/>
      <w:lvlText w:val="%1、"/>
      <w:lvlJc w:val="left"/>
      <w:rPr>
        <w:rFonts w:hint="default"/>
        <w:color w:val="FF0000"/>
      </w:rPr>
    </w:lvl>
  </w:abstractNum>
  <w:abstractNum w:abstractNumId="1">
    <w:nsid w:val="61BF1AE8"/>
    <w:multiLevelType w:val="multilevel"/>
    <w:tmpl w:val="61BF1AE8"/>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lZWE4NGM4OTliODc5MjQyODg4MzM0MTNlMjk3ODUifQ=="/>
  </w:docVars>
  <w:rsids>
    <w:rsidRoot w:val="00F34B14"/>
    <w:rsid w:val="00000672"/>
    <w:rsid w:val="00001799"/>
    <w:rsid w:val="000022D9"/>
    <w:rsid w:val="00002D29"/>
    <w:rsid w:val="000040C5"/>
    <w:rsid w:val="000045C6"/>
    <w:rsid w:val="00004A8A"/>
    <w:rsid w:val="0000574C"/>
    <w:rsid w:val="00005B07"/>
    <w:rsid w:val="00005E55"/>
    <w:rsid w:val="00005FDF"/>
    <w:rsid w:val="00006586"/>
    <w:rsid w:val="000065BA"/>
    <w:rsid w:val="0001045D"/>
    <w:rsid w:val="00010D39"/>
    <w:rsid w:val="000112BB"/>
    <w:rsid w:val="0001149B"/>
    <w:rsid w:val="0001172C"/>
    <w:rsid w:val="00012854"/>
    <w:rsid w:val="00012E50"/>
    <w:rsid w:val="00012EA6"/>
    <w:rsid w:val="000139DC"/>
    <w:rsid w:val="00013D8C"/>
    <w:rsid w:val="00013DFE"/>
    <w:rsid w:val="00013F03"/>
    <w:rsid w:val="000141EA"/>
    <w:rsid w:val="00014385"/>
    <w:rsid w:val="00014D2F"/>
    <w:rsid w:val="000159F6"/>
    <w:rsid w:val="00016960"/>
    <w:rsid w:val="00017396"/>
    <w:rsid w:val="000177DB"/>
    <w:rsid w:val="00020227"/>
    <w:rsid w:val="000203E4"/>
    <w:rsid w:val="00020455"/>
    <w:rsid w:val="00020CCE"/>
    <w:rsid w:val="00022731"/>
    <w:rsid w:val="00022792"/>
    <w:rsid w:val="00022A07"/>
    <w:rsid w:val="000242CE"/>
    <w:rsid w:val="00025382"/>
    <w:rsid w:val="00025636"/>
    <w:rsid w:val="00025E36"/>
    <w:rsid w:val="00026627"/>
    <w:rsid w:val="00026886"/>
    <w:rsid w:val="0002793A"/>
    <w:rsid w:val="00030496"/>
    <w:rsid w:val="000329E0"/>
    <w:rsid w:val="000333A0"/>
    <w:rsid w:val="00034060"/>
    <w:rsid w:val="000352E9"/>
    <w:rsid w:val="00036A07"/>
    <w:rsid w:val="00036E33"/>
    <w:rsid w:val="00036FAD"/>
    <w:rsid w:val="00037363"/>
    <w:rsid w:val="00037E2D"/>
    <w:rsid w:val="00040571"/>
    <w:rsid w:val="0004156E"/>
    <w:rsid w:val="00041597"/>
    <w:rsid w:val="00041800"/>
    <w:rsid w:val="0004440C"/>
    <w:rsid w:val="00045880"/>
    <w:rsid w:val="000462CB"/>
    <w:rsid w:val="00046B5E"/>
    <w:rsid w:val="0004783A"/>
    <w:rsid w:val="000509D9"/>
    <w:rsid w:val="0005398D"/>
    <w:rsid w:val="000552A6"/>
    <w:rsid w:val="00055D41"/>
    <w:rsid w:val="000569C7"/>
    <w:rsid w:val="00057CEC"/>
    <w:rsid w:val="00060DCE"/>
    <w:rsid w:val="00061A5A"/>
    <w:rsid w:val="000623B4"/>
    <w:rsid w:val="000634A3"/>
    <w:rsid w:val="000634A7"/>
    <w:rsid w:val="00063E85"/>
    <w:rsid w:val="00063F81"/>
    <w:rsid w:val="00064847"/>
    <w:rsid w:val="0006484B"/>
    <w:rsid w:val="000673E2"/>
    <w:rsid w:val="000703B6"/>
    <w:rsid w:val="000711E4"/>
    <w:rsid w:val="000719F9"/>
    <w:rsid w:val="0007228C"/>
    <w:rsid w:val="000722D1"/>
    <w:rsid w:val="00072AED"/>
    <w:rsid w:val="00073B38"/>
    <w:rsid w:val="00073F47"/>
    <w:rsid w:val="00075B7E"/>
    <w:rsid w:val="00077C70"/>
    <w:rsid w:val="00080B57"/>
    <w:rsid w:val="00081BA3"/>
    <w:rsid w:val="00081D2E"/>
    <w:rsid w:val="00081E30"/>
    <w:rsid w:val="0008267B"/>
    <w:rsid w:val="00082D02"/>
    <w:rsid w:val="000833E9"/>
    <w:rsid w:val="00083B91"/>
    <w:rsid w:val="0008520B"/>
    <w:rsid w:val="000871B8"/>
    <w:rsid w:val="00087DB6"/>
    <w:rsid w:val="000913BE"/>
    <w:rsid w:val="000918F8"/>
    <w:rsid w:val="00092442"/>
    <w:rsid w:val="00094183"/>
    <w:rsid w:val="00095233"/>
    <w:rsid w:val="0009588E"/>
    <w:rsid w:val="000959EE"/>
    <w:rsid w:val="00095B51"/>
    <w:rsid w:val="00097DA0"/>
    <w:rsid w:val="000A0D6B"/>
    <w:rsid w:val="000A1389"/>
    <w:rsid w:val="000A166E"/>
    <w:rsid w:val="000A2B0E"/>
    <w:rsid w:val="000A398F"/>
    <w:rsid w:val="000A509C"/>
    <w:rsid w:val="000A5516"/>
    <w:rsid w:val="000A6007"/>
    <w:rsid w:val="000A65A6"/>
    <w:rsid w:val="000A7275"/>
    <w:rsid w:val="000A7A12"/>
    <w:rsid w:val="000A7CA5"/>
    <w:rsid w:val="000B039A"/>
    <w:rsid w:val="000B1801"/>
    <w:rsid w:val="000B1D0C"/>
    <w:rsid w:val="000B2D03"/>
    <w:rsid w:val="000B3815"/>
    <w:rsid w:val="000B3C7B"/>
    <w:rsid w:val="000B5B24"/>
    <w:rsid w:val="000B666F"/>
    <w:rsid w:val="000B6C95"/>
    <w:rsid w:val="000C06D3"/>
    <w:rsid w:val="000C0C58"/>
    <w:rsid w:val="000C1679"/>
    <w:rsid w:val="000C2F89"/>
    <w:rsid w:val="000C30BB"/>
    <w:rsid w:val="000C366E"/>
    <w:rsid w:val="000C3B94"/>
    <w:rsid w:val="000C4635"/>
    <w:rsid w:val="000C548E"/>
    <w:rsid w:val="000C5698"/>
    <w:rsid w:val="000C5775"/>
    <w:rsid w:val="000C6DE4"/>
    <w:rsid w:val="000C716B"/>
    <w:rsid w:val="000C7C12"/>
    <w:rsid w:val="000D01EB"/>
    <w:rsid w:val="000D056E"/>
    <w:rsid w:val="000D0675"/>
    <w:rsid w:val="000D0A89"/>
    <w:rsid w:val="000D1389"/>
    <w:rsid w:val="000D1798"/>
    <w:rsid w:val="000D1A2A"/>
    <w:rsid w:val="000D1A53"/>
    <w:rsid w:val="000D2626"/>
    <w:rsid w:val="000D2B7D"/>
    <w:rsid w:val="000D4A06"/>
    <w:rsid w:val="000D6DCD"/>
    <w:rsid w:val="000D73DD"/>
    <w:rsid w:val="000D7D9B"/>
    <w:rsid w:val="000E18E2"/>
    <w:rsid w:val="000E28AB"/>
    <w:rsid w:val="000E28C1"/>
    <w:rsid w:val="000E2E3E"/>
    <w:rsid w:val="000E33C5"/>
    <w:rsid w:val="000E3583"/>
    <w:rsid w:val="000E3AF0"/>
    <w:rsid w:val="000E3D53"/>
    <w:rsid w:val="000E4E04"/>
    <w:rsid w:val="000E684C"/>
    <w:rsid w:val="000E6EC9"/>
    <w:rsid w:val="000E70B4"/>
    <w:rsid w:val="000F06FC"/>
    <w:rsid w:val="000F0742"/>
    <w:rsid w:val="000F3281"/>
    <w:rsid w:val="000F3733"/>
    <w:rsid w:val="000F4D88"/>
    <w:rsid w:val="000F4FC9"/>
    <w:rsid w:val="000F64AA"/>
    <w:rsid w:val="000F7AF4"/>
    <w:rsid w:val="000F7C33"/>
    <w:rsid w:val="000F7F0C"/>
    <w:rsid w:val="00100246"/>
    <w:rsid w:val="001004D6"/>
    <w:rsid w:val="00100D90"/>
    <w:rsid w:val="00102309"/>
    <w:rsid w:val="00102ECA"/>
    <w:rsid w:val="00103918"/>
    <w:rsid w:val="00104889"/>
    <w:rsid w:val="00104897"/>
    <w:rsid w:val="00104D7E"/>
    <w:rsid w:val="00104EDE"/>
    <w:rsid w:val="00105AA1"/>
    <w:rsid w:val="00105FAC"/>
    <w:rsid w:val="00106BEE"/>
    <w:rsid w:val="00110339"/>
    <w:rsid w:val="00110C92"/>
    <w:rsid w:val="00113134"/>
    <w:rsid w:val="00113AC0"/>
    <w:rsid w:val="00114851"/>
    <w:rsid w:val="00115E11"/>
    <w:rsid w:val="00115F56"/>
    <w:rsid w:val="00117CBD"/>
    <w:rsid w:val="0012006A"/>
    <w:rsid w:val="00120990"/>
    <w:rsid w:val="001217B5"/>
    <w:rsid w:val="00121979"/>
    <w:rsid w:val="00122064"/>
    <w:rsid w:val="0012378B"/>
    <w:rsid w:val="00123B26"/>
    <w:rsid w:val="00125004"/>
    <w:rsid w:val="001263B8"/>
    <w:rsid w:val="00126763"/>
    <w:rsid w:val="00130217"/>
    <w:rsid w:val="00130783"/>
    <w:rsid w:val="00130990"/>
    <w:rsid w:val="001312CB"/>
    <w:rsid w:val="00132B47"/>
    <w:rsid w:val="00132E64"/>
    <w:rsid w:val="00134816"/>
    <w:rsid w:val="001351CB"/>
    <w:rsid w:val="001359A2"/>
    <w:rsid w:val="00135E37"/>
    <w:rsid w:val="00136020"/>
    <w:rsid w:val="00136445"/>
    <w:rsid w:val="0013746E"/>
    <w:rsid w:val="001374F3"/>
    <w:rsid w:val="00140132"/>
    <w:rsid w:val="00141C9C"/>
    <w:rsid w:val="00142668"/>
    <w:rsid w:val="001434BE"/>
    <w:rsid w:val="00144275"/>
    <w:rsid w:val="0014479F"/>
    <w:rsid w:val="001452B4"/>
    <w:rsid w:val="00146EC6"/>
    <w:rsid w:val="001478D2"/>
    <w:rsid w:val="00151C48"/>
    <w:rsid w:val="00152A87"/>
    <w:rsid w:val="00154486"/>
    <w:rsid w:val="00154663"/>
    <w:rsid w:val="00156D0E"/>
    <w:rsid w:val="00156DD9"/>
    <w:rsid w:val="0016086E"/>
    <w:rsid w:val="00160D0C"/>
    <w:rsid w:val="00161172"/>
    <w:rsid w:val="0016139E"/>
    <w:rsid w:val="00161E65"/>
    <w:rsid w:val="00162597"/>
    <w:rsid w:val="001629AF"/>
    <w:rsid w:val="00162C1D"/>
    <w:rsid w:val="001633A3"/>
    <w:rsid w:val="0016428A"/>
    <w:rsid w:val="001647C9"/>
    <w:rsid w:val="00164837"/>
    <w:rsid w:val="001661A3"/>
    <w:rsid w:val="0016782B"/>
    <w:rsid w:val="00170B05"/>
    <w:rsid w:val="00173256"/>
    <w:rsid w:val="001733E1"/>
    <w:rsid w:val="00173F74"/>
    <w:rsid w:val="00175086"/>
    <w:rsid w:val="00175BA6"/>
    <w:rsid w:val="0017617F"/>
    <w:rsid w:val="00176CA7"/>
    <w:rsid w:val="001778C5"/>
    <w:rsid w:val="00177E56"/>
    <w:rsid w:val="00177F0A"/>
    <w:rsid w:val="00183852"/>
    <w:rsid w:val="00185617"/>
    <w:rsid w:val="00186ADE"/>
    <w:rsid w:val="00187F35"/>
    <w:rsid w:val="0019171E"/>
    <w:rsid w:val="0019220F"/>
    <w:rsid w:val="001928B1"/>
    <w:rsid w:val="00194ED5"/>
    <w:rsid w:val="00195424"/>
    <w:rsid w:val="001955FF"/>
    <w:rsid w:val="0019692F"/>
    <w:rsid w:val="00197EDD"/>
    <w:rsid w:val="00197F70"/>
    <w:rsid w:val="001A02B3"/>
    <w:rsid w:val="001A0322"/>
    <w:rsid w:val="001A04BB"/>
    <w:rsid w:val="001A08D0"/>
    <w:rsid w:val="001A14B1"/>
    <w:rsid w:val="001A1B39"/>
    <w:rsid w:val="001A1E51"/>
    <w:rsid w:val="001A2492"/>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25A7"/>
    <w:rsid w:val="001C318C"/>
    <w:rsid w:val="001C38B0"/>
    <w:rsid w:val="001C4287"/>
    <w:rsid w:val="001C4479"/>
    <w:rsid w:val="001C76B7"/>
    <w:rsid w:val="001C76FB"/>
    <w:rsid w:val="001D1165"/>
    <w:rsid w:val="001D2764"/>
    <w:rsid w:val="001D324F"/>
    <w:rsid w:val="001D3697"/>
    <w:rsid w:val="001D51DE"/>
    <w:rsid w:val="001D540E"/>
    <w:rsid w:val="001D58A1"/>
    <w:rsid w:val="001D5A8A"/>
    <w:rsid w:val="001D735E"/>
    <w:rsid w:val="001D73C8"/>
    <w:rsid w:val="001D74D4"/>
    <w:rsid w:val="001D756D"/>
    <w:rsid w:val="001D778C"/>
    <w:rsid w:val="001D7E1F"/>
    <w:rsid w:val="001E0756"/>
    <w:rsid w:val="001E0A8D"/>
    <w:rsid w:val="001E0FFB"/>
    <w:rsid w:val="001E129E"/>
    <w:rsid w:val="001E1F33"/>
    <w:rsid w:val="001E2B9F"/>
    <w:rsid w:val="001E30C0"/>
    <w:rsid w:val="001E3221"/>
    <w:rsid w:val="001E33BA"/>
    <w:rsid w:val="001E49F2"/>
    <w:rsid w:val="001E4A8D"/>
    <w:rsid w:val="001E5A94"/>
    <w:rsid w:val="001E6D88"/>
    <w:rsid w:val="001E7648"/>
    <w:rsid w:val="001F127B"/>
    <w:rsid w:val="001F15A8"/>
    <w:rsid w:val="001F2A2E"/>
    <w:rsid w:val="001F3B72"/>
    <w:rsid w:val="001F3C63"/>
    <w:rsid w:val="001F4460"/>
    <w:rsid w:val="001F5DAF"/>
    <w:rsid w:val="001F637C"/>
    <w:rsid w:val="001F6B6C"/>
    <w:rsid w:val="001F711A"/>
    <w:rsid w:val="001F75B0"/>
    <w:rsid w:val="001F7686"/>
    <w:rsid w:val="0020035F"/>
    <w:rsid w:val="0020072B"/>
    <w:rsid w:val="00200CE5"/>
    <w:rsid w:val="002014DB"/>
    <w:rsid w:val="00201E12"/>
    <w:rsid w:val="00202AEC"/>
    <w:rsid w:val="002031E2"/>
    <w:rsid w:val="002033B5"/>
    <w:rsid w:val="0020382C"/>
    <w:rsid w:val="0020437A"/>
    <w:rsid w:val="00204B5F"/>
    <w:rsid w:val="0020532C"/>
    <w:rsid w:val="00205D23"/>
    <w:rsid w:val="0021064F"/>
    <w:rsid w:val="002114C7"/>
    <w:rsid w:val="00212756"/>
    <w:rsid w:val="00212D97"/>
    <w:rsid w:val="0021302C"/>
    <w:rsid w:val="00213045"/>
    <w:rsid w:val="00213483"/>
    <w:rsid w:val="00213B1C"/>
    <w:rsid w:val="00214202"/>
    <w:rsid w:val="002146F3"/>
    <w:rsid w:val="002148E3"/>
    <w:rsid w:val="00215373"/>
    <w:rsid w:val="0021552D"/>
    <w:rsid w:val="002156AE"/>
    <w:rsid w:val="002177BD"/>
    <w:rsid w:val="00217861"/>
    <w:rsid w:val="0022054D"/>
    <w:rsid w:val="00220949"/>
    <w:rsid w:val="002225FA"/>
    <w:rsid w:val="0022413B"/>
    <w:rsid w:val="00224DE1"/>
    <w:rsid w:val="002255B2"/>
    <w:rsid w:val="00225664"/>
    <w:rsid w:val="00226463"/>
    <w:rsid w:val="002269DC"/>
    <w:rsid w:val="00227C28"/>
    <w:rsid w:val="00227F2D"/>
    <w:rsid w:val="00231851"/>
    <w:rsid w:val="002319FB"/>
    <w:rsid w:val="00231B89"/>
    <w:rsid w:val="00231B8E"/>
    <w:rsid w:val="00233727"/>
    <w:rsid w:val="002355BE"/>
    <w:rsid w:val="00236D82"/>
    <w:rsid w:val="00236DE9"/>
    <w:rsid w:val="00237D5A"/>
    <w:rsid w:val="00241300"/>
    <w:rsid w:val="00241D3C"/>
    <w:rsid w:val="002439AB"/>
    <w:rsid w:val="002442F6"/>
    <w:rsid w:val="002450D5"/>
    <w:rsid w:val="00245587"/>
    <w:rsid w:val="002458A7"/>
    <w:rsid w:val="00245F2B"/>
    <w:rsid w:val="00246F95"/>
    <w:rsid w:val="0024703E"/>
    <w:rsid w:val="00247676"/>
    <w:rsid w:val="00247F3A"/>
    <w:rsid w:val="00250122"/>
    <w:rsid w:val="00250755"/>
    <w:rsid w:val="00250AE3"/>
    <w:rsid w:val="00251C4A"/>
    <w:rsid w:val="0025271C"/>
    <w:rsid w:val="00252A91"/>
    <w:rsid w:val="00252C5C"/>
    <w:rsid w:val="002533CD"/>
    <w:rsid w:val="002544C1"/>
    <w:rsid w:val="00254EAB"/>
    <w:rsid w:val="002557AF"/>
    <w:rsid w:val="00256474"/>
    <w:rsid w:val="002566B1"/>
    <w:rsid w:val="002575E3"/>
    <w:rsid w:val="002603C1"/>
    <w:rsid w:val="002609A1"/>
    <w:rsid w:val="002612B1"/>
    <w:rsid w:val="0026327C"/>
    <w:rsid w:val="00265600"/>
    <w:rsid w:val="00266165"/>
    <w:rsid w:val="002666A1"/>
    <w:rsid w:val="0026782A"/>
    <w:rsid w:val="002708B3"/>
    <w:rsid w:val="0027125E"/>
    <w:rsid w:val="00271767"/>
    <w:rsid w:val="002719C1"/>
    <w:rsid w:val="00272293"/>
    <w:rsid w:val="002723C8"/>
    <w:rsid w:val="00273379"/>
    <w:rsid w:val="00273CBE"/>
    <w:rsid w:val="00277F24"/>
    <w:rsid w:val="00280240"/>
    <w:rsid w:val="002802D7"/>
    <w:rsid w:val="0028232C"/>
    <w:rsid w:val="002827F1"/>
    <w:rsid w:val="00282EC3"/>
    <w:rsid w:val="002835B0"/>
    <w:rsid w:val="0028407E"/>
    <w:rsid w:val="0028410F"/>
    <w:rsid w:val="002854BF"/>
    <w:rsid w:val="00286603"/>
    <w:rsid w:val="00286A98"/>
    <w:rsid w:val="00286FB5"/>
    <w:rsid w:val="00287763"/>
    <w:rsid w:val="00290606"/>
    <w:rsid w:val="00290F9D"/>
    <w:rsid w:val="002918A7"/>
    <w:rsid w:val="00291D6D"/>
    <w:rsid w:val="00291FF1"/>
    <w:rsid w:val="002923F6"/>
    <w:rsid w:val="00293361"/>
    <w:rsid w:val="00293BAA"/>
    <w:rsid w:val="00294AE8"/>
    <w:rsid w:val="00295137"/>
    <w:rsid w:val="00295287"/>
    <w:rsid w:val="002952B1"/>
    <w:rsid w:val="00295D11"/>
    <w:rsid w:val="00295FA0"/>
    <w:rsid w:val="00297626"/>
    <w:rsid w:val="00297A7A"/>
    <w:rsid w:val="002A0620"/>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71"/>
    <w:rsid w:val="002B6FA5"/>
    <w:rsid w:val="002B7169"/>
    <w:rsid w:val="002C0C1C"/>
    <w:rsid w:val="002C0F5A"/>
    <w:rsid w:val="002C184E"/>
    <w:rsid w:val="002C28F5"/>
    <w:rsid w:val="002C54C2"/>
    <w:rsid w:val="002C5D34"/>
    <w:rsid w:val="002C5EA7"/>
    <w:rsid w:val="002C661A"/>
    <w:rsid w:val="002C7C6E"/>
    <w:rsid w:val="002D0AF5"/>
    <w:rsid w:val="002D1C54"/>
    <w:rsid w:val="002D1FAA"/>
    <w:rsid w:val="002D2231"/>
    <w:rsid w:val="002D25FC"/>
    <w:rsid w:val="002D318B"/>
    <w:rsid w:val="002D3380"/>
    <w:rsid w:val="002D44D6"/>
    <w:rsid w:val="002D4925"/>
    <w:rsid w:val="002D4AC6"/>
    <w:rsid w:val="002D5C7B"/>
    <w:rsid w:val="002D6DFC"/>
    <w:rsid w:val="002D7648"/>
    <w:rsid w:val="002D7909"/>
    <w:rsid w:val="002D7AB7"/>
    <w:rsid w:val="002E109C"/>
    <w:rsid w:val="002E115E"/>
    <w:rsid w:val="002E131F"/>
    <w:rsid w:val="002E1439"/>
    <w:rsid w:val="002E193E"/>
    <w:rsid w:val="002E1D76"/>
    <w:rsid w:val="002E243C"/>
    <w:rsid w:val="002E26C4"/>
    <w:rsid w:val="002E30B3"/>
    <w:rsid w:val="002E33E9"/>
    <w:rsid w:val="002E4B37"/>
    <w:rsid w:val="002E4BF9"/>
    <w:rsid w:val="002E6F5B"/>
    <w:rsid w:val="002F16DD"/>
    <w:rsid w:val="002F199D"/>
    <w:rsid w:val="002F23B2"/>
    <w:rsid w:val="002F2558"/>
    <w:rsid w:val="002F4084"/>
    <w:rsid w:val="002F4672"/>
    <w:rsid w:val="002F4A08"/>
    <w:rsid w:val="002F4ADB"/>
    <w:rsid w:val="002F531E"/>
    <w:rsid w:val="002F5ACC"/>
    <w:rsid w:val="002F6C2C"/>
    <w:rsid w:val="002F704B"/>
    <w:rsid w:val="002F72C3"/>
    <w:rsid w:val="002F768C"/>
    <w:rsid w:val="002F7D1E"/>
    <w:rsid w:val="00301839"/>
    <w:rsid w:val="00301A68"/>
    <w:rsid w:val="003026AF"/>
    <w:rsid w:val="00302929"/>
    <w:rsid w:val="00302F0F"/>
    <w:rsid w:val="00303243"/>
    <w:rsid w:val="00303BCC"/>
    <w:rsid w:val="00303F2B"/>
    <w:rsid w:val="00303F8D"/>
    <w:rsid w:val="00304541"/>
    <w:rsid w:val="00304580"/>
    <w:rsid w:val="0030586A"/>
    <w:rsid w:val="003074C5"/>
    <w:rsid w:val="00307A3C"/>
    <w:rsid w:val="00307AF8"/>
    <w:rsid w:val="00307FA4"/>
    <w:rsid w:val="00310CC1"/>
    <w:rsid w:val="00313026"/>
    <w:rsid w:val="00313213"/>
    <w:rsid w:val="00313C14"/>
    <w:rsid w:val="0031421F"/>
    <w:rsid w:val="00314B31"/>
    <w:rsid w:val="00314B36"/>
    <w:rsid w:val="00315158"/>
    <w:rsid w:val="00315346"/>
    <w:rsid w:val="00315A65"/>
    <w:rsid w:val="00316E85"/>
    <w:rsid w:val="00317BA7"/>
    <w:rsid w:val="00320BE2"/>
    <w:rsid w:val="00321886"/>
    <w:rsid w:val="00321902"/>
    <w:rsid w:val="00323694"/>
    <w:rsid w:val="00324D63"/>
    <w:rsid w:val="003255AF"/>
    <w:rsid w:val="003256EB"/>
    <w:rsid w:val="003259DB"/>
    <w:rsid w:val="00325F20"/>
    <w:rsid w:val="00326039"/>
    <w:rsid w:val="003267F2"/>
    <w:rsid w:val="003300EA"/>
    <w:rsid w:val="00331A48"/>
    <w:rsid w:val="003330C9"/>
    <w:rsid w:val="0033364C"/>
    <w:rsid w:val="00334415"/>
    <w:rsid w:val="00335460"/>
    <w:rsid w:val="0033591B"/>
    <w:rsid w:val="0033691E"/>
    <w:rsid w:val="00336CCB"/>
    <w:rsid w:val="0033745F"/>
    <w:rsid w:val="00337631"/>
    <w:rsid w:val="00337F44"/>
    <w:rsid w:val="003401AC"/>
    <w:rsid w:val="003411D1"/>
    <w:rsid w:val="003416BA"/>
    <w:rsid w:val="00341BD6"/>
    <w:rsid w:val="00342A8A"/>
    <w:rsid w:val="00342F99"/>
    <w:rsid w:val="0034339D"/>
    <w:rsid w:val="00344726"/>
    <w:rsid w:val="003454A4"/>
    <w:rsid w:val="00345988"/>
    <w:rsid w:val="00350E6C"/>
    <w:rsid w:val="003518A6"/>
    <w:rsid w:val="00351E7F"/>
    <w:rsid w:val="003526FD"/>
    <w:rsid w:val="00352953"/>
    <w:rsid w:val="00354062"/>
    <w:rsid w:val="003542B0"/>
    <w:rsid w:val="00355C0D"/>
    <w:rsid w:val="0035622C"/>
    <w:rsid w:val="003566A9"/>
    <w:rsid w:val="00356988"/>
    <w:rsid w:val="00356B20"/>
    <w:rsid w:val="00357128"/>
    <w:rsid w:val="0035755E"/>
    <w:rsid w:val="00357A80"/>
    <w:rsid w:val="00361B8B"/>
    <w:rsid w:val="00363F39"/>
    <w:rsid w:val="003643C6"/>
    <w:rsid w:val="003644A3"/>
    <w:rsid w:val="00364AB0"/>
    <w:rsid w:val="00365A6E"/>
    <w:rsid w:val="003664B8"/>
    <w:rsid w:val="003667B0"/>
    <w:rsid w:val="003667DD"/>
    <w:rsid w:val="00366842"/>
    <w:rsid w:val="00366B48"/>
    <w:rsid w:val="00367764"/>
    <w:rsid w:val="00370316"/>
    <w:rsid w:val="00370DC7"/>
    <w:rsid w:val="0037156C"/>
    <w:rsid w:val="00371CBD"/>
    <w:rsid w:val="00373CBE"/>
    <w:rsid w:val="003740CC"/>
    <w:rsid w:val="0037435E"/>
    <w:rsid w:val="00374E79"/>
    <w:rsid w:val="00375388"/>
    <w:rsid w:val="00375B7E"/>
    <w:rsid w:val="00375FB9"/>
    <w:rsid w:val="00376851"/>
    <w:rsid w:val="00376FA2"/>
    <w:rsid w:val="00377A3B"/>
    <w:rsid w:val="00377E3C"/>
    <w:rsid w:val="00380B5C"/>
    <w:rsid w:val="00380BBE"/>
    <w:rsid w:val="00381D70"/>
    <w:rsid w:val="00382128"/>
    <w:rsid w:val="0038235E"/>
    <w:rsid w:val="003829D0"/>
    <w:rsid w:val="00382FBA"/>
    <w:rsid w:val="003835DD"/>
    <w:rsid w:val="0038444F"/>
    <w:rsid w:val="00384E83"/>
    <w:rsid w:val="00385C34"/>
    <w:rsid w:val="00386B36"/>
    <w:rsid w:val="00387051"/>
    <w:rsid w:val="00387ECF"/>
    <w:rsid w:val="0039021B"/>
    <w:rsid w:val="00390429"/>
    <w:rsid w:val="00391298"/>
    <w:rsid w:val="0039327C"/>
    <w:rsid w:val="003933A2"/>
    <w:rsid w:val="0039366C"/>
    <w:rsid w:val="003938F3"/>
    <w:rsid w:val="00393C4B"/>
    <w:rsid w:val="00393DE7"/>
    <w:rsid w:val="00393EC8"/>
    <w:rsid w:val="00395E42"/>
    <w:rsid w:val="00396052"/>
    <w:rsid w:val="00396A2D"/>
    <w:rsid w:val="00396FC3"/>
    <w:rsid w:val="003A1A94"/>
    <w:rsid w:val="003A204E"/>
    <w:rsid w:val="003A2D25"/>
    <w:rsid w:val="003A4DDB"/>
    <w:rsid w:val="003A60E7"/>
    <w:rsid w:val="003B07DF"/>
    <w:rsid w:val="003B0B6A"/>
    <w:rsid w:val="003B0F79"/>
    <w:rsid w:val="003B29CF"/>
    <w:rsid w:val="003B54DF"/>
    <w:rsid w:val="003B6659"/>
    <w:rsid w:val="003B7733"/>
    <w:rsid w:val="003B7BC8"/>
    <w:rsid w:val="003B7D9A"/>
    <w:rsid w:val="003C0166"/>
    <w:rsid w:val="003C21AA"/>
    <w:rsid w:val="003C2B79"/>
    <w:rsid w:val="003C350C"/>
    <w:rsid w:val="003C3903"/>
    <w:rsid w:val="003C3BA0"/>
    <w:rsid w:val="003C4580"/>
    <w:rsid w:val="003C52D8"/>
    <w:rsid w:val="003C5C5E"/>
    <w:rsid w:val="003C6746"/>
    <w:rsid w:val="003C7133"/>
    <w:rsid w:val="003C7555"/>
    <w:rsid w:val="003C7898"/>
    <w:rsid w:val="003D0FF5"/>
    <w:rsid w:val="003D2D1B"/>
    <w:rsid w:val="003D30AB"/>
    <w:rsid w:val="003D3D94"/>
    <w:rsid w:val="003D48C7"/>
    <w:rsid w:val="003D4C08"/>
    <w:rsid w:val="003D51ED"/>
    <w:rsid w:val="003D7CE8"/>
    <w:rsid w:val="003E1032"/>
    <w:rsid w:val="003E1904"/>
    <w:rsid w:val="003E2114"/>
    <w:rsid w:val="003E285E"/>
    <w:rsid w:val="003E3300"/>
    <w:rsid w:val="003E5B89"/>
    <w:rsid w:val="003E6340"/>
    <w:rsid w:val="003E65AC"/>
    <w:rsid w:val="003E6948"/>
    <w:rsid w:val="003E6E24"/>
    <w:rsid w:val="003E72B9"/>
    <w:rsid w:val="003E755C"/>
    <w:rsid w:val="003E7ED4"/>
    <w:rsid w:val="003F0E52"/>
    <w:rsid w:val="003F0EF2"/>
    <w:rsid w:val="003F0F6B"/>
    <w:rsid w:val="003F1F40"/>
    <w:rsid w:val="003F1FE3"/>
    <w:rsid w:val="003F3865"/>
    <w:rsid w:val="003F3A0A"/>
    <w:rsid w:val="003F4632"/>
    <w:rsid w:val="003F47BA"/>
    <w:rsid w:val="003F5DA1"/>
    <w:rsid w:val="003F6617"/>
    <w:rsid w:val="0040063B"/>
    <w:rsid w:val="00401070"/>
    <w:rsid w:val="004013C0"/>
    <w:rsid w:val="00402332"/>
    <w:rsid w:val="004025C2"/>
    <w:rsid w:val="00403E55"/>
    <w:rsid w:val="00404532"/>
    <w:rsid w:val="00404681"/>
    <w:rsid w:val="0040496D"/>
    <w:rsid w:val="00405010"/>
    <w:rsid w:val="0040595A"/>
    <w:rsid w:val="00406923"/>
    <w:rsid w:val="0040713A"/>
    <w:rsid w:val="0040763D"/>
    <w:rsid w:val="004105B0"/>
    <w:rsid w:val="00410DC1"/>
    <w:rsid w:val="00410EC5"/>
    <w:rsid w:val="00411B1F"/>
    <w:rsid w:val="004133A8"/>
    <w:rsid w:val="00413821"/>
    <w:rsid w:val="00413D43"/>
    <w:rsid w:val="004141A3"/>
    <w:rsid w:val="004143E9"/>
    <w:rsid w:val="00414909"/>
    <w:rsid w:val="00415E66"/>
    <w:rsid w:val="00416112"/>
    <w:rsid w:val="00416DF0"/>
    <w:rsid w:val="00417AE0"/>
    <w:rsid w:val="00417BAA"/>
    <w:rsid w:val="00420BA9"/>
    <w:rsid w:val="00420D7A"/>
    <w:rsid w:val="00420D9E"/>
    <w:rsid w:val="004223DE"/>
    <w:rsid w:val="00422718"/>
    <w:rsid w:val="0042293E"/>
    <w:rsid w:val="00422A10"/>
    <w:rsid w:val="00424D17"/>
    <w:rsid w:val="00425DFD"/>
    <w:rsid w:val="004263A3"/>
    <w:rsid w:val="00426903"/>
    <w:rsid w:val="00427713"/>
    <w:rsid w:val="00427CCC"/>
    <w:rsid w:val="00427D54"/>
    <w:rsid w:val="00427DB8"/>
    <w:rsid w:val="0043013A"/>
    <w:rsid w:val="00430421"/>
    <w:rsid w:val="00430B4F"/>
    <w:rsid w:val="004314B1"/>
    <w:rsid w:val="00431AD0"/>
    <w:rsid w:val="00431E65"/>
    <w:rsid w:val="00432589"/>
    <w:rsid w:val="00432A94"/>
    <w:rsid w:val="00433827"/>
    <w:rsid w:val="00434617"/>
    <w:rsid w:val="00435041"/>
    <w:rsid w:val="004360C8"/>
    <w:rsid w:val="0044006B"/>
    <w:rsid w:val="0044033F"/>
    <w:rsid w:val="00440630"/>
    <w:rsid w:val="00441123"/>
    <w:rsid w:val="0044127B"/>
    <w:rsid w:val="00441705"/>
    <w:rsid w:val="00442095"/>
    <w:rsid w:val="00442965"/>
    <w:rsid w:val="00444157"/>
    <w:rsid w:val="0044417C"/>
    <w:rsid w:val="00444DB3"/>
    <w:rsid w:val="004452B9"/>
    <w:rsid w:val="00445A2F"/>
    <w:rsid w:val="00446328"/>
    <w:rsid w:val="00446341"/>
    <w:rsid w:val="0044684E"/>
    <w:rsid w:val="004473DD"/>
    <w:rsid w:val="004479CA"/>
    <w:rsid w:val="004503A4"/>
    <w:rsid w:val="00450555"/>
    <w:rsid w:val="00450DC6"/>
    <w:rsid w:val="004516A5"/>
    <w:rsid w:val="004535AE"/>
    <w:rsid w:val="00453C42"/>
    <w:rsid w:val="0045463A"/>
    <w:rsid w:val="00454AC9"/>
    <w:rsid w:val="004554A3"/>
    <w:rsid w:val="00455A6E"/>
    <w:rsid w:val="004569CD"/>
    <w:rsid w:val="00456F2B"/>
    <w:rsid w:val="004578EB"/>
    <w:rsid w:val="00460303"/>
    <w:rsid w:val="00460697"/>
    <w:rsid w:val="004609AB"/>
    <w:rsid w:val="0046247F"/>
    <w:rsid w:val="00462593"/>
    <w:rsid w:val="00465EEF"/>
    <w:rsid w:val="00466D03"/>
    <w:rsid w:val="0046711B"/>
    <w:rsid w:val="00467312"/>
    <w:rsid w:val="00471156"/>
    <w:rsid w:val="00472429"/>
    <w:rsid w:val="004725E5"/>
    <w:rsid w:val="004726FE"/>
    <w:rsid w:val="00472751"/>
    <w:rsid w:val="00473128"/>
    <w:rsid w:val="0047470A"/>
    <w:rsid w:val="00475078"/>
    <w:rsid w:val="00475226"/>
    <w:rsid w:val="004777F1"/>
    <w:rsid w:val="004779A0"/>
    <w:rsid w:val="004808E3"/>
    <w:rsid w:val="0048097D"/>
    <w:rsid w:val="00481016"/>
    <w:rsid w:val="004814C8"/>
    <w:rsid w:val="004814D3"/>
    <w:rsid w:val="0048204C"/>
    <w:rsid w:val="004821BB"/>
    <w:rsid w:val="00482233"/>
    <w:rsid w:val="004826FE"/>
    <w:rsid w:val="004827D5"/>
    <w:rsid w:val="004830C9"/>
    <w:rsid w:val="00483347"/>
    <w:rsid w:val="00483D06"/>
    <w:rsid w:val="00483E2E"/>
    <w:rsid w:val="00484B69"/>
    <w:rsid w:val="00485406"/>
    <w:rsid w:val="0048590F"/>
    <w:rsid w:val="004867A5"/>
    <w:rsid w:val="00486D60"/>
    <w:rsid w:val="00487C87"/>
    <w:rsid w:val="00492A25"/>
    <w:rsid w:val="0049474A"/>
    <w:rsid w:val="004951C8"/>
    <w:rsid w:val="00496350"/>
    <w:rsid w:val="00496F91"/>
    <w:rsid w:val="00497274"/>
    <w:rsid w:val="0049797C"/>
    <w:rsid w:val="00497C2C"/>
    <w:rsid w:val="00497E9D"/>
    <w:rsid w:val="004A036E"/>
    <w:rsid w:val="004A1405"/>
    <w:rsid w:val="004A1FC6"/>
    <w:rsid w:val="004A3C03"/>
    <w:rsid w:val="004A3DB7"/>
    <w:rsid w:val="004A3FB3"/>
    <w:rsid w:val="004A5088"/>
    <w:rsid w:val="004A5255"/>
    <w:rsid w:val="004A6097"/>
    <w:rsid w:val="004A6CB0"/>
    <w:rsid w:val="004A70FF"/>
    <w:rsid w:val="004B1B84"/>
    <w:rsid w:val="004B29AC"/>
    <w:rsid w:val="004B29E3"/>
    <w:rsid w:val="004B35DF"/>
    <w:rsid w:val="004B3627"/>
    <w:rsid w:val="004B3F3A"/>
    <w:rsid w:val="004B4779"/>
    <w:rsid w:val="004B4922"/>
    <w:rsid w:val="004B57DF"/>
    <w:rsid w:val="004C0238"/>
    <w:rsid w:val="004C03A0"/>
    <w:rsid w:val="004C2138"/>
    <w:rsid w:val="004C2ED0"/>
    <w:rsid w:val="004C32D4"/>
    <w:rsid w:val="004C3940"/>
    <w:rsid w:val="004C51FD"/>
    <w:rsid w:val="004C65A8"/>
    <w:rsid w:val="004C786C"/>
    <w:rsid w:val="004C7963"/>
    <w:rsid w:val="004D2314"/>
    <w:rsid w:val="004D2F63"/>
    <w:rsid w:val="004D35BA"/>
    <w:rsid w:val="004D45B8"/>
    <w:rsid w:val="004D4701"/>
    <w:rsid w:val="004D47C7"/>
    <w:rsid w:val="004D618D"/>
    <w:rsid w:val="004D6202"/>
    <w:rsid w:val="004D62A9"/>
    <w:rsid w:val="004D6FC3"/>
    <w:rsid w:val="004D7476"/>
    <w:rsid w:val="004E0306"/>
    <w:rsid w:val="004E0572"/>
    <w:rsid w:val="004E0C97"/>
    <w:rsid w:val="004E25A8"/>
    <w:rsid w:val="004E2AA0"/>
    <w:rsid w:val="004E3930"/>
    <w:rsid w:val="004E3ED9"/>
    <w:rsid w:val="004E5362"/>
    <w:rsid w:val="004E5866"/>
    <w:rsid w:val="004E6097"/>
    <w:rsid w:val="004E61EF"/>
    <w:rsid w:val="004E6772"/>
    <w:rsid w:val="004E76A7"/>
    <w:rsid w:val="004E7736"/>
    <w:rsid w:val="004E7B03"/>
    <w:rsid w:val="004F0064"/>
    <w:rsid w:val="004F069F"/>
    <w:rsid w:val="004F06AC"/>
    <w:rsid w:val="004F1AE6"/>
    <w:rsid w:val="004F243F"/>
    <w:rsid w:val="004F3E0C"/>
    <w:rsid w:val="004F6523"/>
    <w:rsid w:val="004F6929"/>
    <w:rsid w:val="004F6A2D"/>
    <w:rsid w:val="004F7160"/>
    <w:rsid w:val="00500258"/>
    <w:rsid w:val="0050175E"/>
    <w:rsid w:val="00501A99"/>
    <w:rsid w:val="00502569"/>
    <w:rsid w:val="00502CF3"/>
    <w:rsid w:val="00503180"/>
    <w:rsid w:val="0050417C"/>
    <w:rsid w:val="00505450"/>
    <w:rsid w:val="005100B7"/>
    <w:rsid w:val="005111C2"/>
    <w:rsid w:val="005113C9"/>
    <w:rsid w:val="0051280C"/>
    <w:rsid w:val="00512842"/>
    <w:rsid w:val="005128BE"/>
    <w:rsid w:val="00512B7B"/>
    <w:rsid w:val="00512E6C"/>
    <w:rsid w:val="0051356F"/>
    <w:rsid w:val="00513E7C"/>
    <w:rsid w:val="005140BB"/>
    <w:rsid w:val="005143C2"/>
    <w:rsid w:val="00514FD9"/>
    <w:rsid w:val="0051518F"/>
    <w:rsid w:val="00515FB2"/>
    <w:rsid w:val="0051608F"/>
    <w:rsid w:val="005165E9"/>
    <w:rsid w:val="005210F7"/>
    <w:rsid w:val="00521753"/>
    <w:rsid w:val="00521A44"/>
    <w:rsid w:val="00521D16"/>
    <w:rsid w:val="005222BE"/>
    <w:rsid w:val="005224EE"/>
    <w:rsid w:val="00523BB1"/>
    <w:rsid w:val="005242CF"/>
    <w:rsid w:val="00524401"/>
    <w:rsid w:val="0052451A"/>
    <w:rsid w:val="00524737"/>
    <w:rsid w:val="005253E7"/>
    <w:rsid w:val="005258DF"/>
    <w:rsid w:val="00526265"/>
    <w:rsid w:val="0052652D"/>
    <w:rsid w:val="0052655D"/>
    <w:rsid w:val="005265E0"/>
    <w:rsid w:val="00526930"/>
    <w:rsid w:val="00526BC3"/>
    <w:rsid w:val="00530F9E"/>
    <w:rsid w:val="00531A72"/>
    <w:rsid w:val="0053274E"/>
    <w:rsid w:val="0053358A"/>
    <w:rsid w:val="00534668"/>
    <w:rsid w:val="00534D38"/>
    <w:rsid w:val="00534DDD"/>
    <w:rsid w:val="00535291"/>
    <w:rsid w:val="00535A94"/>
    <w:rsid w:val="00537874"/>
    <w:rsid w:val="00537909"/>
    <w:rsid w:val="00540204"/>
    <w:rsid w:val="00540578"/>
    <w:rsid w:val="005407D2"/>
    <w:rsid w:val="00540808"/>
    <w:rsid w:val="0054080E"/>
    <w:rsid w:val="005408B4"/>
    <w:rsid w:val="00540EA1"/>
    <w:rsid w:val="005423B1"/>
    <w:rsid w:val="0054358E"/>
    <w:rsid w:val="00543AF4"/>
    <w:rsid w:val="00544191"/>
    <w:rsid w:val="00544F39"/>
    <w:rsid w:val="00547EFB"/>
    <w:rsid w:val="005531DF"/>
    <w:rsid w:val="00553874"/>
    <w:rsid w:val="00553ACC"/>
    <w:rsid w:val="00554AD8"/>
    <w:rsid w:val="00554F78"/>
    <w:rsid w:val="005556A5"/>
    <w:rsid w:val="005561F0"/>
    <w:rsid w:val="00556BF7"/>
    <w:rsid w:val="00560838"/>
    <w:rsid w:val="00560DB5"/>
    <w:rsid w:val="00562149"/>
    <w:rsid w:val="005630D8"/>
    <w:rsid w:val="00563FFD"/>
    <w:rsid w:val="00565855"/>
    <w:rsid w:val="005677CE"/>
    <w:rsid w:val="00567B5D"/>
    <w:rsid w:val="00570445"/>
    <w:rsid w:val="00572E9A"/>
    <w:rsid w:val="00573733"/>
    <w:rsid w:val="005739F5"/>
    <w:rsid w:val="00574064"/>
    <w:rsid w:val="00574554"/>
    <w:rsid w:val="00576089"/>
    <w:rsid w:val="005764B1"/>
    <w:rsid w:val="00576A0D"/>
    <w:rsid w:val="00576A56"/>
    <w:rsid w:val="00576D06"/>
    <w:rsid w:val="005777CA"/>
    <w:rsid w:val="005779E4"/>
    <w:rsid w:val="00580AC5"/>
    <w:rsid w:val="005815E5"/>
    <w:rsid w:val="0058289C"/>
    <w:rsid w:val="00582C35"/>
    <w:rsid w:val="00582DC6"/>
    <w:rsid w:val="005836C7"/>
    <w:rsid w:val="0058408E"/>
    <w:rsid w:val="00585374"/>
    <w:rsid w:val="005876DF"/>
    <w:rsid w:val="0058789A"/>
    <w:rsid w:val="00590B77"/>
    <w:rsid w:val="005913A3"/>
    <w:rsid w:val="00591DCD"/>
    <w:rsid w:val="00594A7B"/>
    <w:rsid w:val="00594AFA"/>
    <w:rsid w:val="0059580E"/>
    <w:rsid w:val="00596A6F"/>
    <w:rsid w:val="005976E1"/>
    <w:rsid w:val="005A0541"/>
    <w:rsid w:val="005A0D64"/>
    <w:rsid w:val="005A1525"/>
    <w:rsid w:val="005A1EC3"/>
    <w:rsid w:val="005A252B"/>
    <w:rsid w:val="005A2A71"/>
    <w:rsid w:val="005A3204"/>
    <w:rsid w:val="005A32B6"/>
    <w:rsid w:val="005A3341"/>
    <w:rsid w:val="005A46EC"/>
    <w:rsid w:val="005A47AA"/>
    <w:rsid w:val="005A4847"/>
    <w:rsid w:val="005A494F"/>
    <w:rsid w:val="005B0160"/>
    <w:rsid w:val="005B0185"/>
    <w:rsid w:val="005B07EC"/>
    <w:rsid w:val="005B09D8"/>
    <w:rsid w:val="005B24F3"/>
    <w:rsid w:val="005B28A1"/>
    <w:rsid w:val="005B2B11"/>
    <w:rsid w:val="005B2E00"/>
    <w:rsid w:val="005B370E"/>
    <w:rsid w:val="005B4DA3"/>
    <w:rsid w:val="005B5B71"/>
    <w:rsid w:val="005B5BEE"/>
    <w:rsid w:val="005B7784"/>
    <w:rsid w:val="005B77D2"/>
    <w:rsid w:val="005C019B"/>
    <w:rsid w:val="005C144E"/>
    <w:rsid w:val="005C1625"/>
    <w:rsid w:val="005C2D0A"/>
    <w:rsid w:val="005C30F5"/>
    <w:rsid w:val="005C357E"/>
    <w:rsid w:val="005C3604"/>
    <w:rsid w:val="005C51A5"/>
    <w:rsid w:val="005C5403"/>
    <w:rsid w:val="005C557A"/>
    <w:rsid w:val="005C5A03"/>
    <w:rsid w:val="005C61DD"/>
    <w:rsid w:val="005C6438"/>
    <w:rsid w:val="005C6B8B"/>
    <w:rsid w:val="005D02E3"/>
    <w:rsid w:val="005D1F34"/>
    <w:rsid w:val="005D2529"/>
    <w:rsid w:val="005D25BF"/>
    <w:rsid w:val="005D2C1F"/>
    <w:rsid w:val="005D34B2"/>
    <w:rsid w:val="005D3B54"/>
    <w:rsid w:val="005D40CD"/>
    <w:rsid w:val="005D6B59"/>
    <w:rsid w:val="005D7037"/>
    <w:rsid w:val="005E03E4"/>
    <w:rsid w:val="005E0454"/>
    <w:rsid w:val="005E171D"/>
    <w:rsid w:val="005E34C2"/>
    <w:rsid w:val="005E35C6"/>
    <w:rsid w:val="005E3711"/>
    <w:rsid w:val="005E3AF9"/>
    <w:rsid w:val="005E5099"/>
    <w:rsid w:val="005E5B01"/>
    <w:rsid w:val="005E7933"/>
    <w:rsid w:val="005E7E0B"/>
    <w:rsid w:val="005F009E"/>
    <w:rsid w:val="005F080C"/>
    <w:rsid w:val="005F0A88"/>
    <w:rsid w:val="005F0DF1"/>
    <w:rsid w:val="005F1516"/>
    <w:rsid w:val="005F229E"/>
    <w:rsid w:val="005F2564"/>
    <w:rsid w:val="005F3822"/>
    <w:rsid w:val="005F3E0B"/>
    <w:rsid w:val="005F4D16"/>
    <w:rsid w:val="005F4E52"/>
    <w:rsid w:val="005F5967"/>
    <w:rsid w:val="005F77C8"/>
    <w:rsid w:val="0060058E"/>
    <w:rsid w:val="00602A3C"/>
    <w:rsid w:val="00602EA4"/>
    <w:rsid w:val="00603EFD"/>
    <w:rsid w:val="006041DF"/>
    <w:rsid w:val="0060475B"/>
    <w:rsid w:val="00604FB6"/>
    <w:rsid w:val="00604FD6"/>
    <w:rsid w:val="00605387"/>
    <w:rsid w:val="00606302"/>
    <w:rsid w:val="006072EF"/>
    <w:rsid w:val="006076FD"/>
    <w:rsid w:val="00607BA3"/>
    <w:rsid w:val="00610CAA"/>
    <w:rsid w:val="0061143F"/>
    <w:rsid w:val="006114D8"/>
    <w:rsid w:val="00611585"/>
    <w:rsid w:val="00612931"/>
    <w:rsid w:val="00613601"/>
    <w:rsid w:val="00613791"/>
    <w:rsid w:val="00613AAB"/>
    <w:rsid w:val="006148C7"/>
    <w:rsid w:val="006150D6"/>
    <w:rsid w:val="006166A3"/>
    <w:rsid w:val="00617EEE"/>
    <w:rsid w:val="006210FE"/>
    <w:rsid w:val="00622811"/>
    <w:rsid w:val="00622878"/>
    <w:rsid w:val="00622894"/>
    <w:rsid w:val="00622BB7"/>
    <w:rsid w:val="00622F3B"/>
    <w:rsid w:val="00623130"/>
    <w:rsid w:val="00623389"/>
    <w:rsid w:val="0062352A"/>
    <w:rsid w:val="00625E45"/>
    <w:rsid w:val="006265C4"/>
    <w:rsid w:val="00626DB1"/>
    <w:rsid w:val="00627383"/>
    <w:rsid w:val="00627733"/>
    <w:rsid w:val="006301BB"/>
    <w:rsid w:val="00632605"/>
    <w:rsid w:val="00633F8D"/>
    <w:rsid w:val="006341EF"/>
    <w:rsid w:val="00634BED"/>
    <w:rsid w:val="00635A4A"/>
    <w:rsid w:val="00635F1C"/>
    <w:rsid w:val="00635FB9"/>
    <w:rsid w:val="00636765"/>
    <w:rsid w:val="00637774"/>
    <w:rsid w:val="0064024C"/>
    <w:rsid w:val="00640291"/>
    <w:rsid w:val="00641FAC"/>
    <w:rsid w:val="0064262E"/>
    <w:rsid w:val="006432A5"/>
    <w:rsid w:val="00643664"/>
    <w:rsid w:val="00643CAA"/>
    <w:rsid w:val="0064448B"/>
    <w:rsid w:val="00647B97"/>
    <w:rsid w:val="00652137"/>
    <w:rsid w:val="00652680"/>
    <w:rsid w:val="00652A09"/>
    <w:rsid w:val="006530A1"/>
    <w:rsid w:val="0065371D"/>
    <w:rsid w:val="00653CDE"/>
    <w:rsid w:val="006540B4"/>
    <w:rsid w:val="0065636A"/>
    <w:rsid w:val="00656C3C"/>
    <w:rsid w:val="00657003"/>
    <w:rsid w:val="00657126"/>
    <w:rsid w:val="006572C1"/>
    <w:rsid w:val="00660238"/>
    <w:rsid w:val="006602EF"/>
    <w:rsid w:val="00661277"/>
    <w:rsid w:val="006616FE"/>
    <w:rsid w:val="00661717"/>
    <w:rsid w:val="006619D1"/>
    <w:rsid w:val="006628AD"/>
    <w:rsid w:val="00663FEA"/>
    <w:rsid w:val="00664253"/>
    <w:rsid w:val="00664803"/>
    <w:rsid w:val="006661A4"/>
    <w:rsid w:val="006670E0"/>
    <w:rsid w:val="00667532"/>
    <w:rsid w:val="006704FD"/>
    <w:rsid w:val="00670F3A"/>
    <w:rsid w:val="006715E6"/>
    <w:rsid w:val="0067294B"/>
    <w:rsid w:val="00673AA4"/>
    <w:rsid w:val="00674066"/>
    <w:rsid w:val="00674187"/>
    <w:rsid w:val="0067508F"/>
    <w:rsid w:val="00675349"/>
    <w:rsid w:val="00675E7E"/>
    <w:rsid w:val="0068051E"/>
    <w:rsid w:val="00680B9D"/>
    <w:rsid w:val="00681F13"/>
    <w:rsid w:val="0068231C"/>
    <w:rsid w:val="00682344"/>
    <w:rsid w:val="00682E78"/>
    <w:rsid w:val="00682F28"/>
    <w:rsid w:val="00684842"/>
    <w:rsid w:val="00685BD6"/>
    <w:rsid w:val="00686433"/>
    <w:rsid w:val="006878A6"/>
    <w:rsid w:val="00690437"/>
    <w:rsid w:val="00690E65"/>
    <w:rsid w:val="0069188E"/>
    <w:rsid w:val="00691974"/>
    <w:rsid w:val="00691A3F"/>
    <w:rsid w:val="00692CE6"/>
    <w:rsid w:val="00692DA8"/>
    <w:rsid w:val="00693B6C"/>
    <w:rsid w:val="006942AE"/>
    <w:rsid w:val="0069483C"/>
    <w:rsid w:val="00695421"/>
    <w:rsid w:val="00695AE4"/>
    <w:rsid w:val="00696D4B"/>
    <w:rsid w:val="006977A8"/>
    <w:rsid w:val="00697BD3"/>
    <w:rsid w:val="00697DFA"/>
    <w:rsid w:val="006A10F3"/>
    <w:rsid w:val="006A16D5"/>
    <w:rsid w:val="006A1772"/>
    <w:rsid w:val="006A1780"/>
    <w:rsid w:val="006A25A5"/>
    <w:rsid w:val="006A2790"/>
    <w:rsid w:val="006A3CEC"/>
    <w:rsid w:val="006A3F75"/>
    <w:rsid w:val="006A4838"/>
    <w:rsid w:val="006A4FB3"/>
    <w:rsid w:val="006A5A3E"/>
    <w:rsid w:val="006A5BAB"/>
    <w:rsid w:val="006A6CA7"/>
    <w:rsid w:val="006A703E"/>
    <w:rsid w:val="006A7BE3"/>
    <w:rsid w:val="006B01D1"/>
    <w:rsid w:val="006B16EA"/>
    <w:rsid w:val="006B1780"/>
    <w:rsid w:val="006B224E"/>
    <w:rsid w:val="006B362D"/>
    <w:rsid w:val="006B376E"/>
    <w:rsid w:val="006B4589"/>
    <w:rsid w:val="006B6805"/>
    <w:rsid w:val="006B6BBE"/>
    <w:rsid w:val="006B6DE0"/>
    <w:rsid w:val="006B7D5F"/>
    <w:rsid w:val="006C0FCC"/>
    <w:rsid w:val="006C2D83"/>
    <w:rsid w:val="006C32F4"/>
    <w:rsid w:val="006C3382"/>
    <w:rsid w:val="006C3C54"/>
    <w:rsid w:val="006C40F4"/>
    <w:rsid w:val="006C427B"/>
    <w:rsid w:val="006C4F9F"/>
    <w:rsid w:val="006C5019"/>
    <w:rsid w:val="006C5778"/>
    <w:rsid w:val="006C61AB"/>
    <w:rsid w:val="006C650D"/>
    <w:rsid w:val="006C686A"/>
    <w:rsid w:val="006C7479"/>
    <w:rsid w:val="006C748D"/>
    <w:rsid w:val="006D0C1D"/>
    <w:rsid w:val="006D0CE1"/>
    <w:rsid w:val="006D2004"/>
    <w:rsid w:val="006D2A8C"/>
    <w:rsid w:val="006D2E9D"/>
    <w:rsid w:val="006D32EB"/>
    <w:rsid w:val="006D4C1E"/>
    <w:rsid w:val="006D4C42"/>
    <w:rsid w:val="006D5809"/>
    <w:rsid w:val="006D630A"/>
    <w:rsid w:val="006D668D"/>
    <w:rsid w:val="006D7363"/>
    <w:rsid w:val="006D74F2"/>
    <w:rsid w:val="006E04C8"/>
    <w:rsid w:val="006E061F"/>
    <w:rsid w:val="006E0712"/>
    <w:rsid w:val="006E0754"/>
    <w:rsid w:val="006E2668"/>
    <w:rsid w:val="006E2D39"/>
    <w:rsid w:val="006E32B0"/>
    <w:rsid w:val="006E36D8"/>
    <w:rsid w:val="006E396A"/>
    <w:rsid w:val="006E3A73"/>
    <w:rsid w:val="006E5825"/>
    <w:rsid w:val="006E5DD8"/>
    <w:rsid w:val="006E5EA1"/>
    <w:rsid w:val="006E6A4C"/>
    <w:rsid w:val="006E7ABC"/>
    <w:rsid w:val="006F0760"/>
    <w:rsid w:val="006F0FF1"/>
    <w:rsid w:val="006F11E2"/>
    <w:rsid w:val="006F12F5"/>
    <w:rsid w:val="006F2574"/>
    <w:rsid w:val="006F3231"/>
    <w:rsid w:val="006F3582"/>
    <w:rsid w:val="006F3DE3"/>
    <w:rsid w:val="006F4C05"/>
    <w:rsid w:val="006F511F"/>
    <w:rsid w:val="006F61D8"/>
    <w:rsid w:val="006F62B7"/>
    <w:rsid w:val="006F70BC"/>
    <w:rsid w:val="006F713A"/>
    <w:rsid w:val="006F76BF"/>
    <w:rsid w:val="006F7C48"/>
    <w:rsid w:val="00705161"/>
    <w:rsid w:val="007066A4"/>
    <w:rsid w:val="00706F37"/>
    <w:rsid w:val="00707D09"/>
    <w:rsid w:val="00710760"/>
    <w:rsid w:val="0071209F"/>
    <w:rsid w:val="007125A2"/>
    <w:rsid w:val="00713F79"/>
    <w:rsid w:val="007148A8"/>
    <w:rsid w:val="00715A9B"/>
    <w:rsid w:val="00716125"/>
    <w:rsid w:val="00716C9F"/>
    <w:rsid w:val="007171E0"/>
    <w:rsid w:val="0071740B"/>
    <w:rsid w:val="00717C40"/>
    <w:rsid w:val="0072033C"/>
    <w:rsid w:val="00720B1B"/>
    <w:rsid w:val="00721062"/>
    <w:rsid w:val="00721A4E"/>
    <w:rsid w:val="00721E5D"/>
    <w:rsid w:val="007229D4"/>
    <w:rsid w:val="007230F8"/>
    <w:rsid w:val="007233F4"/>
    <w:rsid w:val="00723646"/>
    <w:rsid w:val="00724044"/>
    <w:rsid w:val="007244E1"/>
    <w:rsid w:val="007248D3"/>
    <w:rsid w:val="00725137"/>
    <w:rsid w:val="00725C63"/>
    <w:rsid w:val="007263ED"/>
    <w:rsid w:val="0072653B"/>
    <w:rsid w:val="00726C9E"/>
    <w:rsid w:val="00727A43"/>
    <w:rsid w:val="00727FF2"/>
    <w:rsid w:val="007323E0"/>
    <w:rsid w:val="007324ED"/>
    <w:rsid w:val="00733791"/>
    <w:rsid w:val="00733857"/>
    <w:rsid w:val="00733DE2"/>
    <w:rsid w:val="00734328"/>
    <w:rsid w:val="007346E7"/>
    <w:rsid w:val="007352EA"/>
    <w:rsid w:val="00736032"/>
    <w:rsid w:val="007364E5"/>
    <w:rsid w:val="0073792F"/>
    <w:rsid w:val="00737C48"/>
    <w:rsid w:val="007409CA"/>
    <w:rsid w:val="00740DA6"/>
    <w:rsid w:val="00741A0E"/>
    <w:rsid w:val="00741D1E"/>
    <w:rsid w:val="00741EE2"/>
    <w:rsid w:val="00742367"/>
    <w:rsid w:val="00742EAA"/>
    <w:rsid w:val="00743818"/>
    <w:rsid w:val="007439E2"/>
    <w:rsid w:val="00743E9C"/>
    <w:rsid w:val="007441FB"/>
    <w:rsid w:val="00744517"/>
    <w:rsid w:val="00744810"/>
    <w:rsid w:val="00747079"/>
    <w:rsid w:val="00747DD4"/>
    <w:rsid w:val="00747DE2"/>
    <w:rsid w:val="007504BF"/>
    <w:rsid w:val="007506CD"/>
    <w:rsid w:val="007525DB"/>
    <w:rsid w:val="0075267F"/>
    <w:rsid w:val="007526EC"/>
    <w:rsid w:val="0075310C"/>
    <w:rsid w:val="00753347"/>
    <w:rsid w:val="00753C48"/>
    <w:rsid w:val="007545C1"/>
    <w:rsid w:val="00754C97"/>
    <w:rsid w:val="00754FE4"/>
    <w:rsid w:val="00755538"/>
    <w:rsid w:val="00755971"/>
    <w:rsid w:val="00756236"/>
    <w:rsid w:val="00756271"/>
    <w:rsid w:val="00756521"/>
    <w:rsid w:val="00756AB7"/>
    <w:rsid w:val="0075745C"/>
    <w:rsid w:val="00760477"/>
    <w:rsid w:val="007615CE"/>
    <w:rsid w:val="00761AF4"/>
    <w:rsid w:val="00762071"/>
    <w:rsid w:val="007623FB"/>
    <w:rsid w:val="0076376A"/>
    <w:rsid w:val="0076500F"/>
    <w:rsid w:val="0076504E"/>
    <w:rsid w:val="00765D24"/>
    <w:rsid w:val="00765E6A"/>
    <w:rsid w:val="007664E0"/>
    <w:rsid w:val="00767EA0"/>
    <w:rsid w:val="0077068F"/>
    <w:rsid w:val="007711EA"/>
    <w:rsid w:val="00771870"/>
    <w:rsid w:val="0077408D"/>
    <w:rsid w:val="007741CF"/>
    <w:rsid w:val="00774270"/>
    <w:rsid w:val="00775679"/>
    <w:rsid w:val="00775803"/>
    <w:rsid w:val="007761F1"/>
    <w:rsid w:val="00777B32"/>
    <w:rsid w:val="0078051E"/>
    <w:rsid w:val="00781FDD"/>
    <w:rsid w:val="00782A9F"/>
    <w:rsid w:val="0078508A"/>
    <w:rsid w:val="00786D5C"/>
    <w:rsid w:val="00786E96"/>
    <w:rsid w:val="00787F93"/>
    <w:rsid w:val="00790684"/>
    <w:rsid w:val="007907CA"/>
    <w:rsid w:val="00791170"/>
    <w:rsid w:val="00791E6D"/>
    <w:rsid w:val="007928DC"/>
    <w:rsid w:val="00792CB3"/>
    <w:rsid w:val="00792E53"/>
    <w:rsid w:val="007933DF"/>
    <w:rsid w:val="0079384D"/>
    <w:rsid w:val="007939CC"/>
    <w:rsid w:val="00796FB8"/>
    <w:rsid w:val="007A11C2"/>
    <w:rsid w:val="007A2367"/>
    <w:rsid w:val="007A41BF"/>
    <w:rsid w:val="007A490A"/>
    <w:rsid w:val="007A581D"/>
    <w:rsid w:val="007A7B95"/>
    <w:rsid w:val="007B0297"/>
    <w:rsid w:val="007B0F53"/>
    <w:rsid w:val="007B1DD8"/>
    <w:rsid w:val="007B21AE"/>
    <w:rsid w:val="007B2570"/>
    <w:rsid w:val="007B2C31"/>
    <w:rsid w:val="007B3113"/>
    <w:rsid w:val="007B3304"/>
    <w:rsid w:val="007B332B"/>
    <w:rsid w:val="007B394D"/>
    <w:rsid w:val="007B53FA"/>
    <w:rsid w:val="007B6423"/>
    <w:rsid w:val="007B7490"/>
    <w:rsid w:val="007B774A"/>
    <w:rsid w:val="007C0525"/>
    <w:rsid w:val="007C0B56"/>
    <w:rsid w:val="007C13F7"/>
    <w:rsid w:val="007C218D"/>
    <w:rsid w:val="007C2D28"/>
    <w:rsid w:val="007C3E22"/>
    <w:rsid w:val="007C67C6"/>
    <w:rsid w:val="007C707A"/>
    <w:rsid w:val="007C7E59"/>
    <w:rsid w:val="007D0A39"/>
    <w:rsid w:val="007D0B91"/>
    <w:rsid w:val="007D1452"/>
    <w:rsid w:val="007D1E29"/>
    <w:rsid w:val="007D460C"/>
    <w:rsid w:val="007D484A"/>
    <w:rsid w:val="007D4AD3"/>
    <w:rsid w:val="007D4C8D"/>
    <w:rsid w:val="007D5D19"/>
    <w:rsid w:val="007D5FDC"/>
    <w:rsid w:val="007D6D68"/>
    <w:rsid w:val="007E01DA"/>
    <w:rsid w:val="007E0ADB"/>
    <w:rsid w:val="007E1603"/>
    <w:rsid w:val="007E2E85"/>
    <w:rsid w:val="007E32DA"/>
    <w:rsid w:val="007E3896"/>
    <w:rsid w:val="007E3FFB"/>
    <w:rsid w:val="007E4998"/>
    <w:rsid w:val="007E4A9C"/>
    <w:rsid w:val="007E4B2B"/>
    <w:rsid w:val="007E6914"/>
    <w:rsid w:val="007E7F78"/>
    <w:rsid w:val="007F0C8B"/>
    <w:rsid w:val="007F1517"/>
    <w:rsid w:val="007F1D44"/>
    <w:rsid w:val="007F23A5"/>
    <w:rsid w:val="007F2C13"/>
    <w:rsid w:val="007F2CEC"/>
    <w:rsid w:val="007F4949"/>
    <w:rsid w:val="007F55DE"/>
    <w:rsid w:val="007F5605"/>
    <w:rsid w:val="007F6147"/>
    <w:rsid w:val="007F78FF"/>
    <w:rsid w:val="00800F6C"/>
    <w:rsid w:val="008025BE"/>
    <w:rsid w:val="0080381C"/>
    <w:rsid w:val="00804C86"/>
    <w:rsid w:val="008051FC"/>
    <w:rsid w:val="008055A9"/>
    <w:rsid w:val="008070EB"/>
    <w:rsid w:val="00807376"/>
    <w:rsid w:val="00810B0E"/>
    <w:rsid w:val="00810B14"/>
    <w:rsid w:val="00810E8E"/>
    <w:rsid w:val="0081142D"/>
    <w:rsid w:val="00812462"/>
    <w:rsid w:val="008126E2"/>
    <w:rsid w:val="008133A5"/>
    <w:rsid w:val="0081481D"/>
    <w:rsid w:val="00814BE8"/>
    <w:rsid w:val="00814F6E"/>
    <w:rsid w:val="0081565F"/>
    <w:rsid w:val="00815B84"/>
    <w:rsid w:val="00821A3D"/>
    <w:rsid w:val="00821B06"/>
    <w:rsid w:val="00822037"/>
    <w:rsid w:val="00822634"/>
    <w:rsid w:val="00823FC6"/>
    <w:rsid w:val="00823FFC"/>
    <w:rsid w:val="00824811"/>
    <w:rsid w:val="00825C74"/>
    <w:rsid w:val="00826AB9"/>
    <w:rsid w:val="00826E0E"/>
    <w:rsid w:val="0082731F"/>
    <w:rsid w:val="00827D11"/>
    <w:rsid w:val="00827E0F"/>
    <w:rsid w:val="00827F6E"/>
    <w:rsid w:val="00831758"/>
    <w:rsid w:val="00831977"/>
    <w:rsid w:val="0083279F"/>
    <w:rsid w:val="00833B7F"/>
    <w:rsid w:val="00834906"/>
    <w:rsid w:val="00835A99"/>
    <w:rsid w:val="00836075"/>
    <w:rsid w:val="00836417"/>
    <w:rsid w:val="008377F7"/>
    <w:rsid w:val="008411F9"/>
    <w:rsid w:val="008413AB"/>
    <w:rsid w:val="00842D10"/>
    <w:rsid w:val="0084322B"/>
    <w:rsid w:val="00843B93"/>
    <w:rsid w:val="00843C08"/>
    <w:rsid w:val="00843F81"/>
    <w:rsid w:val="00844087"/>
    <w:rsid w:val="0084519E"/>
    <w:rsid w:val="00846370"/>
    <w:rsid w:val="00847C2B"/>
    <w:rsid w:val="00851256"/>
    <w:rsid w:val="00851A7C"/>
    <w:rsid w:val="00852438"/>
    <w:rsid w:val="0085270D"/>
    <w:rsid w:val="008532BF"/>
    <w:rsid w:val="00853BF4"/>
    <w:rsid w:val="00854294"/>
    <w:rsid w:val="008555FB"/>
    <w:rsid w:val="0085788B"/>
    <w:rsid w:val="00857941"/>
    <w:rsid w:val="00857A9E"/>
    <w:rsid w:val="00857DE2"/>
    <w:rsid w:val="00863E7D"/>
    <w:rsid w:val="0086407F"/>
    <w:rsid w:val="00864548"/>
    <w:rsid w:val="00864D9C"/>
    <w:rsid w:val="00864E79"/>
    <w:rsid w:val="00866111"/>
    <w:rsid w:val="0086661F"/>
    <w:rsid w:val="00866A0D"/>
    <w:rsid w:val="00866DB5"/>
    <w:rsid w:val="0086784E"/>
    <w:rsid w:val="00867AF1"/>
    <w:rsid w:val="00870EE1"/>
    <w:rsid w:val="008720B3"/>
    <w:rsid w:val="00872118"/>
    <w:rsid w:val="008727CE"/>
    <w:rsid w:val="00872827"/>
    <w:rsid w:val="00872A32"/>
    <w:rsid w:val="00874ECA"/>
    <w:rsid w:val="00875D0E"/>
    <w:rsid w:val="00876EAE"/>
    <w:rsid w:val="00880F95"/>
    <w:rsid w:val="00881F68"/>
    <w:rsid w:val="00882B44"/>
    <w:rsid w:val="00882FE5"/>
    <w:rsid w:val="00886138"/>
    <w:rsid w:val="00886E66"/>
    <w:rsid w:val="008871B0"/>
    <w:rsid w:val="008912F5"/>
    <w:rsid w:val="008915A7"/>
    <w:rsid w:val="008918EB"/>
    <w:rsid w:val="0089217C"/>
    <w:rsid w:val="008928A1"/>
    <w:rsid w:val="00893671"/>
    <w:rsid w:val="00895838"/>
    <w:rsid w:val="00895A72"/>
    <w:rsid w:val="00895CDF"/>
    <w:rsid w:val="008968C7"/>
    <w:rsid w:val="00896AFD"/>
    <w:rsid w:val="00897A55"/>
    <w:rsid w:val="008A0154"/>
    <w:rsid w:val="008A0FC9"/>
    <w:rsid w:val="008A1956"/>
    <w:rsid w:val="008A40D3"/>
    <w:rsid w:val="008A469C"/>
    <w:rsid w:val="008A484A"/>
    <w:rsid w:val="008A5877"/>
    <w:rsid w:val="008A6539"/>
    <w:rsid w:val="008A701C"/>
    <w:rsid w:val="008B05DD"/>
    <w:rsid w:val="008B17E8"/>
    <w:rsid w:val="008B266C"/>
    <w:rsid w:val="008B2D03"/>
    <w:rsid w:val="008B2E7C"/>
    <w:rsid w:val="008B3703"/>
    <w:rsid w:val="008B42AB"/>
    <w:rsid w:val="008B45A7"/>
    <w:rsid w:val="008B4A70"/>
    <w:rsid w:val="008B502F"/>
    <w:rsid w:val="008B5142"/>
    <w:rsid w:val="008B67CB"/>
    <w:rsid w:val="008B6A63"/>
    <w:rsid w:val="008B6AFE"/>
    <w:rsid w:val="008B6B83"/>
    <w:rsid w:val="008B7034"/>
    <w:rsid w:val="008B7227"/>
    <w:rsid w:val="008C03DD"/>
    <w:rsid w:val="008C191C"/>
    <w:rsid w:val="008C1DA4"/>
    <w:rsid w:val="008C2CD5"/>
    <w:rsid w:val="008C2E29"/>
    <w:rsid w:val="008C32B7"/>
    <w:rsid w:val="008C360C"/>
    <w:rsid w:val="008C3618"/>
    <w:rsid w:val="008C3F20"/>
    <w:rsid w:val="008C43AD"/>
    <w:rsid w:val="008C4B6C"/>
    <w:rsid w:val="008C59FB"/>
    <w:rsid w:val="008C619E"/>
    <w:rsid w:val="008C6687"/>
    <w:rsid w:val="008C68F0"/>
    <w:rsid w:val="008C6F92"/>
    <w:rsid w:val="008C731F"/>
    <w:rsid w:val="008C74D9"/>
    <w:rsid w:val="008C79C3"/>
    <w:rsid w:val="008C7A47"/>
    <w:rsid w:val="008D0170"/>
    <w:rsid w:val="008D1052"/>
    <w:rsid w:val="008D124C"/>
    <w:rsid w:val="008D1983"/>
    <w:rsid w:val="008D1BB3"/>
    <w:rsid w:val="008D1C32"/>
    <w:rsid w:val="008D22AE"/>
    <w:rsid w:val="008D234A"/>
    <w:rsid w:val="008D238C"/>
    <w:rsid w:val="008D566C"/>
    <w:rsid w:val="008D58D9"/>
    <w:rsid w:val="008D64F5"/>
    <w:rsid w:val="008D66EA"/>
    <w:rsid w:val="008D6E59"/>
    <w:rsid w:val="008D6F92"/>
    <w:rsid w:val="008D7155"/>
    <w:rsid w:val="008D7DE4"/>
    <w:rsid w:val="008E09B3"/>
    <w:rsid w:val="008E141A"/>
    <w:rsid w:val="008E1A44"/>
    <w:rsid w:val="008E28E6"/>
    <w:rsid w:val="008E2B60"/>
    <w:rsid w:val="008E3232"/>
    <w:rsid w:val="008E3674"/>
    <w:rsid w:val="008E3B6C"/>
    <w:rsid w:val="008E41A8"/>
    <w:rsid w:val="008E688C"/>
    <w:rsid w:val="008E68BB"/>
    <w:rsid w:val="008E6C9B"/>
    <w:rsid w:val="008E77D4"/>
    <w:rsid w:val="008F0981"/>
    <w:rsid w:val="008F0AFD"/>
    <w:rsid w:val="008F1287"/>
    <w:rsid w:val="008F17B2"/>
    <w:rsid w:val="008F28EE"/>
    <w:rsid w:val="008F357B"/>
    <w:rsid w:val="008F44CA"/>
    <w:rsid w:val="008F49B9"/>
    <w:rsid w:val="008F49D3"/>
    <w:rsid w:val="008F5081"/>
    <w:rsid w:val="008F6519"/>
    <w:rsid w:val="008F68DC"/>
    <w:rsid w:val="008F7012"/>
    <w:rsid w:val="008F7B17"/>
    <w:rsid w:val="00900042"/>
    <w:rsid w:val="0090034B"/>
    <w:rsid w:val="00902623"/>
    <w:rsid w:val="00902890"/>
    <w:rsid w:val="00904778"/>
    <w:rsid w:val="00904BE4"/>
    <w:rsid w:val="0090504A"/>
    <w:rsid w:val="00905D7E"/>
    <w:rsid w:val="009063B7"/>
    <w:rsid w:val="00907037"/>
    <w:rsid w:val="0091160A"/>
    <w:rsid w:val="00912838"/>
    <w:rsid w:val="00913258"/>
    <w:rsid w:val="00913883"/>
    <w:rsid w:val="0091564D"/>
    <w:rsid w:val="009156DA"/>
    <w:rsid w:val="00915CF3"/>
    <w:rsid w:val="00916BC5"/>
    <w:rsid w:val="0091726A"/>
    <w:rsid w:val="00920184"/>
    <w:rsid w:val="00920EA4"/>
    <w:rsid w:val="00921792"/>
    <w:rsid w:val="00921BEA"/>
    <w:rsid w:val="00922DB0"/>
    <w:rsid w:val="00923998"/>
    <w:rsid w:val="00923DB4"/>
    <w:rsid w:val="0092430E"/>
    <w:rsid w:val="0092625F"/>
    <w:rsid w:val="009268A9"/>
    <w:rsid w:val="00927B37"/>
    <w:rsid w:val="009301B2"/>
    <w:rsid w:val="0093065F"/>
    <w:rsid w:val="00931215"/>
    <w:rsid w:val="009313DD"/>
    <w:rsid w:val="00931BDE"/>
    <w:rsid w:val="009321B1"/>
    <w:rsid w:val="00932ED7"/>
    <w:rsid w:val="0093357E"/>
    <w:rsid w:val="0093422D"/>
    <w:rsid w:val="00934DD7"/>
    <w:rsid w:val="009369A9"/>
    <w:rsid w:val="00936CF7"/>
    <w:rsid w:val="00937201"/>
    <w:rsid w:val="0093734A"/>
    <w:rsid w:val="00937783"/>
    <w:rsid w:val="009377C3"/>
    <w:rsid w:val="00937D89"/>
    <w:rsid w:val="00940515"/>
    <w:rsid w:val="0094059D"/>
    <w:rsid w:val="009409B4"/>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233"/>
    <w:rsid w:val="009478A2"/>
    <w:rsid w:val="0095053B"/>
    <w:rsid w:val="0095074A"/>
    <w:rsid w:val="009512AB"/>
    <w:rsid w:val="00951474"/>
    <w:rsid w:val="00952DE9"/>
    <w:rsid w:val="00955643"/>
    <w:rsid w:val="00955FBB"/>
    <w:rsid w:val="0095694B"/>
    <w:rsid w:val="00956BD5"/>
    <w:rsid w:val="009574BB"/>
    <w:rsid w:val="009577B5"/>
    <w:rsid w:val="009608E6"/>
    <w:rsid w:val="009609E4"/>
    <w:rsid w:val="00961779"/>
    <w:rsid w:val="00962D00"/>
    <w:rsid w:val="00962EB1"/>
    <w:rsid w:val="0096612A"/>
    <w:rsid w:val="00966522"/>
    <w:rsid w:val="00967D3F"/>
    <w:rsid w:val="00967E78"/>
    <w:rsid w:val="00970D7E"/>
    <w:rsid w:val="00970F18"/>
    <w:rsid w:val="00971CF1"/>
    <w:rsid w:val="009721E9"/>
    <w:rsid w:val="00972A58"/>
    <w:rsid w:val="00973772"/>
    <w:rsid w:val="0097451E"/>
    <w:rsid w:val="00975598"/>
    <w:rsid w:val="00975E1E"/>
    <w:rsid w:val="00975E70"/>
    <w:rsid w:val="00977B8F"/>
    <w:rsid w:val="00977CD6"/>
    <w:rsid w:val="00980162"/>
    <w:rsid w:val="00981D18"/>
    <w:rsid w:val="00982481"/>
    <w:rsid w:val="00982D26"/>
    <w:rsid w:val="0098330E"/>
    <w:rsid w:val="00983CB2"/>
    <w:rsid w:val="009849E9"/>
    <w:rsid w:val="00985F96"/>
    <w:rsid w:val="00987812"/>
    <w:rsid w:val="00990225"/>
    <w:rsid w:val="00990DF5"/>
    <w:rsid w:val="00991622"/>
    <w:rsid w:val="0099244B"/>
    <w:rsid w:val="009947B6"/>
    <w:rsid w:val="00995150"/>
    <w:rsid w:val="009957F3"/>
    <w:rsid w:val="00995D67"/>
    <w:rsid w:val="009970BF"/>
    <w:rsid w:val="009A013B"/>
    <w:rsid w:val="009A02F4"/>
    <w:rsid w:val="009A1F12"/>
    <w:rsid w:val="009A2494"/>
    <w:rsid w:val="009A26CA"/>
    <w:rsid w:val="009A36F2"/>
    <w:rsid w:val="009A47CC"/>
    <w:rsid w:val="009A5749"/>
    <w:rsid w:val="009A57D0"/>
    <w:rsid w:val="009A6559"/>
    <w:rsid w:val="009A68FC"/>
    <w:rsid w:val="009A6D4F"/>
    <w:rsid w:val="009A7514"/>
    <w:rsid w:val="009A7E7A"/>
    <w:rsid w:val="009B1584"/>
    <w:rsid w:val="009B2469"/>
    <w:rsid w:val="009B314F"/>
    <w:rsid w:val="009B439C"/>
    <w:rsid w:val="009B4A6C"/>
    <w:rsid w:val="009B5777"/>
    <w:rsid w:val="009B5779"/>
    <w:rsid w:val="009B6753"/>
    <w:rsid w:val="009B6A26"/>
    <w:rsid w:val="009C079D"/>
    <w:rsid w:val="009C0D70"/>
    <w:rsid w:val="009C13D1"/>
    <w:rsid w:val="009C2913"/>
    <w:rsid w:val="009C3008"/>
    <w:rsid w:val="009C365F"/>
    <w:rsid w:val="009C5AFE"/>
    <w:rsid w:val="009C6606"/>
    <w:rsid w:val="009C6CE5"/>
    <w:rsid w:val="009C6D50"/>
    <w:rsid w:val="009C72B6"/>
    <w:rsid w:val="009C7547"/>
    <w:rsid w:val="009D1678"/>
    <w:rsid w:val="009D1693"/>
    <w:rsid w:val="009D1C49"/>
    <w:rsid w:val="009D2721"/>
    <w:rsid w:val="009D2F60"/>
    <w:rsid w:val="009D3299"/>
    <w:rsid w:val="009D338C"/>
    <w:rsid w:val="009D3D0D"/>
    <w:rsid w:val="009D4944"/>
    <w:rsid w:val="009D5BAC"/>
    <w:rsid w:val="009D64BD"/>
    <w:rsid w:val="009D7B2F"/>
    <w:rsid w:val="009D7B6C"/>
    <w:rsid w:val="009D7F83"/>
    <w:rsid w:val="009E0D0A"/>
    <w:rsid w:val="009E0D1A"/>
    <w:rsid w:val="009E153F"/>
    <w:rsid w:val="009E2D6C"/>
    <w:rsid w:val="009E388B"/>
    <w:rsid w:val="009E393E"/>
    <w:rsid w:val="009E444E"/>
    <w:rsid w:val="009E45AF"/>
    <w:rsid w:val="009E4968"/>
    <w:rsid w:val="009E52F1"/>
    <w:rsid w:val="009E663C"/>
    <w:rsid w:val="009E6BB1"/>
    <w:rsid w:val="009F0092"/>
    <w:rsid w:val="009F0CD9"/>
    <w:rsid w:val="009F1A79"/>
    <w:rsid w:val="009F1F57"/>
    <w:rsid w:val="009F2E26"/>
    <w:rsid w:val="009F4FCF"/>
    <w:rsid w:val="009F5DE2"/>
    <w:rsid w:val="009F65F4"/>
    <w:rsid w:val="009F676B"/>
    <w:rsid w:val="009F6A30"/>
    <w:rsid w:val="009F74FE"/>
    <w:rsid w:val="00A004DF"/>
    <w:rsid w:val="00A00D29"/>
    <w:rsid w:val="00A00FD5"/>
    <w:rsid w:val="00A019A8"/>
    <w:rsid w:val="00A01B03"/>
    <w:rsid w:val="00A02C66"/>
    <w:rsid w:val="00A03861"/>
    <w:rsid w:val="00A0464C"/>
    <w:rsid w:val="00A054E0"/>
    <w:rsid w:val="00A0663F"/>
    <w:rsid w:val="00A066CE"/>
    <w:rsid w:val="00A0740B"/>
    <w:rsid w:val="00A07427"/>
    <w:rsid w:val="00A075A9"/>
    <w:rsid w:val="00A077E2"/>
    <w:rsid w:val="00A1080F"/>
    <w:rsid w:val="00A11042"/>
    <w:rsid w:val="00A133D8"/>
    <w:rsid w:val="00A14E97"/>
    <w:rsid w:val="00A17A9D"/>
    <w:rsid w:val="00A20069"/>
    <w:rsid w:val="00A20280"/>
    <w:rsid w:val="00A2163F"/>
    <w:rsid w:val="00A2244D"/>
    <w:rsid w:val="00A2253D"/>
    <w:rsid w:val="00A22AEC"/>
    <w:rsid w:val="00A2418A"/>
    <w:rsid w:val="00A247B8"/>
    <w:rsid w:val="00A24D39"/>
    <w:rsid w:val="00A24D8F"/>
    <w:rsid w:val="00A25B8B"/>
    <w:rsid w:val="00A269C3"/>
    <w:rsid w:val="00A26ECA"/>
    <w:rsid w:val="00A27374"/>
    <w:rsid w:val="00A309F1"/>
    <w:rsid w:val="00A30F68"/>
    <w:rsid w:val="00A317A5"/>
    <w:rsid w:val="00A324C1"/>
    <w:rsid w:val="00A337DB"/>
    <w:rsid w:val="00A3467F"/>
    <w:rsid w:val="00A34D34"/>
    <w:rsid w:val="00A3551A"/>
    <w:rsid w:val="00A373F4"/>
    <w:rsid w:val="00A376E8"/>
    <w:rsid w:val="00A37E69"/>
    <w:rsid w:val="00A37F8E"/>
    <w:rsid w:val="00A40979"/>
    <w:rsid w:val="00A41737"/>
    <w:rsid w:val="00A42B8F"/>
    <w:rsid w:val="00A43254"/>
    <w:rsid w:val="00A43896"/>
    <w:rsid w:val="00A43A26"/>
    <w:rsid w:val="00A447A0"/>
    <w:rsid w:val="00A457B2"/>
    <w:rsid w:val="00A459F5"/>
    <w:rsid w:val="00A45FC0"/>
    <w:rsid w:val="00A46B32"/>
    <w:rsid w:val="00A46EB8"/>
    <w:rsid w:val="00A478D2"/>
    <w:rsid w:val="00A47ECC"/>
    <w:rsid w:val="00A5008C"/>
    <w:rsid w:val="00A50171"/>
    <w:rsid w:val="00A5102E"/>
    <w:rsid w:val="00A51083"/>
    <w:rsid w:val="00A5132E"/>
    <w:rsid w:val="00A51533"/>
    <w:rsid w:val="00A51A4D"/>
    <w:rsid w:val="00A51E68"/>
    <w:rsid w:val="00A52F3B"/>
    <w:rsid w:val="00A531D4"/>
    <w:rsid w:val="00A55ACD"/>
    <w:rsid w:val="00A55CFA"/>
    <w:rsid w:val="00A5613B"/>
    <w:rsid w:val="00A575B8"/>
    <w:rsid w:val="00A647B1"/>
    <w:rsid w:val="00A64DEF"/>
    <w:rsid w:val="00A64F9E"/>
    <w:rsid w:val="00A657E1"/>
    <w:rsid w:val="00A65E4E"/>
    <w:rsid w:val="00A665DF"/>
    <w:rsid w:val="00A67F1B"/>
    <w:rsid w:val="00A67FCC"/>
    <w:rsid w:val="00A709F3"/>
    <w:rsid w:val="00A716DC"/>
    <w:rsid w:val="00A720AF"/>
    <w:rsid w:val="00A7217B"/>
    <w:rsid w:val="00A7293E"/>
    <w:rsid w:val="00A72EE4"/>
    <w:rsid w:val="00A73067"/>
    <w:rsid w:val="00A737C4"/>
    <w:rsid w:val="00A739A6"/>
    <w:rsid w:val="00A73C3B"/>
    <w:rsid w:val="00A75EF9"/>
    <w:rsid w:val="00A7627C"/>
    <w:rsid w:val="00A76BC9"/>
    <w:rsid w:val="00A77566"/>
    <w:rsid w:val="00A77956"/>
    <w:rsid w:val="00A80563"/>
    <w:rsid w:val="00A8311C"/>
    <w:rsid w:val="00A84BC8"/>
    <w:rsid w:val="00A84C5F"/>
    <w:rsid w:val="00A85D91"/>
    <w:rsid w:val="00A86973"/>
    <w:rsid w:val="00A8721F"/>
    <w:rsid w:val="00A8740B"/>
    <w:rsid w:val="00A87519"/>
    <w:rsid w:val="00A905A2"/>
    <w:rsid w:val="00A9246D"/>
    <w:rsid w:val="00A93644"/>
    <w:rsid w:val="00A93BD0"/>
    <w:rsid w:val="00A944A1"/>
    <w:rsid w:val="00A95D69"/>
    <w:rsid w:val="00A97122"/>
    <w:rsid w:val="00A975A4"/>
    <w:rsid w:val="00A977B3"/>
    <w:rsid w:val="00A97DC8"/>
    <w:rsid w:val="00AA1418"/>
    <w:rsid w:val="00AA1C43"/>
    <w:rsid w:val="00AA2001"/>
    <w:rsid w:val="00AA2B5C"/>
    <w:rsid w:val="00AA4E59"/>
    <w:rsid w:val="00AA5328"/>
    <w:rsid w:val="00AA5393"/>
    <w:rsid w:val="00AA63D4"/>
    <w:rsid w:val="00AA6767"/>
    <w:rsid w:val="00AA790B"/>
    <w:rsid w:val="00AB03FD"/>
    <w:rsid w:val="00AB1412"/>
    <w:rsid w:val="00AB38CB"/>
    <w:rsid w:val="00AB3BEC"/>
    <w:rsid w:val="00AB44E4"/>
    <w:rsid w:val="00AB4AEB"/>
    <w:rsid w:val="00AB5352"/>
    <w:rsid w:val="00AB56AE"/>
    <w:rsid w:val="00AB62D5"/>
    <w:rsid w:val="00AB65B5"/>
    <w:rsid w:val="00AB6DCD"/>
    <w:rsid w:val="00AB6EE0"/>
    <w:rsid w:val="00AB7579"/>
    <w:rsid w:val="00AC2DFD"/>
    <w:rsid w:val="00AC352D"/>
    <w:rsid w:val="00AC40B7"/>
    <w:rsid w:val="00AC5122"/>
    <w:rsid w:val="00AC531F"/>
    <w:rsid w:val="00AC6121"/>
    <w:rsid w:val="00AC626D"/>
    <w:rsid w:val="00AC64BF"/>
    <w:rsid w:val="00AC6CB1"/>
    <w:rsid w:val="00AC79DA"/>
    <w:rsid w:val="00AD0091"/>
    <w:rsid w:val="00AD0843"/>
    <w:rsid w:val="00AD23D8"/>
    <w:rsid w:val="00AD23EF"/>
    <w:rsid w:val="00AD2F0F"/>
    <w:rsid w:val="00AD307B"/>
    <w:rsid w:val="00AD31F9"/>
    <w:rsid w:val="00AD41B3"/>
    <w:rsid w:val="00AD456B"/>
    <w:rsid w:val="00AD4B31"/>
    <w:rsid w:val="00AD4C48"/>
    <w:rsid w:val="00AD57AF"/>
    <w:rsid w:val="00AD6267"/>
    <w:rsid w:val="00AD6292"/>
    <w:rsid w:val="00AD7317"/>
    <w:rsid w:val="00AD754C"/>
    <w:rsid w:val="00AE01A8"/>
    <w:rsid w:val="00AE069F"/>
    <w:rsid w:val="00AE0789"/>
    <w:rsid w:val="00AE0CBD"/>
    <w:rsid w:val="00AE123A"/>
    <w:rsid w:val="00AE1A1E"/>
    <w:rsid w:val="00AE2591"/>
    <w:rsid w:val="00AE28A7"/>
    <w:rsid w:val="00AE33A6"/>
    <w:rsid w:val="00AE36D5"/>
    <w:rsid w:val="00AE3715"/>
    <w:rsid w:val="00AE3729"/>
    <w:rsid w:val="00AE55B2"/>
    <w:rsid w:val="00AE5C6A"/>
    <w:rsid w:val="00AE65F7"/>
    <w:rsid w:val="00AE7280"/>
    <w:rsid w:val="00AF033A"/>
    <w:rsid w:val="00AF1699"/>
    <w:rsid w:val="00AF3896"/>
    <w:rsid w:val="00AF3CEE"/>
    <w:rsid w:val="00AF5706"/>
    <w:rsid w:val="00AF6479"/>
    <w:rsid w:val="00AF6C33"/>
    <w:rsid w:val="00B0098A"/>
    <w:rsid w:val="00B00A5F"/>
    <w:rsid w:val="00B0225F"/>
    <w:rsid w:val="00B029B8"/>
    <w:rsid w:val="00B02F60"/>
    <w:rsid w:val="00B032B8"/>
    <w:rsid w:val="00B03ABB"/>
    <w:rsid w:val="00B04B46"/>
    <w:rsid w:val="00B05050"/>
    <w:rsid w:val="00B0534D"/>
    <w:rsid w:val="00B06368"/>
    <w:rsid w:val="00B06FC6"/>
    <w:rsid w:val="00B07163"/>
    <w:rsid w:val="00B07429"/>
    <w:rsid w:val="00B11847"/>
    <w:rsid w:val="00B12DF9"/>
    <w:rsid w:val="00B12FE6"/>
    <w:rsid w:val="00B1303F"/>
    <w:rsid w:val="00B1364A"/>
    <w:rsid w:val="00B13D3C"/>
    <w:rsid w:val="00B1525C"/>
    <w:rsid w:val="00B16715"/>
    <w:rsid w:val="00B17910"/>
    <w:rsid w:val="00B2041B"/>
    <w:rsid w:val="00B20F18"/>
    <w:rsid w:val="00B21516"/>
    <w:rsid w:val="00B22CE0"/>
    <w:rsid w:val="00B23738"/>
    <w:rsid w:val="00B23BEF"/>
    <w:rsid w:val="00B247BB"/>
    <w:rsid w:val="00B25C11"/>
    <w:rsid w:val="00B25EDF"/>
    <w:rsid w:val="00B25EE6"/>
    <w:rsid w:val="00B27BC0"/>
    <w:rsid w:val="00B3115A"/>
    <w:rsid w:val="00B31A5C"/>
    <w:rsid w:val="00B33C19"/>
    <w:rsid w:val="00B33F84"/>
    <w:rsid w:val="00B3433E"/>
    <w:rsid w:val="00B34861"/>
    <w:rsid w:val="00B34B77"/>
    <w:rsid w:val="00B363BD"/>
    <w:rsid w:val="00B36844"/>
    <w:rsid w:val="00B369F7"/>
    <w:rsid w:val="00B36A99"/>
    <w:rsid w:val="00B37537"/>
    <w:rsid w:val="00B41B81"/>
    <w:rsid w:val="00B42980"/>
    <w:rsid w:val="00B434B2"/>
    <w:rsid w:val="00B434C7"/>
    <w:rsid w:val="00B43580"/>
    <w:rsid w:val="00B43D45"/>
    <w:rsid w:val="00B44771"/>
    <w:rsid w:val="00B4650E"/>
    <w:rsid w:val="00B468F2"/>
    <w:rsid w:val="00B46B45"/>
    <w:rsid w:val="00B46D3D"/>
    <w:rsid w:val="00B46F6B"/>
    <w:rsid w:val="00B47286"/>
    <w:rsid w:val="00B47894"/>
    <w:rsid w:val="00B47DDE"/>
    <w:rsid w:val="00B50234"/>
    <w:rsid w:val="00B51BF4"/>
    <w:rsid w:val="00B51F4B"/>
    <w:rsid w:val="00B52C68"/>
    <w:rsid w:val="00B542FE"/>
    <w:rsid w:val="00B551CE"/>
    <w:rsid w:val="00B55A1B"/>
    <w:rsid w:val="00B561DB"/>
    <w:rsid w:val="00B57494"/>
    <w:rsid w:val="00B61DCE"/>
    <w:rsid w:val="00B62188"/>
    <w:rsid w:val="00B62467"/>
    <w:rsid w:val="00B62F79"/>
    <w:rsid w:val="00B62F82"/>
    <w:rsid w:val="00B648FA"/>
    <w:rsid w:val="00B662FF"/>
    <w:rsid w:val="00B708C2"/>
    <w:rsid w:val="00B72C80"/>
    <w:rsid w:val="00B730B4"/>
    <w:rsid w:val="00B74340"/>
    <w:rsid w:val="00B744E0"/>
    <w:rsid w:val="00B7481A"/>
    <w:rsid w:val="00B74F2F"/>
    <w:rsid w:val="00B756FB"/>
    <w:rsid w:val="00B762CA"/>
    <w:rsid w:val="00B769BC"/>
    <w:rsid w:val="00B77349"/>
    <w:rsid w:val="00B7761E"/>
    <w:rsid w:val="00B80A37"/>
    <w:rsid w:val="00B80A3D"/>
    <w:rsid w:val="00B81902"/>
    <w:rsid w:val="00B823E0"/>
    <w:rsid w:val="00B82B78"/>
    <w:rsid w:val="00B84662"/>
    <w:rsid w:val="00B85402"/>
    <w:rsid w:val="00B864A3"/>
    <w:rsid w:val="00B86C2A"/>
    <w:rsid w:val="00B877F1"/>
    <w:rsid w:val="00B902A5"/>
    <w:rsid w:val="00B90420"/>
    <w:rsid w:val="00B913E4"/>
    <w:rsid w:val="00B91DB9"/>
    <w:rsid w:val="00B93487"/>
    <w:rsid w:val="00B93A82"/>
    <w:rsid w:val="00B93EFE"/>
    <w:rsid w:val="00B94956"/>
    <w:rsid w:val="00B94C7F"/>
    <w:rsid w:val="00B956B5"/>
    <w:rsid w:val="00B95C3A"/>
    <w:rsid w:val="00B95FCE"/>
    <w:rsid w:val="00BA0D44"/>
    <w:rsid w:val="00BA0E26"/>
    <w:rsid w:val="00BA31BF"/>
    <w:rsid w:val="00BA3EBF"/>
    <w:rsid w:val="00BA43FC"/>
    <w:rsid w:val="00BA478B"/>
    <w:rsid w:val="00BA5224"/>
    <w:rsid w:val="00BA70B3"/>
    <w:rsid w:val="00BA7B27"/>
    <w:rsid w:val="00BA7E3B"/>
    <w:rsid w:val="00BB079C"/>
    <w:rsid w:val="00BB2B56"/>
    <w:rsid w:val="00BB39C1"/>
    <w:rsid w:val="00BB4901"/>
    <w:rsid w:val="00BB5D16"/>
    <w:rsid w:val="00BB6180"/>
    <w:rsid w:val="00BB69E6"/>
    <w:rsid w:val="00BB7D2A"/>
    <w:rsid w:val="00BC0760"/>
    <w:rsid w:val="00BC1B7A"/>
    <w:rsid w:val="00BC2BC7"/>
    <w:rsid w:val="00BC2C17"/>
    <w:rsid w:val="00BC3ACD"/>
    <w:rsid w:val="00BC3C33"/>
    <w:rsid w:val="00BC66D7"/>
    <w:rsid w:val="00BC6E73"/>
    <w:rsid w:val="00BD0014"/>
    <w:rsid w:val="00BD01D8"/>
    <w:rsid w:val="00BD0CBE"/>
    <w:rsid w:val="00BD2512"/>
    <w:rsid w:val="00BD255F"/>
    <w:rsid w:val="00BD383D"/>
    <w:rsid w:val="00BD4236"/>
    <w:rsid w:val="00BD575B"/>
    <w:rsid w:val="00BD5CCA"/>
    <w:rsid w:val="00BD5CD4"/>
    <w:rsid w:val="00BD6652"/>
    <w:rsid w:val="00BD6EF9"/>
    <w:rsid w:val="00BD77DD"/>
    <w:rsid w:val="00BE0ACB"/>
    <w:rsid w:val="00BE0E74"/>
    <w:rsid w:val="00BE1A90"/>
    <w:rsid w:val="00BE3537"/>
    <w:rsid w:val="00BE360F"/>
    <w:rsid w:val="00BE50FD"/>
    <w:rsid w:val="00BE51CA"/>
    <w:rsid w:val="00BE5E5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C49"/>
    <w:rsid w:val="00C0508D"/>
    <w:rsid w:val="00C058AF"/>
    <w:rsid w:val="00C11AAA"/>
    <w:rsid w:val="00C124C1"/>
    <w:rsid w:val="00C128AE"/>
    <w:rsid w:val="00C1300C"/>
    <w:rsid w:val="00C136D6"/>
    <w:rsid w:val="00C13D5B"/>
    <w:rsid w:val="00C16047"/>
    <w:rsid w:val="00C17AE2"/>
    <w:rsid w:val="00C20F27"/>
    <w:rsid w:val="00C214D1"/>
    <w:rsid w:val="00C215CF"/>
    <w:rsid w:val="00C223F8"/>
    <w:rsid w:val="00C2244B"/>
    <w:rsid w:val="00C22B0D"/>
    <w:rsid w:val="00C22F55"/>
    <w:rsid w:val="00C240C1"/>
    <w:rsid w:val="00C250D0"/>
    <w:rsid w:val="00C252AC"/>
    <w:rsid w:val="00C255AB"/>
    <w:rsid w:val="00C264F0"/>
    <w:rsid w:val="00C27214"/>
    <w:rsid w:val="00C27597"/>
    <w:rsid w:val="00C30382"/>
    <w:rsid w:val="00C30D6F"/>
    <w:rsid w:val="00C31063"/>
    <w:rsid w:val="00C31B7E"/>
    <w:rsid w:val="00C32217"/>
    <w:rsid w:val="00C3242A"/>
    <w:rsid w:val="00C32AE2"/>
    <w:rsid w:val="00C33201"/>
    <w:rsid w:val="00C332C4"/>
    <w:rsid w:val="00C33C3C"/>
    <w:rsid w:val="00C35857"/>
    <w:rsid w:val="00C360B3"/>
    <w:rsid w:val="00C3679B"/>
    <w:rsid w:val="00C36E63"/>
    <w:rsid w:val="00C37027"/>
    <w:rsid w:val="00C3778D"/>
    <w:rsid w:val="00C405A3"/>
    <w:rsid w:val="00C40B70"/>
    <w:rsid w:val="00C42752"/>
    <w:rsid w:val="00C42973"/>
    <w:rsid w:val="00C44F9C"/>
    <w:rsid w:val="00C4730E"/>
    <w:rsid w:val="00C47ED3"/>
    <w:rsid w:val="00C5019C"/>
    <w:rsid w:val="00C5034F"/>
    <w:rsid w:val="00C52479"/>
    <w:rsid w:val="00C5291F"/>
    <w:rsid w:val="00C52C59"/>
    <w:rsid w:val="00C5349E"/>
    <w:rsid w:val="00C5354B"/>
    <w:rsid w:val="00C54467"/>
    <w:rsid w:val="00C54D3D"/>
    <w:rsid w:val="00C55116"/>
    <w:rsid w:val="00C55A30"/>
    <w:rsid w:val="00C57C58"/>
    <w:rsid w:val="00C6028F"/>
    <w:rsid w:val="00C6046F"/>
    <w:rsid w:val="00C608F1"/>
    <w:rsid w:val="00C631E1"/>
    <w:rsid w:val="00C637E8"/>
    <w:rsid w:val="00C638D8"/>
    <w:rsid w:val="00C63C84"/>
    <w:rsid w:val="00C63D26"/>
    <w:rsid w:val="00C641EB"/>
    <w:rsid w:val="00C65053"/>
    <w:rsid w:val="00C65BD9"/>
    <w:rsid w:val="00C66061"/>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4FDF"/>
    <w:rsid w:val="00C85209"/>
    <w:rsid w:val="00C8618F"/>
    <w:rsid w:val="00C90372"/>
    <w:rsid w:val="00C9041F"/>
    <w:rsid w:val="00C90AD1"/>
    <w:rsid w:val="00C9138F"/>
    <w:rsid w:val="00C91A45"/>
    <w:rsid w:val="00C91ED2"/>
    <w:rsid w:val="00C91FB4"/>
    <w:rsid w:val="00C9364F"/>
    <w:rsid w:val="00C95745"/>
    <w:rsid w:val="00C962E3"/>
    <w:rsid w:val="00C965BD"/>
    <w:rsid w:val="00C97997"/>
    <w:rsid w:val="00CA08FE"/>
    <w:rsid w:val="00CA0FAC"/>
    <w:rsid w:val="00CA25C0"/>
    <w:rsid w:val="00CA2697"/>
    <w:rsid w:val="00CA3451"/>
    <w:rsid w:val="00CA4948"/>
    <w:rsid w:val="00CA52F9"/>
    <w:rsid w:val="00CA568B"/>
    <w:rsid w:val="00CA74D4"/>
    <w:rsid w:val="00CA7500"/>
    <w:rsid w:val="00CB1239"/>
    <w:rsid w:val="00CB178B"/>
    <w:rsid w:val="00CB19FE"/>
    <w:rsid w:val="00CB23C2"/>
    <w:rsid w:val="00CB304C"/>
    <w:rsid w:val="00CB53E8"/>
    <w:rsid w:val="00CB593E"/>
    <w:rsid w:val="00CB594A"/>
    <w:rsid w:val="00CB5CB2"/>
    <w:rsid w:val="00CB6979"/>
    <w:rsid w:val="00CB74EC"/>
    <w:rsid w:val="00CC0A3D"/>
    <w:rsid w:val="00CC2373"/>
    <w:rsid w:val="00CC3C6A"/>
    <w:rsid w:val="00CC3D24"/>
    <w:rsid w:val="00CC3F91"/>
    <w:rsid w:val="00CC4B0A"/>
    <w:rsid w:val="00CC544A"/>
    <w:rsid w:val="00CC57EA"/>
    <w:rsid w:val="00CC5954"/>
    <w:rsid w:val="00CC6C4E"/>
    <w:rsid w:val="00CD05A2"/>
    <w:rsid w:val="00CD19DA"/>
    <w:rsid w:val="00CD233D"/>
    <w:rsid w:val="00CD29D4"/>
    <w:rsid w:val="00CD38F5"/>
    <w:rsid w:val="00CD3ABE"/>
    <w:rsid w:val="00CD400F"/>
    <w:rsid w:val="00CD437E"/>
    <w:rsid w:val="00CD572E"/>
    <w:rsid w:val="00CD5A89"/>
    <w:rsid w:val="00CD5DAD"/>
    <w:rsid w:val="00CD72C5"/>
    <w:rsid w:val="00CD77A2"/>
    <w:rsid w:val="00CD79A7"/>
    <w:rsid w:val="00CE0789"/>
    <w:rsid w:val="00CE1A03"/>
    <w:rsid w:val="00CE2346"/>
    <w:rsid w:val="00CE3529"/>
    <w:rsid w:val="00CE35C8"/>
    <w:rsid w:val="00CE3962"/>
    <w:rsid w:val="00CE5105"/>
    <w:rsid w:val="00CE56BD"/>
    <w:rsid w:val="00CE5EC0"/>
    <w:rsid w:val="00CE6F9F"/>
    <w:rsid w:val="00CE773B"/>
    <w:rsid w:val="00CE781A"/>
    <w:rsid w:val="00CE7B3A"/>
    <w:rsid w:val="00CF10D4"/>
    <w:rsid w:val="00CF1D74"/>
    <w:rsid w:val="00CF2BE2"/>
    <w:rsid w:val="00CF31C0"/>
    <w:rsid w:val="00CF3839"/>
    <w:rsid w:val="00CF55F9"/>
    <w:rsid w:val="00CF56F1"/>
    <w:rsid w:val="00CF59DF"/>
    <w:rsid w:val="00CF71A6"/>
    <w:rsid w:val="00CF7495"/>
    <w:rsid w:val="00CF7671"/>
    <w:rsid w:val="00D01CF9"/>
    <w:rsid w:val="00D0334D"/>
    <w:rsid w:val="00D0374D"/>
    <w:rsid w:val="00D05A76"/>
    <w:rsid w:val="00D075F8"/>
    <w:rsid w:val="00D0790C"/>
    <w:rsid w:val="00D07F1D"/>
    <w:rsid w:val="00D10558"/>
    <w:rsid w:val="00D1203E"/>
    <w:rsid w:val="00D12886"/>
    <w:rsid w:val="00D13D03"/>
    <w:rsid w:val="00D13E70"/>
    <w:rsid w:val="00D140B5"/>
    <w:rsid w:val="00D16136"/>
    <w:rsid w:val="00D16C58"/>
    <w:rsid w:val="00D17019"/>
    <w:rsid w:val="00D170C1"/>
    <w:rsid w:val="00D21168"/>
    <w:rsid w:val="00D235C8"/>
    <w:rsid w:val="00D2438C"/>
    <w:rsid w:val="00D25264"/>
    <w:rsid w:val="00D25DFA"/>
    <w:rsid w:val="00D26C3F"/>
    <w:rsid w:val="00D27185"/>
    <w:rsid w:val="00D278A6"/>
    <w:rsid w:val="00D27C40"/>
    <w:rsid w:val="00D31E78"/>
    <w:rsid w:val="00D32B84"/>
    <w:rsid w:val="00D337AE"/>
    <w:rsid w:val="00D33AB3"/>
    <w:rsid w:val="00D33F24"/>
    <w:rsid w:val="00D346B7"/>
    <w:rsid w:val="00D346B8"/>
    <w:rsid w:val="00D35AC8"/>
    <w:rsid w:val="00D35D34"/>
    <w:rsid w:val="00D36F87"/>
    <w:rsid w:val="00D37E4E"/>
    <w:rsid w:val="00D426F4"/>
    <w:rsid w:val="00D42E6C"/>
    <w:rsid w:val="00D43218"/>
    <w:rsid w:val="00D43B80"/>
    <w:rsid w:val="00D44236"/>
    <w:rsid w:val="00D442B9"/>
    <w:rsid w:val="00D45B1E"/>
    <w:rsid w:val="00D45BA4"/>
    <w:rsid w:val="00D46CA8"/>
    <w:rsid w:val="00D46E77"/>
    <w:rsid w:val="00D471AF"/>
    <w:rsid w:val="00D4724F"/>
    <w:rsid w:val="00D50519"/>
    <w:rsid w:val="00D516A5"/>
    <w:rsid w:val="00D5264C"/>
    <w:rsid w:val="00D5289A"/>
    <w:rsid w:val="00D537FE"/>
    <w:rsid w:val="00D538F0"/>
    <w:rsid w:val="00D54A6A"/>
    <w:rsid w:val="00D54BF8"/>
    <w:rsid w:val="00D54D7C"/>
    <w:rsid w:val="00D55951"/>
    <w:rsid w:val="00D56316"/>
    <w:rsid w:val="00D572BE"/>
    <w:rsid w:val="00D57EB6"/>
    <w:rsid w:val="00D60ED7"/>
    <w:rsid w:val="00D62B20"/>
    <w:rsid w:val="00D63586"/>
    <w:rsid w:val="00D664BF"/>
    <w:rsid w:val="00D66D8B"/>
    <w:rsid w:val="00D72A1C"/>
    <w:rsid w:val="00D73580"/>
    <w:rsid w:val="00D73802"/>
    <w:rsid w:val="00D73868"/>
    <w:rsid w:val="00D73C2C"/>
    <w:rsid w:val="00D73D52"/>
    <w:rsid w:val="00D742A0"/>
    <w:rsid w:val="00D745E7"/>
    <w:rsid w:val="00D74BD9"/>
    <w:rsid w:val="00D75FF0"/>
    <w:rsid w:val="00D77495"/>
    <w:rsid w:val="00D774ED"/>
    <w:rsid w:val="00D7778F"/>
    <w:rsid w:val="00D777F6"/>
    <w:rsid w:val="00D77F88"/>
    <w:rsid w:val="00D8044C"/>
    <w:rsid w:val="00D81EAA"/>
    <w:rsid w:val="00D8259F"/>
    <w:rsid w:val="00D825F2"/>
    <w:rsid w:val="00D828B1"/>
    <w:rsid w:val="00D84461"/>
    <w:rsid w:val="00D84F27"/>
    <w:rsid w:val="00D850D4"/>
    <w:rsid w:val="00D862D1"/>
    <w:rsid w:val="00D873C6"/>
    <w:rsid w:val="00D91027"/>
    <w:rsid w:val="00D937E0"/>
    <w:rsid w:val="00D94C7D"/>
    <w:rsid w:val="00D94CA4"/>
    <w:rsid w:val="00D94FB4"/>
    <w:rsid w:val="00D95E99"/>
    <w:rsid w:val="00DA098C"/>
    <w:rsid w:val="00DA0BF8"/>
    <w:rsid w:val="00DA0FFB"/>
    <w:rsid w:val="00DA1A3A"/>
    <w:rsid w:val="00DA2C65"/>
    <w:rsid w:val="00DA395D"/>
    <w:rsid w:val="00DA3A34"/>
    <w:rsid w:val="00DA44EB"/>
    <w:rsid w:val="00DB16B8"/>
    <w:rsid w:val="00DB1D52"/>
    <w:rsid w:val="00DB1F62"/>
    <w:rsid w:val="00DB2E03"/>
    <w:rsid w:val="00DB3742"/>
    <w:rsid w:val="00DB3F4B"/>
    <w:rsid w:val="00DB61A4"/>
    <w:rsid w:val="00DB67C1"/>
    <w:rsid w:val="00DB70CD"/>
    <w:rsid w:val="00DB70F4"/>
    <w:rsid w:val="00DC1056"/>
    <w:rsid w:val="00DC16DA"/>
    <w:rsid w:val="00DC211E"/>
    <w:rsid w:val="00DC21D8"/>
    <w:rsid w:val="00DC2369"/>
    <w:rsid w:val="00DC282A"/>
    <w:rsid w:val="00DC34DC"/>
    <w:rsid w:val="00DC3CC6"/>
    <w:rsid w:val="00DC514A"/>
    <w:rsid w:val="00DC64EC"/>
    <w:rsid w:val="00DC67B1"/>
    <w:rsid w:val="00DC7833"/>
    <w:rsid w:val="00DC7B22"/>
    <w:rsid w:val="00DD132B"/>
    <w:rsid w:val="00DD1725"/>
    <w:rsid w:val="00DD21B9"/>
    <w:rsid w:val="00DD2427"/>
    <w:rsid w:val="00DD2A18"/>
    <w:rsid w:val="00DD377A"/>
    <w:rsid w:val="00DD3ECA"/>
    <w:rsid w:val="00DD5AB3"/>
    <w:rsid w:val="00DD5B1A"/>
    <w:rsid w:val="00DD61E8"/>
    <w:rsid w:val="00DD62C0"/>
    <w:rsid w:val="00DD6773"/>
    <w:rsid w:val="00DD7859"/>
    <w:rsid w:val="00DE03AC"/>
    <w:rsid w:val="00DE0A1D"/>
    <w:rsid w:val="00DE15B2"/>
    <w:rsid w:val="00DE1826"/>
    <w:rsid w:val="00DE1A9A"/>
    <w:rsid w:val="00DE23B5"/>
    <w:rsid w:val="00DE2494"/>
    <w:rsid w:val="00DE3D2C"/>
    <w:rsid w:val="00DE43D0"/>
    <w:rsid w:val="00DE5E82"/>
    <w:rsid w:val="00DE5FA6"/>
    <w:rsid w:val="00DE6494"/>
    <w:rsid w:val="00DE6AA1"/>
    <w:rsid w:val="00DE6C57"/>
    <w:rsid w:val="00DE74D7"/>
    <w:rsid w:val="00DE7DCC"/>
    <w:rsid w:val="00DE7EF7"/>
    <w:rsid w:val="00DF1185"/>
    <w:rsid w:val="00DF1299"/>
    <w:rsid w:val="00DF164F"/>
    <w:rsid w:val="00DF1A70"/>
    <w:rsid w:val="00DF23A8"/>
    <w:rsid w:val="00DF2F27"/>
    <w:rsid w:val="00DF6CCC"/>
    <w:rsid w:val="00DF6D0C"/>
    <w:rsid w:val="00DF6F64"/>
    <w:rsid w:val="00DF721E"/>
    <w:rsid w:val="00DF7C87"/>
    <w:rsid w:val="00E009B0"/>
    <w:rsid w:val="00E0345F"/>
    <w:rsid w:val="00E03D5C"/>
    <w:rsid w:val="00E043AC"/>
    <w:rsid w:val="00E043E9"/>
    <w:rsid w:val="00E046A9"/>
    <w:rsid w:val="00E04C0F"/>
    <w:rsid w:val="00E0570B"/>
    <w:rsid w:val="00E057B2"/>
    <w:rsid w:val="00E05996"/>
    <w:rsid w:val="00E10B87"/>
    <w:rsid w:val="00E1478B"/>
    <w:rsid w:val="00E14FAC"/>
    <w:rsid w:val="00E15007"/>
    <w:rsid w:val="00E16EC7"/>
    <w:rsid w:val="00E1714F"/>
    <w:rsid w:val="00E2026B"/>
    <w:rsid w:val="00E21576"/>
    <w:rsid w:val="00E219CE"/>
    <w:rsid w:val="00E21CAB"/>
    <w:rsid w:val="00E21E23"/>
    <w:rsid w:val="00E23961"/>
    <w:rsid w:val="00E24071"/>
    <w:rsid w:val="00E24EBC"/>
    <w:rsid w:val="00E2522C"/>
    <w:rsid w:val="00E2599B"/>
    <w:rsid w:val="00E27383"/>
    <w:rsid w:val="00E2793D"/>
    <w:rsid w:val="00E31AFA"/>
    <w:rsid w:val="00E3203D"/>
    <w:rsid w:val="00E324EE"/>
    <w:rsid w:val="00E34296"/>
    <w:rsid w:val="00E359FF"/>
    <w:rsid w:val="00E36AA7"/>
    <w:rsid w:val="00E36E39"/>
    <w:rsid w:val="00E36F0C"/>
    <w:rsid w:val="00E405F1"/>
    <w:rsid w:val="00E43054"/>
    <w:rsid w:val="00E434C4"/>
    <w:rsid w:val="00E44FE4"/>
    <w:rsid w:val="00E453FC"/>
    <w:rsid w:val="00E45D30"/>
    <w:rsid w:val="00E46013"/>
    <w:rsid w:val="00E4654B"/>
    <w:rsid w:val="00E477C3"/>
    <w:rsid w:val="00E50148"/>
    <w:rsid w:val="00E5048D"/>
    <w:rsid w:val="00E504BB"/>
    <w:rsid w:val="00E50AC4"/>
    <w:rsid w:val="00E50E2C"/>
    <w:rsid w:val="00E51077"/>
    <w:rsid w:val="00E5132D"/>
    <w:rsid w:val="00E51741"/>
    <w:rsid w:val="00E51E16"/>
    <w:rsid w:val="00E52051"/>
    <w:rsid w:val="00E52151"/>
    <w:rsid w:val="00E53730"/>
    <w:rsid w:val="00E53C46"/>
    <w:rsid w:val="00E54511"/>
    <w:rsid w:val="00E55DC3"/>
    <w:rsid w:val="00E55E88"/>
    <w:rsid w:val="00E57577"/>
    <w:rsid w:val="00E601DE"/>
    <w:rsid w:val="00E62043"/>
    <w:rsid w:val="00E626B9"/>
    <w:rsid w:val="00E627C9"/>
    <w:rsid w:val="00E630F3"/>
    <w:rsid w:val="00E64E10"/>
    <w:rsid w:val="00E650E0"/>
    <w:rsid w:val="00E65198"/>
    <w:rsid w:val="00E664FB"/>
    <w:rsid w:val="00E66F0D"/>
    <w:rsid w:val="00E672F9"/>
    <w:rsid w:val="00E67345"/>
    <w:rsid w:val="00E70615"/>
    <w:rsid w:val="00E71A5E"/>
    <w:rsid w:val="00E7207B"/>
    <w:rsid w:val="00E7347A"/>
    <w:rsid w:val="00E75325"/>
    <w:rsid w:val="00E759FB"/>
    <w:rsid w:val="00E75A47"/>
    <w:rsid w:val="00E75D8C"/>
    <w:rsid w:val="00E77771"/>
    <w:rsid w:val="00E777F2"/>
    <w:rsid w:val="00E779ED"/>
    <w:rsid w:val="00E802C9"/>
    <w:rsid w:val="00E80EDD"/>
    <w:rsid w:val="00E80F0A"/>
    <w:rsid w:val="00E81A6A"/>
    <w:rsid w:val="00E8291B"/>
    <w:rsid w:val="00E82FBC"/>
    <w:rsid w:val="00E8395F"/>
    <w:rsid w:val="00E8473F"/>
    <w:rsid w:val="00E84DD1"/>
    <w:rsid w:val="00E85E41"/>
    <w:rsid w:val="00E85EA1"/>
    <w:rsid w:val="00E91044"/>
    <w:rsid w:val="00E910D3"/>
    <w:rsid w:val="00E923CF"/>
    <w:rsid w:val="00E9335F"/>
    <w:rsid w:val="00E95111"/>
    <w:rsid w:val="00E9760C"/>
    <w:rsid w:val="00EA048D"/>
    <w:rsid w:val="00EA061E"/>
    <w:rsid w:val="00EA08DE"/>
    <w:rsid w:val="00EA14C8"/>
    <w:rsid w:val="00EA19D3"/>
    <w:rsid w:val="00EA2296"/>
    <w:rsid w:val="00EA2C8D"/>
    <w:rsid w:val="00EA6649"/>
    <w:rsid w:val="00EB05D0"/>
    <w:rsid w:val="00EB07C5"/>
    <w:rsid w:val="00EB1D49"/>
    <w:rsid w:val="00EB42DD"/>
    <w:rsid w:val="00EB559F"/>
    <w:rsid w:val="00EB5F3D"/>
    <w:rsid w:val="00EB6900"/>
    <w:rsid w:val="00EB6EC2"/>
    <w:rsid w:val="00EC1CEB"/>
    <w:rsid w:val="00EC21A7"/>
    <w:rsid w:val="00EC268C"/>
    <w:rsid w:val="00EC3747"/>
    <w:rsid w:val="00EC3753"/>
    <w:rsid w:val="00EC3CB8"/>
    <w:rsid w:val="00EC3D46"/>
    <w:rsid w:val="00EC4E71"/>
    <w:rsid w:val="00EC6667"/>
    <w:rsid w:val="00EC783E"/>
    <w:rsid w:val="00ED0365"/>
    <w:rsid w:val="00ED0865"/>
    <w:rsid w:val="00ED094F"/>
    <w:rsid w:val="00ED16B6"/>
    <w:rsid w:val="00ED1C60"/>
    <w:rsid w:val="00ED2EB9"/>
    <w:rsid w:val="00ED4469"/>
    <w:rsid w:val="00ED5F23"/>
    <w:rsid w:val="00ED675F"/>
    <w:rsid w:val="00ED6DC0"/>
    <w:rsid w:val="00ED79CE"/>
    <w:rsid w:val="00ED7A7A"/>
    <w:rsid w:val="00EE038C"/>
    <w:rsid w:val="00EE040B"/>
    <w:rsid w:val="00EE168A"/>
    <w:rsid w:val="00EE47C5"/>
    <w:rsid w:val="00EE490C"/>
    <w:rsid w:val="00EE613B"/>
    <w:rsid w:val="00EE65D6"/>
    <w:rsid w:val="00EE6609"/>
    <w:rsid w:val="00EE7D60"/>
    <w:rsid w:val="00EE7E17"/>
    <w:rsid w:val="00EF2C8E"/>
    <w:rsid w:val="00EF3174"/>
    <w:rsid w:val="00EF3303"/>
    <w:rsid w:val="00EF37AB"/>
    <w:rsid w:val="00EF3A0D"/>
    <w:rsid w:val="00EF3CEB"/>
    <w:rsid w:val="00EF41A8"/>
    <w:rsid w:val="00EF44FB"/>
    <w:rsid w:val="00EF4D3C"/>
    <w:rsid w:val="00EF51CA"/>
    <w:rsid w:val="00EF5554"/>
    <w:rsid w:val="00EF5AD8"/>
    <w:rsid w:val="00EF5D2F"/>
    <w:rsid w:val="00EF63F5"/>
    <w:rsid w:val="00EF6758"/>
    <w:rsid w:val="00EF6B90"/>
    <w:rsid w:val="00EF70AE"/>
    <w:rsid w:val="00EF7113"/>
    <w:rsid w:val="00EF79F7"/>
    <w:rsid w:val="00F00418"/>
    <w:rsid w:val="00F006C0"/>
    <w:rsid w:val="00F009BB"/>
    <w:rsid w:val="00F019AA"/>
    <w:rsid w:val="00F0267E"/>
    <w:rsid w:val="00F02686"/>
    <w:rsid w:val="00F03D99"/>
    <w:rsid w:val="00F0459B"/>
    <w:rsid w:val="00F04E15"/>
    <w:rsid w:val="00F05DF3"/>
    <w:rsid w:val="00F0641B"/>
    <w:rsid w:val="00F069EA"/>
    <w:rsid w:val="00F07B6E"/>
    <w:rsid w:val="00F07DF8"/>
    <w:rsid w:val="00F11461"/>
    <w:rsid w:val="00F11675"/>
    <w:rsid w:val="00F1182D"/>
    <w:rsid w:val="00F12250"/>
    <w:rsid w:val="00F12557"/>
    <w:rsid w:val="00F12D4D"/>
    <w:rsid w:val="00F13A8F"/>
    <w:rsid w:val="00F144F8"/>
    <w:rsid w:val="00F14DF8"/>
    <w:rsid w:val="00F164A3"/>
    <w:rsid w:val="00F17AD9"/>
    <w:rsid w:val="00F17F74"/>
    <w:rsid w:val="00F202C2"/>
    <w:rsid w:val="00F209D5"/>
    <w:rsid w:val="00F20C3A"/>
    <w:rsid w:val="00F22756"/>
    <w:rsid w:val="00F23890"/>
    <w:rsid w:val="00F2447A"/>
    <w:rsid w:val="00F24638"/>
    <w:rsid w:val="00F2504D"/>
    <w:rsid w:val="00F2637F"/>
    <w:rsid w:val="00F263A8"/>
    <w:rsid w:val="00F268F7"/>
    <w:rsid w:val="00F3053D"/>
    <w:rsid w:val="00F30BDB"/>
    <w:rsid w:val="00F30CF8"/>
    <w:rsid w:val="00F31633"/>
    <w:rsid w:val="00F31EDF"/>
    <w:rsid w:val="00F32CDE"/>
    <w:rsid w:val="00F32D4C"/>
    <w:rsid w:val="00F34811"/>
    <w:rsid w:val="00F34B14"/>
    <w:rsid w:val="00F36A6A"/>
    <w:rsid w:val="00F40101"/>
    <w:rsid w:val="00F404F7"/>
    <w:rsid w:val="00F40B17"/>
    <w:rsid w:val="00F40CCA"/>
    <w:rsid w:val="00F41521"/>
    <w:rsid w:val="00F42D97"/>
    <w:rsid w:val="00F43F09"/>
    <w:rsid w:val="00F45A72"/>
    <w:rsid w:val="00F46723"/>
    <w:rsid w:val="00F46EB9"/>
    <w:rsid w:val="00F50016"/>
    <w:rsid w:val="00F50647"/>
    <w:rsid w:val="00F5118A"/>
    <w:rsid w:val="00F5165C"/>
    <w:rsid w:val="00F51A21"/>
    <w:rsid w:val="00F5276E"/>
    <w:rsid w:val="00F529F9"/>
    <w:rsid w:val="00F52E9F"/>
    <w:rsid w:val="00F53304"/>
    <w:rsid w:val="00F53D37"/>
    <w:rsid w:val="00F53D40"/>
    <w:rsid w:val="00F545ED"/>
    <w:rsid w:val="00F5687F"/>
    <w:rsid w:val="00F56FA5"/>
    <w:rsid w:val="00F5727D"/>
    <w:rsid w:val="00F575C7"/>
    <w:rsid w:val="00F60305"/>
    <w:rsid w:val="00F61B12"/>
    <w:rsid w:val="00F620C5"/>
    <w:rsid w:val="00F62398"/>
    <w:rsid w:val="00F626C5"/>
    <w:rsid w:val="00F631E8"/>
    <w:rsid w:val="00F63223"/>
    <w:rsid w:val="00F63264"/>
    <w:rsid w:val="00F6379E"/>
    <w:rsid w:val="00F676EC"/>
    <w:rsid w:val="00F70799"/>
    <w:rsid w:val="00F70906"/>
    <w:rsid w:val="00F70A8B"/>
    <w:rsid w:val="00F724FB"/>
    <w:rsid w:val="00F72578"/>
    <w:rsid w:val="00F72A26"/>
    <w:rsid w:val="00F733C3"/>
    <w:rsid w:val="00F756DD"/>
    <w:rsid w:val="00F75DB3"/>
    <w:rsid w:val="00F77C37"/>
    <w:rsid w:val="00F80047"/>
    <w:rsid w:val="00F8104D"/>
    <w:rsid w:val="00F81587"/>
    <w:rsid w:val="00F82571"/>
    <w:rsid w:val="00F83706"/>
    <w:rsid w:val="00F85258"/>
    <w:rsid w:val="00F85B72"/>
    <w:rsid w:val="00F8766F"/>
    <w:rsid w:val="00F9104C"/>
    <w:rsid w:val="00F91082"/>
    <w:rsid w:val="00F91A9A"/>
    <w:rsid w:val="00F920A7"/>
    <w:rsid w:val="00F93ABB"/>
    <w:rsid w:val="00F94D79"/>
    <w:rsid w:val="00F971DD"/>
    <w:rsid w:val="00F975D3"/>
    <w:rsid w:val="00F97F42"/>
    <w:rsid w:val="00FA118A"/>
    <w:rsid w:val="00FA11CD"/>
    <w:rsid w:val="00FA1B7E"/>
    <w:rsid w:val="00FA31C7"/>
    <w:rsid w:val="00FA472D"/>
    <w:rsid w:val="00FA7254"/>
    <w:rsid w:val="00FB0214"/>
    <w:rsid w:val="00FB080C"/>
    <w:rsid w:val="00FB18F6"/>
    <w:rsid w:val="00FB2A52"/>
    <w:rsid w:val="00FB2F13"/>
    <w:rsid w:val="00FB6232"/>
    <w:rsid w:val="00FB6E19"/>
    <w:rsid w:val="00FB71F6"/>
    <w:rsid w:val="00FC0016"/>
    <w:rsid w:val="00FC1483"/>
    <w:rsid w:val="00FC1C47"/>
    <w:rsid w:val="00FC2EF2"/>
    <w:rsid w:val="00FC39ED"/>
    <w:rsid w:val="00FC4419"/>
    <w:rsid w:val="00FC47E2"/>
    <w:rsid w:val="00FC4AA5"/>
    <w:rsid w:val="00FC5148"/>
    <w:rsid w:val="00FC6590"/>
    <w:rsid w:val="00FC7523"/>
    <w:rsid w:val="00FC75AC"/>
    <w:rsid w:val="00FC75CB"/>
    <w:rsid w:val="00FD01BF"/>
    <w:rsid w:val="00FD0525"/>
    <w:rsid w:val="00FD0D4F"/>
    <w:rsid w:val="00FD297D"/>
    <w:rsid w:val="00FD2D13"/>
    <w:rsid w:val="00FD3D26"/>
    <w:rsid w:val="00FD4789"/>
    <w:rsid w:val="00FD6071"/>
    <w:rsid w:val="00FE0794"/>
    <w:rsid w:val="00FE1041"/>
    <w:rsid w:val="00FE24CB"/>
    <w:rsid w:val="00FE3166"/>
    <w:rsid w:val="00FE3320"/>
    <w:rsid w:val="00FE3473"/>
    <w:rsid w:val="00FE353B"/>
    <w:rsid w:val="00FE4049"/>
    <w:rsid w:val="00FE4794"/>
    <w:rsid w:val="00FE5DF7"/>
    <w:rsid w:val="00FE5F72"/>
    <w:rsid w:val="00FE7B6B"/>
    <w:rsid w:val="00FF0231"/>
    <w:rsid w:val="00FF1C9B"/>
    <w:rsid w:val="00FF1D49"/>
    <w:rsid w:val="00FF2562"/>
    <w:rsid w:val="00FF2CE1"/>
    <w:rsid w:val="00FF3A41"/>
    <w:rsid w:val="00FF3E5B"/>
    <w:rsid w:val="00FF52BE"/>
    <w:rsid w:val="00FF544F"/>
    <w:rsid w:val="00FF57E4"/>
    <w:rsid w:val="00FF77F8"/>
    <w:rsid w:val="00FF78E5"/>
    <w:rsid w:val="01DF6ED8"/>
    <w:rsid w:val="02511F9D"/>
    <w:rsid w:val="02AB4E64"/>
    <w:rsid w:val="03056ED3"/>
    <w:rsid w:val="0334104D"/>
    <w:rsid w:val="034E5B8A"/>
    <w:rsid w:val="03A314B8"/>
    <w:rsid w:val="03D82B98"/>
    <w:rsid w:val="03F83E8B"/>
    <w:rsid w:val="0487278A"/>
    <w:rsid w:val="05B257EC"/>
    <w:rsid w:val="05F21159"/>
    <w:rsid w:val="063B086F"/>
    <w:rsid w:val="06AE10AC"/>
    <w:rsid w:val="07AB1DBE"/>
    <w:rsid w:val="07B72767"/>
    <w:rsid w:val="08077E72"/>
    <w:rsid w:val="09AB1EA0"/>
    <w:rsid w:val="09CC2AAC"/>
    <w:rsid w:val="09D820EE"/>
    <w:rsid w:val="0A395458"/>
    <w:rsid w:val="0A652D3E"/>
    <w:rsid w:val="0B0A4571"/>
    <w:rsid w:val="0B3A48F0"/>
    <w:rsid w:val="0BA60EEC"/>
    <w:rsid w:val="0BF64F69"/>
    <w:rsid w:val="0C5C56D6"/>
    <w:rsid w:val="0C92213C"/>
    <w:rsid w:val="0CBA2804"/>
    <w:rsid w:val="0D3B1B72"/>
    <w:rsid w:val="0D4F221D"/>
    <w:rsid w:val="0D84032B"/>
    <w:rsid w:val="0E121122"/>
    <w:rsid w:val="0E287443"/>
    <w:rsid w:val="0F011985"/>
    <w:rsid w:val="0F4F4353"/>
    <w:rsid w:val="0FDC6CEF"/>
    <w:rsid w:val="10A27F31"/>
    <w:rsid w:val="10CA487C"/>
    <w:rsid w:val="11927058"/>
    <w:rsid w:val="12133FB0"/>
    <w:rsid w:val="12176643"/>
    <w:rsid w:val="12510966"/>
    <w:rsid w:val="12A055F5"/>
    <w:rsid w:val="12A5223C"/>
    <w:rsid w:val="12A604D9"/>
    <w:rsid w:val="130D4243"/>
    <w:rsid w:val="1387148A"/>
    <w:rsid w:val="13AF4F03"/>
    <w:rsid w:val="145E6EE8"/>
    <w:rsid w:val="14736E66"/>
    <w:rsid w:val="148937C0"/>
    <w:rsid w:val="149B6AC2"/>
    <w:rsid w:val="15264037"/>
    <w:rsid w:val="15293653"/>
    <w:rsid w:val="1534169A"/>
    <w:rsid w:val="15C03E03"/>
    <w:rsid w:val="162A25EB"/>
    <w:rsid w:val="16964761"/>
    <w:rsid w:val="16FD2A55"/>
    <w:rsid w:val="17366761"/>
    <w:rsid w:val="17457C26"/>
    <w:rsid w:val="177C01F0"/>
    <w:rsid w:val="17CE6630"/>
    <w:rsid w:val="1923698A"/>
    <w:rsid w:val="19304EC9"/>
    <w:rsid w:val="19820BA0"/>
    <w:rsid w:val="1AFA16D5"/>
    <w:rsid w:val="1B4F19F8"/>
    <w:rsid w:val="1BD92184"/>
    <w:rsid w:val="1C5170A2"/>
    <w:rsid w:val="1CF47F2D"/>
    <w:rsid w:val="1D23361F"/>
    <w:rsid w:val="1D4061A8"/>
    <w:rsid w:val="1D7F547B"/>
    <w:rsid w:val="1D84707B"/>
    <w:rsid w:val="1E4A2E9F"/>
    <w:rsid w:val="1E8C7359"/>
    <w:rsid w:val="1E9B4F4B"/>
    <w:rsid w:val="1EEE23EF"/>
    <w:rsid w:val="1F063325"/>
    <w:rsid w:val="1FA2402F"/>
    <w:rsid w:val="1FBC5DF5"/>
    <w:rsid w:val="1FC55574"/>
    <w:rsid w:val="203D099C"/>
    <w:rsid w:val="20781442"/>
    <w:rsid w:val="20CC0210"/>
    <w:rsid w:val="21B83F86"/>
    <w:rsid w:val="21E55E66"/>
    <w:rsid w:val="221178A8"/>
    <w:rsid w:val="221213CF"/>
    <w:rsid w:val="22327A92"/>
    <w:rsid w:val="22501E48"/>
    <w:rsid w:val="22965435"/>
    <w:rsid w:val="22BD6F35"/>
    <w:rsid w:val="231D53A2"/>
    <w:rsid w:val="23B7504C"/>
    <w:rsid w:val="24571307"/>
    <w:rsid w:val="24BA2984"/>
    <w:rsid w:val="25126E09"/>
    <w:rsid w:val="25246333"/>
    <w:rsid w:val="25C14636"/>
    <w:rsid w:val="26446DE3"/>
    <w:rsid w:val="264D165B"/>
    <w:rsid w:val="265F3538"/>
    <w:rsid w:val="26835926"/>
    <w:rsid w:val="26CD1617"/>
    <w:rsid w:val="26D7699F"/>
    <w:rsid w:val="27234AD7"/>
    <w:rsid w:val="274A5E17"/>
    <w:rsid w:val="279A2132"/>
    <w:rsid w:val="284D08E4"/>
    <w:rsid w:val="2912495F"/>
    <w:rsid w:val="29531C35"/>
    <w:rsid w:val="29E17ECF"/>
    <w:rsid w:val="2A2D3BAD"/>
    <w:rsid w:val="2A5A691B"/>
    <w:rsid w:val="2B09065E"/>
    <w:rsid w:val="2B774624"/>
    <w:rsid w:val="2C7A72BE"/>
    <w:rsid w:val="2CE1294E"/>
    <w:rsid w:val="2D7B23E8"/>
    <w:rsid w:val="2E3777C8"/>
    <w:rsid w:val="2EEB5D26"/>
    <w:rsid w:val="2F013AAD"/>
    <w:rsid w:val="2F401D3C"/>
    <w:rsid w:val="2F436F36"/>
    <w:rsid w:val="2F474F78"/>
    <w:rsid w:val="2F70241B"/>
    <w:rsid w:val="2FA95C88"/>
    <w:rsid w:val="3041370F"/>
    <w:rsid w:val="308D3B08"/>
    <w:rsid w:val="30F06C49"/>
    <w:rsid w:val="31083A05"/>
    <w:rsid w:val="31227ACD"/>
    <w:rsid w:val="314427A8"/>
    <w:rsid w:val="3180356E"/>
    <w:rsid w:val="32453A27"/>
    <w:rsid w:val="3263064A"/>
    <w:rsid w:val="32AC0C06"/>
    <w:rsid w:val="33FA1CBC"/>
    <w:rsid w:val="342866FA"/>
    <w:rsid w:val="34CA3F9D"/>
    <w:rsid w:val="35304278"/>
    <w:rsid w:val="3537750C"/>
    <w:rsid w:val="3537798C"/>
    <w:rsid w:val="357F7ED5"/>
    <w:rsid w:val="35C13FC9"/>
    <w:rsid w:val="362E6D87"/>
    <w:rsid w:val="364257B6"/>
    <w:rsid w:val="367302A1"/>
    <w:rsid w:val="367B3D86"/>
    <w:rsid w:val="36F834D1"/>
    <w:rsid w:val="374264D3"/>
    <w:rsid w:val="37C1661D"/>
    <w:rsid w:val="37DB7874"/>
    <w:rsid w:val="37E961A0"/>
    <w:rsid w:val="37EA5922"/>
    <w:rsid w:val="3809405A"/>
    <w:rsid w:val="38276B93"/>
    <w:rsid w:val="388F7B77"/>
    <w:rsid w:val="3A0B64A7"/>
    <w:rsid w:val="3A4A48F1"/>
    <w:rsid w:val="3A7038BB"/>
    <w:rsid w:val="3AF74C02"/>
    <w:rsid w:val="3BC6658C"/>
    <w:rsid w:val="3C0059A5"/>
    <w:rsid w:val="3C134E78"/>
    <w:rsid w:val="3C301B5F"/>
    <w:rsid w:val="3C4715C1"/>
    <w:rsid w:val="3C5277A9"/>
    <w:rsid w:val="3CAB1AFC"/>
    <w:rsid w:val="3D05582A"/>
    <w:rsid w:val="3DF6345D"/>
    <w:rsid w:val="3EE13701"/>
    <w:rsid w:val="3EFA9C1A"/>
    <w:rsid w:val="3F1A4BB3"/>
    <w:rsid w:val="40192BA6"/>
    <w:rsid w:val="409C1193"/>
    <w:rsid w:val="42550A18"/>
    <w:rsid w:val="425600A9"/>
    <w:rsid w:val="42D114D2"/>
    <w:rsid w:val="42F473A1"/>
    <w:rsid w:val="432D04A7"/>
    <w:rsid w:val="441E62C0"/>
    <w:rsid w:val="44274ACD"/>
    <w:rsid w:val="45811C7C"/>
    <w:rsid w:val="45AA78B4"/>
    <w:rsid w:val="468B3EFB"/>
    <w:rsid w:val="46F851C7"/>
    <w:rsid w:val="46F9547C"/>
    <w:rsid w:val="470A6193"/>
    <w:rsid w:val="47AA339A"/>
    <w:rsid w:val="47DC4F5C"/>
    <w:rsid w:val="48A04659"/>
    <w:rsid w:val="48B40671"/>
    <w:rsid w:val="499B5738"/>
    <w:rsid w:val="499F244D"/>
    <w:rsid w:val="49E634D1"/>
    <w:rsid w:val="4A8F58C2"/>
    <w:rsid w:val="4AF96BC7"/>
    <w:rsid w:val="4B842132"/>
    <w:rsid w:val="4BFB4050"/>
    <w:rsid w:val="4CDE53C4"/>
    <w:rsid w:val="4CEF36E2"/>
    <w:rsid w:val="4D3B1120"/>
    <w:rsid w:val="4D447D52"/>
    <w:rsid w:val="4DAF4CC1"/>
    <w:rsid w:val="4E676345"/>
    <w:rsid w:val="4EE911C5"/>
    <w:rsid w:val="4F372FFB"/>
    <w:rsid w:val="4FA76FA4"/>
    <w:rsid w:val="500B5B85"/>
    <w:rsid w:val="5044725D"/>
    <w:rsid w:val="50B72BFD"/>
    <w:rsid w:val="513F391C"/>
    <w:rsid w:val="51564E44"/>
    <w:rsid w:val="521D4E99"/>
    <w:rsid w:val="52282C57"/>
    <w:rsid w:val="52C10D75"/>
    <w:rsid w:val="53C125EB"/>
    <w:rsid w:val="54C53DC5"/>
    <w:rsid w:val="550C4BD7"/>
    <w:rsid w:val="55185B77"/>
    <w:rsid w:val="55572986"/>
    <w:rsid w:val="55A14ACC"/>
    <w:rsid w:val="55A9703D"/>
    <w:rsid w:val="562B20BF"/>
    <w:rsid w:val="564927D4"/>
    <w:rsid w:val="56D04C17"/>
    <w:rsid w:val="573C2AAB"/>
    <w:rsid w:val="5884764A"/>
    <w:rsid w:val="5A3D4CF5"/>
    <w:rsid w:val="5A957D93"/>
    <w:rsid w:val="5AFD311B"/>
    <w:rsid w:val="5B3760D9"/>
    <w:rsid w:val="5B86261A"/>
    <w:rsid w:val="5B9727B1"/>
    <w:rsid w:val="5BE014E5"/>
    <w:rsid w:val="5BEC760C"/>
    <w:rsid w:val="5C9F23AC"/>
    <w:rsid w:val="5E1B2389"/>
    <w:rsid w:val="5EC1512D"/>
    <w:rsid w:val="5F12674D"/>
    <w:rsid w:val="5F80710D"/>
    <w:rsid w:val="5FDF74DA"/>
    <w:rsid w:val="606007BB"/>
    <w:rsid w:val="60A7347D"/>
    <w:rsid w:val="60AC7F66"/>
    <w:rsid w:val="618835DC"/>
    <w:rsid w:val="61BF10D9"/>
    <w:rsid w:val="629F7BDB"/>
    <w:rsid w:val="631928DF"/>
    <w:rsid w:val="63510DAF"/>
    <w:rsid w:val="63A57310"/>
    <w:rsid w:val="640C7C21"/>
    <w:rsid w:val="64E45EF7"/>
    <w:rsid w:val="655A9E13"/>
    <w:rsid w:val="65CB2B15"/>
    <w:rsid w:val="66A575B3"/>
    <w:rsid w:val="66A57729"/>
    <w:rsid w:val="670F748C"/>
    <w:rsid w:val="6736338C"/>
    <w:rsid w:val="677435B2"/>
    <w:rsid w:val="67EF75F1"/>
    <w:rsid w:val="681C76FB"/>
    <w:rsid w:val="68774BE5"/>
    <w:rsid w:val="68B87030"/>
    <w:rsid w:val="69124F16"/>
    <w:rsid w:val="69C64B0E"/>
    <w:rsid w:val="69CD5C14"/>
    <w:rsid w:val="69CF0D33"/>
    <w:rsid w:val="6AB24495"/>
    <w:rsid w:val="6AFD43BA"/>
    <w:rsid w:val="6B9946B3"/>
    <w:rsid w:val="6C0534FE"/>
    <w:rsid w:val="6C310D11"/>
    <w:rsid w:val="6C921AAA"/>
    <w:rsid w:val="6D1837C6"/>
    <w:rsid w:val="6DE76850"/>
    <w:rsid w:val="6E336FB7"/>
    <w:rsid w:val="6E3B7F3B"/>
    <w:rsid w:val="6E9A1018"/>
    <w:rsid w:val="6F5B6D28"/>
    <w:rsid w:val="6FB20BD4"/>
    <w:rsid w:val="6FBA59BE"/>
    <w:rsid w:val="70296B3E"/>
    <w:rsid w:val="70611204"/>
    <w:rsid w:val="70F17BCE"/>
    <w:rsid w:val="71DC351E"/>
    <w:rsid w:val="7234593E"/>
    <w:rsid w:val="72983CD3"/>
    <w:rsid w:val="72EF4CB6"/>
    <w:rsid w:val="743B2F14"/>
    <w:rsid w:val="746A24BE"/>
    <w:rsid w:val="749F1040"/>
    <w:rsid w:val="74FA2C30"/>
    <w:rsid w:val="76250197"/>
    <w:rsid w:val="76BC49EB"/>
    <w:rsid w:val="77000DA2"/>
    <w:rsid w:val="781E69D1"/>
    <w:rsid w:val="78340059"/>
    <w:rsid w:val="78D07EB6"/>
    <w:rsid w:val="79BE1CAB"/>
    <w:rsid w:val="7ADD0453"/>
    <w:rsid w:val="7AF46346"/>
    <w:rsid w:val="7B0F5EBF"/>
    <w:rsid w:val="7B130FB9"/>
    <w:rsid w:val="7BDE0625"/>
    <w:rsid w:val="7BF64EDE"/>
    <w:rsid w:val="7C400C1E"/>
    <w:rsid w:val="7C6C6CCE"/>
    <w:rsid w:val="7C773348"/>
    <w:rsid w:val="7CB0484C"/>
    <w:rsid w:val="7D422E99"/>
    <w:rsid w:val="7DD11708"/>
    <w:rsid w:val="7DD83ECB"/>
    <w:rsid w:val="7DF46F4A"/>
    <w:rsid w:val="7E3D4C74"/>
    <w:rsid w:val="7EBC46EA"/>
    <w:rsid w:val="7EC167BD"/>
    <w:rsid w:val="7FCA72CB"/>
    <w:rsid w:val="7FCB062D"/>
    <w:rsid w:val="7FF82C26"/>
    <w:rsid w:val="EF6DC4F0"/>
    <w:rsid w:val="FFF6D5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42"/>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9"/>
    <w:unhideWhenUsed/>
    <w:qFormat/>
    <w:uiPriority w:val="99"/>
    <w:pPr>
      <w:tabs>
        <w:tab w:val="center" w:pos="4153"/>
        <w:tab w:val="right" w:pos="8306"/>
      </w:tabs>
      <w:snapToGrid w:val="0"/>
      <w:jc w:val="left"/>
    </w:pPr>
    <w:rPr>
      <w:kern w:val="0"/>
      <w:sz w:val="18"/>
      <w:szCs w:val="18"/>
    </w:rPr>
  </w:style>
  <w:style w:type="paragraph" w:styleId="7">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9">
    <w:name w:val="annotation text"/>
    <w:basedOn w:val="1"/>
    <w:link w:val="43"/>
    <w:qFormat/>
    <w:uiPriority w:val="0"/>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link w:val="45"/>
    <w:unhideWhenUsed/>
    <w:qFormat/>
    <w:uiPriority w:val="0"/>
    <w:pPr>
      <w:spacing w:after="120"/>
    </w:pPr>
  </w:style>
  <w:style w:type="paragraph" w:styleId="12">
    <w:name w:val="Body Text Indent"/>
    <w:basedOn w:val="1"/>
    <w:link w:val="46"/>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15">
    <w:name w:val="Plain Text"/>
    <w:basedOn w:val="1"/>
    <w:next w:val="1"/>
    <w:link w:val="47"/>
    <w:qFormat/>
    <w:uiPriority w:val="0"/>
    <w:rPr>
      <w:rFonts w:ascii="宋体" w:hAnsi="Courier New"/>
      <w:kern w:val="0"/>
      <w:sz w:val="20"/>
      <w:szCs w:val="21"/>
    </w:rPr>
  </w:style>
  <w:style w:type="paragraph" w:styleId="16">
    <w:name w:val="Date"/>
    <w:basedOn w:val="1"/>
    <w:next w:val="1"/>
    <w:link w:val="48"/>
    <w:unhideWhenUsed/>
    <w:qFormat/>
    <w:uiPriority w:val="99"/>
    <w:pPr>
      <w:ind w:left="100" w:leftChars="2500"/>
    </w:pPr>
  </w:style>
  <w:style w:type="paragraph" w:styleId="17">
    <w:name w:val="Balloon Text"/>
    <w:basedOn w:val="1"/>
    <w:semiHidden/>
    <w:qFormat/>
    <w:uiPriority w:val="0"/>
    <w:rPr>
      <w:sz w:val="18"/>
      <w:szCs w:val="18"/>
    </w:rPr>
  </w:style>
  <w:style w:type="paragraph" w:styleId="18">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22">
    <w:name w:val="Normal (Web)"/>
    <w:basedOn w:val="1"/>
    <w:unhideWhenUsed/>
    <w:qFormat/>
    <w:uiPriority w:val="99"/>
    <w:rPr>
      <w:rFonts w:ascii="Calibri" w:hAnsi="Calibri"/>
      <w:kern w:val="0"/>
      <w:sz w:val="24"/>
    </w:rPr>
  </w:style>
  <w:style w:type="paragraph" w:styleId="23">
    <w:name w:val="annotation subject"/>
    <w:basedOn w:val="9"/>
    <w:next w:val="9"/>
    <w:link w:val="51"/>
    <w:qFormat/>
    <w:uiPriority w:val="99"/>
    <w:rPr>
      <w:b/>
      <w:bCs/>
    </w:rPr>
  </w:style>
  <w:style w:type="paragraph" w:styleId="24">
    <w:name w:val="Body Text First Indent"/>
    <w:basedOn w:val="11"/>
    <w:next w:val="1"/>
    <w:qFormat/>
    <w:uiPriority w:val="0"/>
    <w:pPr>
      <w:ind w:firstLine="420" w:firstLineChars="100"/>
    </w:pPr>
  </w:style>
  <w:style w:type="paragraph" w:styleId="25">
    <w:name w:val="Body Text First Indent 2"/>
    <w:basedOn w:val="12"/>
    <w:next w:val="1"/>
    <w:qFormat/>
    <w:uiPriority w:val="0"/>
    <w:pPr>
      <w:spacing w:after="120"/>
      <w:ind w:left="420" w:leftChars="200" w:firstLine="420" w:firstLineChars="200"/>
    </w:pPr>
    <w:rPr>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22"/>
    <w:rPr>
      <w:b/>
      <w:bCs/>
    </w:rPr>
  </w:style>
  <w:style w:type="character" w:styleId="30">
    <w:name w:val="page number"/>
    <w:qFormat/>
    <w:uiPriority w:val="0"/>
  </w:style>
  <w:style w:type="character" w:styleId="31">
    <w:name w:val="FollowedHyperlink"/>
    <w:basedOn w:val="28"/>
    <w:semiHidden/>
    <w:unhideWhenUsed/>
    <w:qFormat/>
    <w:uiPriority w:val="99"/>
    <w:rPr>
      <w:color w:val="4D7AD8"/>
      <w:u w:val="none"/>
    </w:rPr>
  </w:style>
  <w:style w:type="character" w:styleId="32">
    <w:name w:val="HTML Definition"/>
    <w:basedOn w:val="28"/>
    <w:semiHidden/>
    <w:unhideWhenUsed/>
    <w:qFormat/>
    <w:uiPriority w:val="99"/>
    <w:rPr>
      <w:i/>
      <w:iCs/>
    </w:rPr>
  </w:style>
  <w:style w:type="character" w:styleId="33">
    <w:name w:val="Hyperlink"/>
    <w:unhideWhenUsed/>
    <w:qFormat/>
    <w:uiPriority w:val="99"/>
    <w:rPr>
      <w:color w:val="0000FF"/>
      <w:u w:val="single"/>
    </w:rPr>
  </w:style>
  <w:style w:type="character" w:styleId="34">
    <w:name w:val="HTML Code"/>
    <w:basedOn w:val="28"/>
    <w:semiHidden/>
    <w:unhideWhenUsed/>
    <w:qFormat/>
    <w:uiPriority w:val="99"/>
    <w:rPr>
      <w:rFonts w:hint="default" w:ascii="Consolas" w:hAnsi="Consolas" w:eastAsia="Consolas" w:cs="Consolas"/>
      <w:sz w:val="21"/>
      <w:szCs w:val="21"/>
    </w:rPr>
  </w:style>
  <w:style w:type="character" w:styleId="35">
    <w:name w:val="annotation reference"/>
    <w:basedOn w:val="28"/>
    <w:qFormat/>
    <w:uiPriority w:val="0"/>
    <w:rPr>
      <w:sz w:val="21"/>
      <w:szCs w:val="21"/>
    </w:rPr>
  </w:style>
  <w:style w:type="character" w:styleId="36">
    <w:name w:val="HTML Keyboard"/>
    <w:basedOn w:val="28"/>
    <w:semiHidden/>
    <w:unhideWhenUsed/>
    <w:qFormat/>
    <w:uiPriority w:val="99"/>
    <w:rPr>
      <w:rFonts w:hint="default" w:ascii="Consolas" w:hAnsi="Consolas" w:eastAsia="Consolas" w:cs="Consolas"/>
      <w:sz w:val="21"/>
      <w:szCs w:val="21"/>
    </w:rPr>
  </w:style>
  <w:style w:type="character" w:styleId="37">
    <w:name w:val="HTML Sample"/>
    <w:basedOn w:val="28"/>
    <w:semiHidden/>
    <w:unhideWhenUsed/>
    <w:qFormat/>
    <w:uiPriority w:val="99"/>
    <w:rPr>
      <w:rFonts w:ascii="Consolas" w:hAnsi="Consolas" w:eastAsia="Consolas" w:cs="Consolas"/>
      <w:sz w:val="21"/>
      <w:szCs w:val="21"/>
    </w:rPr>
  </w:style>
  <w:style w:type="paragraph" w:customStyle="1" w:styleId="38">
    <w:name w:val="列出段落1"/>
    <w:basedOn w:val="1"/>
    <w:qFormat/>
    <w:uiPriority w:val="34"/>
    <w:pPr>
      <w:ind w:firstLine="420" w:firstLineChars="200"/>
    </w:pPr>
  </w:style>
  <w:style w:type="paragraph" w:customStyle="1" w:styleId="3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40">
    <w:name w:val="标题 1 字符1"/>
    <w:link w:val="3"/>
    <w:qFormat/>
    <w:uiPriority w:val="0"/>
    <w:rPr>
      <w:b/>
      <w:bCs/>
      <w:kern w:val="44"/>
      <w:sz w:val="44"/>
      <w:szCs w:val="44"/>
    </w:rPr>
  </w:style>
  <w:style w:type="character" w:customStyle="1" w:styleId="41">
    <w:name w:val="标题 2 字符"/>
    <w:link w:val="4"/>
    <w:qFormat/>
    <w:uiPriority w:val="9"/>
    <w:rPr>
      <w:rFonts w:ascii="Cambria" w:hAnsi="Cambria" w:eastAsia="宋体" w:cs="Times New Roman"/>
      <w:b/>
      <w:bCs/>
      <w:kern w:val="2"/>
      <w:sz w:val="32"/>
      <w:szCs w:val="32"/>
    </w:rPr>
  </w:style>
  <w:style w:type="character" w:customStyle="1" w:styleId="42">
    <w:name w:val="标题 5 字符"/>
    <w:link w:val="6"/>
    <w:semiHidden/>
    <w:qFormat/>
    <w:uiPriority w:val="9"/>
    <w:rPr>
      <w:rFonts w:ascii="Times New Roman" w:hAnsi="Times New Roman"/>
      <w:b/>
      <w:bCs/>
      <w:kern w:val="2"/>
      <w:sz w:val="28"/>
      <w:szCs w:val="28"/>
    </w:rPr>
  </w:style>
  <w:style w:type="character" w:customStyle="1" w:styleId="43">
    <w:name w:val="批注文字 字符"/>
    <w:link w:val="9"/>
    <w:qFormat/>
    <w:uiPriority w:val="0"/>
    <w:rPr>
      <w:rFonts w:ascii="Times New Roman" w:hAnsi="Times New Roman"/>
      <w:kern w:val="2"/>
      <w:sz w:val="21"/>
      <w:szCs w:val="24"/>
    </w:rPr>
  </w:style>
  <w:style w:type="character" w:customStyle="1" w:styleId="44">
    <w:name w:val="正文文本 3 字符"/>
    <w:link w:val="10"/>
    <w:semiHidden/>
    <w:qFormat/>
    <w:uiPriority w:val="99"/>
    <w:rPr>
      <w:rFonts w:ascii="Times New Roman" w:hAnsi="Times New Roman"/>
      <w:kern w:val="2"/>
      <w:sz w:val="16"/>
      <w:szCs w:val="16"/>
    </w:rPr>
  </w:style>
  <w:style w:type="character" w:customStyle="1" w:styleId="45">
    <w:name w:val="正文文本 字符"/>
    <w:link w:val="11"/>
    <w:qFormat/>
    <w:uiPriority w:val="0"/>
    <w:rPr>
      <w:rFonts w:ascii="Times New Roman" w:hAnsi="Times New Roman"/>
      <w:kern w:val="2"/>
      <w:sz w:val="21"/>
      <w:szCs w:val="24"/>
    </w:rPr>
  </w:style>
  <w:style w:type="character" w:customStyle="1" w:styleId="46">
    <w:name w:val="正文文本缩进 字符"/>
    <w:link w:val="12"/>
    <w:qFormat/>
    <w:uiPriority w:val="0"/>
    <w:rPr>
      <w:rFonts w:ascii="仿宋_GB2312" w:hAnsi="Times New Roman" w:eastAsia="仿宋_GB2312" w:cs="Times New Roman"/>
      <w:sz w:val="32"/>
      <w:szCs w:val="20"/>
    </w:rPr>
  </w:style>
  <w:style w:type="character" w:customStyle="1" w:styleId="47">
    <w:name w:val="纯文本 字符"/>
    <w:link w:val="15"/>
    <w:qFormat/>
    <w:uiPriority w:val="0"/>
    <w:rPr>
      <w:rFonts w:ascii="宋体" w:hAnsi="Courier New" w:eastAsia="宋体" w:cs="Courier New"/>
      <w:szCs w:val="21"/>
    </w:rPr>
  </w:style>
  <w:style w:type="character" w:customStyle="1" w:styleId="48">
    <w:name w:val="日期 字符"/>
    <w:link w:val="16"/>
    <w:semiHidden/>
    <w:qFormat/>
    <w:uiPriority w:val="99"/>
    <w:rPr>
      <w:rFonts w:ascii="Times New Roman" w:hAnsi="Times New Roman"/>
      <w:kern w:val="2"/>
      <w:sz w:val="21"/>
      <w:szCs w:val="24"/>
    </w:rPr>
  </w:style>
  <w:style w:type="character" w:customStyle="1" w:styleId="49">
    <w:name w:val="页脚 字符"/>
    <w:link w:val="2"/>
    <w:qFormat/>
    <w:uiPriority w:val="99"/>
    <w:rPr>
      <w:sz w:val="18"/>
      <w:szCs w:val="18"/>
    </w:rPr>
  </w:style>
  <w:style w:type="character" w:customStyle="1" w:styleId="50">
    <w:name w:val="页眉 字符"/>
    <w:link w:val="18"/>
    <w:qFormat/>
    <w:uiPriority w:val="99"/>
    <w:rPr>
      <w:sz w:val="18"/>
      <w:szCs w:val="18"/>
    </w:rPr>
  </w:style>
  <w:style w:type="character" w:customStyle="1" w:styleId="51">
    <w:name w:val="批注主题 字符"/>
    <w:link w:val="23"/>
    <w:qFormat/>
    <w:uiPriority w:val="99"/>
    <w:rPr>
      <w:rFonts w:ascii="Times New Roman" w:hAnsi="Times New Roman"/>
      <w:b/>
      <w:bCs/>
      <w:kern w:val="2"/>
      <w:sz w:val="21"/>
      <w:szCs w:val="24"/>
    </w:rPr>
  </w:style>
  <w:style w:type="character" w:customStyle="1" w:styleId="52">
    <w:name w:val="正文文本缩进 字符1"/>
    <w:qFormat/>
    <w:uiPriority w:val="0"/>
    <w:rPr>
      <w:rFonts w:ascii="仿宋_GB2312" w:hAnsi="Times New Roman" w:eastAsia="仿宋_GB2312" w:cs="Times New Roman"/>
      <w:sz w:val="32"/>
      <w:szCs w:val="20"/>
    </w:rPr>
  </w:style>
  <w:style w:type="character" w:customStyle="1" w:styleId="53">
    <w:name w:val="apple-style-span"/>
    <w:qFormat/>
    <w:uiPriority w:val="0"/>
  </w:style>
  <w:style w:type="character" w:customStyle="1" w:styleId="54">
    <w:name w:val="标题 1 字符"/>
    <w:qFormat/>
    <w:uiPriority w:val="9"/>
    <w:rPr>
      <w:b/>
      <w:bCs/>
      <w:kern w:val="44"/>
      <w:sz w:val="44"/>
      <w:szCs w:val="44"/>
    </w:rPr>
  </w:style>
  <w:style w:type="character" w:customStyle="1" w:styleId="55">
    <w:name w:val="textcontents"/>
    <w:qFormat/>
    <w:uiPriority w:val="0"/>
  </w:style>
  <w:style w:type="character" w:customStyle="1" w:styleId="56">
    <w:name w:val="纯文本 字符1"/>
    <w:qFormat/>
    <w:uiPriority w:val="0"/>
    <w:rPr>
      <w:rFonts w:ascii="宋体" w:hAnsi="Courier New"/>
    </w:rPr>
  </w:style>
  <w:style w:type="character" w:customStyle="1" w:styleId="57">
    <w:name w:val="批注文字 字符1"/>
    <w:qFormat/>
    <w:uiPriority w:val="0"/>
    <w:rPr>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页脚 Char"/>
    <w:qFormat/>
    <w:uiPriority w:val="99"/>
    <w:rPr>
      <w:lang w:eastAsia="zh-CN"/>
    </w:rPr>
  </w:style>
  <w:style w:type="paragraph" w:customStyle="1" w:styleId="60">
    <w:name w:val="默认段落字体 Para Char Char Char Char Char Char Char Char Char1 Char Char Char Char"/>
    <w:basedOn w:val="1"/>
    <w:qFormat/>
    <w:uiPriority w:val="0"/>
    <w:rPr>
      <w:rFonts w:ascii="Tahoma" w:hAnsi="Tahoma"/>
      <w:sz w:val="24"/>
      <w:szCs w:val="20"/>
    </w:r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2">
    <w:name w:val="Table Paragraph"/>
    <w:basedOn w:val="1"/>
    <w:qFormat/>
    <w:uiPriority w:val="1"/>
    <w:pPr>
      <w:jc w:val="left"/>
    </w:pPr>
    <w:rPr>
      <w:rFonts w:ascii="Calibri" w:hAnsi="Calibri"/>
      <w:kern w:val="0"/>
      <w:sz w:val="22"/>
      <w:szCs w:val="22"/>
      <w:lang w:eastAsia="en-US"/>
    </w:rPr>
  </w:style>
  <w:style w:type="character" w:customStyle="1" w:styleId="63">
    <w:name w:val="批注文字 Char1"/>
    <w:qFormat/>
    <w:uiPriority w:val="0"/>
    <w:rPr>
      <w:rFonts w:ascii="Times New Roman" w:hAnsi="Times New Roman"/>
      <w:kern w:val="2"/>
      <w:sz w:val="21"/>
      <w:szCs w:val="24"/>
    </w:rPr>
  </w:style>
  <w:style w:type="character" w:customStyle="1" w:styleId="64">
    <w:name w:val="批注文字 字符2"/>
    <w:qFormat/>
    <w:uiPriority w:val="0"/>
    <w:rPr>
      <w:rFonts w:ascii="Times New Roman" w:hAnsi="Times New Roman"/>
      <w:kern w:val="2"/>
      <w:sz w:val="21"/>
      <w:szCs w:val="24"/>
    </w:rPr>
  </w:style>
  <w:style w:type="character" w:customStyle="1" w:styleId="65">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6">
    <w:name w:val="纯文本 Char1"/>
    <w:qFormat/>
    <w:uiPriority w:val="0"/>
    <w:rPr>
      <w:rFonts w:ascii="宋体" w:hAnsi="Courier New" w:eastAsia="宋体" w:cs="Courier New"/>
      <w:szCs w:val="21"/>
    </w:rPr>
  </w:style>
  <w:style w:type="character" w:customStyle="1" w:styleId="67">
    <w:name w:val="批注文字 Char2"/>
    <w:qFormat/>
    <w:uiPriority w:val="0"/>
    <w:rPr>
      <w:rFonts w:ascii="Times New Roman" w:hAnsi="Times New Roman"/>
      <w:kern w:val="2"/>
      <w:sz w:val="21"/>
      <w:szCs w:val="24"/>
    </w:rPr>
  </w:style>
  <w:style w:type="character" w:customStyle="1" w:styleId="68">
    <w:name w:val="font11"/>
    <w:basedOn w:val="28"/>
    <w:qFormat/>
    <w:uiPriority w:val="0"/>
    <w:rPr>
      <w:rFonts w:hint="eastAsia" w:ascii="宋体" w:hAnsi="宋体" w:eastAsia="宋体" w:cs="宋体"/>
      <w:color w:val="000000"/>
      <w:sz w:val="20"/>
      <w:szCs w:val="20"/>
      <w:u w:val="none"/>
    </w:rPr>
  </w:style>
  <w:style w:type="character" w:customStyle="1" w:styleId="69">
    <w:name w:val="font41"/>
    <w:qFormat/>
    <w:uiPriority w:val="0"/>
    <w:rPr>
      <w:rFonts w:ascii="宋体" w:hAnsi="宋体" w:eastAsia="宋体" w:cs="宋体"/>
      <w:color w:val="000000"/>
      <w:sz w:val="20"/>
      <w:szCs w:val="20"/>
      <w:u w:val="none"/>
    </w:rPr>
  </w:style>
  <w:style w:type="character" w:customStyle="1" w:styleId="70">
    <w:name w:val="font31"/>
    <w:qFormat/>
    <w:uiPriority w:val="0"/>
    <w:rPr>
      <w:rFonts w:ascii="方正书宋_GBK" w:hAnsi="方正书宋_GBK" w:eastAsia="方正书宋_GBK" w:cs="方正书宋_GBK"/>
      <w:color w:val="000000"/>
      <w:sz w:val="21"/>
      <w:szCs w:val="21"/>
      <w:u w:val="none"/>
    </w:rPr>
  </w:style>
  <w:style w:type="character" w:customStyle="1" w:styleId="71">
    <w:name w:val="font61"/>
    <w:basedOn w:val="28"/>
    <w:qFormat/>
    <w:uiPriority w:val="0"/>
    <w:rPr>
      <w:rFonts w:hint="default" w:ascii="Times New Roman" w:hAnsi="Times New Roman" w:cs="Times New Roman"/>
      <w:color w:val="000000"/>
      <w:sz w:val="21"/>
      <w:szCs w:val="21"/>
      <w:u w:val="none"/>
    </w:rPr>
  </w:style>
  <w:style w:type="character" w:customStyle="1" w:styleId="72">
    <w:name w:val="font71"/>
    <w:basedOn w:val="28"/>
    <w:qFormat/>
    <w:uiPriority w:val="0"/>
    <w:rPr>
      <w:rFonts w:hint="eastAsia" w:ascii="宋体" w:hAnsi="宋体" w:eastAsia="宋体" w:cs="宋体"/>
      <w:b/>
      <w:bCs/>
      <w:color w:val="000000"/>
      <w:sz w:val="18"/>
      <w:szCs w:val="18"/>
      <w:u w:val="none"/>
    </w:rPr>
  </w:style>
  <w:style w:type="character" w:customStyle="1" w:styleId="73">
    <w:name w:val="font81"/>
    <w:basedOn w:val="28"/>
    <w:qFormat/>
    <w:uiPriority w:val="0"/>
    <w:rPr>
      <w:rFonts w:hint="eastAsia" w:ascii="宋体" w:hAnsi="宋体" w:eastAsia="宋体" w:cs="宋体"/>
      <w:color w:val="000000"/>
      <w:sz w:val="18"/>
      <w:szCs w:val="18"/>
      <w:u w:val="none"/>
    </w:rPr>
  </w:style>
  <w:style w:type="character" w:customStyle="1" w:styleId="74">
    <w:name w:val="font01"/>
    <w:basedOn w:val="28"/>
    <w:qFormat/>
    <w:uiPriority w:val="0"/>
    <w:rPr>
      <w:rFonts w:hint="default" w:ascii="Arial" w:hAnsi="Arial" w:cs="Arial"/>
      <w:color w:val="000000"/>
      <w:sz w:val="18"/>
      <w:szCs w:val="18"/>
      <w:u w:val="none"/>
    </w:rPr>
  </w:style>
  <w:style w:type="character" w:customStyle="1" w:styleId="75">
    <w:name w:val="font91"/>
    <w:basedOn w:val="28"/>
    <w:qFormat/>
    <w:uiPriority w:val="0"/>
    <w:rPr>
      <w:rFonts w:hint="eastAsia" w:ascii="宋体" w:hAnsi="宋体" w:eastAsia="宋体" w:cs="宋体"/>
      <w:color w:val="000000"/>
      <w:sz w:val="18"/>
      <w:szCs w:val="18"/>
      <w:u w:val="none"/>
    </w:rPr>
  </w:style>
  <w:style w:type="character" w:customStyle="1" w:styleId="76">
    <w:name w:val="font51"/>
    <w:qFormat/>
    <w:uiPriority w:val="0"/>
    <w:rPr>
      <w:rFonts w:hint="default" w:ascii="Times New Roman" w:hAnsi="Times New Roman" w:cs="Times New Roman"/>
      <w:b/>
      <w:color w:val="000000"/>
      <w:sz w:val="18"/>
      <w:szCs w:val="18"/>
      <w:u w:val="none"/>
    </w:rPr>
  </w:style>
  <w:style w:type="paragraph" w:styleId="77">
    <w:name w:val="List Paragraph"/>
    <w:basedOn w:val="1"/>
    <w:qFormat/>
    <w:uiPriority w:val="34"/>
    <w:pPr>
      <w:ind w:firstLine="420" w:firstLineChars="200"/>
    </w:pPr>
  </w:style>
  <w:style w:type="paragraph" w:customStyle="1" w:styleId="78">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79">
    <w:name w:val="Title1"/>
    <w:basedOn w:val="1"/>
    <w:next w:val="1"/>
    <w:qFormat/>
    <w:uiPriority w:val="0"/>
    <w:pPr>
      <w:jc w:val="center"/>
      <w:outlineLvl w:val="0"/>
    </w:pPr>
    <w:rPr>
      <w:rFonts w:ascii="Calibri Light" w:hAnsi="Calibri Light" w:eastAsia="Arial Unicode MS"/>
      <w:b/>
    </w:rPr>
  </w:style>
  <w:style w:type="character" w:customStyle="1" w:styleId="80">
    <w:name w:val="not-pass-node"/>
    <w:basedOn w:val="28"/>
    <w:qFormat/>
    <w:uiPriority w:val="0"/>
    <w:rPr>
      <w:bdr w:val="single" w:color="5ABD6B" w:sz="6" w:space="0"/>
      <w:shd w:val="clear" w:color="auto" w:fill="BFF3C3"/>
    </w:rPr>
  </w:style>
  <w:style w:type="character" w:customStyle="1" w:styleId="81">
    <w:name w:val="ant-select-tree-iconele"/>
    <w:basedOn w:val="28"/>
    <w:qFormat/>
    <w:uiPriority w:val="0"/>
  </w:style>
  <w:style w:type="character" w:customStyle="1" w:styleId="82">
    <w:name w:val="disabled4"/>
    <w:basedOn w:val="28"/>
    <w:qFormat/>
    <w:uiPriority w:val="0"/>
    <w:rPr>
      <w:color w:val="AAAAAA"/>
      <w:shd w:val="clear" w:color="auto" w:fill="F7F7F7"/>
    </w:rPr>
  </w:style>
  <w:style w:type="character" w:customStyle="1" w:styleId="83">
    <w:name w:val="button"/>
    <w:basedOn w:val="28"/>
    <w:qFormat/>
    <w:uiPriority w:val="0"/>
  </w:style>
  <w:style w:type="character" w:customStyle="1" w:styleId="84">
    <w:name w:val="button1"/>
    <w:basedOn w:val="28"/>
    <w:qFormat/>
    <w:uiPriority w:val="0"/>
  </w:style>
  <w:style w:type="character" w:customStyle="1" w:styleId="85">
    <w:name w:val="label"/>
    <w:basedOn w:val="28"/>
    <w:qFormat/>
    <w:uiPriority w:val="0"/>
  </w:style>
  <w:style w:type="character" w:customStyle="1" w:styleId="86">
    <w:name w:val="label1"/>
    <w:basedOn w:val="28"/>
    <w:qFormat/>
    <w:uiPriority w:val="0"/>
  </w:style>
  <w:style w:type="character" w:customStyle="1" w:styleId="87">
    <w:name w:val="ant-radio+*"/>
    <w:basedOn w:val="28"/>
    <w:qFormat/>
    <w:uiPriority w:val="0"/>
  </w:style>
  <w:style w:type="character" w:customStyle="1" w:styleId="88">
    <w:name w:val="ant-select-tree-switcher"/>
    <w:basedOn w:val="28"/>
    <w:qFormat/>
    <w:uiPriority w:val="0"/>
  </w:style>
  <w:style w:type="character" w:customStyle="1" w:styleId="89">
    <w:name w:val="last-child1"/>
    <w:basedOn w:val="28"/>
    <w:qFormat/>
    <w:uiPriority w:val="0"/>
  </w:style>
  <w:style w:type="character" w:customStyle="1" w:styleId="90">
    <w:name w:val="ant-table-row-expand-icon"/>
    <w:basedOn w:val="28"/>
    <w:qFormat/>
    <w:uiPriority w:val="0"/>
    <w:rPr>
      <w:vanish/>
    </w:rPr>
  </w:style>
  <w:style w:type="character" w:customStyle="1" w:styleId="91">
    <w:name w:val="hover42"/>
    <w:basedOn w:val="28"/>
    <w:qFormat/>
    <w:uiPriority w:val="0"/>
    <w:rPr>
      <w:color w:val="009DFF"/>
    </w:rPr>
  </w:style>
  <w:style w:type="character" w:customStyle="1" w:styleId="92">
    <w:name w:val="hover43"/>
    <w:basedOn w:val="28"/>
    <w:qFormat/>
    <w:uiPriority w:val="0"/>
    <w:rPr>
      <w:color w:val="009DFF"/>
    </w:rPr>
  </w:style>
  <w:style w:type="character" w:customStyle="1" w:styleId="93">
    <w:name w:val="passed-node"/>
    <w:basedOn w:val="28"/>
    <w:qFormat/>
    <w:uiPriority w:val="0"/>
    <w:rPr>
      <w:bdr w:val="single" w:color="49A8D4" w:sz="6" w:space="0"/>
      <w:shd w:val="clear" w:color="auto" w:fill="A9E3FF"/>
    </w:rPr>
  </w:style>
  <w:style w:type="character" w:customStyle="1" w:styleId="94">
    <w:name w:val="current-node"/>
    <w:basedOn w:val="28"/>
    <w:qFormat/>
    <w:uiPriority w:val="0"/>
    <w:rPr>
      <w:bdr w:val="single" w:color="F5B87B" w:sz="6" w:space="0"/>
      <w:shd w:val="clear" w:color="auto" w:fill="FFE8CC"/>
    </w:rPr>
  </w:style>
  <w:style w:type="character" w:customStyle="1" w:styleId="95">
    <w:name w:val="auto-pass-node"/>
    <w:basedOn w:val="28"/>
    <w:qFormat/>
    <w:uiPriority w:val="0"/>
    <w:rPr>
      <w:bdr w:val="single" w:color="DC4446" w:sz="6" w:space="0"/>
      <w:shd w:val="clear" w:color="auto" w:fill="A9E2FF"/>
    </w:rPr>
  </w:style>
  <w:style w:type="character" w:customStyle="1" w:styleId="96">
    <w:name w:val="ant-select-tree-checkbox"/>
    <w:basedOn w:val="28"/>
    <w:qFormat/>
    <w:uiPriority w:val="0"/>
  </w:style>
  <w:style w:type="character" w:customStyle="1" w:styleId="97">
    <w:name w:val="wea-thumbnails-doc-content-subtitle"/>
    <w:basedOn w:val="28"/>
    <w:qFormat/>
    <w:uiPriority w:val="0"/>
    <w:rPr>
      <w:color w:val="9A9A9A"/>
    </w:rPr>
  </w:style>
  <w:style w:type="character" w:customStyle="1" w:styleId="98">
    <w:name w:val="nth-child(2)"/>
    <w:basedOn w:val="28"/>
    <w:qFormat/>
    <w:uiPriority w:val="0"/>
  </w:style>
  <w:style w:type="character" w:customStyle="1" w:styleId="99">
    <w:name w:val="tmpztreemove_arrow"/>
    <w:basedOn w:val="28"/>
    <w:qFormat/>
    <w:uiPriority w:val="0"/>
  </w:style>
  <w:style w:type="character" w:customStyle="1" w:styleId="100">
    <w:name w:val="ant-tree-iconele"/>
    <w:basedOn w:val="28"/>
    <w:qFormat/>
    <w:uiPriority w:val="0"/>
  </w:style>
  <w:style w:type="character" w:customStyle="1" w:styleId="101">
    <w:name w:val="first-of-type"/>
    <w:basedOn w:val="28"/>
    <w:qFormat/>
    <w:uiPriority w:val="0"/>
    <w:rPr>
      <w:color w:val="FF0000"/>
    </w:rPr>
  </w:style>
  <w:style w:type="character" w:customStyle="1" w:styleId="102">
    <w:name w:val="first-of-type1"/>
    <w:basedOn w:val="28"/>
    <w:qFormat/>
    <w:uiPriority w:val="0"/>
    <w:rPr>
      <w:color w:val="FF0000"/>
    </w:rPr>
  </w:style>
  <w:style w:type="character" w:customStyle="1" w:styleId="103">
    <w:name w:val="first-of-type2"/>
    <w:basedOn w:val="28"/>
    <w:qFormat/>
    <w:uiPriority w:val="0"/>
    <w:rPr>
      <w:color w:val="FF0000"/>
    </w:rPr>
  </w:style>
  <w:style w:type="character" w:customStyle="1" w:styleId="104">
    <w:name w:val="ant-tree-switcher16"/>
    <w:basedOn w:val="28"/>
    <w:qFormat/>
    <w:uiPriority w:val="0"/>
  </w:style>
  <w:style w:type="character" w:customStyle="1" w:styleId="105">
    <w:name w:val="ant-tree-checkbox5"/>
    <w:basedOn w:val="28"/>
    <w:qFormat/>
    <w:uiPriority w:val="0"/>
  </w:style>
  <w:style w:type="character" w:customStyle="1" w:styleId="106">
    <w:name w:val="first-child2"/>
    <w:basedOn w:val="28"/>
    <w:qFormat/>
    <w:uiPriority w:val="0"/>
    <w:rPr>
      <w:color w:val="999999"/>
      <w:sz w:val="33"/>
      <w:szCs w:val="33"/>
    </w:rPr>
  </w:style>
  <w:style w:type="character" w:customStyle="1" w:styleId="107">
    <w:name w:val="first-child3"/>
    <w:basedOn w:val="28"/>
    <w:qFormat/>
    <w:uiPriority w:val="0"/>
  </w:style>
  <w:style w:type="character" w:customStyle="1" w:styleId="108">
    <w:name w:val="first-child4"/>
    <w:basedOn w:val="28"/>
    <w:qFormat/>
    <w:uiPriority w:val="0"/>
  </w:style>
  <w:style w:type="character" w:customStyle="1" w:styleId="109">
    <w:name w:val="top-label"/>
    <w:basedOn w:val="28"/>
    <w:qFormat/>
    <w:uiPriority w:val="0"/>
  </w:style>
  <w:style w:type="character" w:customStyle="1" w:styleId="110">
    <w:name w:val="wea-dropdown-triangle2"/>
    <w:basedOn w:val="28"/>
    <w:qFormat/>
    <w:uiPriority w:val="0"/>
  </w:style>
  <w:style w:type="character" w:customStyle="1" w:styleId="111">
    <w:name w:val="isrevision"/>
    <w:basedOn w:val="28"/>
    <w:qFormat/>
    <w:uiPriority w:val="0"/>
    <w:rPr>
      <w:color w:val="000000"/>
      <w:sz w:val="18"/>
      <w:szCs w:val="18"/>
      <w:bdr w:val="single" w:color="E9E9E9" w:sz="6" w:space="0"/>
      <w:shd w:val="clear" w:color="auto" w:fill="FFFFFF"/>
    </w:rPr>
  </w:style>
  <w:style w:type="character" w:customStyle="1" w:styleId="112">
    <w:name w:val="first-child"/>
    <w:basedOn w:val="28"/>
    <w:qFormat/>
    <w:uiPriority w:val="0"/>
    <w:rPr>
      <w:color w:val="999999"/>
      <w:sz w:val="33"/>
      <w:szCs w:val="33"/>
    </w:rPr>
  </w:style>
  <w:style w:type="character" w:customStyle="1" w:styleId="113">
    <w:name w:val="first-child1"/>
    <w:basedOn w:val="28"/>
    <w:qFormat/>
    <w:uiPriority w:val="0"/>
  </w:style>
  <w:style w:type="character" w:customStyle="1" w:styleId="114">
    <w:name w:val="ant-select-tree-checkbox2"/>
    <w:basedOn w:val="28"/>
    <w:qFormat/>
    <w:uiPriority w:val="0"/>
  </w:style>
  <w:style w:type="character" w:customStyle="1" w:styleId="115">
    <w:name w:val="label16"/>
    <w:basedOn w:val="28"/>
    <w:qFormat/>
    <w:uiPriority w:val="0"/>
  </w:style>
  <w:style w:type="character" w:customStyle="1" w:styleId="116">
    <w:name w:val="label17"/>
    <w:basedOn w:val="28"/>
    <w:qFormat/>
    <w:uiPriority w:val="0"/>
  </w:style>
  <w:style w:type="character" w:customStyle="1" w:styleId="117">
    <w:name w:val="disabled"/>
    <w:basedOn w:val="28"/>
    <w:qFormat/>
    <w:uiPriority w:val="0"/>
    <w:rPr>
      <w:color w:val="AAAAAA"/>
      <w:shd w:val="clear" w:color="auto" w:fill="F7F7F7"/>
    </w:rPr>
  </w:style>
  <w:style w:type="character" w:customStyle="1" w:styleId="118">
    <w:name w:val="nth-child(2)2"/>
    <w:basedOn w:val="28"/>
    <w:qFormat/>
    <w:uiPriority w:val="0"/>
  </w:style>
  <w:style w:type="character" w:customStyle="1" w:styleId="119">
    <w:name w:val="ant-tree-checkbox6"/>
    <w:basedOn w:val="28"/>
    <w:qFormat/>
    <w:uiPriority w:val="0"/>
  </w:style>
  <w:style w:type="character" w:customStyle="1" w:styleId="120">
    <w:name w:val="hover40"/>
    <w:basedOn w:val="28"/>
    <w:qFormat/>
    <w:uiPriority w:val="0"/>
    <w:rPr>
      <w:color w:val="009DFF"/>
    </w:rPr>
  </w:style>
  <w:style w:type="character" w:customStyle="1" w:styleId="121">
    <w:name w:val="hover41"/>
    <w:basedOn w:val="28"/>
    <w:qFormat/>
    <w:uiPriority w:val="0"/>
    <w:rPr>
      <w:color w:val="009DFF"/>
    </w:rPr>
  </w:style>
  <w:style w:type="character" w:customStyle="1" w:styleId="122">
    <w:name w:val="last-child"/>
    <w:basedOn w:val="28"/>
    <w:qFormat/>
    <w:uiPriority w:val="0"/>
  </w:style>
  <w:style w:type="character" w:customStyle="1" w:styleId="123">
    <w:name w:val="wea-dropdown-triangle"/>
    <w:basedOn w:val="28"/>
    <w:qFormat/>
    <w:uiPriority w:val="0"/>
  </w:style>
  <w:style w:type="character" w:customStyle="1" w:styleId="124">
    <w:name w:val="ant-tree-checkbox"/>
    <w:basedOn w:val="28"/>
    <w:qFormat/>
    <w:uiPriority w:val="0"/>
  </w:style>
  <w:style w:type="character" w:customStyle="1" w:styleId="125">
    <w:name w:val="ant-table-row-expand-icon3"/>
    <w:basedOn w:val="28"/>
    <w:qFormat/>
    <w:uiPriority w:val="0"/>
    <w:rPr>
      <w:vanish/>
    </w:rPr>
  </w:style>
  <w:style w:type="character" w:customStyle="1" w:styleId="126">
    <w:name w:val="ant-table-row-expand-icon4"/>
    <w:basedOn w:val="28"/>
    <w:qFormat/>
    <w:uiPriority w:val="0"/>
    <w:rPr>
      <w:vanish/>
    </w:rPr>
  </w:style>
  <w:style w:type="character" w:customStyle="1" w:styleId="127">
    <w:name w:val="ant-tree-checkbox8"/>
    <w:basedOn w:val="28"/>
    <w:qFormat/>
    <w:uiPriority w:val="0"/>
  </w:style>
  <w:style w:type="character" w:customStyle="1" w:styleId="128">
    <w:name w:val="ant-tree-switcher"/>
    <w:basedOn w:val="28"/>
    <w:qFormat/>
    <w:uiPriority w:val="0"/>
  </w:style>
  <w:style w:type="character" w:customStyle="1" w:styleId="129">
    <w:name w:val="ant-tree-switcher15"/>
    <w:basedOn w:val="28"/>
    <w:qFormat/>
    <w:uiPriority w:val="0"/>
  </w:style>
  <w:style w:type="character" w:customStyle="1" w:styleId="130">
    <w:name w:val="ant-tree-switcher14"/>
    <w:basedOn w:val="28"/>
    <w:qFormat/>
    <w:uiPriority w:val="0"/>
  </w:style>
  <w:style w:type="character" w:customStyle="1" w:styleId="131">
    <w:name w:val="cke_path_empty2"/>
    <w:basedOn w:val="28"/>
    <w:qFormat/>
    <w:uiPriority w:val="0"/>
    <w:rPr>
      <w:b/>
      <w:bCs/>
      <w:color w:val="484848"/>
      <w:sz w:val="16"/>
      <w:szCs w:val="16"/>
      <w:u w:val="none"/>
    </w:rPr>
  </w:style>
  <w:style w:type="character" w:customStyle="1" w:styleId="132">
    <w:name w:val="cke_colorbox"/>
    <w:basedOn w:val="28"/>
    <w:qFormat/>
    <w:uiPriority w:val="0"/>
  </w:style>
  <w:style w:type="character" w:customStyle="1" w:styleId="133">
    <w:name w:val="cke_colorbox1"/>
    <w:basedOn w:val="28"/>
    <w:qFormat/>
    <w:uiPriority w:val="0"/>
  </w:style>
  <w:style w:type="character" w:customStyle="1" w:styleId="134">
    <w:name w:val="cke_colorbox2"/>
    <w:basedOn w:val="28"/>
    <w:qFormat/>
    <w:uiPriority w:val="0"/>
    <w:rPr>
      <w:bdr w:val="single" w:color="808080" w:sz="6" w:space="0"/>
    </w:rPr>
  </w:style>
  <w:style w:type="character" w:customStyle="1" w:styleId="135">
    <w:name w:val="cke_notification_progress"/>
    <w:basedOn w:val="28"/>
    <w:qFormat/>
    <w:uiPriority w:val="0"/>
    <w:rPr>
      <w:shd w:val="clear" w:color="auto" w:fill="0F74A8"/>
    </w:rPr>
  </w:style>
  <w:style w:type="character" w:customStyle="1" w:styleId="136">
    <w:name w:val="cke_dialog_ui_button2"/>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145</Pages>
  <Words>3596</Words>
  <Characters>4495</Characters>
  <Lines>3465</Lines>
  <Paragraphs>3545</Paragraphs>
  <TotalTime>24</TotalTime>
  <ScaleCrop>false</ScaleCrop>
  <LinksUpToDate>false</LinksUpToDate>
  <CharactersWithSpaces>4548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2026-05-18T07:26:00Z</dcterms:created>
  <dc:creator>KWZB</dc:creator>
  <cp:lastModifiedBy>admin</cp:lastModifiedBy>
  <cp:lastPrinted>2025-10-29T08:37:00Z</cp:lastPrinted>
  <dcterms:modified xsi:type="dcterms:W3CDTF">2026-05-29T08:40:46Z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5B3F52D3C60344E393811453F3E28E83_13</vt:lpwstr>
  </property>
  <property fmtid="{D5CDD505-2E9C-101B-9397-08002B2CF9AE}" pid="4" name="KSOTemplateDocerSaveRecord">
    <vt:lpwstr>eyJoZGlkIjoiMjczZDhjOWEyNjU2ZjgxYWNiZjBlYTc2NGMzZWFmZWEiLCJ1c2VySWQiOiI3MDU4MzI3MjMifQ==</vt:lpwstr>
  </property>
</Properties>
</file>