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158E49">
      <w:pPr>
        <w:widowControl/>
        <w:spacing w:line="360" w:lineRule="auto"/>
        <w:jc w:val="center"/>
        <w:rPr>
          <w:rFonts w:hint="eastAsia" w:asciiTheme="minorEastAsia" w:hAnsiTheme="minorEastAsia" w:eastAsiaTheme="minorEastAsia" w:cstheme="minorEastAsia"/>
          <w:color w:val="auto"/>
          <w:kern w:val="0"/>
          <w:szCs w:val="21"/>
        </w:rPr>
      </w:pPr>
    </w:p>
    <w:p w14:paraId="5222BED2">
      <w:pPr>
        <w:widowControl/>
        <w:spacing w:line="360" w:lineRule="auto"/>
        <w:jc w:val="center"/>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drawing>
          <wp:anchor distT="0" distB="0" distL="114300" distR="114300" simplePos="0" relativeHeight="251663360" behindDoc="0" locked="0" layoutInCell="1" allowOverlap="1">
            <wp:simplePos x="0" y="0"/>
            <wp:positionH relativeFrom="column">
              <wp:posOffset>109855</wp:posOffset>
            </wp:positionH>
            <wp:positionV relativeFrom="paragraph">
              <wp:posOffset>151765</wp:posOffset>
            </wp:positionV>
            <wp:extent cx="5419725" cy="1200150"/>
            <wp:effectExtent l="0" t="0" r="9525" b="0"/>
            <wp:wrapNone/>
            <wp:docPr id="5" name="图片 2" descr="I:\03★工作★（硬盘）\2018年项目-2022年项目-招标\5、2022年项目\（2.28投标入库）南宁轨道地产集团有限责任公司2022-2025年招标代理服务\招标公司-名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03★工作★（硬盘）\2018年项目-2022年项目-招标\5、2022年项目\（2.28投标入库）南宁轨道地产集团有限责任公司2022-2025年招标代理服务\招标公司-名称.png"/>
                    <pic:cNvPicPr>
                      <a:picLocks noChangeAspect="1"/>
                    </pic:cNvPicPr>
                  </pic:nvPicPr>
                  <pic:blipFill>
                    <a:blip r:embed="rId8"/>
                    <a:srcRect r="6451"/>
                    <a:stretch>
                      <a:fillRect/>
                    </a:stretch>
                  </pic:blipFill>
                  <pic:spPr>
                    <a:xfrm>
                      <a:off x="0" y="0"/>
                      <a:ext cx="5419725" cy="1200150"/>
                    </a:xfrm>
                    <a:prstGeom prst="rect">
                      <a:avLst/>
                    </a:prstGeom>
                    <a:noFill/>
                    <a:ln>
                      <a:noFill/>
                    </a:ln>
                  </pic:spPr>
                </pic:pic>
              </a:graphicData>
            </a:graphic>
          </wp:anchor>
        </w:drawing>
      </w:r>
    </w:p>
    <w:p w14:paraId="20564532">
      <w:pPr>
        <w:widowControl/>
        <w:spacing w:line="360" w:lineRule="auto"/>
        <w:jc w:val="center"/>
        <w:rPr>
          <w:rFonts w:hint="eastAsia" w:asciiTheme="minorEastAsia" w:hAnsiTheme="minorEastAsia" w:eastAsiaTheme="minorEastAsia" w:cstheme="minorEastAsia"/>
          <w:color w:val="auto"/>
          <w:kern w:val="0"/>
          <w:szCs w:val="21"/>
        </w:rPr>
      </w:pPr>
    </w:p>
    <w:p w14:paraId="53CDC091">
      <w:pPr>
        <w:spacing w:line="360" w:lineRule="auto"/>
        <w:jc w:val="center"/>
        <w:rPr>
          <w:rFonts w:hint="eastAsia" w:asciiTheme="minorEastAsia" w:hAnsiTheme="minorEastAsia" w:eastAsiaTheme="minorEastAsia" w:cstheme="minorEastAsia"/>
          <w:b/>
          <w:color w:val="auto"/>
          <w:kern w:val="0"/>
          <w:sz w:val="44"/>
          <w:szCs w:val="44"/>
        </w:rPr>
      </w:pPr>
    </w:p>
    <w:p w14:paraId="7EFF91CE">
      <w:pPr>
        <w:spacing w:line="360" w:lineRule="auto"/>
        <w:jc w:val="center"/>
        <w:rPr>
          <w:rFonts w:hint="eastAsia" w:asciiTheme="minorEastAsia" w:hAnsiTheme="minorEastAsia" w:eastAsiaTheme="minorEastAsia" w:cstheme="minorEastAsia"/>
          <w:b/>
          <w:color w:val="auto"/>
          <w:kern w:val="0"/>
          <w:sz w:val="44"/>
          <w:szCs w:val="44"/>
        </w:rPr>
      </w:pPr>
    </w:p>
    <w:p w14:paraId="214BE0BE">
      <w:pPr>
        <w:spacing w:after="159" w:afterLines="50" w:line="360" w:lineRule="auto"/>
        <w:jc w:val="center"/>
        <w:rPr>
          <w:rFonts w:hint="eastAsia" w:asciiTheme="minorEastAsia" w:hAnsiTheme="minorEastAsia" w:eastAsiaTheme="minorEastAsia" w:cstheme="minorEastAsia"/>
          <w:b/>
          <w:color w:val="auto"/>
          <w:kern w:val="0"/>
          <w:sz w:val="44"/>
          <w:szCs w:val="44"/>
        </w:rPr>
      </w:pPr>
      <w:r>
        <w:rPr>
          <w:rFonts w:hint="eastAsia" w:asciiTheme="minorEastAsia" w:hAnsiTheme="minorEastAsia" w:eastAsiaTheme="minorEastAsia" w:cstheme="minorEastAsia"/>
          <w:b/>
          <w:color w:val="auto"/>
          <w:kern w:val="0"/>
          <w:sz w:val="44"/>
          <w:szCs w:val="44"/>
        </w:rPr>
        <w:t>广西壮族自治区政府采购</w:t>
      </w:r>
    </w:p>
    <w:p w14:paraId="728352F4">
      <w:pPr>
        <w:spacing w:before="120" w:line="360" w:lineRule="auto"/>
        <w:jc w:val="center"/>
        <w:rPr>
          <w:rFonts w:hint="eastAsia" w:asciiTheme="minorEastAsia" w:hAnsiTheme="minorEastAsia" w:eastAsiaTheme="minorEastAsia" w:cstheme="minorEastAsia"/>
          <w:b/>
          <w:color w:val="auto"/>
          <w:spacing w:val="20"/>
          <w:sz w:val="72"/>
          <w:szCs w:val="72"/>
        </w:rPr>
      </w:pPr>
      <w:r>
        <w:rPr>
          <w:rFonts w:hint="eastAsia" w:asciiTheme="minorEastAsia" w:hAnsiTheme="minorEastAsia" w:eastAsiaTheme="minorEastAsia" w:cstheme="minorEastAsia"/>
          <w:color w:val="auto"/>
          <w:kern w:val="0"/>
          <w:sz w:val="20"/>
          <w:szCs w:val="21"/>
        </w:rPr>
        <mc:AlternateContent>
          <mc:Choice Requires="wps">
            <w:drawing>
              <wp:anchor distT="0" distB="0" distL="114300" distR="114300" simplePos="0" relativeHeight="251662336" behindDoc="0" locked="0" layoutInCell="1" allowOverlap="1">
                <wp:simplePos x="0" y="0"/>
                <wp:positionH relativeFrom="column">
                  <wp:posOffset>342900</wp:posOffset>
                </wp:positionH>
                <wp:positionV relativeFrom="paragraph">
                  <wp:posOffset>1270</wp:posOffset>
                </wp:positionV>
                <wp:extent cx="5209540" cy="0"/>
                <wp:effectExtent l="0" t="28575" r="10160" b="28575"/>
                <wp:wrapNone/>
                <wp:docPr id="6" name="直接箭头连接符 6"/>
                <wp:cNvGraphicFramePr/>
                <a:graphic xmlns:a="http://schemas.openxmlformats.org/drawingml/2006/main">
                  <a:graphicData uri="http://schemas.microsoft.com/office/word/2010/wordprocessingShape">
                    <wps:wsp>
                      <wps:cNvCnPr>
                        <a:cxnSpLocks noChangeShapeType="1"/>
                      </wps:cNvCnPr>
                      <wps:spPr bwMode="auto">
                        <a:xfrm>
                          <a:off x="0" y="0"/>
                          <a:ext cx="5209540" cy="0"/>
                        </a:xfrm>
                        <a:prstGeom prst="straightConnector1">
                          <a:avLst/>
                        </a:prstGeom>
                        <a:noFill/>
                        <a:ln w="57150" cmpd="thinThick">
                          <a:solidFill>
                            <a:srgbClr val="000000"/>
                          </a:solidFill>
                          <a:round/>
                        </a:ln>
                        <a:effectLst/>
                      </wps:spPr>
                      <wps:bodyPr/>
                    </wps:wsp>
                  </a:graphicData>
                </a:graphic>
              </wp:anchor>
            </w:drawing>
          </mc:Choice>
          <mc:Fallback>
            <w:pict>
              <v:shape id="_x0000_s1026" o:spid="_x0000_s1026" o:spt="32" type="#_x0000_t32" style="position:absolute;left:0pt;margin-left:27pt;margin-top:0.1pt;height:0pt;width:410.2pt;z-index:251662336;mso-width-relative:page;mso-height-relative:page;" filled="f" stroked="t" coordsize="21600,21600" o:gfxdata="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pC/b0QAAAAQBAAAPAAAAAAAAAAEAIAAAACIAAABkcnMvZG93bnJl&#10;di54bWxQSwECFAAUAAAACACHTuJA15xNNwQCAADeAwAADgAAAAAAAAABACAAAAAgAQAAZHJzL2Uy&#10;b0RvYy54bWxQSwUGAAAAAAYABgBZAQAAlgUAAAAA&#10;">
                <v:fill on="f" focussize="0,0"/>
                <v:stroke weight="4.5pt" color="#000000" linestyle="thinThick" joinstyle="round"/>
                <v:imagedata o:title=""/>
                <o:lock v:ext="edit" aspectratio="f"/>
              </v:shape>
            </w:pict>
          </mc:Fallback>
        </mc:AlternateContent>
      </w:r>
      <w:r>
        <w:rPr>
          <w:rFonts w:hint="eastAsia" w:asciiTheme="minorEastAsia" w:hAnsiTheme="minorEastAsia" w:eastAsiaTheme="minorEastAsia" w:cstheme="minorEastAsia"/>
          <w:b/>
          <w:color w:val="auto"/>
          <w:spacing w:val="20"/>
          <w:sz w:val="72"/>
          <w:szCs w:val="72"/>
        </w:rPr>
        <w:t>竞争性谈判采购文件</w:t>
      </w:r>
    </w:p>
    <w:p w14:paraId="1009C8C3">
      <w:pPr>
        <w:jc w:val="center"/>
        <w:rPr>
          <w:rFonts w:hint="eastAsia" w:asciiTheme="minorEastAsia" w:hAnsiTheme="minorEastAsia" w:eastAsiaTheme="minorEastAsia" w:cstheme="minorEastAsia"/>
          <w:b/>
          <w:color w:val="auto"/>
          <w:sz w:val="40"/>
          <w:szCs w:val="32"/>
          <w:lang w:eastAsia="zh-CN"/>
        </w:rPr>
      </w:pPr>
      <w:r>
        <w:rPr>
          <w:rFonts w:hint="eastAsia" w:asciiTheme="minorEastAsia" w:hAnsiTheme="minorEastAsia" w:eastAsiaTheme="minorEastAsia" w:cstheme="minorEastAsia"/>
          <w:b/>
          <w:color w:val="auto"/>
          <w:sz w:val="40"/>
          <w:szCs w:val="32"/>
        </w:rPr>
        <w:t>（货物类</w:t>
      </w:r>
      <w:r>
        <w:rPr>
          <w:rFonts w:hint="eastAsia" w:asciiTheme="minorEastAsia" w:hAnsiTheme="minorEastAsia" w:eastAsiaTheme="minorEastAsia" w:cstheme="minorEastAsia"/>
          <w:b/>
          <w:color w:val="auto"/>
          <w:sz w:val="40"/>
          <w:szCs w:val="32"/>
          <w:lang w:eastAsia="zh-CN"/>
        </w:rPr>
        <w:t>）</w:t>
      </w:r>
    </w:p>
    <w:p w14:paraId="46ECD930">
      <w:pPr>
        <w:jc w:val="center"/>
        <w:rPr>
          <w:rFonts w:hint="eastAsia" w:asciiTheme="minorEastAsia" w:hAnsiTheme="minorEastAsia" w:eastAsiaTheme="minorEastAsia" w:cstheme="minorEastAsia"/>
          <w:color w:val="auto"/>
          <w:sz w:val="40"/>
          <w:szCs w:val="32"/>
        </w:rPr>
      </w:pPr>
    </w:p>
    <w:p w14:paraId="402E918D">
      <w:pPr>
        <w:jc w:val="center"/>
        <w:rPr>
          <w:rFonts w:hint="eastAsia" w:asciiTheme="minorEastAsia" w:hAnsiTheme="minorEastAsia" w:eastAsiaTheme="minorEastAsia" w:cstheme="minorEastAsia"/>
          <w:color w:val="auto"/>
          <w:sz w:val="40"/>
          <w:szCs w:val="32"/>
          <w:lang w:eastAsia="zh-CN"/>
        </w:rPr>
      </w:pPr>
      <w:r>
        <w:rPr>
          <w:rFonts w:hint="eastAsia" w:asciiTheme="minorEastAsia" w:hAnsiTheme="minorEastAsia" w:eastAsiaTheme="minorEastAsia" w:cstheme="minorEastAsia"/>
          <w:color w:val="auto"/>
          <w:sz w:val="40"/>
          <w:szCs w:val="32"/>
        </w:rPr>
        <w:t>（全流程电子化评标</w:t>
      </w:r>
      <w:r>
        <w:rPr>
          <w:rFonts w:hint="eastAsia" w:asciiTheme="minorEastAsia" w:hAnsiTheme="minorEastAsia" w:eastAsiaTheme="minorEastAsia" w:cstheme="minorEastAsia"/>
          <w:color w:val="auto"/>
          <w:sz w:val="40"/>
          <w:szCs w:val="32"/>
          <w:lang w:eastAsia="zh-CN"/>
        </w:rPr>
        <w:t>）</w:t>
      </w:r>
    </w:p>
    <w:p w14:paraId="62B12DB1">
      <w:pPr>
        <w:spacing w:line="360" w:lineRule="auto"/>
        <w:jc w:val="center"/>
        <w:rPr>
          <w:rFonts w:hint="eastAsia" w:asciiTheme="minorEastAsia" w:hAnsiTheme="minorEastAsia" w:eastAsiaTheme="minorEastAsia" w:cstheme="minorEastAsia"/>
          <w:b/>
          <w:color w:val="auto"/>
          <w:sz w:val="32"/>
          <w:szCs w:val="32"/>
        </w:rPr>
      </w:pPr>
    </w:p>
    <w:p w14:paraId="440F9A41">
      <w:pPr>
        <w:spacing w:before="120" w:line="360" w:lineRule="auto"/>
        <w:ind w:left="2866" w:leftChars="600" w:hanging="1606" w:hangingChars="500"/>
        <w:jc w:val="left"/>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rPr>
        <w:t>项目名称：</w:t>
      </w:r>
      <w:r>
        <w:rPr>
          <w:rFonts w:hint="eastAsia" w:asciiTheme="minorEastAsia" w:hAnsiTheme="minorEastAsia" w:eastAsiaTheme="minorEastAsia" w:cstheme="minorEastAsia"/>
          <w:b/>
          <w:color w:val="auto"/>
          <w:sz w:val="32"/>
          <w:szCs w:val="32"/>
          <w:lang w:eastAsia="zh-CN"/>
        </w:rPr>
        <w:t>灵山县人民医院柴油发电机组采购</w:t>
      </w:r>
    </w:p>
    <w:p w14:paraId="2B32793C">
      <w:pPr>
        <w:spacing w:before="120" w:line="360" w:lineRule="auto"/>
        <w:ind w:left="1260" w:leftChars="600"/>
        <w:jc w:val="left"/>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rPr>
        <w:t>项目编号：</w:t>
      </w:r>
      <w:r>
        <w:rPr>
          <w:rFonts w:hint="eastAsia" w:asciiTheme="minorEastAsia" w:hAnsiTheme="minorEastAsia" w:eastAsiaTheme="minorEastAsia" w:cstheme="minorEastAsia"/>
          <w:b/>
          <w:color w:val="auto"/>
          <w:sz w:val="32"/>
          <w:szCs w:val="32"/>
          <w:highlight w:val="none"/>
          <w:lang w:eastAsia="zh-CN"/>
        </w:rPr>
        <w:t>QZZC2026-J1-210040-JGJD</w:t>
      </w:r>
    </w:p>
    <w:p w14:paraId="448C655A">
      <w:pPr>
        <w:snapToGrid w:val="0"/>
        <w:spacing w:before="120" w:after="120" w:line="360" w:lineRule="auto"/>
        <w:rPr>
          <w:rFonts w:hint="eastAsia" w:asciiTheme="minorEastAsia" w:hAnsiTheme="minorEastAsia" w:eastAsiaTheme="minorEastAsia" w:cstheme="minorEastAsia"/>
          <w:b/>
          <w:bCs/>
          <w:color w:val="auto"/>
          <w:w w:val="95"/>
          <w:sz w:val="30"/>
          <w:szCs w:val="30"/>
        </w:rPr>
      </w:pPr>
    </w:p>
    <w:p w14:paraId="3643AF25">
      <w:pPr>
        <w:snapToGrid w:val="0"/>
        <w:spacing w:before="120" w:after="120" w:line="360" w:lineRule="auto"/>
        <w:rPr>
          <w:rFonts w:hint="eastAsia" w:asciiTheme="minorEastAsia" w:hAnsiTheme="minorEastAsia" w:eastAsiaTheme="minorEastAsia" w:cstheme="minorEastAsia"/>
          <w:b/>
          <w:bCs/>
          <w:color w:val="auto"/>
          <w:w w:val="95"/>
          <w:sz w:val="30"/>
          <w:szCs w:val="30"/>
        </w:rPr>
      </w:pPr>
    </w:p>
    <w:p w14:paraId="6F84740E">
      <w:pPr>
        <w:spacing w:line="360" w:lineRule="auto"/>
        <w:ind w:firstLine="643" w:firstLineChars="200"/>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rPr>
        <w:t>采购单位：</w:t>
      </w:r>
      <w:r>
        <w:rPr>
          <w:rFonts w:hint="eastAsia" w:asciiTheme="minorEastAsia" w:hAnsiTheme="minorEastAsia" w:eastAsiaTheme="minorEastAsia" w:cstheme="minorEastAsia"/>
          <w:b/>
          <w:color w:val="auto"/>
          <w:sz w:val="32"/>
          <w:szCs w:val="32"/>
          <w:lang w:eastAsia="zh-CN"/>
        </w:rPr>
        <w:t>灵山县人民医院</w:t>
      </w:r>
    </w:p>
    <w:p w14:paraId="74FC4A01">
      <w:pPr>
        <w:spacing w:line="600" w:lineRule="auto"/>
        <w:ind w:firstLine="1043" w:firstLineChars="200"/>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pacing w:val="100"/>
          <w:sz w:val="32"/>
          <w:szCs w:val="32"/>
        </w:rPr>
        <mc:AlternateContent>
          <mc:Choice Requires="wps">
            <w:drawing>
              <wp:anchor distT="0" distB="0" distL="114300" distR="114300" simplePos="0" relativeHeight="251661312" behindDoc="0" locked="0" layoutInCell="1" allowOverlap="1">
                <wp:simplePos x="0" y="0"/>
                <wp:positionH relativeFrom="column">
                  <wp:posOffset>304800</wp:posOffset>
                </wp:positionH>
                <wp:positionV relativeFrom="paragraph">
                  <wp:posOffset>464185</wp:posOffset>
                </wp:positionV>
                <wp:extent cx="5257800" cy="0"/>
                <wp:effectExtent l="0" t="28575" r="0" b="28575"/>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57150" cmpd="thinThick">
                          <a:solidFill>
                            <a:srgbClr val="000000"/>
                          </a:solidFill>
                          <a:round/>
                        </a:ln>
                        <a:effectLst/>
                      </wps:spPr>
                      <wps:bodyPr/>
                    </wps:wsp>
                  </a:graphicData>
                </a:graphic>
              </wp:anchor>
            </w:drawing>
          </mc:Choice>
          <mc:Fallback>
            <w:pict>
              <v:line id="_x0000_s1026" o:spid="_x0000_s1026" o:spt="20" style="position:absolute;left:0pt;margin-left:24pt;margin-top:36.55pt;height:0pt;width:414pt;z-index:251661312;mso-width-relative:page;mso-height-relative:page;" filled="f" stroked="t" coordsize="21600,21600" o:gfxdata="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e25a2AAAAAgBAAAPAAAAAAAAAAEAIAAAACIAAABkcnMvZG93bnJldi54bWxQSwEC&#10;FAAUAAAACACHTuJA3vSUb/QBAADKAwAADgAAAAAAAAABACAAAAAnAQAAZHJzL2Uyb0RvYy54bWxQ&#10;SwUGAAAAAAYABgBZAQAAjQUAAAAA&#10;">
                <v:fill on="f" focussize="0,0"/>
                <v:stroke weight="4.5pt" color="#000000" linestyle="thinThick" joinstyle="round"/>
                <v:imagedata o:title=""/>
                <o:lock v:ext="edit" aspectratio="f"/>
              </v:line>
            </w:pict>
          </mc:Fallback>
        </mc:AlternateContent>
      </w:r>
      <w:r>
        <w:rPr>
          <w:rFonts w:hint="eastAsia" w:asciiTheme="minorEastAsia" w:hAnsiTheme="minorEastAsia" w:eastAsiaTheme="minorEastAsia" w:cstheme="minorEastAsia"/>
          <w:b/>
          <w:color w:val="auto"/>
          <w:sz w:val="32"/>
          <w:szCs w:val="32"/>
        </w:rPr>
        <w:t>采购代理机构：广西建设工程机电设备招标中心有限公司</w:t>
      </w:r>
    </w:p>
    <w:p w14:paraId="12CB6C3E">
      <w:pPr>
        <w:pStyle w:val="14"/>
        <w:jc w:val="center"/>
        <w:rPr>
          <w:rFonts w:hint="eastAsia" w:asciiTheme="minorEastAsia" w:hAnsiTheme="minorEastAsia" w:eastAsiaTheme="minorEastAsia" w:cstheme="minorEastAsia"/>
          <w:b/>
          <w:bCs/>
          <w:color w:val="auto"/>
          <w:sz w:val="72"/>
          <w:szCs w:val="72"/>
          <w:lang w:eastAsia="zh-CN"/>
        </w:rPr>
      </w:pPr>
      <w:r>
        <w:rPr>
          <w:rFonts w:hint="eastAsia" w:asciiTheme="minorEastAsia" w:hAnsiTheme="minorEastAsia" w:eastAsiaTheme="minorEastAsia" w:cstheme="minorEastAsia"/>
          <w:b/>
          <w:color w:val="auto"/>
          <w:sz w:val="32"/>
          <w:szCs w:val="32"/>
        </w:rPr>
        <w:t>日期：</w:t>
      </w:r>
      <w:r>
        <w:rPr>
          <w:rFonts w:hint="eastAsia" w:asciiTheme="minorEastAsia" w:hAnsiTheme="minorEastAsia" w:eastAsiaTheme="minorEastAsia" w:cstheme="minorEastAsia"/>
          <w:b/>
          <w:color w:val="auto"/>
          <w:sz w:val="32"/>
          <w:szCs w:val="32"/>
          <w:lang w:eastAsia="zh-CN"/>
        </w:rPr>
        <w:t>2026年</w:t>
      </w:r>
      <w:r>
        <w:rPr>
          <w:rFonts w:hint="eastAsia" w:asciiTheme="minorEastAsia" w:hAnsiTheme="minorEastAsia" w:eastAsiaTheme="minorEastAsia" w:cstheme="minorEastAsia"/>
          <w:b/>
          <w:color w:val="auto"/>
          <w:sz w:val="32"/>
          <w:szCs w:val="32"/>
          <w:lang w:val="en-US" w:eastAsia="zh-CN"/>
        </w:rPr>
        <w:t>5</w:t>
      </w:r>
      <w:r>
        <w:rPr>
          <w:rFonts w:hint="eastAsia" w:asciiTheme="minorEastAsia" w:hAnsiTheme="minorEastAsia" w:eastAsiaTheme="minorEastAsia" w:cstheme="minorEastAsia"/>
          <w:b/>
          <w:color w:val="auto"/>
          <w:sz w:val="32"/>
          <w:szCs w:val="32"/>
          <w:lang w:eastAsia="zh-CN"/>
        </w:rPr>
        <w:t>月</w:t>
      </w:r>
      <w:r>
        <w:rPr>
          <w:rFonts w:hint="eastAsia" w:asciiTheme="minorEastAsia" w:hAnsiTheme="minorEastAsia" w:eastAsiaTheme="minorEastAsia" w:cstheme="minorEastAsia"/>
          <w:b/>
          <w:color w:val="auto"/>
          <w:sz w:val="32"/>
          <w:szCs w:val="32"/>
          <w:lang w:val="en-US" w:eastAsia="zh-CN"/>
        </w:rPr>
        <w:t>20</w:t>
      </w:r>
      <w:r>
        <w:rPr>
          <w:rFonts w:hint="eastAsia" w:asciiTheme="minorEastAsia" w:hAnsiTheme="minorEastAsia" w:eastAsiaTheme="minorEastAsia" w:cstheme="minorEastAsia"/>
          <w:b/>
          <w:color w:val="auto"/>
          <w:sz w:val="32"/>
          <w:szCs w:val="32"/>
          <w:lang w:eastAsia="zh-CN"/>
        </w:rPr>
        <w:t>日</w:t>
      </w:r>
    </w:p>
    <w:p w14:paraId="75715582">
      <w:pPr>
        <w:snapToGrid w:val="0"/>
        <w:spacing w:line="360" w:lineRule="auto"/>
        <w:rPr>
          <w:rFonts w:hint="eastAsia" w:asciiTheme="minorEastAsia" w:hAnsiTheme="minorEastAsia" w:eastAsiaTheme="minorEastAsia" w:cstheme="minorEastAsia"/>
          <w:color w:val="auto"/>
          <w:sz w:val="30"/>
          <w:szCs w:val="72"/>
        </w:rPr>
      </w:pPr>
    </w:p>
    <w:p w14:paraId="5A45F2FD">
      <w:pPr>
        <w:spacing w:line="360" w:lineRule="auto"/>
        <w:rPr>
          <w:rFonts w:hint="eastAsia" w:asciiTheme="minorEastAsia" w:hAnsiTheme="minorEastAsia" w:eastAsiaTheme="minorEastAsia" w:cstheme="minorEastAsia"/>
          <w:b/>
          <w:color w:val="auto"/>
          <w:sz w:val="44"/>
          <w:szCs w:val="44"/>
        </w:rPr>
      </w:pPr>
    </w:p>
    <w:p w14:paraId="77CEB590">
      <w:pPr>
        <w:spacing w:line="360" w:lineRule="auto"/>
        <w:rPr>
          <w:rFonts w:hint="eastAsia" w:asciiTheme="minorEastAsia" w:hAnsiTheme="minorEastAsia" w:eastAsiaTheme="minorEastAsia" w:cstheme="minorEastAsia"/>
          <w:b/>
          <w:color w:val="auto"/>
          <w:sz w:val="44"/>
          <w:szCs w:val="44"/>
        </w:rPr>
      </w:pPr>
    </w:p>
    <w:p w14:paraId="3097BBA2">
      <w:pPr>
        <w:rPr>
          <w:rFonts w:hint="eastAsia" w:asciiTheme="minorEastAsia" w:hAnsiTheme="minorEastAsia" w:eastAsiaTheme="minorEastAsia" w:cstheme="minorEastAsia"/>
          <w:b/>
          <w:color w:val="auto"/>
          <w:sz w:val="44"/>
          <w:szCs w:val="44"/>
        </w:rPr>
      </w:pPr>
      <w:r>
        <w:rPr>
          <w:rFonts w:hint="eastAsia" w:asciiTheme="minorEastAsia" w:hAnsiTheme="minorEastAsia" w:eastAsiaTheme="minorEastAsia" w:cstheme="minorEastAsia"/>
          <w:b/>
          <w:color w:val="auto"/>
          <w:sz w:val="44"/>
          <w:szCs w:val="44"/>
        </w:rPr>
        <w:br w:type="page"/>
      </w:r>
    </w:p>
    <w:p w14:paraId="20E8699F">
      <w:pPr>
        <w:spacing w:line="360" w:lineRule="auto"/>
        <w:jc w:val="center"/>
        <w:rPr>
          <w:rFonts w:hint="eastAsia" w:asciiTheme="minorEastAsia" w:hAnsiTheme="minorEastAsia" w:eastAsiaTheme="minorEastAsia" w:cstheme="minorEastAsia"/>
          <w:b/>
          <w:color w:val="auto"/>
          <w:sz w:val="44"/>
          <w:szCs w:val="44"/>
        </w:rPr>
      </w:pPr>
      <w:r>
        <w:rPr>
          <w:rFonts w:hint="eastAsia" w:asciiTheme="minorEastAsia" w:hAnsiTheme="minorEastAsia" w:eastAsiaTheme="minorEastAsia" w:cstheme="minorEastAsia"/>
          <w:b/>
          <w:color w:val="auto"/>
          <w:sz w:val="44"/>
          <w:szCs w:val="44"/>
        </w:rPr>
        <w:t>目  录</w:t>
      </w:r>
    </w:p>
    <w:p w14:paraId="7A1E2EC3">
      <w:pPr>
        <w:spacing w:line="400" w:lineRule="exact"/>
        <w:jc w:val="center"/>
        <w:rPr>
          <w:rFonts w:hint="eastAsia" w:asciiTheme="minorEastAsia" w:hAnsiTheme="minorEastAsia" w:eastAsiaTheme="minorEastAsia" w:cstheme="minorEastAsia"/>
          <w:b/>
          <w:color w:val="auto"/>
          <w:sz w:val="44"/>
          <w:szCs w:val="44"/>
        </w:rPr>
      </w:pPr>
    </w:p>
    <w:p w14:paraId="0270FEA9">
      <w:pPr>
        <w:pStyle w:val="19"/>
        <w:tabs>
          <w:tab w:val="right" w:leader="dot" w:pos="9071"/>
        </w:tabs>
        <w:ind w:left="0" w:leftChars="0" w:right="0" w:rightChars="0" w:firstLine="0" w:firstLineChars="0"/>
        <w:jc w:val="cente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fldChar w:fldCharType="begin"/>
      </w:r>
      <w:r>
        <w:rPr>
          <w:rFonts w:hint="eastAsia" w:asciiTheme="minorEastAsia" w:hAnsiTheme="minorEastAsia" w:eastAsiaTheme="minorEastAsia" w:cstheme="minorEastAsia"/>
          <w:b/>
          <w:bCs/>
          <w:color w:val="auto"/>
          <w:sz w:val="28"/>
          <w:szCs w:val="28"/>
        </w:rPr>
        <w:instrText xml:space="preserve"> TOC \o "1-3" \h \z \u </w:instrText>
      </w:r>
      <w:r>
        <w:rPr>
          <w:rFonts w:hint="eastAsia" w:asciiTheme="minorEastAsia" w:hAnsiTheme="minorEastAsia" w:eastAsiaTheme="minorEastAsia" w:cstheme="minorEastAsia"/>
          <w:b/>
          <w:bCs/>
          <w:color w:val="auto"/>
          <w:sz w:val="28"/>
          <w:szCs w:val="28"/>
        </w:rPr>
        <w:fldChar w:fldCharType="separate"/>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"_Toc10298"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b/>
          <w:bCs/>
          <w:color w:val="auto"/>
          <w:sz w:val="28"/>
          <w:szCs w:val="28"/>
        </w:rPr>
        <w:t>第一章 竞争性谈判公告</w:t>
      </w:r>
      <w:r>
        <w:rPr>
          <w:rFonts w:hint="eastAsia" w:asciiTheme="minorEastAsia" w:hAnsiTheme="minorEastAsia" w:eastAsiaTheme="minorEastAsia" w:cstheme="minorEastAsia"/>
          <w:b/>
          <w:bCs/>
          <w:color w:val="auto"/>
          <w:sz w:val="28"/>
          <w:szCs w:val="28"/>
        </w:rPr>
        <w:tab/>
      </w:r>
      <w:r>
        <w:rPr>
          <w:rFonts w:hint="eastAsia" w:asciiTheme="minorEastAsia" w:hAnsiTheme="minorEastAsia" w:eastAsiaTheme="minorEastAsia" w:cstheme="minorEastAsia"/>
          <w:b/>
          <w:bCs/>
          <w:color w:val="auto"/>
          <w:sz w:val="28"/>
          <w:szCs w:val="28"/>
        </w:rPr>
        <w:fldChar w:fldCharType="begin"/>
      </w:r>
      <w:r>
        <w:rPr>
          <w:rFonts w:hint="eastAsia" w:asciiTheme="minorEastAsia" w:hAnsiTheme="minorEastAsia" w:eastAsiaTheme="minorEastAsia" w:cstheme="minorEastAsia"/>
          <w:b/>
          <w:bCs/>
          <w:color w:val="auto"/>
          <w:sz w:val="28"/>
          <w:szCs w:val="28"/>
        </w:rPr>
        <w:instrText xml:space="preserve"> PAGEREF _Toc10298 \h </w:instrText>
      </w:r>
      <w:r>
        <w:rPr>
          <w:rFonts w:hint="eastAsia" w:asciiTheme="minorEastAsia" w:hAnsiTheme="minorEastAsia" w:eastAsiaTheme="minorEastAsia" w:cstheme="minorEastAsia"/>
          <w:b/>
          <w:bCs/>
          <w:color w:val="auto"/>
          <w:sz w:val="28"/>
          <w:szCs w:val="28"/>
        </w:rPr>
        <w:fldChar w:fldCharType="separate"/>
      </w:r>
      <w:r>
        <w:rPr>
          <w:rFonts w:hint="eastAsia" w:asciiTheme="minorEastAsia" w:hAnsiTheme="minorEastAsia" w:eastAsiaTheme="minorEastAsia" w:cstheme="minorEastAsia"/>
          <w:b/>
          <w:bCs/>
          <w:color w:val="auto"/>
          <w:sz w:val="28"/>
          <w:szCs w:val="28"/>
        </w:rPr>
        <w:t>1</w:t>
      </w:r>
      <w:r>
        <w:rPr>
          <w:rFonts w:hint="eastAsia" w:asciiTheme="minorEastAsia" w:hAnsiTheme="minorEastAsia" w:eastAsiaTheme="minorEastAsia" w:cstheme="minorEastAsia"/>
          <w:b/>
          <w:bCs/>
          <w:color w:val="auto"/>
          <w:sz w:val="28"/>
          <w:szCs w:val="28"/>
        </w:rPr>
        <w:fldChar w:fldCharType="end"/>
      </w:r>
      <w:r>
        <w:rPr>
          <w:rFonts w:hint="eastAsia" w:asciiTheme="minorEastAsia" w:hAnsiTheme="minorEastAsia" w:eastAsiaTheme="minorEastAsia" w:cstheme="minorEastAsia"/>
          <w:b/>
          <w:bCs/>
          <w:color w:val="auto"/>
          <w:sz w:val="28"/>
          <w:szCs w:val="28"/>
        </w:rPr>
        <w:fldChar w:fldCharType="end"/>
      </w:r>
    </w:p>
    <w:p w14:paraId="50D8AD4A">
      <w:pPr>
        <w:pStyle w:val="19"/>
        <w:tabs>
          <w:tab w:val="right" w:leader="dot" w:pos="9071"/>
        </w:tabs>
        <w:ind w:left="0" w:leftChars="0" w:right="0" w:rightChars="0" w:firstLine="0" w:firstLineChars="0"/>
        <w:jc w:val="cente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"_Toc27360"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b/>
          <w:bCs/>
          <w:color w:val="auto"/>
          <w:sz w:val="28"/>
          <w:szCs w:val="28"/>
        </w:rPr>
        <w:t>第二章 供应商须知</w:t>
      </w:r>
      <w:r>
        <w:rPr>
          <w:rFonts w:hint="eastAsia" w:asciiTheme="minorEastAsia" w:hAnsiTheme="minorEastAsia" w:eastAsiaTheme="minorEastAsia" w:cstheme="minorEastAsia"/>
          <w:b/>
          <w:bCs/>
          <w:color w:val="auto"/>
          <w:sz w:val="28"/>
          <w:szCs w:val="28"/>
        </w:rPr>
        <w:tab/>
      </w:r>
      <w:r>
        <w:rPr>
          <w:rFonts w:hint="eastAsia" w:asciiTheme="minorEastAsia" w:hAnsiTheme="minorEastAsia" w:eastAsiaTheme="minorEastAsia" w:cstheme="minorEastAsia"/>
          <w:b/>
          <w:bCs/>
          <w:color w:val="auto"/>
          <w:sz w:val="28"/>
          <w:szCs w:val="28"/>
        </w:rPr>
        <w:fldChar w:fldCharType="begin"/>
      </w:r>
      <w:r>
        <w:rPr>
          <w:rFonts w:hint="eastAsia" w:asciiTheme="minorEastAsia" w:hAnsiTheme="minorEastAsia" w:eastAsiaTheme="minorEastAsia" w:cstheme="minorEastAsia"/>
          <w:b/>
          <w:bCs/>
          <w:color w:val="auto"/>
          <w:sz w:val="28"/>
          <w:szCs w:val="28"/>
        </w:rPr>
        <w:instrText xml:space="preserve"> PAGEREF _Toc27360 \h </w:instrText>
      </w:r>
      <w:r>
        <w:rPr>
          <w:rFonts w:hint="eastAsia" w:asciiTheme="minorEastAsia" w:hAnsiTheme="minorEastAsia" w:eastAsiaTheme="minorEastAsia" w:cstheme="minorEastAsia"/>
          <w:b/>
          <w:bCs/>
          <w:color w:val="auto"/>
          <w:sz w:val="28"/>
          <w:szCs w:val="28"/>
        </w:rPr>
        <w:fldChar w:fldCharType="separate"/>
      </w:r>
      <w:r>
        <w:rPr>
          <w:rFonts w:hint="eastAsia" w:asciiTheme="minorEastAsia" w:hAnsiTheme="minorEastAsia" w:eastAsiaTheme="minorEastAsia" w:cstheme="minorEastAsia"/>
          <w:b/>
          <w:bCs/>
          <w:color w:val="auto"/>
          <w:sz w:val="28"/>
          <w:szCs w:val="28"/>
        </w:rPr>
        <w:t>5</w:t>
      </w:r>
      <w:r>
        <w:rPr>
          <w:rFonts w:hint="eastAsia" w:asciiTheme="minorEastAsia" w:hAnsiTheme="minorEastAsia" w:eastAsiaTheme="minorEastAsia" w:cstheme="minorEastAsia"/>
          <w:b/>
          <w:bCs/>
          <w:color w:val="auto"/>
          <w:sz w:val="28"/>
          <w:szCs w:val="28"/>
        </w:rPr>
        <w:fldChar w:fldCharType="end"/>
      </w:r>
      <w:r>
        <w:rPr>
          <w:rFonts w:hint="eastAsia" w:asciiTheme="minorEastAsia" w:hAnsiTheme="minorEastAsia" w:eastAsiaTheme="minorEastAsia" w:cstheme="minorEastAsia"/>
          <w:b/>
          <w:bCs/>
          <w:color w:val="auto"/>
          <w:sz w:val="28"/>
          <w:szCs w:val="28"/>
        </w:rPr>
        <w:fldChar w:fldCharType="end"/>
      </w:r>
    </w:p>
    <w:p w14:paraId="1E80E3AF">
      <w:pPr>
        <w:pStyle w:val="19"/>
        <w:tabs>
          <w:tab w:val="right" w:leader="dot" w:pos="9071"/>
        </w:tabs>
        <w:ind w:left="0" w:leftChars="0" w:right="0" w:rightChars="0" w:firstLine="0" w:firstLineChars="0"/>
        <w:jc w:val="cente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"_Toc13725"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b/>
          <w:bCs/>
          <w:color w:val="auto"/>
          <w:sz w:val="28"/>
          <w:szCs w:val="28"/>
        </w:rPr>
        <w:t>第三章 采购需求</w:t>
      </w:r>
      <w:r>
        <w:rPr>
          <w:rFonts w:hint="eastAsia" w:asciiTheme="minorEastAsia" w:hAnsiTheme="minorEastAsia" w:eastAsiaTheme="minorEastAsia" w:cstheme="minorEastAsia"/>
          <w:b/>
          <w:bCs/>
          <w:color w:val="auto"/>
          <w:sz w:val="28"/>
          <w:szCs w:val="28"/>
        </w:rPr>
        <w:tab/>
      </w:r>
      <w:r>
        <w:rPr>
          <w:rFonts w:hint="eastAsia" w:asciiTheme="minorEastAsia" w:hAnsiTheme="minorEastAsia" w:eastAsiaTheme="minorEastAsia" w:cstheme="minorEastAsia"/>
          <w:b/>
          <w:bCs/>
          <w:color w:val="auto"/>
          <w:sz w:val="28"/>
          <w:szCs w:val="28"/>
        </w:rPr>
        <w:fldChar w:fldCharType="begin"/>
      </w:r>
      <w:r>
        <w:rPr>
          <w:rFonts w:hint="eastAsia" w:asciiTheme="minorEastAsia" w:hAnsiTheme="minorEastAsia" w:eastAsiaTheme="minorEastAsia" w:cstheme="minorEastAsia"/>
          <w:b/>
          <w:bCs/>
          <w:color w:val="auto"/>
          <w:sz w:val="28"/>
          <w:szCs w:val="28"/>
        </w:rPr>
        <w:instrText xml:space="preserve"> PAGEREF _Toc13725 \h </w:instrText>
      </w:r>
      <w:r>
        <w:rPr>
          <w:rFonts w:hint="eastAsia" w:asciiTheme="minorEastAsia" w:hAnsiTheme="minorEastAsia" w:eastAsiaTheme="minorEastAsia" w:cstheme="minorEastAsia"/>
          <w:b/>
          <w:bCs/>
          <w:color w:val="auto"/>
          <w:sz w:val="28"/>
          <w:szCs w:val="28"/>
        </w:rPr>
        <w:fldChar w:fldCharType="separate"/>
      </w:r>
      <w:r>
        <w:rPr>
          <w:rFonts w:hint="eastAsia" w:asciiTheme="minorEastAsia" w:hAnsiTheme="minorEastAsia" w:eastAsiaTheme="minorEastAsia" w:cstheme="minorEastAsia"/>
          <w:b/>
          <w:bCs/>
          <w:color w:val="auto"/>
          <w:sz w:val="28"/>
          <w:szCs w:val="28"/>
        </w:rPr>
        <w:t>28</w:t>
      </w:r>
      <w:r>
        <w:rPr>
          <w:rFonts w:hint="eastAsia" w:asciiTheme="minorEastAsia" w:hAnsiTheme="minorEastAsia" w:eastAsiaTheme="minorEastAsia" w:cstheme="minorEastAsia"/>
          <w:b/>
          <w:bCs/>
          <w:color w:val="auto"/>
          <w:sz w:val="28"/>
          <w:szCs w:val="28"/>
        </w:rPr>
        <w:fldChar w:fldCharType="end"/>
      </w:r>
      <w:r>
        <w:rPr>
          <w:rFonts w:hint="eastAsia" w:asciiTheme="minorEastAsia" w:hAnsiTheme="minorEastAsia" w:eastAsiaTheme="minorEastAsia" w:cstheme="minorEastAsia"/>
          <w:b/>
          <w:bCs/>
          <w:color w:val="auto"/>
          <w:sz w:val="28"/>
          <w:szCs w:val="28"/>
        </w:rPr>
        <w:fldChar w:fldCharType="end"/>
      </w:r>
    </w:p>
    <w:p w14:paraId="79EBB861">
      <w:pPr>
        <w:pStyle w:val="19"/>
        <w:tabs>
          <w:tab w:val="right" w:leader="dot" w:pos="9071"/>
        </w:tabs>
        <w:ind w:left="0" w:leftChars="0" w:right="0" w:rightChars="0" w:firstLine="0" w:firstLineChars="0"/>
        <w:jc w:val="cente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"_Toc30576"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b/>
          <w:bCs/>
          <w:color w:val="auto"/>
          <w:sz w:val="28"/>
          <w:szCs w:val="28"/>
        </w:rPr>
        <w:t>第四章 评审程序和评定成交的标准</w:t>
      </w:r>
      <w:r>
        <w:rPr>
          <w:rFonts w:hint="eastAsia" w:asciiTheme="minorEastAsia" w:hAnsiTheme="minorEastAsia" w:eastAsiaTheme="minorEastAsia" w:cstheme="minorEastAsia"/>
          <w:b/>
          <w:bCs/>
          <w:color w:val="auto"/>
          <w:sz w:val="28"/>
          <w:szCs w:val="28"/>
        </w:rPr>
        <w:tab/>
      </w:r>
      <w:r>
        <w:rPr>
          <w:rFonts w:hint="eastAsia" w:asciiTheme="minorEastAsia" w:hAnsiTheme="minorEastAsia" w:eastAsiaTheme="minorEastAsia" w:cstheme="minorEastAsia"/>
          <w:b/>
          <w:bCs/>
          <w:color w:val="auto"/>
          <w:sz w:val="28"/>
          <w:szCs w:val="28"/>
        </w:rPr>
        <w:fldChar w:fldCharType="begin"/>
      </w:r>
      <w:r>
        <w:rPr>
          <w:rFonts w:hint="eastAsia" w:asciiTheme="minorEastAsia" w:hAnsiTheme="minorEastAsia" w:eastAsiaTheme="minorEastAsia" w:cstheme="minorEastAsia"/>
          <w:b/>
          <w:bCs/>
          <w:color w:val="auto"/>
          <w:sz w:val="28"/>
          <w:szCs w:val="28"/>
        </w:rPr>
        <w:instrText xml:space="preserve"> PAGEREF _Toc30576 \h </w:instrText>
      </w:r>
      <w:r>
        <w:rPr>
          <w:rFonts w:hint="eastAsia" w:asciiTheme="minorEastAsia" w:hAnsiTheme="minorEastAsia" w:eastAsiaTheme="minorEastAsia" w:cstheme="minorEastAsia"/>
          <w:b/>
          <w:bCs/>
          <w:color w:val="auto"/>
          <w:sz w:val="28"/>
          <w:szCs w:val="28"/>
        </w:rPr>
        <w:fldChar w:fldCharType="separate"/>
      </w:r>
      <w:r>
        <w:rPr>
          <w:rFonts w:hint="eastAsia" w:asciiTheme="minorEastAsia" w:hAnsiTheme="minorEastAsia" w:eastAsiaTheme="minorEastAsia" w:cstheme="minorEastAsia"/>
          <w:b/>
          <w:bCs/>
          <w:color w:val="auto"/>
          <w:sz w:val="28"/>
          <w:szCs w:val="28"/>
        </w:rPr>
        <w:t>38</w:t>
      </w:r>
      <w:r>
        <w:rPr>
          <w:rFonts w:hint="eastAsia" w:asciiTheme="minorEastAsia" w:hAnsiTheme="minorEastAsia" w:eastAsiaTheme="minorEastAsia" w:cstheme="minorEastAsia"/>
          <w:b/>
          <w:bCs/>
          <w:color w:val="auto"/>
          <w:sz w:val="28"/>
          <w:szCs w:val="28"/>
        </w:rPr>
        <w:fldChar w:fldCharType="end"/>
      </w:r>
      <w:r>
        <w:rPr>
          <w:rFonts w:hint="eastAsia" w:asciiTheme="minorEastAsia" w:hAnsiTheme="minorEastAsia" w:eastAsiaTheme="minorEastAsia" w:cstheme="minorEastAsia"/>
          <w:b/>
          <w:bCs/>
          <w:color w:val="auto"/>
          <w:sz w:val="28"/>
          <w:szCs w:val="28"/>
        </w:rPr>
        <w:fldChar w:fldCharType="end"/>
      </w:r>
    </w:p>
    <w:p w14:paraId="7B23CC61">
      <w:pPr>
        <w:pStyle w:val="19"/>
        <w:tabs>
          <w:tab w:val="right" w:leader="dot" w:pos="9071"/>
        </w:tabs>
        <w:ind w:left="0" w:leftChars="0" w:right="0" w:rightChars="0" w:firstLine="0" w:firstLineChars="0"/>
        <w:jc w:val="cente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"_Toc1293"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b/>
          <w:bCs/>
          <w:color w:val="auto"/>
          <w:sz w:val="28"/>
          <w:szCs w:val="28"/>
        </w:rPr>
        <w:t>第五章 响应文件格式</w:t>
      </w:r>
      <w:r>
        <w:rPr>
          <w:rFonts w:hint="eastAsia" w:asciiTheme="minorEastAsia" w:hAnsiTheme="minorEastAsia" w:eastAsiaTheme="minorEastAsia" w:cstheme="minorEastAsia"/>
          <w:b/>
          <w:bCs/>
          <w:color w:val="auto"/>
          <w:sz w:val="28"/>
          <w:szCs w:val="28"/>
        </w:rPr>
        <w:tab/>
      </w:r>
      <w:r>
        <w:rPr>
          <w:rFonts w:hint="eastAsia" w:asciiTheme="minorEastAsia" w:hAnsiTheme="minorEastAsia" w:eastAsiaTheme="minorEastAsia" w:cstheme="minorEastAsia"/>
          <w:b/>
          <w:bCs/>
          <w:color w:val="auto"/>
          <w:sz w:val="28"/>
          <w:szCs w:val="28"/>
        </w:rPr>
        <w:fldChar w:fldCharType="begin"/>
      </w:r>
      <w:r>
        <w:rPr>
          <w:rFonts w:hint="eastAsia" w:asciiTheme="minorEastAsia" w:hAnsiTheme="minorEastAsia" w:eastAsiaTheme="minorEastAsia" w:cstheme="minorEastAsia"/>
          <w:b/>
          <w:bCs/>
          <w:color w:val="auto"/>
          <w:sz w:val="28"/>
          <w:szCs w:val="28"/>
        </w:rPr>
        <w:instrText xml:space="preserve"> PAGEREF _Toc1293 \h </w:instrText>
      </w:r>
      <w:r>
        <w:rPr>
          <w:rFonts w:hint="eastAsia" w:asciiTheme="minorEastAsia" w:hAnsiTheme="minorEastAsia" w:eastAsiaTheme="minorEastAsia" w:cstheme="minorEastAsia"/>
          <w:b/>
          <w:bCs/>
          <w:color w:val="auto"/>
          <w:sz w:val="28"/>
          <w:szCs w:val="28"/>
        </w:rPr>
        <w:fldChar w:fldCharType="separate"/>
      </w:r>
      <w:r>
        <w:rPr>
          <w:rFonts w:hint="eastAsia" w:asciiTheme="minorEastAsia" w:hAnsiTheme="minorEastAsia" w:eastAsiaTheme="minorEastAsia" w:cstheme="minorEastAsia"/>
          <w:b/>
          <w:bCs/>
          <w:color w:val="auto"/>
          <w:sz w:val="28"/>
          <w:szCs w:val="28"/>
        </w:rPr>
        <w:t>45</w:t>
      </w:r>
      <w:r>
        <w:rPr>
          <w:rFonts w:hint="eastAsia" w:asciiTheme="minorEastAsia" w:hAnsiTheme="minorEastAsia" w:eastAsiaTheme="minorEastAsia" w:cstheme="minorEastAsia"/>
          <w:b/>
          <w:bCs/>
          <w:color w:val="auto"/>
          <w:sz w:val="28"/>
          <w:szCs w:val="28"/>
        </w:rPr>
        <w:fldChar w:fldCharType="end"/>
      </w:r>
      <w:r>
        <w:rPr>
          <w:rFonts w:hint="eastAsia" w:asciiTheme="minorEastAsia" w:hAnsiTheme="minorEastAsia" w:eastAsiaTheme="minorEastAsia" w:cstheme="minorEastAsia"/>
          <w:b/>
          <w:bCs/>
          <w:color w:val="auto"/>
          <w:sz w:val="28"/>
          <w:szCs w:val="28"/>
        </w:rPr>
        <w:fldChar w:fldCharType="end"/>
      </w:r>
    </w:p>
    <w:p w14:paraId="01B506C7">
      <w:pPr>
        <w:pStyle w:val="19"/>
        <w:tabs>
          <w:tab w:val="right" w:leader="dot" w:pos="9071"/>
        </w:tabs>
        <w:ind w:left="0" w:leftChars="0" w:right="0" w:rightChars="0" w:firstLine="0" w:firstLineChars="0"/>
        <w:jc w:val="center"/>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\l "_Toc14435"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b/>
          <w:bCs/>
          <w:color w:val="auto"/>
          <w:sz w:val="28"/>
          <w:szCs w:val="28"/>
        </w:rPr>
        <w:t>第六章 合同文本</w:t>
      </w:r>
      <w:r>
        <w:rPr>
          <w:rFonts w:hint="eastAsia" w:asciiTheme="minorEastAsia" w:hAnsiTheme="minorEastAsia" w:eastAsiaTheme="minorEastAsia" w:cstheme="minorEastAsia"/>
          <w:b/>
          <w:bCs/>
          <w:color w:val="auto"/>
          <w:sz w:val="28"/>
          <w:szCs w:val="28"/>
        </w:rPr>
        <w:tab/>
      </w:r>
      <w:r>
        <w:rPr>
          <w:rFonts w:hint="eastAsia" w:asciiTheme="minorEastAsia" w:hAnsiTheme="minorEastAsia" w:eastAsiaTheme="minorEastAsia" w:cstheme="minorEastAsia"/>
          <w:b/>
          <w:bCs/>
          <w:color w:val="auto"/>
          <w:sz w:val="28"/>
          <w:szCs w:val="28"/>
        </w:rPr>
        <w:fldChar w:fldCharType="begin"/>
      </w:r>
      <w:r>
        <w:rPr>
          <w:rFonts w:hint="eastAsia" w:asciiTheme="minorEastAsia" w:hAnsiTheme="minorEastAsia" w:eastAsiaTheme="minorEastAsia" w:cstheme="minorEastAsia"/>
          <w:b/>
          <w:bCs/>
          <w:color w:val="auto"/>
          <w:sz w:val="28"/>
          <w:szCs w:val="28"/>
        </w:rPr>
        <w:instrText xml:space="preserve"> PAGEREF _Toc14435 \h </w:instrText>
      </w:r>
      <w:r>
        <w:rPr>
          <w:rFonts w:hint="eastAsia" w:asciiTheme="minorEastAsia" w:hAnsiTheme="minorEastAsia" w:eastAsiaTheme="minorEastAsia" w:cstheme="minorEastAsia"/>
          <w:b/>
          <w:bCs/>
          <w:color w:val="auto"/>
          <w:sz w:val="28"/>
          <w:szCs w:val="28"/>
        </w:rPr>
        <w:fldChar w:fldCharType="separate"/>
      </w:r>
      <w:r>
        <w:rPr>
          <w:rFonts w:hint="eastAsia" w:asciiTheme="minorEastAsia" w:hAnsiTheme="minorEastAsia" w:eastAsiaTheme="minorEastAsia" w:cstheme="minorEastAsia"/>
          <w:b/>
          <w:bCs/>
          <w:color w:val="auto"/>
          <w:sz w:val="28"/>
          <w:szCs w:val="28"/>
        </w:rPr>
        <w:t>69</w:t>
      </w:r>
      <w:r>
        <w:rPr>
          <w:rFonts w:hint="eastAsia" w:asciiTheme="minorEastAsia" w:hAnsiTheme="minorEastAsia" w:eastAsiaTheme="minorEastAsia" w:cstheme="minorEastAsia"/>
          <w:b/>
          <w:bCs/>
          <w:color w:val="auto"/>
          <w:sz w:val="28"/>
          <w:szCs w:val="28"/>
        </w:rPr>
        <w:fldChar w:fldCharType="end"/>
      </w:r>
      <w:r>
        <w:rPr>
          <w:rFonts w:hint="eastAsia" w:asciiTheme="minorEastAsia" w:hAnsiTheme="minorEastAsia" w:eastAsiaTheme="minorEastAsia" w:cstheme="minorEastAsia"/>
          <w:b/>
          <w:bCs/>
          <w:color w:val="auto"/>
          <w:sz w:val="28"/>
          <w:szCs w:val="28"/>
        </w:rPr>
        <w:fldChar w:fldCharType="end"/>
      </w:r>
    </w:p>
    <w:p w14:paraId="7F5FDA77">
      <w:pPr>
        <w:pStyle w:val="20"/>
        <w:tabs>
          <w:tab w:val="right" w:leader="dot" w:pos="8931"/>
          <w:tab w:val="clear" w:pos="8296"/>
        </w:tabs>
        <w:snapToGrid w:val="0"/>
        <w:spacing w:line="500" w:lineRule="atLeast"/>
        <w:ind w:left="0" w:leftChars="0"/>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bCs/>
          <w:color w:val="auto"/>
          <w:sz w:val="28"/>
          <w:szCs w:val="28"/>
        </w:rPr>
        <w:fldChar w:fldCharType="end"/>
      </w:r>
    </w:p>
    <w:p w14:paraId="74D29A85">
      <w:pPr>
        <w:spacing w:line="400" w:lineRule="exact"/>
        <w:jc w:val="left"/>
        <w:rPr>
          <w:rFonts w:hint="eastAsia" w:asciiTheme="minorEastAsia" w:hAnsiTheme="minorEastAsia" w:eastAsiaTheme="minorEastAsia" w:cstheme="minorEastAsia"/>
          <w:b/>
          <w:color w:val="auto"/>
          <w:sz w:val="32"/>
          <w:szCs w:val="32"/>
        </w:rPr>
      </w:pPr>
    </w:p>
    <w:p w14:paraId="064E0C72">
      <w:pPr>
        <w:spacing w:line="400" w:lineRule="exact"/>
        <w:jc w:val="center"/>
        <w:rPr>
          <w:rFonts w:hint="eastAsia" w:asciiTheme="minorEastAsia" w:hAnsiTheme="minorEastAsia" w:eastAsiaTheme="minorEastAsia" w:cstheme="minorEastAsia"/>
          <w:b/>
          <w:color w:val="auto"/>
          <w:sz w:val="32"/>
          <w:szCs w:val="32"/>
        </w:rPr>
      </w:pPr>
    </w:p>
    <w:p w14:paraId="492FF640">
      <w:pPr>
        <w:spacing w:line="400" w:lineRule="exact"/>
        <w:jc w:val="center"/>
        <w:rPr>
          <w:rFonts w:hint="eastAsia" w:asciiTheme="minorEastAsia" w:hAnsiTheme="minorEastAsia" w:eastAsiaTheme="minorEastAsia" w:cstheme="minorEastAsia"/>
          <w:b/>
          <w:color w:val="auto"/>
          <w:sz w:val="32"/>
          <w:szCs w:val="32"/>
        </w:rPr>
      </w:pPr>
    </w:p>
    <w:p w14:paraId="4E566045">
      <w:pPr>
        <w:spacing w:line="400" w:lineRule="exact"/>
        <w:jc w:val="center"/>
        <w:rPr>
          <w:rFonts w:hint="eastAsia" w:asciiTheme="minorEastAsia" w:hAnsiTheme="minorEastAsia" w:eastAsiaTheme="minorEastAsia" w:cstheme="minorEastAsia"/>
          <w:b/>
          <w:color w:val="auto"/>
          <w:sz w:val="32"/>
          <w:szCs w:val="32"/>
        </w:rPr>
      </w:pPr>
    </w:p>
    <w:p w14:paraId="16F1FF26">
      <w:pPr>
        <w:spacing w:line="400" w:lineRule="exact"/>
        <w:jc w:val="center"/>
        <w:rPr>
          <w:rFonts w:hint="eastAsia" w:asciiTheme="minorEastAsia" w:hAnsiTheme="minorEastAsia" w:eastAsiaTheme="minorEastAsia" w:cstheme="minorEastAsia"/>
          <w:b/>
          <w:color w:val="auto"/>
          <w:sz w:val="32"/>
          <w:szCs w:val="32"/>
        </w:rPr>
      </w:pPr>
    </w:p>
    <w:p w14:paraId="14B38591">
      <w:pPr>
        <w:spacing w:line="400" w:lineRule="exact"/>
        <w:rPr>
          <w:rFonts w:hint="eastAsia" w:asciiTheme="minorEastAsia" w:hAnsiTheme="minorEastAsia" w:eastAsiaTheme="minorEastAsia" w:cstheme="minorEastAsia"/>
          <w:b/>
          <w:color w:val="auto"/>
          <w:sz w:val="32"/>
          <w:szCs w:val="32"/>
        </w:rPr>
        <w:sectPr>
          <w:headerReference r:id="rId3" w:type="default"/>
          <w:footerReference r:id="rId4" w:type="default"/>
          <w:pgSz w:w="11905" w:h="16838"/>
          <w:pgMar w:top="1134" w:right="1134" w:bottom="1134" w:left="1134" w:header="850" w:footer="992" w:gutter="0"/>
          <w:pgNumType w:start="0"/>
          <w:cols w:space="720" w:num="1"/>
          <w:titlePg/>
          <w:docGrid w:type="lines" w:linePitch="318" w:charSpace="0"/>
        </w:sectPr>
      </w:pPr>
    </w:p>
    <w:p w14:paraId="2C2102B6">
      <w:pPr>
        <w:pStyle w:val="2"/>
        <w:keepNext/>
        <w:keepLines/>
        <w:pageBreakBefore w:val="0"/>
        <w:widowControl w:val="0"/>
        <w:kinsoku/>
        <w:wordWrap/>
        <w:overflowPunct/>
        <w:topLinePunct w:val="0"/>
        <w:autoSpaceDE/>
        <w:autoSpaceDN/>
        <w:bidi w:val="0"/>
        <w:adjustRightInd/>
        <w:snapToGrid/>
        <w:spacing w:before="200" w:after="200"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rPr>
      </w:pPr>
      <w:bookmarkStart w:id="0" w:name="_Toc10298"/>
      <w:r>
        <w:rPr>
          <w:rFonts w:hint="eastAsia" w:asciiTheme="minorEastAsia" w:hAnsiTheme="minorEastAsia" w:eastAsiaTheme="minorEastAsia" w:cstheme="minorEastAsia"/>
          <w:color w:val="auto"/>
          <w:lang w:val="en-US" w:eastAsia="zh-CN"/>
        </w:rPr>
        <w:t xml:space="preserve">第一章 </w:t>
      </w:r>
      <w:r>
        <w:rPr>
          <w:rFonts w:hint="eastAsia" w:asciiTheme="minorEastAsia" w:hAnsiTheme="minorEastAsia" w:eastAsiaTheme="minorEastAsia" w:cstheme="minorEastAsia"/>
          <w:color w:val="auto"/>
        </w:rPr>
        <w:t>竞争性谈判公告</w:t>
      </w:r>
      <w:bookmarkEnd w:id="0"/>
    </w:p>
    <w:p w14:paraId="22DDBE9A">
      <w:pPr>
        <w:pStyle w:val="14"/>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广西建设工程机电设备招标中心有限公司</w:t>
      </w:r>
    </w:p>
    <w:p w14:paraId="12A228F7">
      <w:pPr>
        <w:pStyle w:val="14"/>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color w:val="auto"/>
          <w:sz w:val="32"/>
          <w:szCs w:val="32"/>
          <w:lang w:eastAsia="zh-CN"/>
        </w:rPr>
      </w:pPr>
      <w:r>
        <w:rPr>
          <w:rFonts w:hint="eastAsia" w:asciiTheme="minorEastAsia" w:hAnsiTheme="minorEastAsia" w:eastAsiaTheme="minorEastAsia" w:cstheme="minorEastAsia"/>
          <w:b/>
          <w:color w:val="auto"/>
          <w:sz w:val="32"/>
          <w:szCs w:val="32"/>
          <w:lang w:eastAsia="zh-CN"/>
        </w:rPr>
        <w:t>灵山县人民医院柴油发电机组采购（重）</w:t>
      </w:r>
      <w:r>
        <w:rPr>
          <w:rFonts w:hint="eastAsia" w:asciiTheme="minorEastAsia" w:hAnsiTheme="minorEastAsia" w:eastAsiaTheme="minorEastAsia" w:cstheme="minorEastAsia"/>
          <w:b/>
          <w:color w:val="auto"/>
          <w:sz w:val="32"/>
          <w:szCs w:val="32"/>
        </w:rPr>
        <w:t>（</w:t>
      </w:r>
      <w:r>
        <w:rPr>
          <w:rFonts w:hint="eastAsia" w:asciiTheme="minorEastAsia" w:hAnsiTheme="minorEastAsia" w:eastAsiaTheme="minorEastAsia" w:cstheme="minorEastAsia"/>
          <w:b/>
          <w:color w:val="auto"/>
          <w:sz w:val="32"/>
          <w:szCs w:val="32"/>
          <w:lang w:eastAsia="zh-CN"/>
        </w:rPr>
        <w:t>QZZC2026-J1-210040-JGJD）</w:t>
      </w:r>
    </w:p>
    <w:p w14:paraId="5C423668">
      <w:pPr>
        <w:pStyle w:val="14"/>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竞争性谈判公告</w:t>
      </w:r>
    </w:p>
    <w:p w14:paraId="4C67406A">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00" w:lineRule="exact"/>
        <w:rPr>
          <w:rFonts w:hint="eastAsia" w:asciiTheme="minorEastAsia" w:hAnsiTheme="minorEastAsia" w:eastAsiaTheme="minorEastAsia" w:cstheme="minorEastAsia"/>
          <w:color w:val="auto"/>
          <w:sz w:val="24"/>
          <w:szCs w:val="24"/>
        </w:rPr>
      </w:pPr>
      <w:bookmarkStart w:id="1" w:name="_Hlk37430271"/>
      <w:r>
        <w:rPr>
          <w:rFonts w:hint="eastAsia" w:asciiTheme="minorEastAsia" w:hAnsiTheme="minorEastAsia" w:eastAsiaTheme="minorEastAsia" w:cstheme="minorEastAsia"/>
          <w:color w:val="auto"/>
          <w:sz w:val="24"/>
          <w:szCs w:val="24"/>
        </w:rPr>
        <w:t>项目概况</w:t>
      </w:r>
    </w:p>
    <w:p w14:paraId="58EBAF66">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lang w:eastAsia="zh-CN"/>
        </w:rPr>
        <w:t>灵山县人民医院柴油发电机组采购（重）</w:t>
      </w:r>
      <w:r>
        <w:rPr>
          <w:rFonts w:hint="eastAsia" w:asciiTheme="minorEastAsia" w:hAnsiTheme="minorEastAsia" w:eastAsiaTheme="minorEastAsia" w:cstheme="minorEastAsia"/>
          <w:color w:val="auto"/>
          <w:sz w:val="24"/>
          <w:szCs w:val="24"/>
        </w:rPr>
        <w:t>项目的潜在供应商应在广西政府采购云平台（https</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//www.gcy.zfcg.gxzf.gov.cn/</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获取（下载</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竞争性谈判采购文件，并于</w:t>
      </w:r>
      <w:r>
        <w:rPr>
          <w:rFonts w:hint="eastAsia" w:asciiTheme="minorEastAsia" w:hAnsiTheme="minorEastAsia" w:eastAsiaTheme="minorEastAsia" w:cstheme="minorEastAsia"/>
          <w:color w:val="auto"/>
          <w:sz w:val="24"/>
          <w:szCs w:val="24"/>
          <w:lang w:eastAsia="zh-CN"/>
        </w:rPr>
        <w:t>2026年</w:t>
      </w:r>
      <w:r>
        <w:rPr>
          <w:rFonts w:hint="eastAsia" w:asciiTheme="minorEastAsia" w:hAnsiTheme="minorEastAsia" w:eastAsiaTheme="minorEastAsia" w:cstheme="minorEastAsia"/>
          <w:color w:val="auto"/>
          <w:sz w:val="24"/>
          <w:szCs w:val="24"/>
          <w:lang w:val="en-US" w:eastAsia="zh-CN"/>
        </w:rPr>
        <w:t xml:space="preserve">  5</w:t>
      </w:r>
      <w:r>
        <w:rPr>
          <w:rFonts w:hint="eastAsia" w:asciiTheme="minorEastAsia" w:hAnsiTheme="minorEastAsia" w:eastAsiaTheme="minorEastAsia" w:cstheme="minorEastAsia"/>
          <w:color w:val="auto"/>
          <w:sz w:val="24"/>
          <w:szCs w:val="24"/>
          <w:lang w:eastAsia="zh-CN"/>
        </w:rPr>
        <w:t>月</w:t>
      </w:r>
      <w:r>
        <w:rPr>
          <w:rFonts w:hint="eastAsia" w:asciiTheme="minorEastAsia" w:hAnsiTheme="minorEastAsia" w:eastAsiaTheme="minorEastAsia" w:cstheme="minorEastAsia"/>
          <w:color w:val="auto"/>
          <w:sz w:val="24"/>
          <w:szCs w:val="24"/>
          <w:lang w:val="en-US" w:eastAsia="zh-CN"/>
        </w:rPr>
        <w:t>26</w:t>
      </w:r>
      <w:r>
        <w:rPr>
          <w:rFonts w:hint="eastAsia" w:asciiTheme="minorEastAsia" w:hAnsiTheme="minorEastAsia" w:eastAsiaTheme="minorEastAsia" w:cstheme="minorEastAsia"/>
          <w:color w:val="auto"/>
          <w:sz w:val="24"/>
          <w:szCs w:val="24"/>
          <w:lang w:eastAsia="zh-CN"/>
        </w:rPr>
        <w:t>日10时00分</w:t>
      </w:r>
      <w:r>
        <w:rPr>
          <w:rFonts w:hint="eastAsia" w:asciiTheme="minorEastAsia" w:hAnsiTheme="minorEastAsia" w:eastAsiaTheme="minorEastAsia" w:cstheme="minorEastAsia"/>
          <w:bCs/>
          <w:color w:val="auto"/>
          <w:sz w:val="24"/>
          <w:szCs w:val="24"/>
        </w:rPr>
        <w:t>（北京时间</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rPr>
        <w:t>前提交响应文件</w:t>
      </w:r>
      <w:r>
        <w:rPr>
          <w:rFonts w:hint="eastAsia" w:asciiTheme="minorEastAsia" w:hAnsiTheme="minorEastAsia" w:eastAsiaTheme="minorEastAsia" w:cstheme="minorEastAsia"/>
          <w:color w:val="auto"/>
          <w:sz w:val="24"/>
          <w:szCs w:val="24"/>
        </w:rPr>
        <w:t>。</w:t>
      </w:r>
    </w:p>
    <w:p w14:paraId="0939F24F">
      <w:pPr>
        <w:keepNext w:val="0"/>
        <w:keepLines w:val="0"/>
        <w:pageBreakBefore w:val="0"/>
        <w:kinsoku/>
        <w:wordWrap/>
        <w:overflowPunct/>
        <w:topLinePunct w:val="0"/>
        <w:autoSpaceDE/>
        <w:autoSpaceDN/>
        <w:bidi w:val="0"/>
        <w:adjustRightInd/>
        <w:snapToGrid/>
        <w:spacing w:line="400" w:lineRule="exact"/>
        <w:ind w:firstLine="361" w:firstLineChars="150"/>
        <w:rPr>
          <w:rFonts w:hint="eastAsia" w:asciiTheme="minorEastAsia" w:hAnsiTheme="minorEastAsia" w:eastAsiaTheme="minorEastAsia" w:cstheme="minorEastAsia"/>
          <w:b/>
          <w:bCs/>
          <w:color w:val="auto"/>
          <w:sz w:val="24"/>
          <w:szCs w:val="24"/>
        </w:rPr>
      </w:pPr>
      <w:bookmarkStart w:id="2" w:name="_Toc35393636"/>
      <w:bookmarkStart w:id="3" w:name="_Toc35393805"/>
      <w:bookmarkStart w:id="4" w:name="_Toc28359018"/>
      <w:bookmarkStart w:id="5" w:name="_Toc71365369"/>
      <w:bookmarkStart w:id="6" w:name="_Toc71366047"/>
      <w:bookmarkStart w:id="7" w:name="_Toc28359095"/>
      <w:r>
        <w:rPr>
          <w:rFonts w:hint="eastAsia" w:asciiTheme="minorEastAsia" w:hAnsiTheme="minorEastAsia" w:eastAsiaTheme="minorEastAsia" w:cstheme="minorEastAsia"/>
          <w:b/>
          <w:bCs/>
          <w:color w:val="auto"/>
          <w:sz w:val="24"/>
          <w:szCs w:val="24"/>
        </w:rPr>
        <w:t>一、项目基本情况</w:t>
      </w:r>
    </w:p>
    <w:p w14:paraId="5042B94D">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项目名称：</w:t>
      </w:r>
      <w:r>
        <w:rPr>
          <w:rFonts w:hint="eastAsia" w:asciiTheme="minorEastAsia" w:hAnsiTheme="minorEastAsia" w:eastAsiaTheme="minorEastAsia" w:cstheme="minorEastAsia"/>
          <w:color w:val="auto"/>
          <w:sz w:val="24"/>
          <w:szCs w:val="24"/>
          <w:lang w:eastAsia="zh-CN"/>
        </w:rPr>
        <w:t>灵山县人民医院柴油发电机组采购（重）</w:t>
      </w:r>
    </w:p>
    <w:p w14:paraId="4DFB41AF">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项目编号：</w:t>
      </w:r>
      <w:r>
        <w:rPr>
          <w:rFonts w:hint="eastAsia" w:asciiTheme="minorEastAsia" w:hAnsiTheme="minorEastAsia" w:eastAsiaTheme="minorEastAsia" w:cstheme="minorEastAsia"/>
          <w:color w:val="auto"/>
          <w:sz w:val="24"/>
          <w:szCs w:val="24"/>
          <w:lang w:eastAsia="zh-CN"/>
        </w:rPr>
        <w:t>QZZC2026-J1-210040-JGJD</w:t>
      </w:r>
    </w:p>
    <w:p w14:paraId="5D76DA1B">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采购计划编号：LSZC2025-J1-06251</w:t>
      </w:r>
    </w:p>
    <w:p w14:paraId="0FD9A0F1">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预算金额（人民币</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 1428000 \* CHINESENUM2 \* MERGEFORMAT </w:instrText>
      </w:r>
      <w:r>
        <w:rPr>
          <w:rFonts w:hint="eastAsia" w:asciiTheme="minorEastAsia" w:hAnsiTheme="minorEastAsia" w:eastAsiaTheme="minorEastAsia" w:cstheme="minorEastAsia"/>
          <w:bCs/>
          <w:color w:val="auto"/>
          <w:sz w:val="24"/>
          <w:szCs w:val="24"/>
        </w:rPr>
        <w:fldChar w:fldCharType="separate"/>
      </w:r>
      <w:r>
        <w:rPr>
          <w:rFonts w:hint="eastAsia" w:asciiTheme="minorEastAsia" w:hAnsiTheme="minorEastAsia" w:eastAsiaTheme="minorEastAsia" w:cstheme="minorEastAsia"/>
          <w:bCs/>
          <w:color w:val="auto"/>
          <w:sz w:val="24"/>
          <w:szCs w:val="24"/>
        </w:rPr>
        <w:t>壹佰肆拾贰万捌仟</w:t>
      </w:r>
      <w:r>
        <w:rPr>
          <w:rFonts w:hint="eastAsia" w:asciiTheme="minorEastAsia" w:hAnsiTheme="minorEastAsia" w:eastAsiaTheme="minorEastAsia" w:cstheme="minorEastAsia"/>
          <w:bCs/>
          <w:color w:val="auto"/>
          <w:sz w:val="24"/>
          <w:szCs w:val="24"/>
        </w:rPr>
        <w:fldChar w:fldCharType="end"/>
      </w:r>
      <w:r>
        <w:rPr>
          <w:rFonts w:hint="eastAsia" w:asciiTheme="minorEastAsia" w:hAnsiTheme="minorEastAsia" w:eastAsiaTheme="minorEastAsia" w:cstheme="minorEastAsia"/>
          <w:bCs/>
          <w:color w:val="auto"/>
          <w:sz w:val="24"/>
          <w:szCs w:val="24"/>
        </w:rPr>
        <w:t>元整（</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1428000.00</w:t>
      </w:r>
      <w:r>
        <w:rPr>
          <w:rFonts w:hint="eastAsia" w:asciiTheme="minorEastAsia" w:hAnsiTheme="minorEastAsia" w:eastAsiaTheme="minorEastAsia" w:cstheme="minorEastAsia"/>
          <w:bCs/>
          <w:color w:val="auto"/>
          <w:sz w:val="24"/>
          <w:szCs w:val="24"/>
          <w:lang w:eastAsia="zh-CN"/>
        </w:rPr>
        <w:t>）</w:t>
      </w:r>
    </w:p>
    <w:p w14:paraId="4E552BCF">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最高限价</w:t>
      </w:r>
      <w:r>
        <w:rPr>
          <w:rFonts w:hint="eastAsia" w:asciiTheme="minorEastAsia" w:hAnsiTheme="minorEastAsia" w:eastAsiaTheme="minorEastAsia" w:cstheme="minorEastAsia"/>
          <w:color w:val="auto"/>
          <w:sz w:val="24"/>
          <w:szCs w:val="24"/>
        </w:rPr>
        <w:t>（人民币</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Cs/>
          <w:color w:val="auto"/>
          <w:sz w:val="24"/>
          <w:szCs w:val="24"/>
        </w:rPr>
        <w:fldChar w:fldCharType="begin"/>
      </w:r>
      <w:r>
        <w:rPr>
          <w:rFonts w:hint="eastAsia" w:asciiTheme="minorEastAsia" w:hAnsiTheme="minorEastAsia" w:eastAsiaTheme="minorEastAsia" w:cstheme="minorEastAsia"/>
          <w:bCs/>
          <w:color w:val="auto"/>
          <w:sz w:val="24"/>
          <w:szCs w:val="24"/>
        </w:rPr>
        <w:instrText xml:space="preserve"> = 1428000 \* CHINESENUM2 \* MERGEFORMAT </w:instrText>
      </w:r>
      <w:r>
        <w:rPr>
          <w:rFonts w:hint="eastAsia" w:asciiTheme="minorEastAsia" w:hAnsiTheme="minorEastAsia" w:eastAsiaTheme="minorEastAsia" w:cstheme="minorEastAsia"/>
          <w:bCs/>
          <w:color w:val="auto"/>
          <w:sz w:val="24"/>
          <w:szCs w:val="24"/>
        </w:rPr>
        <w:fldChar w:fldCharType="separate"/>
      </w:r>
      <w:r>
        <w:rPr>
          <w:rFonts w:hint="eastAsia" w:asciiTheme="minorEastAsia" w:hAnsiTheme="minorEastAsia" w:eastAsiaTheme="minorEastAsia" w:cstheme="minorEastAsia"/>
          <w:bCs/>
          <w:color w:val="auto"/>
          <w:sz w:val="24"/>
          <w:szCs w:val="24"/>
        </w:rPr>
        <w:t>壹佰肆拾贰万捌仟</w:t>
      </w:r>
      <w:r>
        <w:rPr>
          <w:rFonts w:hint="eastAsia" w:asciiTheme="minorEastAsia" w:hAnsiTheme="minorEastAsia" w:eastAsiaTheme="minorEastAsia" w:cstheme="minorEastAsia"/>
          <w:bCs/>
          <w:color w:val="auto"/>
          <w:sz w:val="24"/>
          <w:szCs w:val="24"/>
        </w:rPr>
        <w:fldChar w:fldCharType="end"/>
      </w:r>
      <w:r>
        <w:rPr>
          <w:rFonts w:hint="eastAsia" w:asciiTheme="minorEastAsia" w:hAnsiTheme="minorEastAsia" w:eastAsiaTheme="minorEastAsia" w:cstheme="minorEastAsia"/>
          <w:bCs/>
          <w:color w:val="auto"/>
          <w:sz w:val="24"/>
          <w:szCs w:val="24"/>
        </w:rPr>
        <w:t>元整（</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1428000.00</w:t>
      </w:r>
      <w:r>
        <w:rPr>
          <w:rFonts w:hint="eastAsia" w:asciiTheme="minorEastAsia" w:hAnsiTheme="minorEastAsia" w:eastAsiaTheme="minorEastAsia" w:cstheme="minorEastAsia"/>
          <w:bCs/>
          <w:color w:val="auto"/>
          <w:sz w:val="24"/>
          <w:szCs w:val="24"/>
          <w:lang w:eastAsia="zh-CN"/>
        </w:rPr>
        <w:t>）</w:t>
      </w:r>
    </w:p>
    <w:p w14:paraId="64BADC2B">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采购需求：</w:t>
      </w:r>
    </w:p>
    <w:tbl>
      <w:tblPr>
        <w:tblStyle w:val="26"/>
        <w:tblW w:w="9840" w:type="dxa"/>
        <w:jc w:val="center"/>
        <w:tblLayout w:type="fixed"/>
        <w:tblCellMar>
          <w:top w:w="0" w:type="dxa"/>
          <w:left w:w="108" w:type="dxa"/>
          <w:bottom w:w="0" w:type="dxa"/>
          <w:right w:w="108" w:type="dxa"/>
        </w:tblCellMar>
      </w:tblPr>
      <w:tblGrid>
        <w:gridCol w:w="758"/>
        <w:gridCol w:w="2301"/>
        <w:gridCol w:w="623"/>
        <w:gridCol w:w="634"/>
        <w:gridCol w:w="1831"/>
        <w:gridCol w:w="1731"/>
        <w:gridCol w:w="1962"/>
      </w:tblGrid>
      <w:tr w14:paraId="5A3D4406">
        <w:trPr>
          <w:trHeight w:val="567" w:hRule="atLeast"/>
          <w:jc w:val="center"/>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267B">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kern w:val="0"/>
                <w:sz w:val="24"/>
                <w:szCs w:val="24"/>
                <w:lang w:bidi="ar"/>
              </w:rPr>
              <w:t>序号</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0A3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kern w:val="0"/>
                <w:sz w:val="24"/>
                <w:szCs w:val="24"/>
                <w:lang w:bidi="ar"/>
              </w:rPr>
              <w:t>标的名称</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64E8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kern w:val="0"/>
                <w:sz w:val="24"/>
                <w:szCs w:val="24"/>
                <w:lang w:bidi="ar"/>
              </w:rPr>
              <w:t>数量</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1F0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kern w:val="0"/>
                <w:sz w:val="24"/>
                <w:szCs w:val="24"/>
                <w:lang w:bidi="ar"/>
              </w:rPr>
              <w:t>单位</w:t>
            </w:r>
          </w:p>
        </w:tc>
        <w:tc>
          <w:tcPr>
            <w:tcW w:w="1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CA57">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rPr>
              <w:t>简要技术需求</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61D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rPr>
              <w:t>预算单价（万元/人民币</w:t>
            </w:r>
            <w:r>
              <w:rPr>
                <w:rFonts w:hint="eastAsia" w:asciiTheme="minorEastAsia" w:hAnsiTheme="minorEastAsia" w:eastAsiaTheme="minorEastAsia" w:cstheme="minorEastAsia"/>
                <w:bCs/>
                <w:color w:val="auto"/>
                <w:sz w:val="24"/>
                <w:szCs w:val="24"/>
                <w:highlight w:val="none"/>
                <w:lang w:eastAsia="zh-CN"/>
              </w:rPr>
              <w:t>）</w:t>
            </w:r>
          </w:p>
        </w:tc>
        <w:tc>
          <w:tcPr>
            <w:tcW w:w="1962" w:type="dxa"/>
            <w:tcBorders>
              <w:top w:val="single" w:color="000000" w:sz="4" w:space="0"/>
              <w:left w:val="single" w:color="000000" w:sz="4" w:space="0"/>
              <w:bottom w:val="single" w:color="000000" w:sz="4" w:space="0"/>
              <w:right w:val="single" w:color="000000" w:sz="4" w:space="0"/>
            </w:tcBorders>
          </w:tcPr>
          <w:p w14:paraId="5D9A7D94">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bCs/>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rPr>
              <w:t>单项预算合计（万元/人民币</w:t>
            </w:r>
            <w:r>
              <w:rPr>
                <w:rFonts w:hint="eastAsia" w:asciiTheme="minorEastAsia" w:hAnsiTheme="minorEastAsia" w:eastAsiaTheme="minorEastAsia" w:cstheme="minorEastAsia"/>
                <w:bCs/>
                <w:color w:val="auto"/>
                <w:sz w:val="24"/>
                <w:szCs w:val="24"/>
                <w:highlight w:val="none"/>
                <w:lang w:eastAsia="zh-CN"/>
              </w:rPr>
              <w:t>）</w:t>
            </w:r>
          </w:p>
        </w:tc>
      </w:tr>
      <w:tr w14:paraId="5E2AB778">
        <w:tblPrEx>
          <w:tblCellMar>
            <w:top w:w="0" w:type="dxa"/>
            <w:left w:w="108" w:type="dxa"/>
            <w:bottom w:w="0" w:type="dxa"/>
            <w:right w:w="108" w:type="dxa"/>
          </w:tblCellMar>
        </w:tblPrEx>
        <w:trPr>
          <w:trHeight w:val="567" w:hRule="atLeast"/>
          <w:jc w:val="center"/>
        </w:trPr>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E1CA3">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c>
          <w:tcPr>
            <w:tcW w:w="2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9EF5B">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lang w:val="en-US" w:eastAsia="zh-CN"/>
              </w:rPr>
              <w:t>定制型</w:t>
            </w:r>
            <w:r>
              <w:rPr>
                <w:rFonts w:hint="eastAsia" w:asciiTheme="minorEastAsia" w:hAnsiTheme="minorEastAsia" w:eastAsiaTheme="minorEastAsia" w:cstheme="minorEastAsia"/>
                <w:color w:val="auto"/>
                <w:kern w:val="0"/>
                <w:sz w:val="24"/>
                <w:szCs w:val="24"/>
              </w:rPr>
              <w:t>柴油发电机组</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7F1C">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B504">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套</w:t>
            </w:r>
          </w:p>
        </w:tc>
        <w:tc>
          <w:tcPr>
            <w:tcW w:w="1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349A">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详见采购需求</w:t>
            </w:r>
          </w:p>
        </w:tc>
        <w:tc>
          <w:tcPr>
            <w:tcW w:w="1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2C0E">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142</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8</w:t>
            </w:r>
          </w:p>
        </w:tc>
        <w:tc>
          <w:tcPr>
            <w:tcW w:w="1962" w:type="dxa"/>
            <w:tcBorders>
              <w:top w:val="single" w:color="000000" w:sz="4" w:space="0"/>
              <w:left w:val="single" w:color="000000" w:sz="4" w:space="0"/>
              <w:bottom w:val="single" w:color="000000" w:sz="4" w:space="0"/>
              <w:right w:val="single" w:color="000000" w:sz="4" w:space="0"/>
            </w:tcBorders>
            <w:vAlign w:val="center"/>
          </w:tcPr>
          <w:p w14:paraId="1DB89C8B">
            <w:pPr>
              <w:keepNext w:val="0"/>
              <w:keepLines w:val="0"/>
              <w:pageBreakBefore w:val="0"/>
              <w:kinsoku/>
              <w:wordWrap/>
              <w:overflowPunct/>
              <w:topLinePunct w:val="0"/>
              <w:autoSpaceDE/>
              <w:autoSpaceDN/>
              <w:bidi w:val="0"/>
              <w:adjustRightInd/>
              <w:snapToGrid/>
              <w:spacing w:line="400" w:lineRule="exact"/>
              <w:ind w:left="0" w:leftChars="0" w:right="0" w:rightChars="0"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142</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8</w:t>
            </w:r>
          </w:p>
        </w:tc>
      </w:tr>
      <w:tr w14:paraId="421E719A">
        <w:tblPrEx>
          <w:tblCellMar>
            <w:top w:w="0" w:type="dxa"/>
            <w:left w:w="108" w:type="dxa"/>
            <w:bottom w:w="0" w:type="dxa"/>
            <w:right w:w="108" w:type="dxa"/>
          </w:tblCellMar>
        </w:tblPrEx>
        <w:trPr>
          <w:trHeight w:val="567" w:hRule="atLeast"/>
          <w:jc w:val="center"/>
        </w:trPr>
        <w:tc>
          <w:tcPr>
            <w:tcW w:w="984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9E20D1C">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预算合计金额（人民币大写</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壹佰肆拾贰万捌仟元整（小写</w:t>
            </w:r>
            <w:r>
              <w:rPr>
                <w:rFonts w:hint="eastAsia" w:asciiTheme="minorEastAsia" w:hAnsiTheme="minorEastAsia" w:eastAsiaTheme="minorEastAsia" w:cstheme="minorEastAsia"/>
                <w:color w:val="auto"/>
                <w:sz w:val="24"/>
                <w:szCs w:val="24"/>
                <w:u w:val="single"/>
                <w:lang w:eastAsia="zh-CN"/>
              </w:rPr>
              <w:t>）</w:t>
            </w:r>
            <w:r>
              <w:rPr>
                <w:rFonts w:hint="eastAsia" w:asciiTheme="minorEastAsia" w:hAnsiTheme="minorEastAsia" w:eastAsiaTheme="minorEastAsia" w:cstheme="minorEastAsia"/>
                <w:color w:val="auto"/>
                <w:sz w:val="24"/>
                <w:szCs w:val="24"/>
                <w:u w:val="single"/>
              </w:rPr>
              <w:t>¥</w:t>
            </w:r>
            <w:r>
              <w:rPr>
                <w:rFonts w:hint="eastAsia" w:asciiTheme="minorEastAsia" w:hAnsiTheme="minorEastAsia" w:eastAsiaTheme="minorEastAsia" w:cstheme="minorEastAsia"/>
                <w:color w:val="auto"/>
                <w:sz w:val="24"/>
                <w:szCs w:val="24"/>
                <w:u w:val="single"/>
                <w:lang w:eastAsia="zh-CN"/>
              </w:rPr>
              <w:t>1428000.00</w:t>
            </w:r>
            <w:r>
              <w:rPr>
                <w:rFonts w:hint="eastAsia" w:asciiTheme="minorEastAsia" w:hAnsiTheme="minorEastAsia" w:eastAsiaTheme="minorEastAsia" w:cstheme="minorEastAsia"/>
                <w:color w:val="auto"/>
                <w:sz w:val="24"/>
                <w:szCs w:val="24"/>
                <w:u w:val="single"/>
              </w:rPr>
              <w:t xml:space="preserve">  </w:t>
            </w:r>
          </w:p>
        </w:tc>
      </w:tr>
    </w:tbl>
    <w:p w14:paraId="1F9F38C9">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详见采购需求表。</w:t>
      </w:r>
    </w:p>
    <w:p w14:paraId="456A0534">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合同履行期限：详见采购文件。</w:t>
      </w:r>
    </w:p>
    <w:p w14:paraId="416EC092">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本项目是否接受联合体：否。</w:t>
      </w:r>
    </w:p>
    <w:p w14:paraId="4425E08B">
      <w:pPr>
        <w:keepNext w:val="0"/>
        <w:keepLines w:val="0"/>
        <w:pageBreakBefore w:val="0"/>
        <w:kinsoku/>
        <w:wordWrap/>
        <w:overflowPunct/>
        <w:topLinePunct w:val="0"/>
        <w:autoSpaceDE/>
        <w:autoSpaceDN/>
        <w:bidi w:val="0"/>
        <w:adjustRightInd/>
        <w:snapToGrid/>
        <w:spacing w:line="400" w:lineRule="exact"/>
        <w:ind w:firstLine="361" w:firstLineChars="15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二、申请人的资格条件：</w:t>
      </w:r>
    </w:p>
    <w:p w14:paraId="4B7D157A">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lang w:eastAsia="zh-CN"/>
        </w:rPr>
      </w:pPr>
      <w:bookmarkStart w:id="8" w:name="_Hlk51746371"/>
      <w:r>
        <w:rPr>
          <w:rFonts w:hint="eastAsia" w:asciiTheme="minorEastAsia" w:hAnsiTheme="minorEastAsia" w:eastAsiaTheme="minorEastAsia" w:cstheme="minorEastAsia"/>
          <w:color w:val="auto"/>
          <w:sz w:val="24"/>
          <w:szCs w:val="24"/>
        </w:rPr>
        <w:t>1.满足《中华人民共和国政府采购法》第二十二条规定</w:t>
      </w:r>
      <w:r>
        <w:rPr>
          <w:rFonts w:hint="eastAsia" w:asciiTheme="minorEastAsia" w:hAnsiTheme="minorEastAsia" w:eastAsiaTheme="minorEastAsia" w:cstheme="minorEastAsia"/>
          <w:color w:val="auto"/>
          <w:sz w:val="24"/>
          <w:szCs w:val="24"/>
          <w:lang w:eastAsia="zh-CN"/>
        </w:rPr>
        <w:t>。</w:t>
      </w:r>
    </w:p>
    <w:p w14:paraId="24383DD0">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2.落实政府采购政策需满足的资格要求：</w:t>
      </w:r>
      <w:r>
        <w:rPr>
          <w:rFonts w:hint="eastAsia" w:asciiTheme="minorEastAsia" w:hAnsiTheme="minorEastAsia" w:eastAsiaTheme="minorEastAsia" w:cstheme="minorEastAsia"/>
          <w:color w:val="auto"/>
          <w:sz w:val="24"/>
          <w:szCs w:val="24"/>
          <w:lang w:eastAsia="zh-CN"/>
        </w:rPr>
        <w:t>无。</w:t>
      </w:r>
    </w:p>
    <w:p w14:paraId="757BA9BE">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3.本项目的特定资格要求：</w:t>
      </w:r>
      <w:bookmarkEnd w:id="8"/>
      <w:r>
        <w:rPr>
          <w:rFonts w:hint="eastAsia" w:asciiTheme="minorEastAsia" w:hAnsiTheme="minorEastAsia" w:eastAsiaTheme="minorEastAsia" w:cstheme="minorEastAsia"/>
          <w:color w:val="auto"/>
          <w:sz w:val="24"/>
          <w:szCs w:val="24"/>
        </w:rPr>
        <w:t>无。</w:t>
      </w:r>
    </w:p>
    <w:p w14:paraId="688A929A">
      <w:pPr>
        <w:keepNext w:val="0"/>
        <w:keepLines w:val="0"/>
        <w:pageBreakBefore w:val="0"/>
        <w:kinsoku/>
        <w:wordWrap/>
        <w:overflowPunct/>
        <w:topLinePunct w:val="0"/>
        <w:autoSpaceDE/>
        <w:autoSpaceDN/>
        <w:bidi w:val="0"/>
        <w:adjustRightInd/>
        <w:snapToGrid/>
        <w:spacing w:line="400" w:lineRule="exact"/>
        <w:ind w:firstLine="361" w:firstLineChars="15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三、获取竞争性谈判采购文件</w:t>
      </w:r>
    </w:p>
    <w:p w14:paraId="0249ACFD">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时间：</w:t>
      </w:r>
      <w:r>
        <w:rPr>
          <w:rFonts w:hint="eastAsia" w:asciiTheme="minorEastAsia" w:hAnsiTheme="minorEastAsia" w:eastAsiaTheme="minorEastAsia" w:cstheme="minorEastAsia"/>
          <w:color w:val="auto"/>
          <w:sz w:val="24"/>
          <w:szCs w:val="24"/>
          <w:lang w:eastAsia="zh-CN"/>
        </w:rPr>
        <w:t>2026年</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lang w:eastAsia="zh-CN"/>
        </w:rPr>
        <w:t>月</w:t>
      </w:r>
      <w:r>
        <w:rPr>
          <w:rFonts w:hint="eastAsia" w:asciiTheme="minorEastAsia" w:hAnsiTheme="minorEastAsia" w:eastAsiaTheme="minorEastAsia" w:cstheme="minorEastAsia"/>
          <w:color w:val="auto"/>
          <w:sz w:val="24"/>
          <w:szCs w:val="24"/>
          <w:lang w:val="en-US" w:eastAsia="zh-CN"/>
        </w:rPr>
        <w:t>20</w:t>
      </w:r>
      <w:r>
        <w:rPr>
          <w:rFonts w:hint="eastAsia" w:asciiTheme="minorEastAsia" w:hAnsiTheme="minorEastAsia" w:eastAsiaTheme="minorEastAsia" w:cstheme="minorEastAsia"/>
          <w:color w:val="auto"/>
          <w:sz w:val="24"/>
          <w:szCs w:val="24"/>
          <w:lang w:eastAsia="zh-CN"/>
        </w:rPr>
        <w:t>日</w:t>
      </w:r>
      <w:r>
        <w:rPr>
          <w:rFonts w:hint="eastAsia" w:asciiTheme="minorEastAsia" w:hAnsiTheme="minorEastAsia" w:eastAsiaTheme="minorEastAsia" w:cstheme="minorEastAsia"/>
          <w:color w:val="auto"/>
          <w:sz w:val="24"/>
          <w:szCs w:val="24"/>
        </w:rPr>
        <w:t>至</w:t>
      </w:r>
      <w:r>
        <w:rPr>
          <w:rFonts w:hint="eastAsia" w:asciiTheme="minorEastAsia" w:hAnsiTheme="minorEastAsia" w:eastAsiaTheme="minorEastAsia" w:cstheme="minorEastAsia"/>
          <w:color w:val="auto"/>
          <w:sz w:val="24"/>
          <w:szCs w:val="24"/>
          <w:lang w:eastAsia="zh-CN"/>
        </w:rPr>
        <w:t>2026</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lang w:val="en-US" w:eastAsia="zh-CN"/>
        </w:rPr>
        <w:t>25</w:t>
      </w:r>
      <w:r>
        <w:rPr>
          <w:rFonts w:hint="eastAsia" w:asciiTheme="minorEastAsia" w:hAnsiTheme="minorEastAsia" w:eastAsiaTheme="minorEastAsia" w:cstheme="minorEastAsia"/>
          <w:color w:val="auto"/>
          <w:sz w:val="24"/>
          <w:szCs w:val="24"/>
        </w:rPr>
        <w:t>日，每天上午00</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00至12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00，下午12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00至23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59（北京时间，法定节假日除外</w:t>
      </w:r>
      <w:r>
        <w:rPr>
          <w:rFonts w:hint="eastAsia" w:asciiTheme="minorEastAsia" w:hAnsiTheme="minorEastAsia" w:eastAsiaTheme="minorEastAsia" w:cstheme="minorEastAsia"/>
          <w:color w:val="auto"/>
          <w:sz w:val="24"/>
          <w:szCs w:val="24"/>
          <w:lang w:eastAsia="zh-CN"/>
        </w:rPr>
        <w:t>）</w:t>
      </w:r>
    </w:p>
    <w:p w14:paraId="5E6F29EB">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地点：广西政府采购云平台（https</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//www.gcy.zfcg.gxzf.gov.cn/</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p>
    <w:p w14:paraId="0D780C6F">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方式：网上下载。本项目不发放纸质文件，供应商应自行在</w:t>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t>广西政府采购云平台（https</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//www.gcy.zfcg.gxzf.gov.cn/</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下载竞争性谈判采购文件（操作路径：登录广西政府采购云平台-项目采购-获取采购文件-找到本项目-点击“申请获取采购文件”</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，电子响应文件制作需要基于广西政府采购云平台获取的竞争性谈判采购文件编制。</w:t>
      </w:r>
    </w:p>
    <w:p w14:paraId="7620716C">
      <w:pPr>
        <w:keepNext w:val="0"/>
        <w:keepLines w:val="0"/>
        <w:pageBreakBefore w:val="0"/>
        <w:kinsoku/>
        <w:wordWrap/>
        <w:overflowPunct/>
        <w:topLinePunct w:val="0"/>
        <w:autoSpaceDE/>
        <w:autoSpaceDN/>
        <w:bidi w:val="0"/>
        <w:adjustRightInd/>
        <w:snapToGrid/>
        <w:spacing w:line="400" w:lineRule="exact"/>
        <w:ind w:firstLine="840" w:firstLineChars="3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售价：0元。</w:t>
      </w:r>
    </w:p>
    <w:p w14:paraId="65595C8D">
      <w:pPr>
        <w:keepNext w:val="0"/>
        <w:keepLines w:val="0"/>
        <w:pageBreakBefore w:val="0"/>
        <w:kinsoku/>
        <w:wordWrap/>
        <w:overflowPunct/>
        <w:topLinePunct w:val="0"/>
        <w:autoSpaceDE/>
        <w:autoSpaceDN/>
        <w:bidi w:val="0"/>
        <w:adjustRightInd/>
        <w:snapToGrid/>
        <w:spacing w:line="400" w:lineRule="exact"/>
        <w:ind w:firstLine="361" w:firstLineChars="15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四、响应文件提交</w:t>
      </w:r>
    </w:p>
    <w:p w14:paraId="078A1C50">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1.首次响应文件提交截止时间：</w:t>
      </w:r>
      <w:r>
        <w:rPr>
          <w:rFonts w:hint="eastAsia" w:asciiTheme="minorEastAsia" w:hAnsiTheme="minorEastAsia" w:eastAsiaTheme="minorEastAsia" w:cstheme="minorEastAsia"/>
          <w:color w:val="auto"/>
          <w:sz w:val="24"/>
          <w:szCs w:val="24"/>
          <w:lang w:eastAsia="zh-CN"/>
        </w:rPr>
        <w:t>2026年</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lang w:eastAsia="zh-CN"/>
        </w:rPr>
        <w:t>月</w:t>
      </w:r>
      <w:r>
        <w:rPr>
          <w:rFonts w:hint="eastAsia" w:asciiTheme="minorEastAsia" w:hAnsiTheme="minorEastAsia" w:eastAsiaTheme="minorEastAsia" w:cstheme="minorEastAsia"/>
          <w:color w:val="auto"/>
          <w:sz w:val="24"/>
          <w:szCs w:val="24"/>
          <w:lang w:val="en-US" w:eastAsia="zh-CN"/>
        </w:rPr>
        <w:t>26</w:t>
      </w:r>
      <w:r>
        <w:rPr>
          <w:rFonts w:hint="eastAsia" w:asciiTheme="minorEastAsia" w:hAnsiTheme="minorEastAsia" w:eastAsiaTheme="minorEastAsia" w:cstheme="minorEastAsia"/>
          <w:color w:val="auto"/>
          <w:sz w:val="24"/>
          <w:szCs w:val="24"/>
          <w:lang w:eastAsia="zh-CN"/>
        </w:rPr>
        <w:t>日10时00分</w:t>
      </w:r>
      <w:r>
        <w:rPr>
          <w:rFonts w:hint="eastAsia" w:asciiTheme="minorEastAsia" w:hAnsiTheme="minorEastAsia" w:eastAsiaTheme="minorEastAsia" w:cstheme="minorEastAsia"/>
          <w:color w:val="auto"/>
          <w:sz w:val="24"/>
          <w:szCs w:val="24"/>
        </w:rPr>
        <w:t>（北京时间</w:t>
      </w:r>
      <w:r>
        <w:rPr>
          <w:rFonts w:hint="eastAsia" w:asciiTheme="minorEastAsia" w:hAnsiTheme="minorEastAsia" w:eastAsiaTheme="minorEastAsia" w:cstheme="minorEastAsia"/>
          <w:color w:val="auto"/>
          <w:sz w:val="24"/>
          <w:szCs w:val="24"/>
          <w:lang w:eastAsia="zh-CN"/>
        </w:rPr>
        <w:t>）</w:t>
      </w:r>
    </w:p>
    <w:p w14:paraId="33687153">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2.地点：通过广西政府采购云平台在线提交。</w:t>
      </w:r>
    </w:p>
    <w:p w14:paraId="047C781A">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本项目为全流程电子化项目，没有现场递交响应文件及现场开标环节，通过广西政府采购云平台（https</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//www.gcy.zfcg.gxzf.gov.cn/</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实行在线电子投标，供应商应先安装“广西政府采购云平台投标客户端”（请自行前往广西政府采购云平台进行下载</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，并按照本项目采购文件和广西政府采购云平台的要求使用CA认证编制、加密响应文件后在首次响应文件提交截止时间前上传至 广西政府采购云平台，供应商在广西政府采购云平台提交电子版响应文件时，请填写参加远程开标活动经办人联系方式，如在谈判评审过程中有电子询标，应在规定的时间内对电子询标函进行澄清回复。</w:t>
      </w:r>
    </w:p>
    <w:p w14:paraId="332F4A62">
      <w:pPr>
        <w:keepNext w:val="0"/>
        <w:keepLines w:val="0"/>
        <w:pageBreakBefore w:val="0"/>
        <w:kinsoku/>
        <w:wordWrap/>
        <w:overflowPunct/>
        <w:topLinePunct w:val="0"/>
        <w:autoSpaceDE/>
        <w:autoSpaceDN/>
        <w:bidi w:val="0"/>
        <w:adjustRightInd/>
        <w:snapToGrid/>
        <w:spacing w:line="400" w:lineRule="exact"/>
        <w:ind w:firstLine="361" w:firstLineChars="15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五、开启</w:t>
      </w:r>
    </w:p>
    <w:p w14:paraId="21C87F78">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1.首次响应文件开启时间：</w:t>
      </w:r>
      <w:r>
        <w:rPr>
          <w:rFonts w:hint="eastAsia" w:asciiTheme="minorEastAsia" w:hAnsiTheme="minorEastAsia" w:eastAsiaTheme="minorEastAsia" w:cstheme="minorEastAsia"/>
          <w:color w:val="auto"/>
          <w:sz w:val="24"/>
          <w:szCs w:val="24"/>
          <w:lang w:eastAsia="zh-CN"/>
        </w:rPr>
        <w:t>2026年</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lang w:eastAsia="zh-CN"/>
        </w:rPr>
        <w:t>月</w:t>
      </w:r>
      <w:r>
        <w:rPr>
          <w:rFonts w:hint="eastAsia" w:asciiTheme="minorEastAsia" w:hAnsiTheme="minorEastAsia" w:eastAsiaTheme="minorEastAsia" w:cstheme="minorEastAsia"/>
          <w:color w:val="auto"/>
          <w:sz w:val="24"/>
          <w:szCs w:val="24"/>
          <w:lang w:val="en-US" w:eastAsia="zh-CN"/>
        </w:rPr>
        <w:t>26</w:t>
      </w:r>
      <w:r>
        <w:rPr>
          <w:rFonts w:hint="eastAsia" w:asciiTheme="minorEastAsia" w:hAnsiTheme="minorEastAsia" w:eastAsiaTheme="minorEastAsia" w:cstheme="minorEastAsia"/>
          <w:color w:val="auto"/>
          <w:sz w:val="24"/>
          <w:szCs w:val="24"/>
          <w:lang w:eastAsia="zh-CN"/>
        </w:rPr>
        <w:t>日10时00分</w:t>
      </w:r>
      <w:r>
        <w:rPr>
          <w:rFonts w:hint="eastAsia" w:asciiTheme="minorEastAsia" w:hAnsiTheme="minorEastAsia" w:eastAsiaTheme="minorEastAsia" w:cstheme="minorEastAsia"/>
          <w:color w:val="auto"/>
          <w:sz w:val="24"/>
          <w:szCs w:val="24"/>
        </w:rPr>
        <w:t>（北京时间</w:t>
      </w:r>
      <w:r>
        <w:rPr>
          <w:rFonts w:hint="eastAsia" w:asciiTheme="minorEastAsia" w:hAnsiTheme="minorEastAsia" w:eastAsiaTheme="minorEastAsia" w:cstheme="minorEastAsia"/>
          <w:color w:val="auto"/>
          <w:sz w:val="24"/>
          <w:szCs w:val="24"/>
          <w:lang w:eastAsia="zh-CN"/>
        </w:rPr>
        <w:t>）</w:t>
      </w:r>
    </w:p>
    <w:p w14:paraId="739EFD73">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2.地点：本项目将在广西政府采购云平台电子开标大厅解密、开启。</w:t>
      </w:r>
    </w:p>
    <w:p w14:paraId="1E23500B">
      <w:pPr>
        <w:keepNext w:val="0"/>
        <w:keepLines w:val="0"/>
        <w:pageBreakBefore w:val="0"/>
        <w:kinsoku/>
        <w:wordWrap/>
        <w:overflowPunct/>
        <w:topLinePunct w:val="0"/>
        <w:autoSpaceDE/>
        <w:autoSpaceDN/>
        <w:bidi w:val="0"/>
        <w:adjustRightInd/>
        <w:snapToGrid/>
        <w:spacing w:line="400" w:lineRule="exact"/>
        <w:ind w:firstLine="361" w:firstLineChars="15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六、公告期限</w:t>
      </w:r>
    </w:p>
    <w:p w14:paraId="75E7848E">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自本公告发布之日起3个工作日。</w:t>
      </w:r>
    </w:p>
    <w:p w14:paraId="0CAAB326">
      <w:pPr>
        <w:keepNext w:val="0"/>
        <w:keepLines w:val="0"/>
        <w:pageBreakBefore w:val="0"/>
        <w:kinsoku/>
        <w:wordWrap/>
        <w:overflowPunct/>
        <w:topLinePunct w:val="0"/>
        <w:autoSpaceDE/>
        <w:autoSpaceDN/>
        <w:bidi w:val="0"/>
        <w:adjustRightInd/>
        <w:snapToGrid/>
        <w:spacing w:line="400" w:lineRule="exact"/>
        <w:ind w:firstLine="361" w:firstLineChars="15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七、其他补充事宜</w:t>
      </w:r>
    </w:p>
    <w:p w14:paraId="071C875F">
      <w:pPr>
        <w:keepNext w:val="0"/>
        <w:keepLines w:val="0"/>
        <w:pageBreakBefore w:val="0"/>
        <w:kinsoku/>
        <w:wordWrap/>
        <w:overflowPunct/>
        <w:topLinePunct w:val="0"/>
        <w:autoSpaceDE/>
        <w:autoSpaceDN/>
        <w:bidi w:val="0"/>
        <w:adjustRightInd/>
        <w:snapToGrid/>
        <w:spacing w:line="400" w:lineRule="exact"/>
        <w:ind w:firstLine="600" w:firstLineChars="25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1.竞标保证金（须足额交纳</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color w:val="auto"/>
          <w:sz w:val="24"/>
          <w:szCs w:val="24"/>
        </w:rPr>
        <w:t>000.00元；（交纳注意事项详见供应商须知前附表</w:t>
      </w:r>
      <w:r>
        <w:rPr>
          <w:rFonts w:hint="eastAsia" w:asciiTheme="minorEastAsia" w:hAnsiTheme="minorEastAsia" w:eastAsiaTheme="minorEastAsia" w:cstheme="minorEastAsia"/>
          <w:color w:val="auto"/>
          <w:sz w:val="24"/>
          <w:szCs w:val="24"/>
          <w:lang w:eastAsia="zh-CN"/>
        </w:rPr>
        <w:t>）</w:t>
      </w:r>
    </w:p>
    <w:p w14:paraId="3917B5FA">
      <w:pPr>
        <w:keepNext w:val="0"/>
        <w:keepLines w:val="0"/>
        <w:pageBreakBefore w:val="0"/>
        <w:kinsoku/>
        <w:wordWrap/>
        <w:overflowPunct/>
        <w:topLinePunct w:val="0"/>
        <w:autoSpaceDE/>
        <w:autoSpaceDN/>
        <w:bidi w:val="0"/>
        <w:adjustRightInd/>
        <w:snapToGrid/>
        <w:spacing w:line="400" w:lineRule="exact"/>
        <w:ind w:firstLine="600" w:firstLineChars="2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BF9E07F">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3.根据财政部《关于在政府采购活动中查询及使用信用记录有关问题的通知》（财库〔2016〕125号</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的规定，对在“信用中国”网站</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www.creditchina.gov.cn</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 、中国政府采购网</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www.ccgp.gov.cn</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被列入失信被执行人、重大税收违法失信主体、政府采购严重违法失信行为记录名单及其他不符合《中华人民共和国政府采购法》第二十二条规定条件的供应商，不得参与政府采购活动。</w:t>
      </w:r>
    </w:p>
    <w:p w14:paraId="3B7DFF8C">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4.网上查询地址：中国政府采购网（www.ccgp.gov.cn</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、广西政府采购网（zfcg.gxzf.gov.cn</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p>
    <w:p w14:paraId="3C116FF1">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5.本项目需要落实的政府采购政策：</w:t>
      </w:r>
    </w:p>
    <w:p w14:paraId="4B02F040">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政府采购促进中小企业发展。</w:t>
      </w:r>
    </w:p>
    <w:p w14:paraId="6C5E8134">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政府采购支持采用本国产品的政策。</w:t>
      </w:r>
    </w:p>
    <w:p w14:paraId="4E2A75B4">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强制采购节能产品；优先采购节能产品、环境标志产品。</w:t>
      </w:r>
    </w:p>
    <w:p w14:paraId="37913DB4">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政府采购促进残疾人就业政策。</w:t>
      </w:r>
    </w:p>
    <w:p w14:paraId="78E1076C">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政府采购支持监狱企业发展。</w:t>
      </w:r>
    </w:p>
    <w:p w14:paraId="671A83CE">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扶持不发达地区和少数民族地区政策</w:t>
      </w:r>
    </w:p>
    <w:p w14:paraId="3DABD230">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6.谈判注意事项：</w:t>
      </w:r>
    </w:p>
    <w:p w14:paraId="76AEF532">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响应文件提交方式：本项目为全流程电子化政府采购项目，通过广西政府采购云平台（https</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//www.gcy.zfcg.gxzf.gov.cn/</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实行在线电子竞争性谈判，供应商应先安装“广西政府采购云平台电子交易客户端”（请自行前往广西政府采购云平台进行下载</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，并按照本项目竞争性谈判采购文件和广西政府采购云平台的要求编制、加密后在首次响应文件提交截止时间前通过网络上传至广西政府采购云平台，</w:t>
      </w:r>
      <w:r>
        <w:rPr>
          <w:rFonts w:hint="eastAsia" w:asciiTheme="minorEastAsia" w:hAnsiTheme="minorEastAsia" w:eastAsiaTheme="minorEastAsia" w:cstheme="minorEastAsia"/>
          <w:b/>
          <w:color w:val="auto"/>
          <w:sz w:val="24"/>
          <w:szCs w:val="24"/>
        </w:rPr>
        <w:t>供应商在广西政府采购云平台提交电子版响应文件时，请填写参加远程开标活动经办人联系方式。</w:t>
      </w:r>
    </w:p>
    <w:p w14:paraId="2A042C59">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供应商应及时熟悉掌握电子标系统操作指南（见广西政府采购云平台电子卖场首页右上角—服务中心—帮助文档—项目采购</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；及时完成CA申领和绑定（见广西壮族自治区政府采购网—办事服务—下载专区-广西政府采购云平台CA证书办理操作指南</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p>
    <w:p w14:paraId="34467EA3">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未进行网上注册并办理数字证书（CA认证</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的供应商将无法参与本项目政府采购活动，潜在供应商应当在首次响应文件提交截止时间前，完成电子交易平台上的CA数字证书办理及响应文件的提交。完成CA数字证书办理预计7日左右，供应商只需办理其中一家CA数字证书及签章，建议各供应商抓紧时间办理。</w:t>
      </w:r>
    </w:p>
    <w:p w14:paraId="08A75E07">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为确保网上操作合法、有效和安全，请供应商确保在参与电子竞争性谈判过程中能够对相关数据电文进行加密和使用电子签章，妥善保管CA数字证书并使用有效的CA数字证书参与整个采购活动。</w:t>
      </w:r>
    </w:p>
    <w:p w14:paraId="1A5A5D7C">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注：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广西政府采购云平台将予以拒收。</w:t>
      </w:r>
    </w:p>
    <w:p w14:paraId="2B2A578C">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7.CA证书在线解密：首次响应文件开启时，须要供应商携带制作响应文件时用来加密的有效数字证书（CA认证</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登录广西政府采购云平台电子开标大厅现场按规定时间对加密的响应文件进行解密，否则后果自负。</w:t>
      </w:r>
    </w:p>
    <w:p w14:paraId="306E5E5B">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8.供应商需要在具备有摄像头及语音功能且互联网网络状况良好的电脑登录广西政府采购云平台远程开标大厅参与本次谈判，否则后果自负。</w:t>
      </w:r>
    </w:p>
    <w:p w14:paraId="0E4D63E5">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9.若对项目采购电子交易系统操作有疑问，可登录广西政府采购云平台（https</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//www.gcy.zfcg.gxzf.gov.cn/</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，点击右侧咨询小采，获取采小蜜智能服务管家帮助，或拨打广西政府采购云平台服务热线95763获取热线服务帮助。</w:t>
      </w:r>
    </w:p>
    <w:p w14:paraId="076905AF">
      <w:pPr>
        <w:keepNext w:val="0"/>
        <w:keepLines w:val="0"/>
        <w:pageBreakBefore w:val="0"/>
        <w:kinsoku/>
        <w:wordWrap/>
        <w:overflowPunct/>
        <w:topLinePunct w:val="0"/>
        <w:autoSpaceDE/>
        <w:autoSpaceDN/>
        <w:bidi w:val="0"/>
        <w:adjustRightInd/>
        <w:snapToGrid/>
        <w:spacing w:line="400" w:lineRule="exact"/>
        <w:ind w:firstLine="361" w:firstLineChars="15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八、凡对本次采购提出询问，请按以下方式联系。</w:t>
      </w:r>
      <w:bookmarkEnd w:id="2"/>
      <w:bookmarkEnd w:id="3"/>
      <w:bookmarkEnd w:id="4"/>
      <w:bookmarkEnd w:id="5"/>
      <w:bookmarkEnd w:id="6"/>
      <w:bookmarkEnd w:id="7"/>
    </w:p>
    <w:p w14:paraId="4C304D67">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bookmarkStart w:id="9" w:name="_Toc35393637"/>
      <w:bookmarkStart w:id="10" w:name="_Toc28359096"/>
      <w:bookmarkStart w:id="11" w:name="_Toc35393806"/>
      <w:bookmarkStart w:id="12" w:name="_Toc28359019"/>
      <w:r>
        <w:rPr>
          <w:rFonts w:hint="eastAsia" w:asciiTheme="minorEastAsia" w:hAnsiTheme="minorEastAsia" w:eastAsiaTheme="minorEastAsia" w:cstheme="minorEastAsia"/>
          <w:color w:val="auto"/>
          <w:sz w:val="24"/>
          <w:szCs w:val="24"/>
        </w:rPr>
        <w:t>1.采购人信息</w:t>
      </w:r>
    </w:p>
    <w:p w14:paraId="13180A10">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名称：灵山县人民医院</w:t>
      </w:r>
    </w:p>
    <w:p w14:paraId="36D61FC8">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地址：广西壮族自治区灵山县灵城街道钟秀路1号</w:t>
      </w:r>
    </w:p>
    <w:p w14:paraId="49EEA639">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联系人：</w:t>
      </w:r>
      <w:r>
        <w:rPr>
          <w:rFonts w:hint="eastAsia" w:asciiTheme="minorEastAsia" w:hAnsiTheme="minorEastAsia" w:eastAsiaTheme="minorEastAsia" w:cstheme="minorEastAsia"/>
          <w:color w:val="auto"/>
          <w:sz w:val="24"/>
          <w:szCs w:val="24"/>
          <w:lang w:eastAsia="zh-CN"/>
        </w:rPr>
        <w:t>黄工</w:t>
      </w:r>
    </w:p>
    <w:p w14:paraId="6C65E6B8">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联系方式：0777-6218020</w:t>
      </w:r>
    </w:p>
    <w:p w14:paraId="3594AEDE">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2.采购代理机构信息</w:t>
      </w:r>
    </w:p>
    <w:p w14:paraId="2A5341EE">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名 称：广西建设工程机电设备招标中心有限公司</w:t>
      </w:r>
    </w:p>
    <w:p w14:paraId="49B1A887">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 址：广西南宁市青秀区枫林路18号</w:t>
      </w:r>
      <w:r>
        <w:rPr>
          <w:rFonts w:hint="eastAsia" w:asciiTheme="minorEastAsia" w:hAnsiTheme="minorEastAsia" w:eastAsiaTheme="minorEastAsia" w:cstheme="minorEastAsia"/>
          <w:color w:val="auto"/>
          <w:sz w:val="24"/>
          <w:szCs w:val="24"/>
          <w:lang w:eastAsia="zh-CN"/>
        </w:rPr>
        <w:t>广西国控大厦</w:t>
      </w:r>
      <w:r>
        <w:rPr>
          <w:rFonts w:hint="eastAsia" w:asciiTheme="minorEastAsia" w:hAnsiTheme="minorEastAsia" w:eastAsiaTheme="minorEastAsia" w:cstheme="minorEastAsia"/>
          <w:color w:val="auto"/>
          <w:sz w:val="24"/>
          <w:szCs w:val="24"/>
        </w:rPr>
        <w:t>裙楼三层</w:t>
      </w:r>
    </w:p>
    <w:p w14:paraId="6996AD99">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联系方式：0771-2821389</w:t>
      </w:r>
    </w:p>
    <w:p w14:paraId="5424284F">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3.项目联系方式</w:t>
      </w:r>
    </w:p>
    <w:p w14:paraId="17B841CC">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项目联系人：刘雅婷、谭琦辉、钟颜襄</w:t>
      </w:r>
    </w:p>
    <w:p w14:paraId="73B34D18">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 话：0771-2821389</w:t>
      </w:r>
    </w:p>
    <w:bookmarkEnd w:id="9"/>
    <w:bookmarkEnd w:id="10"/>
    <w:bookmarkEnd w:id="11"/>
    <w:bookmarkEnd w:id="12"/>
    <w:p w14:paraId="7AF6A273">
      <w:pPr>
        <w:keepNext w:val="0"/>
        <w:keepLines w:val="0"/>
        <w:pageBreakBefore w:val="0"/>
        <w:kinsoku/>
        <w:wordWrap/>
        <w:overflowPunct/>
        <w:topLinePunct w:val="0"/>
        <w:autoSpaceDE/>
        <w:autoSpaceDN/>
        <w:bidi w:val="0"/>
        <w:adjustRightInd/>
        <w:snapToGrid/>
        <w:spacing w:line="400" w:lineRule="exact"/>
        <w:ind w:firstLine="840" w:firstLineChars="350"/>
        <w:rPr>
          <w:rFonts w:hint="eastAsia" w:asciiTheme="minorEastAsia" w:hAnsiTheme="minorEastAsia" w:eastAsiaTheme="minorEastAsia" w:cstheme="minorEastAsia"/>
          <w:color w:val="auto"/>
          <w:sz w:val="24"/>
          <w:szCs w:val="24"/>
        </w:rPr>
      </w:pPr>
    </w:p>
    <w:p w14:paraId="288C5396">
      <w:pPr>
        <w:keepNext w:val="0"/>
        <w:keepLines w:val="0"/>
        <w:pageBreakBefore w:val="0"/>
        <w:kinsoku/>
        <w:wordWrap/>
        <w:overflowPunct/>
        <w:topLinePunct w:val="0"/>
        <w:autoSpaceDE/>
        <w:autoSpaceDN/>
        <w:bidi w:val="0"/>
        <w:adjustRightInd/>
        <w:snapToGrid/>
        <w:spacing w:line="400" w:lineRule="exact"/>
        <w:ind w:firstLine="840" w:firstLineChars="350"/>
        <w:rPr>
          <w:rFonts w:hint="eastAsia" w:asciiTheme="minorEastAsia" w:hAnsiTheme="minorEastAsia" w:eastAsiaTheme="minorEastAsia" w:cstheme="minorEastAsia"/>
          <w:color w:val="auto"/>
          <w:sz w:val="24"/>
          <w:szCs w:val="24"/>
        </w:rPr>
      </w:pPr>
    </w:p>
    <w:p w14:paraId="55DE7D96">
      <w:pPr>
        <w:keepNext w:val="0"/>
        <w:keepLines w:val="0"/>
        <w:pageBreakBefore w:val="0"/>
        <w:kinsoku/>
        <w:wordWrap/>
        <w:overflowPunct/>
        <w:topLinePunct w:val="0"/>
        <w:autoSpaceDE/>
        <w:autoSpaceDN/>
        <w:bidi w:val="0"/>
        <w:adjustRightInd/>
        <w:snapToGrid/>
        <w:spacing w:line="400" w:lineRule="exact"/>
        <w:ind w:firstLine="4440" w:firstLineChars="1850"/>
        <w:jc w:val="righ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广西建设工程机电设备招标中心有限公司 </w:t>
      </w:r>
    </w:p>
    <w:bookmarkEnd w:id="1"/>
    <w:p w14:paraId="2290A887">
      <w:pPr>
        <w:keepNext w:val="0"/>
        <w:keepLines w:val="0"/>
        <w:pageBreakBefore w:val="0"/>
        <w:kinsoku/>
        <w:wordWrap/>
        <w:overflowPunct/>
        <w:topLinePunct w:val="0"/>
        <w:autoSpaceDE/>
        <w:autoSpaceDN/>
        <w:bidi w:val="0"/>
        <w:adjustRightInd/>
        <w:snapToGrid/>
        <w:spacing w:line="400" w:lineRule="exact"/>
        <w:jc w:val="righ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4"/>
          <w:szCs w:val="24"/>
          <w:lang w:eastAsia="zh-CN"/>
        </w:rPr>
        <w:t>2026年</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lang w:eastAsia="zh-CN"/>
        </w:rPr>
        <w:t>月</w:t>
      </w:r>
      <w:r>
        <w:rPr>
          <w:rFonts w:hint="eastAsia" w:asciiTheme="minorEastAsia" w:hAnsiTheme="minorEastAsia" w:eastAsiaTheme="minorEastAsia" w:cstheme="minorEastAsia"/>
          <w:color w:val="auto"/>
          <w:sz w:val="24"/>
          <w:szCs w:val="24"/>
          <w:lang w:val="en-US" w:eastAsia="zh-CN"/>
        </w:rPr>
        <w:t>20</w:t>
      </w:r>
      <w:r>
        <w:rPr>
          <w:rFonts w:hint="eastAsia" w:asciiTheme="minorEastAsia" w:hAnsiTheme="minorEastAsia" w:eastAsiaTheme="minorEastAsia" w:cstheme="minorEastAsia"/>
          <w:color w:val="auto"/>
          <w:sz w:val="24"/>
          <w:szCs w:val="24"/>
          <w:lang w:eastAsia="zh-CN"/>
        </w:rPr>
        <w:t>日</w:t>
      </w:r>
      <w:r>
        <w:rPr>
          <w:rFonts w:hint="eastAsia" w:asciiTheme="minorEastAsia" w:hAnsiTheme="minorEastAsia" w:eastAsiaTheme="minorEastAsia" w:cstheme="minorEastAsia"/>
          <w:color w:val="auto"/>
        </w:rPr>
        <w:br w:type="page"/>
      </w:r>
    </w:p>
    <w:p w14:paraId="74D45174">
      <w:pPr>
        <w:pStyle w:val="2"/>
        <w:keepNext/>
        <w:keepLines/>
        <w:pageBreakBefore w:val="0"/>
        <w:widowControl w:val="0"/>
        <w:kinsoku/>
        <w:wordWrap/>
        <w:overflowPunct/>
        <w:topLinePunct w:val="0"/>
        <w:autoSpaceDE/>
        <w:autoSpaceDN/>
        <w:bidi w:val="0"/>
        <w:adjustRightInd/>
        <w:snapToGrid/>
        <w:spacing w:before="200" w:after="200"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lang w:val="en-US" w:eastAsia="zh-CN"/>
        </w:rPr>
      </w:pPr>
      <w:bookmarkStart w:id="13" w:name="_Toc27360"/>
      <w:r>
        <w:rPr>
          <w:rFonts w:hint="eastAsia" w:asciiTheme="minorEastAsia" w:hAnsiTheme="minorEastAsia" w:eastAsiaTheme="minorEastAsia" w:cstheme="minorEastAsia"/>
          <w:color w:val="auto"/>
          <w:lang w:val="en-US" w:eastAsia="zh-CN"/>
        </w:rPr>
        <w:t>第二章 供应商须知</w:t>
      </w:r>
      <w:bookmarkEnd w:id="13"/>
    </w:p>
    <w:p w14:paraId="7ACA0621">
      <w:pPr>
        <w:pStyle w:val="14"/>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供应商须知前附表</w:t>
      </w:r>
    </w:p>
    <w:tbl>
      <w:tblPr>
        <w:tblStyle w:val="26"/>
        <w:tblW w:w="91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1"/>
        <w:gridCol w:w="8181"/>
      </w:tblGrid>
      <w:tr w14:paraId="05766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457A2893">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条款号</w:t>
            </w:r>
          </w:p>
        </w:tc>
        <w:tc>
          <w:tcPr>
            <w:tcW w:w="8181" w:type="dxa"/>
            <w:vAlign w:val="center"/>
          </w:tcPr>
          <w:p w14:paraId="42EDDA0F">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内    容</w:t>
            </w:r>
          </w:p>
        </w:tc>
      </w:tr>
      <w:tr w14:paraId="59C38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4141F24B">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p>
        </w:tc>
        <w:tc>
          <w:tcPr>
            <w:tcW w:w="8181" w:type="dxa"/>
            <w:vAlign w:val="center"/>
          </w:tcPr>
          <w:p w14:paraId="523138D7">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供应商的资格条件：详见竞争性谈判公告</w:t>
            </w:r>
          </w:p>
        </w:tc>
      </w:tr>
      <w:tr w14:paraId="55E7F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746E0A4A">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5.1</w:t>
            </w:r>
          </w:p>
        </w:tc>
        <w:tc>
          <w:tcPr>
            <w:tcW w:w="8181" w:type="dxa"/>
            <w:vAlign w:val="center"/>
          </w:tcPr>
          <w:p w14:paraId="34F1940A">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是否接受联合体参与</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详见竞争性谈判公告</w:t>
            </w:r>
          </w:p>
        </w:tc>
      </w:tr>
      <w:tr w14:paraId="1D4FE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66858016">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5.2</w:t>
            </w:r>
          </w:p>
        </w:tc>
        <w:tc>
          <w:tcPr>
            <w:tcW w:w="8181" w:type="dxa"/>
            <w:vAlign w:val="center"/>
          </w:tcPr>
          <w:p w14:paraId="6807A49F">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如接受联合体参与，要求如下：</w:t>
            </w:r>
          </w:p>
          <w:p w14:paraId="328587F2">
            <w:pPr>
              <w:keepNext w:val="0"/>
              <w:keepLines w:val="0"/>
              <w:pageBreakBefore w:val="0"/>
              <w:widowControl w:val="0"/>
              <w:kinsoku/>
              <w:wordWrap/>
              <w:overflowPunct/>
              <w:topLinePunct w:val="0"/>
              <w:autoSpaceDE w:val="0"/>
              <w:autoSpaceDN w:val="0"/>
              <w:bidi w:val="0"/>
              <w:adjustRightInd/>
              <w:snapToGrid w:val="0"/>
              <w:spacing w:line="400" w:lineRule="exact"/>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两个以上供应商可以组成一个联合体，以一个供应商的身份共同参与竞争性谈判，联合体供应商的名称应统一按“</w:t>
            </w:r>
            <w:r>
              <w:rPr>
                <w:rFonts w:hint="eastAsia" w:asciiTheme="minorEastAsia" w:hAnsiTheme="minorEastAsia" w:eastAsiaTheme="minorEastAsia" w:cstheme="minorEastAsia"/>
                <w:color w:val="auto"/>
                <w:sz w:val="24"/>
                <w:szCs w:val="24"/>
                <w:lang w:eastAsia="zh-CN"/>
              </w:rPr>
              <w:t>XXX</w:t>
            </w:r>
            <w:r>
              <w:rPr>
                <w:rFonts w:hint="eastAsia" w:asciiTheme="minorEastAsia" w:hAnsiTheme="minorEastAsia" w:eastAsiaTheme="minorEastAsia" w:cstheme="minorEastAsia"/>
                <w:color w:val="auto"/>
                <w:sz w:val="24"/>
                <w:szCs w:val="24"/>
              </w:rPr>
              <w:t>公司与</w:t>
            </w:r>
            <w:r>
              <w:rPr>
                <w:rFonts w:hint="eastAsia" w:asciiTheme="minorEastAsia" w:hAnsiTheme="minorEastAsia" w:eastAsiaTheme="minorEastAsia" w:cstheme="minorEastAsia"/>
                <w:color w:val="auto"/>
                <w:sz w:val="24"/>
                <w:szCs w:val="24"/>
                <w:lang w:eastAsia="zh-CN"/>
              </w:rPr>
              <w:t>XXX</w:t>
            </w:r>
            <w:r>
              <w:rPr>
                <w:rFonts w:hint="eastAsia" w:asciiTheme="minorEastAsia" w:hAnsiTheme="minorEastAsia" w:eastAsiaTheme="minorEastAsia" w:cstheme="minorEastAsia"/>
                <w:color w:val="auto"/>
                <w:sz w:val="24"/>
                <w:szCs w:val="24"/>
              </w:rPr>
              <w:t>公司的联合体”的规则填写。</w:t>
            </w:r>
          </w:p>
          <w:p w14:paraId="1D3A42AD">
            <w:pPr>
              <w:keepNext w:val="0"/>
              <w:keepLines w:val="0"/>
              <w:pageBreakBefore w:val="0"/>
              <w:widowControl w:val="0"/>
              <w:kinsoku/>
              <w:wordWrap/>
              <w:overflowPunct/>
              <w:topLinePunct w:val="0"/>
              <w:autoSpaceDE w:val="0"/>
              <w:autoSpaceDN w:val="0"/>
              <w:bidi w:val="0"/>
              <w:adjustRightInd/>
              <w:snapToGrid w:val="0"/>
              <w:spacing w:line="400" w:lineRule="exact"/>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以联合体形式参与竞争性谈判的，联合体各方均必须具备《中华人民共和国政府采购法》第二十二条第一款规定的基本条件（涉及行政许可范围的内容，联合体各方均应具备相应资质</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。本项目有特殊要求规定供应商特定条件的，联合体各方中至少有一方必须符合本项目竞争性谈判公告“申请人的资格条件”第3点“3、本项目的特定资格要求”的要求。</w:t>
            </w:r>
          </w:p>
          <w:p w14:paraId="26C1D993">
            <w:pPr>
              <w:keepNext w:val="0"/>
              <w:keepLines w:val="0"/>
              <w:pageBreakBefore w:val="0"/>
              <w:widowControl w:val="0"/>
              <w:kinsoku/>
              <w:wordWrap/>
              <w:overflowPunct/>
              <w:topLinePunct w:val="0"/>
              <w:autoSpaceDE w:val="0"/>
              <w:autoSpaceDN w:val="0"/>
              <w:bidi w:val="0"/>
              <w:adjustRightInd/>
              <w:snapToGrid w:val="0"/>
              <w:spacing w:line="400" w:lineRule="exact"/>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联合体参与竞争性谈判的，须提供《联合体参与竞争性谈判协议书》（格式后附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，协议书必须明确主体方（或者牵头方</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并明确约定联合体各方承担的工作和相应的责任（各方承担责任与义务的分工必须符合采购需求，否则，联合体响应无效</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，并将《联合体参与竞争性谈判协议书》放入响应文件。联合体各方必须共同与采购人签订采购合同，就采购合同约定的事项对采购人承担连带责任。</w:t>
            </w:r>
          </w:p>
          <w:p w14:paraId="32612BB5">
            <w:pPr>
              <w:keepNext w:val="0"/>
              <w:keepLines w:val="0"/>
              <w:pageBreakBefore w:val="0"/>
              <w:widowControl w:val="0"/>
              <w:kinsoku/>
              <w:wordWrap/>
              <w:overflowPunct/>
              <w:topLinePunct w:val="0"/>
              <w:autoSpaceDE w:val="0"/>
              <w:autoSpaceDN w:val="0"/>
              <w:bidi w:val="0"/>
              <w:adjustRightInd/>
              <w:snapToGrid w:val="0"/>
              <w:spacing w:line="400" w:lineRule="exact"/>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以联合体形式参加政府采购活动的，联合体各方不得再单独参加或者与其他供应商另外组成联合体参加同一合同项下的政府采购活动，否则与之相关的响应文件作废。</w:t>
            </w:r>
          </w:p>
          <w:p w14:paraId="23B18E2E">
            <w:pPr>
              <w:keepNext w:val="0"/>
              <w:keepLines w:val="0"/>
              <w:pageBreakBefore w:val="0"/>
              <w:widowControl w:val="0"/>
              <w:kinsoku/>
              <w:wordWrap/>
              <w:overflowPunct/>
              <w:topLinePunct w:val="0"/>
              <w:autoSpaceDE w:val="0"/>
              <w:autoSpaceDN w:val="0"/>
              <w:bidi w:val="0"/>
              <w:adjustRightInd/>
              <w:snapToGrid w:val="0"/>
              <w:spacing w:line="400" w:lineRule="exact"/>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联合体中有同类资质的供应商按照联合体分工承担相同工作的，应当按照资质等级较低的供应商确定资质等级。</w:t>
            </w:r>
          </w:p>
          <w:p w14:paraId="02E9074F">
            <w:pPr>
              <w:keepNext w:val="0"/>
              <w:keepLines w:val="0"/>
              <w:pageBreakBefore w:val="0"/>
              <w:widowControl w:val="0"/>
              <w:kinsoku/>
              <w:wordWrap/>
              <w:overflowPunct/>
              <w:topLinePunct w:val="0"/>
              <w:autoSpaceDE w:val="0"/>
              <w:autoSpaceDN w:val="0"/>
              <w:bidi w:val="0"/>
              <w:adjustRightInd/>
              <w:snapToGrid w:val="0"/>
              <w:spacing w:line="400" w:lineRule="exact"/>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联合体参与竞争性谈判的业绩、履约能力按照联合体各方其中较高的一方认定并计算（竞争性谈判采购文件另有规定的除外</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p>
          <w:p w14:paraId="31771FCD">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联合体各方均应按照竞争性谈判采购文件的规定提交资格证明文件。</w:t>
            </w:r>
          </w:p>
        </w:tc>
      </w:tr>
      <w:tr w14:paraId="05271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19D74F08">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6.2</w:t>
            </w:r>
          </w:p>
        </w:tc>
        <w:tc>
          <w:tcPr>
            <w:tcW w:w="8181" w:type="dxa"/>
            <w:vAlign w:val="center"/>
          </w:tcPr>
          <w:p w14:paraId="107E4459">
            <w:pPr>
              <w:pStyle w:val="8"/>
              <w:keepNext w:val="0"/>
              <w:keepLines w:val="0"/>
              <w:pageBreakBefore w:val="0"/>
              <w:widowControl w:val="0"/>
              <w:kinsoku/>
              <w:wordWrap/>
              <w:overflowPunct/>
              <w:topLinePunct w:val="0"/>
              <w:bidi w:val="0"/>
              <w:adjustRightInd/>
              <w:spacing w:line="400" w:lineRule="exact"/>
              <w:jc w:val="both"/>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本项目不允许分包。</w:t>
            </w:r>
          </w:p>
        </w:tc>
      </w:tr>
      <w:tr w14:paraId="32D3F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2C7179A8">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7.8</w:t>
            </w:r>
          </w:p>
        </w:tc>
        <w:tc>
          <w:tcPr>
            <w:tcW w:w="8181" w:type="dxa"/>
            <w:vAlign w:val="center"/>
          </w:tcPr>
          <w:p w14:paraId="3BBA9ACD">
            <w:pPr>
              <w:pStyle w:val="8"/>
              <w:keepNext w:val="0"/>
              <w:keepLines w:val="0"/>
              <w:pageBreakBefore w:val="0"/>
              <w:widowControl w:val="0"/>
              <w:kinsoku/>
              <w:wordWrap/>
              <w:overflowPunct/>
              <w:topLinePunct w:val="0"/>
              <w:bidi w:val="0"/>
              <w:adjustRightInd/>
              <w:spacing w:line="400" w:lineRule="exact"/>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是否适用支持本国产品：</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是/</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否</w:t>
            </w:r>
          </w:p>
        </w:tc>
      </w:tr>
      <w:tr w14:paraId="615A0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7FADFCA5">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12.1.1</w:t>
            </w:r>
          </w:p>
        </w:tc>
        <w:tc>
          <w:tcPr>
            <w:tcW w:w="8181" w:type="dxa"/>
            <w:vAlign w:val="center"/>
          </w:tcPr>
          <w:p w14:paraId="5CFBC26E">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资格证明文件</w:t>
            </w:r>
          </w:p>
          <w:p w14:paraId="730A4844">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供应商为法人或者其他组织的，证明文件为其营业执照复印件（如营业执照或者事业单位法人证书或者执业许可证等</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；供应商为自然人的，证明文件为其身份证复印件；（</w:t>
            </w:r>
            <w:r>
              <w:rPr>
                <w:rFonts w:hint="eastAsia" w:asciiTheme="minorEastAsia" w:hAnsiTheme="minorEastAsia" w:eastAsiaTheme="minorEastAsia" w:cstheme="minorEastAsia"/>
                <w:b/>
                <w:color w:val="auto"/>
                <w:sz w:val="24"/>
                <w:szCs w:val="24"/>
              </w:rPr>
              <w:t>必须提供，否则响应文件按无效响应处理</w:t>
            </w:r>
            <w:r>
              <w:rPr>
                <w:rFonts w:hint="eastAsia" w:asciiTheme="minorEastAsia" w:hAnsiTheme="minorEastAsia" w:eastAsiaTheme="minorEastAsia" w:cstheme="minorEastAsia"/>
                <w:color w:val="auto"/>
                <w:sz w:val="24"/>
                <w:szCs w:val="24"/>
                <w:lang w:eastAsia="zh-CN"/>
              </w:rPr>
              <w:t>）</w:t>
            </w:r>
          </w:p>
          <w:p w14:paraId="04EB7D1F">
            <w:pPr>
              <w:keepNext w:val="0"/>
              <w:keepLines w:val="0"/>
              <w:pageBreakBefore w:val="0"/>
              <w:widowControl w:val="0"/>
              <w:kinsoku/>
              <w:wordWrap/>
              <w:overflowPunct/>
              <w:topLinePunct w:val="0"/>
              <w:bidi w:val="0"/>
              <w:adjustRightInd/>
              <w:spacing w:line="400" w:lineRule="exact"/>
              <w:contextualSpacing/>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供应商依法缴纳税收的相关材料（截至首次响应文件提交截止之日半年内</w:t>
            </w:r>
            <w:r>
              <w:rPr>
                <w:rFonts w:hint="eastAsia" w:asciiTheme="minorEastAsia" w:hAnsiTheme="minorEastAsia" w:eastAsiaTheme="minorEastAsia" w:cstheme="minorEastAsia"/>
                <w:color w:val="auto"/>
                <w:sz w:val="24"/>
                <w:szCs w:val="24"/>
                <w:lang w:val="en-US" w:eastAsia="zh-CN"/>
              </w:rPr>
              <w:t>任意</w:t>
            </w:r>
            <w:r>
              <w:rPr>
                <w:rFonts w:hint="eastAsia" w:asciiTheme="minorEastAsia" w:hAnsiTheme="minorEastAsia" w:eastAsiaTheme="minorEastAsia" w:cstheme="minorEastAsia"/>
                <w:color w:val="auto"/>
                <w:sz w:val="24"/>
                <w:szCs w:val="24"/>
              </w:rPr>
              <w:t>连续三个月的依法缴纳税收的凭据复印件；依法免税的，必须提供相应文件证明。从成立之日起到首次响应文件提交截止之日不足要求月数的，只需提供从成立之日起的依法缴纳税收相应证明文件</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
                <w:color w:val="auto"/>
                <w:sz w:val="24"/>
                <w:szCs w:val="24"/>
              </w:rPr>
              <w:t>必须提供，否则响应文件按无效响应处理</w:t>
            </w:r>
            <w:r>
              <w:rPr>
                <w:rFonts w:hint="eastAsia" w:asciiTheme="minorEastAsia" w:hAnsiTheme="minorEastAsia" w:eastAsiaTheme="minorEastAsia" w:cstheme="minorEastAsia"/>
                <w:color w:val="auto"/>
                <w:sz w:val="24"/>
                <w:szCs w:val="24"/>
                <w:lang w:eastAsia="zh-CN"/>
              </w:rPr>
              <w:t>）</w:t>
            </w:r>
          </w:p>
          <w:p w14:paraId="428F370C">
            <w:pPr>
              <w:keepNext w:val="0"/>
              <w:keepLines w:val="0"/>
              <w:pageBreakBefore w:val="0"/>
              <w:widowControl w:val="0"/>
              <w:kinsoku/>
              <w:wordWrap/>
              <w:overflowPunct/>
              <w:topLinePunct w:val="0"/>
              <w:bidi w:val="0"/>
              <w:adjustRightInd/>
              <w:spacing w:line="400" w:lineRule="exact"/>
              <w:contextualSpacing/>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供应商依法缴纳社会保障资金的相关材料（截至首次响应文件提交截止之日半年内</w:t>
            </w:r>
            <w:r>
              <w:rPr>
                <w:rFonts w:hint="eastAsia" w:asciiTheme="minorEastAsia" w:hAnsiTheme="minorEastAsia" w:eastAsiaTheme="minorEastAsia" w:cstheme="minorEastAsia"/>
                <w:color w:val="auto"/>
                <w:sz w:val="24"/>
                <w:szCs w:val="24"/>
                <w:lang w:val="en-US" w:eastAsia="zh-CN"/>
              </w:rPr>
              <w:t>任意</w:t>
            </w:r>
            <w:r>
              <w:rPr>
                <w:rFonts w:hint="eastAsia" w:asciiTheme="minorEastAsia" w:hAnsiTheme="minorEastAsia" w:eastAsiaTheme="minorEastAsia" w:cstheme="minorEastAsia"/>
                <w:color w:val="auto"/>
                <w:sz w:val="24"/>
                <w:szCs w:val="24"/>
              </w:rPr>
              <w:t>连续三个月的依法缴纳社会保障资金的缴费凭证（专用收据或者社会保险缴纳清单</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复印件；依法不需要缴纳社会保障资金的，必须提供相应文件证明。从成立之日起到首次响应文件提交截止之日不足要求月数的只需提供从成立之日起一个月的依法缴纳社会保障资金的相应证明文件</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
                <w:color w:val="auto"/>
                <w:sz w:val="24"/>
                <w:szCs w:val="24"/>
              </w:rPr>
              <w:t>必须提供，否则响应文件按无效响应处理</w:t>
            </w:r>
            <w:r>
              <w:rPr>
                <w:rFonts w:hint="eastAsia" w:asciiTheme="minorEastAsia" w:hAnsiTheme="minorEastAsia" w:eastAsiaTheme="minorEastAsia" w:cstheme="minorEastAsia"/>
                <w:color w:val="auto"/>
                <w:sz w:val="24"/>
                <w:szCs w:val="24"/>
                <w:lang w:eastAsia="zh-CN"/>
              </w:rPr>
              <w:t>）</w:t>
            </w:r>
          </w:p>
          <w:p w14:paraId="76E4DC44">
            <w:pPr>
              <w:keepNext w:val="0"/>
              <w:keepLines w:val="0"/>
              <w:pageBreakBefore w:val="0"/>
              <w:widowControl w:val="0"/>
              <w:kinsoku/>
              <w:wordWrap/>
              <w:overflowPunct/>
              <w:topLinePunct w:val="0"/>
              <w:bidi w:val="0"/>
              <w:adjustRightInd/>
              <w:spacing w:line="400" w:lineRule="exact"/>
              <w:contextualSpacing/>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供应商财务状况报告（提供2024年财务状况报告复印件，或者银行出具的资信证明（资信证明应在有效期内，未注明有效期的，银行出具时间至首次响应文件提交截止之日不超过一年</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；供应商成立不满一年的应按提供首次响应文件提交截止之日上一个月的财务状况报告复印件</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b/>
                <w:color w:val="auto"/>
                <w:sz w:val="24"/>
                <w:szCs w:val="24"/>
              </w:rPr>
              <w:t>除自然人外必须提供，否则响应文件按无效响应处理</w:t>
            </w:r>
            <w:r>
              <w:rPr>
                <w:rFonts w:hint="eastAsia" w:asciiTheme="minorEastAsia" w:hAnsiTheme="minorEastAsia" w:eastAsiaTheme="minorEastAsia" w:cstheme="minorEastAsia"/>
                <w:bCs/>
                <w:color w:val="auto"/>
                <w:sz w:val="24"/>
                <w:szCs w:val="24"/>
                <w:lang w:eastAsia="zh-CN"/>
              </w:rPr>
              <w:t>）</w:t>
            </w:r>
          </w:p>
          <w:p w14:paraId="3CD11473">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5</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供应商直接控股、管理关系信息表（格式后附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
                <w:color w:val="auto"/>
                <w:sz w:val="24"/>
                <w:szCs w:val="24"/>
              </w:rPr>
              <w:t>必须提供，否则响应文件按无效响应处理</w:t>
            </w:r>
            <w:r>
              <w:rPr>
                <w:rFonts w:hint="eastAsia" w:asciiTheme="minorEastAsia" w:hAnsiTheme="minorEastAsia" w:eastAsiaTheme="minorEastAsia" w:cstheme="minorEastAsia"/>
                <w:color w:val="auto"/>
                <w:sz w:val="24"/>
                <w:szCs w:val="24"/>
                <w:lang w:eastAsia="zh-CN"/>
              </w:rPr>
              <w:t>）</w:t>
            </w:r>
          </w:p>
          <w:p w14:paraId="0BBA42BD">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6</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参与竞争性谈判声明（格式后附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
                <w:color w:val="auto"/>
                <w:sz w:val="24"/>
                <w:szCs w:val="24"/>
              </w:rPr>
              <w:t>必须提供，否则响应文件按无效响应处理</w:t>
            </w:r>
            <w:r>
              <w:rPr>
                <w:rFonts w:hint="eastAsia" w:asciiTheme="minorEastAsia" w:hAnsiTheme="minorEastAsia" w:eastAsiaTheme="minorEastAsia" w:cstheme="minorEastAsia"/>
                <w:color w:val="auto"/>
                <w:sz w:val="24"/>
                <w:szCs w:val="24"/>
                <w:lang w:eastAsia="zh-CN"/>
              </w:rPr>
              <w:t>）</w:t>
            </w:r>
          </w:p>
          <w:p w14:paraId="71D51FEC">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7</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竞争性谈判公告中特定资格要求的资格证明材料；（</w:t>
            </w:r>
            <w:r>
              <w:rPr>
                <w:rFonts w:hint="eastAsia" w:asciiTheme="minorEastAsia" w:hAnsiTheme="minorEastAsia" w:eastAsiaTheme="minorEastAsia" w:cstheme="minorEastAsia"/>
                <w:b/>
                <w:bCs/>
                <w:color w:val="auto"/>
                <w:sz w:val="24"/>
                <w:szCs w:val="24"/>
              </w:rPr>
              <w:t>公告如有则必</w:t>
            </w:r>
            <w:r>
              <w:rPr>
                <w:rFonts w:hint="eastAsia" w:asciiTheme="minorEastAsia" w:hAnsiTheme="minorEastAsia" w:eastAsiaTheme="minorEastAsia" w:cstheme="minorEastAsia"/>
                <w:b/>
                <w:color w:val="auto"/>
                <w:sz w:val="24"/>
                <w:szCs w:val="24"/>
              </w:rPr>
              <w:t>须提供，否则响应文件按无效响应处理</w:t>
            </w:r>
            <w:r>
              <w:rPr>
                <w:rFonts w:hint="eastAsia" w:asciiTheme="minorEastAsia" w:hAnsiTheme="minorEastAsia" w:eastAsiaTheme="minorEastAsia" w:cstheme="minorEastAsia"/>
                <w:color w:val="auto"/>
                <w:sz w:val="24"/>
                <w:szCs w:val="24"/>
                <w:lang w:eastAsia="zh-CN"/>
              </w:rPr>
              <w:t>）</w:t>
            </w:r>
          </w:p>
          <w:p w14:paraId="6714DA04">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8</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除谈判文件规定必须提供以外，供应商认为需要提供的其他证明材料。</w:t>
            </w:r>
          </w:p>
          <w:p w14:paraId="595765A3">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bCs/>
                <w:color w:val="auto"/>
                <w:sz w:val="24"/>
                <w:szCs w:val="24"/>
              </w:rPr>
              <w:t>【注】</w:t>
            </w:r>
            <w:r>
              <w:rPr>
                <w:rFonts w:hint="eastAsia" w:asciiTheme="minorEastAsia" w:hAnsiTheme="minorEastAsia" w:eastAsiaTheme="minorEastAsia" w:cstheme="minorEastAsia"/>
                <w:bCs/>
                <w:color w:val="auto"/>
                <w:sz w:val="24"/>
                <w:szCs w:val="24"/>
              </w:rPr>
              <w:t>1.以上标明“必须提供”的材料属于复印件的，必须加盖供应商公章，否则响应文件按无效响应处理。</w:t>
            </w:r>
          </w:p>
          <w:p w14:paraId="199FB688">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2.参与竞争性谈判声明必须由法定代表人在规定签章处逐一签字并加盖供应商公章，否则响应文件按无效响应处理。</w:t>
            </w:r>
          </w:p>
          <w:p w14:paraId="14BE200F">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3.供应商直接控股、管理关系信息表必须由法定代表人或者委托代理人在规定签章处逐一签字并加盖供应商公章，否则响应文件按无效响应处理。</w:t>
            </w:r>
          </w:p>
          <w:p w14:paraId="32063599">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Cs/>
                <w:color w:val="auto"/>
                <w:sz w:val="24"/>
                <w:szCs w:val="24"/>
                <w:lang w:val="en-US" w:eastAsia="zh-CN"/>
              </w:rPr>
              <w:t>4</w:t>
            </w:r>
            <w:r>
              <w:rPr>
                <w:rFonts w:hint="eastAsia" w:asciiTheme="minorEastAsia" w:hAnsiTheme="minorEastAsia" w:eastAsiaTheme="minorEastAsia" w:cstheme="minorEastAsia"/>
                <w:bCs/>
                <w:color w:val="auto"/>
                <w:sz w:val="24"/>
                <w:szCs w:val="24"/>
              </w:rPr>
              <w:t>.分公司参加竞争性谈判的，应当取得总公司授权，否则响应文件按无效响应处理</w:t>
            </w:r>
            <w:r>
              <w:rPr>
                <w:rFonts w:hint="eastAsia" w:asciiTheme="minorEastAsia" w:hAnsiTheme="minorEastAsia" w:eastAsiaTheme="minorEastAsia" w:cstheme="minorEastAsia"/>
                <w:b/>
                <w:color w:val="auto"/>
                <w:sz w:val="24"/>
                <w:szCs w:val="24"/>
              </w:rPr>
              <w:t>。</w:t>
            </w:r>
          </w:p>
        </w:tc>
      </w:tr>
      <w:tr w14:paraId="69318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9" w:hRule="atLeast"/>
          <w:jc w:val="center"/>
        </w:trPr>
        <w:tc>
          <w:tcPr>
            <w:tcW w:w="991" w:type="dxa"/>
            <w:vMerge w:val="restart"/>
            <w:vAlign w:val="center"/>
          </w:tcPr>
          <w:p w14:paraId="106A6AF9">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12.1.2</w:t>
            </w:r>
          </w:p>
        </w:tc>
        <w:tc>
          <w:tcPr>
            <w:tcW w:w="8181" w:type="dxa"/>
            <w:vAlign w:val="center"/>
          </w:tcPr>
          <w:p w14:paraId="38818918">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报价文件</w:t>
            </w:r>
          </w:p>
          <w:p w14:paraId="0FEB4EFA">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无串通参与竞争性谈判行为的承诺函（格式后附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
                <w:color w:val="auto"/>
                <w:sz w:val="24"/>
                <w:szCs w:val="24"/>
              </w:rPr>
              <w:t>必须提供，否则响应文件按无效响应处理</w:t>
            </w:r>
            <w:r>
              <w:rPr>
                <w:rFonts w:hint="eastAsia" w:asciiTheme="minorEastAsia" w:hAnsiTheme="minorEastAsia" w:eastAsiaTheme="minorEastAsia" w:cstheme="minorEastAsia"/>
                <w:color w:val="auto"/>
                <w:sz w:val="24"/>
                <w:szCs w:val="24"/>
                <w:lang w:eastAsia="zh-CN"/>
              </w:rPr>
              <w:t>）</w:t>
            </w:r>
          </w:p>
          <w:p w14:paraId="1A95ED7C">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竞争性谈判报价表（格式后附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
                <w:color w:val="auto"/>
                <w:sz w:val="24"/>
                <w:szCs w:val="24"/>
              </w:rPr>
              <w:t>必须提供，否则响应文件按无效响应处理</w:t>
            </w:r>
            <w:r>
              <w:rPr>
                <w:rFonts w:hint="eastAsia" w:asciiTheme="minorEastAsia" w:hAnsiTheme="minorEastAsia" w:eastAsiaTheme="minorEastAsia" w:cstheme="minorEastAsia"/>
                <w:color w:val="auto"/>
                <w:sz w:val="24"/>
                <w:szCs w:val="24"/>
                <w:lang w:eastAsia="zh-CN"/>
              </w:rPr>
              <w:t>）</w:t>
            </w:r>
          </w:p>
          <w:p w14:paraId="17D184BE">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3.《中小企业声明函》或《残疾人福利性单位声明函》或监狱企业证明文件或《关于符合本国产品标准的声明函》。</w:t>
            </w:r>
          </w:p>
          <w:p w14:paraId="56022F6F">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bCs/>
                <w:color w:val="auto"/>
                <w:sz w:val="24"/>
                <w:szCs w:val="24"/>
              </w:rPr>
              <w:t>.供应商</w:t>
            </w:r>
            <w:r>
              <w:rPr>
                <w:rFonts w:hint="eastAsia" w:asciiTheme="minorEastAsia" w:hAnsiTheme="minorEastAsia" w:eastAsiaTheme="minorEastAsia" w:cstheme="minorEastAsia"/>
                <w:color w:val="auto"/>
                <w:sz w:val="24"/>
                <w:szCs w:val="24"/>
              </w:rPr>
              <w:t>针对报价需要说明的其他文件和说明（格式自拟</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p>
          <w:p w14:paraId="117C018F">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color w:val="auto"/>
                <w:sz w:val="24"/>
                <w:szCs w:val="24"/>
              </w:rPr>
              <w:t>注</w:t>
            </w:r>
            <w:r>
              <w:rPr>
                <w:rFonts w:hint="eastAsia" w:asciiTheme="minorEastAsia" w:hAnsiTheme="minorEastAsia" w:eastAsiaTheme="minorEastAsia" w:cstheme="minorEastAsia"/>
                <w:color w:val="auto"/>
                <w:sz w:val="24"/>
                <w:szCs w:val="24"/>
              </w:rPr>
              <w:t>：以上标明“必须提供”材料复印件的，必须加盖供应商公章，否则响应文件按无效响应处理。</w:t>
            </w:r>
          </w:p>
        </w:tc>
      </w:tr>
      <w:tr w14:paraId="1D112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Merge w:val="continue"/>
            <w:vAlign w:val="center"/>
          </w:tcPr>
          <w:p w14:paraId="17A2277D">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p>
        </w:tc>
        <w:tc>
          <w:tcPr>
            <w:tcW w:w="8181" w:type="dxa"/>
            <w:vAlign w:val="center"/>
          </w:tcPr>
          <w:p w14:paraId="6987FD37">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商务技术文件</w:t>
            </w:r>
          </w:p>
          <w:p w14:paraId="186CA4D1">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法定代表人身份证明及法定代表人有效身份证正反面复印件（格式后附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
                <w:color w:val="auto"/>
                <w:sz w:val="24"/>
                <w:szCs w:val="24"/>
              </w:rPr>
              <w:t>必须提供，否则响应文件按无效响应处理</w:t>
            </w:r>
            <w:r>
              <w:rPr>
                <w:rFonts w:hint="eastAsia" w:asciiTheme="minorEastAsia" w:hAnsiTheme="minorEastAsia" w:eastAsiaTheme="minorEastAsia" w:cstheme="minorEastAsia"/>
                <w:color w:val="auto"/>
                <w:sz w:val="24"/>
                <w:szCs w:val="24"/>
                <w:lang w:eastAsia="zh-CN"/>
              </w:rPr>
              <w:t>）</w:t>
            </w:r>
          </w:p>
          <w:p w14:paraId="2CD33BAD">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授权委托书及委托代理人有效身份证正反面复印件（格式后附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
                <w:color w:val="auto"/>
                <w:sz w:val="24"/>
                <w:szCs w:val="24"/>
              </w:rPr>
              <w:t>委托时必须提供，否则响应文件按无效响应处理</w:t>
            </w:r>
            <w:r>
              <w:rPr>
                <w:rFonts w:hint="eastAsia" w:asciiTheme="minorEastAsia" w:hAnsiTheme="minorEastAsia" w:eastAsiaTheme="minorEastAsia" w:cstheme="minorEastAsia"/>
                <w:color w:val="auto"/>
                <w:sz w:val="24"/>
                <w:szCs w:val="24"/>
                <w:lang w:eastAsia="zh-CN"/>
              </w:rPr>
              <w:t>）</w:t>
            </w:r>
          </w:p>
          <w:p w14:paraId="56129082">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谈判保证金提交凭证；（</w:t>
            </w:r>
            <w:r>
              <w:rPr>
                <w:rFonts w:hint="eastAsia" w:asciiTheme="minorEastAsia" w:hAnsiTheme="minorEastAsia" w:eastAsiaTheme="minorEastAsia" w:cstheme="minorEastAsia"/>
                <w:b/>
                <w:bCs/>
                <w:color w:val="auto"/>
                <w:sz w:val="24"/>
                <w:szCs w:val="24"/>
              </w:rPr>
              <w:t>如要求提交谈判保证金的则必须提供</w:t>
            </w:r>
            <w:r>
              <w:rPr>
                <w:rFonts w:hint="eastAsia" w:asciiTheme="minorEastAsia" w:hAnsiTheme="minorEastAsia" w:eastAsiaTheme="minorEastAsia" w:cstheme="minorEastAsia"/>
                <w:b/>
                <w:color w:val="auto"/>
                <w:sz w:val="24"/>
                <w:szCs w:val="24"/>
              </w:rPr>
              <w:t>，否则响应文件按无效响应处理</w:t>
            </w:r>
            <w:r>
              <w:rPr>
                <w:rFonts w:hint="eastAsia" w:asciiTheme="minorEastAsia" w:hAnsiTheme="minorEastAsia" w:eastAsiaTheme="minorEastAsia" w:cstheme="minorEastAsia"/>
                <w:color w:val="auto"/>
                <w:sz w:val="24"/>
                <w:szCs w:val="24"/>
                <w:lang w:eastAsia="zh-CN"/>
              </w:rPr>
              <w:t>）</w:t>
            </w:r>
          </w:p>
          <w:p w14:paraId="0B19160B">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商务要求偏离表（格式后附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
                <w:color w:val="auto"/>
                <w:sz w:val="24"/>
                <w:szCs w:val="24"/>
              </w:rPr>
              <w:t>必须提供，否则响应文件按无效响应处理</w:t>
            </w:r>
            <w:r>
              <w:rPr>
                <w:rFonts w:hint="eastAsia" w:asciiTheme="minorEastAsia" w:hAnsiTheme="minorEastAsia" w:eastAsiaTheme="minorEastAsia" w:cstheme="minorEastAsia"/>
                <w:color w:val="auto"/>
                <w:sz w:val="24"/>
                <w:szCs w:val="24"/>
                <w:lang w:eastAsia="zh-CN"/>
              </w:rPr>
              <w:t>）</w:t>
            </w:r>
          </w:p>
          <w:p w14:paraId="15343B4D">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5</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售后服务承诺（格式自拟</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
                <w:color w:val="auto"/>
                <w:sz w:val="24"/>
                <w:szCs w:val="24"/>
              </w:rPr>
              <w:t>必须提供，否则响应文件按无效响应处理</w:t>
            </w:r>
            <w:r>
              <w:rPr>
                <w:rFonts w:hint="eastAsia" w:asciiTheme="minorEastAsia" w:hAnsiTheme="minorEastAsia" w:eastAsiaTheme="minorEastAsia" w:cstheme="minorEastAsia"/>
                <w:color w:val="auto"/>
                <w:sz w:val="24"/>
                <w:szCs w:val="24"/>
                <w:lang w:eastAsia="zh-CN"/>
              </w:rPr>
              <w:t>）</w:t>
            </w:r>
          </w:p>
          <w:p w14:paraId="72FF6382">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6</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货物配置清单（均不含报价</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（格式后附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
                <w:color w:val="auto"/>
                <w:sz w:val="24"/>
                <w:szCs w:val="24"/>
              </w:rPr>
              <w:t>必须提供，否则响应文件按无效响应处理</w:t>
            </w:r>
            <w:r>
              <w:rPr>
                <w:rFonts w:hint="eastAsia" w:asciiTheme="minorEastAsia" w:hAnsiTheme="minorEastAsia" w:eastAsiaTheme="minorEastAsia" w:cstheme="minorEastAsia"/>
                <w:color w:val="auto"/>
                <w:sz w:val="24"/>
                <w:szCs w:val="24"/>
                <w:lang w:eastAsia="zh-CN"/>
              </w:rPr>
              <w:t>）</w:t>
            </w:r>
          </w:p>
          <w:p w14:paraId="606AF3A0">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7</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技术偏离表（格式后附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
                <w:color w:val="auto"/>
                <w:sz w:val="24"/>
                <w:szCs w:val="24"/>
              </w:rPr>
              <w:t>必须提供，否则响应文件按无效响应处理</w:t>
            </w:r>
            <w:r>
              <w:rPr>
                <w:rFonts w:hint="eastAsia" w:asciiTheme="minorEastAsia" w:hAnsiTheme="minorEastAsia" w:eastAsiaTheme="minorEastAsia" w:cstheme="minorEastAsia"/>
                <w:color w:val="auto"/>
                <w:sz w:val="24"/>
                <w:szCs w:val="24"/>
                <w:lang w:eastAsia="zh-CN"/>
              </w:rPr>
              <w:t>）</w:t>
            </w:r>
          </w:p>
          <w:p w14:paraId="124D652E">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对应采购需求的技术要求、商务要求提供的其他文件资料（格式自拟</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p>
          <w:p w14:paraId="3D1748CF">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供应商认为需要提供的其他有关资料。</w:t>
            </w:r>
          </w:p>
          <w:p w14:paraId="3E9FE425">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【注】</w:t>
            </w:r>
            <w:r>
              <w:rPr>
                <w:rFonts w:hint="eastAsia" w:asciiTheme="minorEastAsia" w:hAnsiTheme="minorEastAsia" w:eastAsiaTheme="minorEastAsia" w:cstheme="minorEastAsia"/>
                <w:color w:val="auto"/>
                <w:sz w:val="24"/>
                <w:szCs w:val="24"/>
              </w:rPr>
              <w:t>1.法定代表人授权委托书必须由法定代表人及委托代理人签字，并加盖供应商公章，否则做无效响应处理。</w:t>
            </w:r>
          </w:p>
          <w:p w14:paraId="6264FF00">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2.以上标明“必须提供”材料复印件的，必须加盖供应商公章，否则响应文件按无效响应处理。</w:t>
            </w:r>
          </w:p>
        </w:tc>
      </w:tr>
      <w:tr w14:paraId="10D41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5957EE31">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15.2</w:t>
            </w:r>
          </w:p>
        </w:tc>
        <w:tc>
          <w:tcPr>
            <w:tcW w:w="8181" w:type="dxa"/>
            <w:vAlign w:val="center"/>
          </w:tcPr>
          <w:p w14:paraId="1716FF39">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竞争性谈判报价包含货物价款、配套软件、标准附件、随配附件、备品备件、辅助材料、专用工具、包装、运抵指定交货地点、运输、装卸、完工清场清洁、货到就位、安装、调试、检验、技术培训、技术资料、售后服务、保险、投标费用、预验收及履约验收及售后服务、人工费、一切税费等全部费用。税费因政策等原因发生变化的，由成交供应商承担。合同履行过程中，采购人不再支付合同以外的其他费用。（采购需求另有约定的，从其约定</w:t>
            </w:r>
            <w:r>
              <w:rPr>
                <w:rFonts w:hint="eastAsia" w:asciiTheme="minorEastAsia" w:hAnsiTheme="minorEastAsia" w:eastAsiaTheme="minorEastAsia" w:cstheme="minorEastAsia"/>
                <w:color w:val="auto"/>
                <w:sz w:val="24"/>
                <w:szCs w:val="24"/>
                <w:lang w:eastAsia="zh-CN"/>
              </w:rPr>
              <w:t>）</w:t>
            </w:r>
          </w:p>
        </w:tc>
      </w:tr>
      <w:tr w14:paraId="04CB5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787EDF25">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16.2</w:t>
            </w:r>
          </w:p>
        </w:tc>
        <w:tc>
          <w:tcPr>
            <w:tcW w:w="8181" w:type="dxa"/>
            <w:vAlign w:val="center"/>
          </w:tcPr>
          <w:p w14:paraId="48B5E1FC">
            <w:pPr>
              <w:pStyle w:val="7"/>
              <w:keepNext w:val="0"/>
              <w:keepLines w:val="0"/>
              <w:pageBreakBefore w:val="0"/>
              <w:widowControl w:val="0"/>
              <w:tabs>
                <w:tab w:val="clear" w:pos="454"/>
              </w:tabs>
              <w:kinsoku/>
              <w:wordWrap/>
              <w:overflowPunct/>
              <w:topLinePunct w:val="0"/>
              <w:bidi w:val="0"/>
              <w:adjustRightInd/>
              <w:snapToGrid w:val="0"/>
              <w:spacing w:after="0" w:afterLines="0" w:line="400" w:lineRule="exact"/>
              <w:ind w:left="324" w:hanging="324" w:hangingChars="135"/>
              <w:jc w:val="both"/>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 xml:space="preserve">竞争性谈判有效期：首次响应文件提交截止之日起60天内。 </w:t>
            </w:r>
          </w:p>
        </w:tc>
      </w:tr>
      <w:tr w14:paraId="3BAD7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41C1D3CF">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17.1</w:t>
            </w:r>
          </w:p>
        </w:tc>
        <w:tc>
          <w:tcPr>
            <w:tcW w:w="8181" w:type="dxa"/>
            <w:vAlign w:val="center"/>
          </w:tcPr>
          <w:p w14:paraId="5DA59E1A">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1"/>
                <w:szCs w:val="21"/>
                <w:highlight w:val="none"/>
                <w:lang w:val="en-US" w:eastAsia="zh-CN" w:bidi="ar"/>
              </w:rPr>
              <w:t>☑</w:t>
            </w:r>
            <w:r>
              <w:rPr>
                <w:rFonts w:hint="eastAsia" w:asciiTheme="minorEastAsia" w:hAnsiTheme="minorEastAsia" w:eastAsiaTheme="minorEastAsia" w:cstheme="minorEastAsia"/>
                <w:color w:val="auto"/>
                <w:sz w:val="24"/>
                <w:szCs w:val="24"/>
              </w:rPr>
              <w:t>本项目收取谈判保证金。</w:t>
            </w:r>
          </w:p>
          <w:p w14:paraId="2163A81E">
            <w:pPr>
              <w:pStyle w:val="80"/>
              <w:keepNext w:val="0"/>
              <w:keepLines w:val="0"/>
              <w:pageBreakBefore w:val="0"/>
              <w:widowControl w:val="0"/>
              <w:kinsoku/>
              <w:wordWrap/>
              <w:overflowPunct/>
              <w:topLinePunct w:val="0"/>
              <w:bidi w:val="0"/>
              <w:adjustRightInd/>
              <w:spacing w:line="400" w:lineRule="exact"/>
              <w:jc w:val="left"/>
              <w:rPr>
                <w:rFonts w:hint="eastAsia" w:asciiTheme="minorEastAsia" w:hAnsiTheme="minorEastAsia" w:eastAsiaTheme="minorEastAsia" w:cstheme="minorEastAsia"/>
                <w:b w:val="0"/>
                <w:color w:val="auto"/>
                <w:kern w:val="0"/>
                <w:sz w:val="24"/>
                <w:szCs w:val="24"/>
              </w:rPr>
            </w:pPr>
            <w:bookmarkStart w:id="14" w:name="_Toc19482"/>
            <w:bookmarkStart w:id="15" w:name="_Toc22596"/>
            <w:r>
              <w:rPr>
                <w:rFonts w:hint="eastAsia" w:asciiTheme="minorEastAsia" w:hAnsiTheme="minorEastAsia" w:eastAsiaTheme="minorEastAsia" w:cstheme="minorEastAsia"/>
                <w:b w:val="0"/>
                <w:color w:val="auto"/>
                <w:kern w:val="0"/>
                <w:sz w:val="24"/>
                <w:szCs w:val="24"/>
              </w:rPr>
              <w:t>谈判保证金（人民币</w:t>
            </w:r>
            <w:r>
              <w:rPr>
                <w:rFonts w:hint="eastAsia" w:asciiTheme="minorEastAsia" w:hAnsiTheme="minorEastAsia" w:eastAsiaTheme="minorEastAsia" w:cstheme="minorEastAsia"/>
                <w:b w:val="0"/>
                <w:color w:val="auto"/>
                <w:kern w:val="0"/>
                <w:sz w:val="24"/>
                <w:szCs w:val="24"/>
                <w:lang w:eastAsia="zh-CN"/>
              </w:rPr>
              <w:t>）</w:t>
            </w:r>
            <w:r>
              <w:rPr>
                <w:rFonts w:hint="eastAsia" w:asciiTheme="minorEastAsia" w:hAnsiTheme="minorEastAsia" w:eastAsiaTheme="minorEastAsia" w:cstheme="minorEastAsia"/>
                <w:b w:val="0"/>
                <w:color w:val="auto"/>
                <w:kern w:val="0"/>
                <w:sz w:val="24"/>
                <w:szCs w:val="24"/>
              </w:rPr>
              <w:t>：详见竞争性谈判公告。</w:t>
            </w:r>
            <w:bookmarkEnd w:id="14"/>
            <w:bookmarkEnd w:id="15"/>
          </w:p>
          <w:p w14:paraId="697F7A27">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开户名称：广西建设工程机电设备招标中心有限公司</w:t>
            </w:r>
          </w:p>
          <w:p w14:paraId="345C9E0D">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开户银行：招商银行南宁分行营业部</w:t>
            </w:r>
          </w:p>
          <w:p w14:paraId="756C9B39">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银行账号：7719 0142 3310 201</w:t>
            </w:r>
          </w:p>
          <w:p w14:paraId="4941DDE7">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邮寄地址：</w:t>
            </w:r>
            <w:r>
              <w:rPr>
                <w:rFonts w:hint="eastAsia" w:asciiTheme="minorEastAsia" w:hAnsiTheme="minorEastAsia" w:eastAsiaTheme="minorEastAsia" w:cstheme="minorEastAsia"/>
                <w:color w:val="auto"/>
                <w:sz w:val="24"/>
                <w:szCs w:val="24"/>
              </w:rPr>
              <w:t>广西壮族自治区南宁市青秀区枫林路18号</w:t>
            </w:r>
            <w:r>
              <w:rPr>
                <w:rFonts w:hint="eastAsia" w:asciiTheme="minorEastAsia" w:hAnsiTheme="minorEastAsia" w:eastAsiaTheme="minorEastAsia" w:cstheme="minorEastAsia"/>
                <w:color w:val="auto"/>
                <w:sz w:val="24"/>
                <w:szCs w:val="24"/>
                <w:lang w:eastAsia="zh-CN"/>
              </w:rPr>
              <w:t>广西国控大厦</w:t>
            </w:r>
            <w:r>
              <w:rPr>
                <w:rFonts w:hint="eastAsia" w:asciiTheme="minorEastAsia" w:hAnsiTheme="minorEastAsia" w:eastAsiaTheme="minorEastAsia" w:cstheme="minorEastAsia"/>
                <w:color w:val="auto"/>
                <w:sz w:val="24"/>
                <w:szCs w:val="24"/>
              </w:rPr>
              <w:t>裙楼三层</w:t>
            </w:r>
            <w:r>
              <w:rPr>
                <w:rFonts w:hint="eastAsia" w:asciiTheme="minorEastAsia" w:hAnsiTheme="minorEastAsia" w:eastAsiaTheme="minorEastAsia" w:cstheme="minorEastAsia"/>
                <w:color w:val="auto"/>
                <w:kern w:val="0"/>
                <w:sz w:val="24"/>
                <w:szCs w:val="24"/>
              </w:rPr>
              <w:t>；</w:t>
            </w:r>
          </w:p>
          <w:p w14:paraId="0014EF63">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谈判保证金的交纳方式：银行转账或者银行出具的保函，禁止采用现钞方式。采用银行转账方式的，在响应文件提交截止时间前交至指定账户并且到账；采用保函方式的，在响应文件提交截止时间前，供应商必须提交保函原件。否则视为无效谈判保证金。</w:t>
            </w:r>
          </w:p>
          <w:p w14:paraId="061B916E">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相关要求：</w:t>
            </w:r>
          </w:p>
          <w:p w14:paraId="6BF70F14">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1.谈判保证金采用银行转账交纳方式的，在响应文件提交截止时间前交至指定账户并且到账，供应商应将银行转账底单的复印件作为谈判保证金提交凭证，放置于报价商务技术文件中，</w:t>
            </w:r>
            <w:r>
              <w:rPr>
                <w:rFonts w:hint="eastAsia" w:asciiTheme="minorEastAsia" w:hAnsiTheme="minorEastAsia" w:eastAsiaTheme="minorEastAsia" w:cstheme="minorEastAsia"/>
                <w:b/>
                <w:color w:val="auto"/>
                <w:sz w:val="24"/>
                <w:szCs w:val="24"/>
              </w:rPr>
              <w:t>否则响应文件按无效响应处理</w:t>
            </w:r>
            <w:r>
              <w:rPr>
                <w:rFonts w:hint="eastAsia" w:asciiTheme="minorEastAsia" w:hAnsiTheme="minorEastAsia" w:eastAsiaTheme="minorEastAsia" w:cstheme="minorEastAsia"/>
                <w:color w:val="auto"/>
                <w:sz w:val="24"/>
                <w:szCs w:val="24"/>
              </w:rPr>
              <w:t>。</w:t>
            </w:r>
          </w:p>
          <w:p w14:paraId="27BAB9B6">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2.谈判保证金采用银行出具的保函交纳方式的，供应商应将保函的复印件作为谈判保证金提交凭证，放置于报价商务技术文件中，</w:t>
            </w:r>
            <w:r>
              <w:rPr>
                <w:rFonts w:hint="eastAsia" w:asciiTheme="minorEastAsia" w:hAnsiTheme="minorEastAsia" w:eastAsiaTheme="minorEastAsia" w:cstheme="minorEastAsia"/>
                <w:b/>
                <w:color w:val="auto"/>
                <w:sz w:val="24"/>
                <w:szCs w:val="24"/>
              </w:rPr>
              <w:t>否则响应文件按无效响应处理</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
                <w:color w:val="auto"/>
                <w:sz w:val="24"/>
                <w:szCs w:val="24"/>
              </w:rPr>
              <w:t>供应商必须在首次响应文件提交截止时间前将保函原件提交给采购代理机构，由采购代理机构向供应商出具回执，并妥善保管。</w:t>
            </w:r>
          </w:p>
          <w:p w14:paraId="47D5E5ED">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3.供应商为联合体的，可以由联合体中的一方或者多方共同交纳谈判保证金，其交纳的保证金对联合体各方均具有约束力。</w:t>
            </w:r>
          </w:p>
          <w:p w14:paraId="07E20AEF">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【备注】</w:t>
            </w:r>
            <w:r>
              <w:rPr>
                <w:rFonts w:hint="eastAsia" w:asciiTheme="minorEastAsia" w:hAnsiTheme="minorEastAsia" w:eastAsiaTheme="minorEastAsia" w:cstheme="minorEastAsia"/>
                <w:color w:val="auto"/>
                <w:sz w:val="24"/>
                <w:szCs w:val="24"/>
              </w:rPr>
              <w:t>1.首次响应文件提交截止时间后提交的，或者未足额交纳的，或者保函额度不足的，视为无效谈判保证金。</w:t>
            </w:r>
          </w:p>
          <w:p w14:paraId="23F80FC2">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2.供应商采用现钞方式或者从个人账户（自然人参与竞争性谈判除外</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转出的谈判保证金，视为无效谈判保证金。</w:t>
            </w:r>
          </w:p>
          <w:p w14:paraId="046C165A">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3.保函有效期短于竞争性谈判有效期的，视为无效谈判保证金。</w:t>
            </w:r>
          </w:p>
          <w:p w14:paraId="7DEB3365">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4.谈判保证金采用保函为有条件保函的，视为无效谈判保证金。</w:t>
            </w:r>
          </w:p>
        </w:tc>
      </w:tr>
      <w:tr w14:paraId="238F4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18C5D4E3">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18.2</w:t>
            </w:r>
          </w:p>
        </w:tc>
        <w:tc>
          <w:tcPr>
            <w:tcW w:w="8181" w:type="dxa"/>
            <w:vAlign w:val="center"/>
          </w:tcPr>
          <w:p w14:paraId="6AB56574">
            <w:pPr>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响应文件应按资格证明文件、报价商务技术文件分别编制，</w:t>
            </w:r>
            <w:r>
              <w:rPr>
                <w:rFonts w:hint="eastAsia" w:asciiTheme="minorEastAsia" w:hAnsiTheme="minorEastAsia" w:eastAsiaTheme="minorEastAsia" w:cstheme="minorEastAsia"/>
                <w:color w:val="auto"/>
                <w:sz w:val="24"/>
                <w:szCs w:val="24"/>
                <w:lang w:bidi="ar"/>
              </w:rPr>
              <w:t>并按广西政府采购云平台的要求编制、加密、上传。</w:t>
            </w:r>
          </w:p>
        </w:tc>
      </w:tr>
      <w:tr w14:paraId="15F05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023C7A51">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20.1</w:t>
            </w:r>
          </w:p>
        </w:tc>
        <w:tc>
          <w:tcPr>
            <w:tcW w:w="8181" w:type="dxa"/>
            <w:vAlign w:val="center"/>
          </w:tcPr>
          <w:p w14:paraId="490CC058">
            <w:pPr>
              <w:keepNext w:val="0"/>
              <w:keepLines w:val="0"/>
              <w:pageBreakBefore w:val="0"/>
              <w:widowControl w:val="0"/>
              <w:kinsoku/>
              <w:wordWrap/>
              <w:overflowPunct/>
              <w:topLinePunct w:val="0"/>
              <w:bidi w:val="0"/>
              <w:adjustRightInd/>
              <w:spacing w:line="400" w:lineRule="exact"/>
              <w:contextualSpacing/>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首次响应文件提交截止时间：详见竞争性谈判公告。</w:t>
            </w:r>
          </w:p>
          <w:p w14:paraId="3A5A1B74">
            <w:pPr>
              <w:keepNext w:val="0"/>
              <w:keepLines w:val="0"/>
              <w:pageBreakBefore w:val="0"/>
              <w:widowControl w:val="0"/>
              <w:kinsoku/>
              <w:wordWrap/>
              <w:overflowPunct/>
              <w:topLinePunct w:val="0"/>
              <w:bidi w:val="0"/>
              <w:adjustRightInd/>
              <w:spacing w:line="400" w:lineRule="exact"/>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首次响应文件提交地点：详见竞争性谈判公告。</w:t>
            </w:r>
          </w:p>
        </w:tc>
      </w:tr>
      <w:tr w14:paraId="529F9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67849AA0">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24.1</w:t>
            </w:r>
          </w:p>
        </w:tc>
        <w:tc>
          <w:tcPr>
            <w:tcW w:w="8181" w:type="dxa"/>
            <w:vAlign w:val="center"/>
          </w:tcPr>
          <w:p w14:paraId="451B045D">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谈判小组的人数：3人。</w:t>
            </w:r>
          </w:p>
        </w:tc>
      </w:tr>
      <w:tr w14:paraId="40F5D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50875187">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25.2</w:t>
            </w:r>
          </w:p>
        </w:tc>
        <w:tc>
          <w:tcPr>
            <w:tcW w:w="8181" w:type="dxa"/>
            <w:vAlign w:val="center"/>
          </w:tcPr>
          <w:p w14:paraId="5F0B2E3C">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采购代理机构将依托电子交易平台发起开始解密指令，</w:t>
            </w:r>
            <w:r>
              <w:rPr>
                <w:rFonts w:hint="eastAsia" w:asciiTheme="minorEastAsia" w:hAnsiTheme="minorEastAsia" w:eastAsiaTheme="minorEastAsia" w:cstheme="minorEastAsia"/>
                <w:b/>
                <w:color w:val="auto"/>
                <w:sz w:val="24"/>
                <w:szCs w:val="24"/>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Theme="minorEastAsia" w:hAnsiTheme="minorEastAsia" w:eastAsiaTheme="minorEastAsia" w:cstheme="minorEastAsia"/>
                <w:b/>
                <w:bCs/>
                <w:color w:val="auto"/>
                <w:sz w:val="24"/>
                <w:szCs w:val="24"/>
              </w:rPr>
              <w:t>响应文件未按时解密的，视为响应文件无效。</w:t>
            </w:r>
          </w:p>
        </w:tc>
      </w:tr>
      <w:tr w14:paraId="2E722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Merge w:val="restart"/>
            <w:vAlign w:val="center"/>
          </w:tcPr>
          <w:p w14:paraId="41DF0531">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26</w:t>
            </w:r>
          </w:p>
        </w:tc>
        <w:tc>
          <w:tcPr>
            <w:tcW w:w="8181" w:type="dxa"/>
            <w:vAlign w:val="center"/>
          </w:tcPr>
          <w:p w14:paraId="38D94C4C">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商务要求评审中允许负偏离的条款数为</w:t>
            </w:r>
            <w:r>
              <w:rPr>
                <w:rFonts w:hint="eastAsia" w:asciiTheme="minorEastAsia" w:hAnsiTheme="minorEastAsia" w:eastAsiaTheme="minorEastAsia" w:cstheme="minorEastAsia"/>
                <w:color w:val="auto"/>
                <w:sz w:val="24"/>
                <w:szCs w:val="24"/>
                <w:highlight w:val="none"/>
                <w:u w:val="single"/>
              </w:rPr>
              <w:t>0</w:t>
            </w:r>
            <w:r>
              <w:rPr>
                <w:rFonts w:hint="eastAsia" w:asciiTheme="minorEastAsia" w:hAnsiTheme="minorEastAsia" w:eastAsiaTheme="minorEastAsia" w:cstheme="minorEastAsia"/>
                <w:color w:val="auto"/>
                <w:sz w:val="24"/>
                <w:szCs w:val="24"/>
                <w:highlight w:val="none"/>
              </w:rPr>
              <w:t>项。</w:t>
            </w:r>
          </w:p>
          <w:p w14:paraId="0A513464">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技术要求评审中允许负偏离的条款数为</w:t>
            </w:r>
            <w:r>
              <w:rPr>
                <w:rFonts w:hint="eastAsia" w:asciiTheme="minorEastAsia" w:hAnsiTheme="minorEastAsia" w:eastAsiaTheme="minorEastAsia" w:cstheme="minorEastAsia"/>
                <w:color w:val="auto"/>
                <w:sz w:val="24"/>
                <w:szCs w:val="24"/>
                <w:highlight w:val="none"/>
                <w:u w:val="single"/>
              </w:rPr>
              <w:t>3</w:t>
            </w:r>
            <w:r>
              <w:rPr>
                <w:rFonts w:hint="eastAsia" w:asciiTheme="minorEastAsia" w:hAnsiTheme="minorEastAsia" w:eastAsiaTheme="minorEastAsia" w:cstheme="minorEastAsia"/>
                <w:color w:val="auto"/>
                <w:sz w:val="24"/>
                <w:szCs w:val="24"/>
                <w:highlight w:val="none"/>
              </w:rPr>
              <w:t>项。</w:t>
            </w:r>
          </w:p>
        </w:tc>
      </w:tr>
      <w:tr w14:paraId="547AA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Merge w:val="continue"/>
            <w:vAlign w:val="center"/>
          </w:tcPr>
          <w:p w14:paraId="5590BAC1">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p>
        </w:tc>
        <w:tc>
          <w:tcPr>
            <w:tcW w:w="8181" w:type="dxa"/>
            <w:vAlign w:val="center"/>
          </w:tcPr>
          <w:p w14:paraId="78AC290B">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谈判的顺序：按“广西政府采购云平台”系统的编号顺序。</w:t>
            </w:r>
          </w:p>
          <w:p w14:paraId="65B69B86">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符合谈判资格的供应商必须在接到谈判通知后规定时间内参加谈判，未在规定时间内参加谈判的视同放弃参加谈判权利，其响应文件按无效响应处理。</w:t>
            </w:r>
          </w:p>
          <w:p w14:paraId="4C88AAAE">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参与谈判前，供应商法定代表人或者委托代理人必须向谈判小组出示本人有效证件原件[有效证件可以是身份证（含临时身份证明</w:t>
            </w:r>
            <w:r>
              <w:rPr>
                <w:rFonts w:hint="eastAsia" w:asciiTheme="minorEastAsia" w:hAnsiTheme="minorEastAsia" w:eastAsiaTheme="minorEastAsia" w:cstheme="minorEastAsia"/>
                <w:b/>
                <w:color w:val="auto"/>
                <w:sz w:val="24"/>
                <w:szCs w:val="24"/>
                <w:lang w:eastAsia="zh-CN"/>
              </w:rPr>
              <w:t>）</w:t>
            </w:r>
            <w:r>
              <w:rPr>
                <w:rFonts w:hint="eastAsia" w:asciiTheme="minorEastAsia" w:hAnsiTheme="minorEastAsia" w:eastAsiaTheme="minorEastAsia" w:cstheme="minorEastAsia"/>
                <w:b/>
                <w:color w:val="auto"/>
                <w:sz w:val="24"/>
                <w:szCs w:val="24"/>
              </w:rPr>
              <w:t>或者护照的其中一项。</w:t>
            </w:r>
          </w:p>
        </w:tc>
      </w:tr>
      <w:tr w14:paraId="2275E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Merge w:val="continue"/>
            <w:vAlign w:val="center"/>
          </w:tcPr>
          <w:p w14:paraId="7EB26B2A">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p>
        </w:tc>
        <w:tc>
          <w:tcPr>
            <w:tcW w:w="8181" w:type="dxa"/>
            <w:vAlign w:val="center"/>
          </w:tcPr>
          <w:p w14:paraId="76FE0025">
            <w:pPr>
              <w:keepNext w:val="0"/>
              <w:keepLines w:val="0"/>
              <w:pageBreakBefore w:val="0"/>
              <w:widowControl w:val="0"/>
              <w:kinsoku/>
              <w:wordWrap/>
              <w:overflowPunct/>
              <w:topLinePunct w:val="0"/>
              <w:bidi w:val="0"/>
              <w:adjustRightInd/>
              <w:spacing w:line="400" w:lineRule="exact"/>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评审价相同时，按照最后报价由低到高顺序依次推荐；最后报价相同的，按以下原则确定成交候选人的顺序：</w:t>
            </w:r>
          </w:p>
          <w:p w14:paraId="0766C342">
            <w:pPr>
              <w:keepNext w:val="0"/>
              <w:keepLines w:val="0"/>
              <w:pageBreakBefore w:val="0"/>
              <w:widowControl w:val="0"/>
              <w:kinsoku/>
              <w:wordWrap/>
              <w:overflowPunct/>
              <w:topLinePunct w:val="0"/>
              <w:bidi w:val="0"/>
              <w:adjustRightInd/>
              <w:spacing w:line="400" w:lineRule="exact"/>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依次按带“▲”的实质性要求正偏离项数多的优先、均无正偏离或者正偏离项数一致时负偏离项数少的优先、质量保证期长优先、交货期短优先、故障响应时间短优先、节能环保产品累计金额多的优先的顺序排列。</w:t>
            </w:r>
          </w:p>
          <w:p w14:paraId="7CAF1DAA">
            <w:pPr>
              <w:keepNext w:val="0"/>
              <w:keepLines w:val="0"/>
              <w:pageBreakBefore w:val="0"/>
              <w:widowControl w:val="0"/>
              <w:kinsoku/>
              <w:wordWrap/>
              <w:overflowPunct/>
              <w:topLinePunct w:val="0"/>
              <w:bidi w:val="0"/>
              <w:adjustRightInd/>
              <w:spacing w:line="400" w:lineRule="exact"/>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□由谈判小组推荐代表随机抽取。</w:t>
            </w:r>
          </w:p>
        </w:tc>
      </w:tr>
      <w:tr w14:paraId="13FB5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2A5675DC">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28.1</w:t>
            </w:r>
          </w:p>
        </w:tc>
        <w:tc>
          <w:tcPr>
            <w:tcW w:w="8181" w:type="dxa"/>
            <w:vAlign w:val="center"/>
          </w:tcPr>
          <w:p w14:paraId="0FE211FC">
            <w:pPr>
              <w:keepNext w:val="0"/>
              <w:keepLines w:val="0"/>
              <w:pageBreakBefore w:val="0"/>
              <w:widowControl w:val="0"/>
              <w:kinsoku/>
              <w:wordWrap/>
              <w:overflowPunct/>
              <w:topLinePunct w:val="0"/>
              <w:autoSpaceDE w:val="0"/>
              <w:autoSpaceDN w:val="0"/>
              <w:bidi w:val="0"/>
              <w:adjustRightInd/>
              <w:snapToGrid w:val="0"/>
              <w:spacing w:line="400" w:lineRule="exact"/>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本项目不收取履约保证金。</w:t>
            </w:r>
          </w:p>
          <w:p w14:paraId="7B5EBC31">
            <w:pPr>
              <w:pStyle w:val="8"/>
              <w:keepNext w:val="0"/>
              <w:keepLines w:val="0"/>
              <w:pageBreakBefore w:val="0"/>
              <w:widowControl w:val="0"/>
              <w:kinsoku/>
              <w:wordWrap/>
              <w:overflowPunct/>
              <w:topLinePunct w:val="0"/>
              <w:bidi w:val="0"/>
              <w:adjustRightInd/>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本项目收取履约保证金：详见商务条款。</w:t>
            </w:r>
          </w:p>
          <w:p w14:paraId="51BC7087">
            <w:pPr>
              <w:keepNext w:val="0"/>
              <w:keepLines w:val="0"/>
              <w:pageBreakBefore w:val="0"/>
              <w:widowControl w:val="0"/>
              <w:kinsoku/>
              <w:wordWrap/>
              <w:overflowPunct/>
              <w:topLinePunct w:val="0"/>
              <w:autoSpaceDE w:val="0"/>
              <w:autoSpaceDN w:val="0"/>
              <w:bidi w:val="0"/>
              <w:adjustRightInd/>
              <w:snapToGrid w:val="0"/>
              <w:spacing w:line="400" w:lineRule="exact"/>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履约保证金递交方式：详见商务条款。</w:t>
            </w:r>
          </w:p>
          <w:p w14:paraId="3BF64665">
            <w:pPr>
              <w:keepNext w:val="0"/>
              <w:keepLines w:val="0"/>
              <w:pageBreakBefore w:val="0"/>
              <w:widowControl w:val="0"/>
              <w:kinsoku/>
              <w:wordWrap/>
              <w:overflowPunct/>
              <w:topLinePunct w:val="0"/>
              <w:autoSpaceDE w:val="0"/>
              <w:autoSpaceDN w:val="0"/>
              <w:bidi w:val="0"/>
              <w:adjustRightInd/>
              <w:snapToGrid w:val="0"/>
              <w:spacing w:line="400" w:lineRule="exact"/>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履约保证金退付方式、时间及条件详见商务条款。</w:t>
            </w:r>
          </w:p>
          <w:p w14:paraId="16A4D582">
            <w:pPr>
              <w:keepNext w:val="0"/>
              <w:keepLines w:val="0"/>
              <w:pageBreakBefore w:val="0"/>
              <w:widowControl w:val="0"/>
              <w:kinsoku/>
              <w:wordWrap/>
              <w:overflowPunct/>
              <w:topLinePunct w:val="0"/>
              <w:autoSpaceDE w:val="0"/>
              <w:autoSpaceDN w:val="0"/>
              <w:bidi w:val="0"/>
              <w:adjustRightInd/>
              <w:snapToGrid w:val="0"/>
              <w:spacing w:line="400" w:lineRule="exact"/>
              <w:textAlignment w:val="bottom"/>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【备注】</w:t>
            </w:r>
          </w:p>
          <w:p w14:paraId="23C53CDA">
            <w:pPr>
              <w:keepNext w:val="0"/>
              <w:keepLines w:val="0"/>
              <w:pageBreakBefore w:val="0"/>
              <w:widowControl w:val="0"/>
              <w:kinsoku/>
              <w:wordWrap/>
              <w:overflowPunct/>
              <w:topLinePunct w:val="0"/>
              <w:autoSpaceDE w:val="0"/>
              <w:autoSpaceDN w:val="0"/>
              <w:bidi w:val="0"/>
              <w:adjustRightInd/>
              <w:snapToGrid w:val="0"/>
              <w:spacing w:line="400" w:lineRule="exact"/>
              <w:textAlignment w:val="bottom"/>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1.根据《广西壮族自治区财政厅关于持续优化政府采购营商环境推动高质量发展的通知》（桂财采〔2024〕55号</w:t>
            </w:r>
            <w:r>
              <w:rPr>
                <w:rFonts w:hint="eastAsia" w:asciiTheme="minorEastAsia" w:hAnsiTheme="minorEastAsia" w:eastAsiaTheme="minorEastAsia" w:cstheme="minorEastAsia"/>
                <w:b/>
                <w:color w:val="auto"/>
                <w:sz w:val="24"/>
                <w:szCs w:val="24"/>
                <w:lang w:eastAsia="zh-CN"/>
              </w:rPr>
              <w:t>）</w:t>
            </w:r>
            <w:r>
              <w:rPr>
                <w:rFonts w:hint="eastAsia" w:asciiTheme="minorEastAsia" w:hAnsiTheme="minorEastAsia" w:eastAsiaTheme="minorEastAsia" w:cstheme="minorEastAsia"/>
                <w:b/>
                <w:color w:val="auto"/>
                <w:sz w:val="24"/>
                <w:szCs w:val="24"/>
              </w:rPr>
              <w:t>，采购文件要求中标人或者成交供应商提交履约保证金的，履约保证金数额不得超过政府采购合同金额的5%，对中小企业收取的履约保证金数额不得超过政府采购合同金额的2%。</w:t>
            </w:r>
          </w:p>
          <w:p w14:paraId="6B4E6686">
            <w:pPr>
              <w:keepNext w:val="0"/>
              <w:keepLines w:val="0"/>
              <w:pageBreakBefore w:val="0"/>
              <w:widowControl w:val="0"/>
              <w:kinsoku/>
              <w:wordWrap/>
              <w:overflowPunct/>
              <w:topLinePunct w:val="0"/>
              <w:autoSpaceDE w:val="0"/>
              <w:autoSpaceDN w:val="0"/>
              <w:bidi w:val="0"/>
              <w:adjustRightInd/>
              <w:snapToGrid w:val="0"/>
              <w:spacing w:line="400" w:lineRule="exact"/>
              <w:textAlignment w:val="bottom"/>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2.履约保证金必须足额缴纳，或出具的保函额度必须足额且保函有效期不能低于合同履行期限（即签订采购合同之日起至履行完合同约定的权利及义务之日止</w:t>
            </w:r>
            <w:r>
              <w:rPr>
                <w:rFonts w:hint="eastAsia" w:asciiTheme="minorEastAsia" w:hAnsiTheme="minorEastAsia" w:eastAsiaTheme="minorEastAsia" w:cstheme="minorEastAsia"/>
                <w:b/>
                <w:color w:val="auto"/>
                <w:sz w:val="24"/>
                <w:szCs w:val="24"/>
                <w:lang w:eastAsia="zh-CN"/>
              </w:rPr>
              <w:t>）</w:t>
            </w:r>
            <w:r>
              <w:rPr>
                <w:rFonts w:hint="eastAsia" w:asciiTheme="minorEastAsia" w:hAnsiTheme="minorEastAsia" w:eastAsiaTheme="minorEastAsia" w:cstheme="minorEastAsia"/>
                <w:b/>
                <w:color w:val="auto"/>
                <w:sz w:val="24"/>
                <w:szCs w:val="24"/>
              </w:rPr>
              <w:t>，否则视为无效履约保证金。</w:t>
            </w:r>
          </w:p>
          <w:p w14:paraId="3B2A4C82">
            <w:pPr>
              <w:keepNext w:val="0"/>
              <w:keepLines w:val="0"/>
              <w:pageBreakBefore w:val="0"/>
              <w:widowControl w:val="0"/>
              <w:kinsoku/>
              <w:wordWrap/>
              <w:overflowPunct/>
              <w:topLinePunct w:val="0"/>
              <w:autoSpaceDE w:val="0"/>
              <w:autoSpaceDN w:val="0"/>
              <w:bidi w:val="0"/>
              <w:adjustRightInd/>
              <w:snapToGrid w:val="0"/>
              <w:spacing w:line="400" w:lineRule="exact"/>
              <w:textAlignment w:val="bottom"/>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3.采用保函的，必须为无条件保函，否则视为无效履约保证金。</w:t>
            </w:r>
          </w:p>
          <w:p w14:paraId="486AE379">
            <w:pPr>
              <w:keepNext w:val="0"/>
              <w:keepLines w:val="0"/>
              <w:pageBreakBefore w:val="0"/>
              <w:widowControl w:val="0"/>
              <w:kinsoku/>
              <w:wordWrap/>
              <w:overflowPunct/>
              <w:topLinePunct w:val="0"/>
              <w:autoSpaceDE w:val="0"/>
              <w:autoSpaceDN w:val="0"/>
              <w:bidi w:val="0"/>
              <w:adjustRightInd/>
              <w:snapToGrid w:val="0"/>
              <w:spacing w:line="400" w:lineRule="exact"/>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4.供应商为联合体的，由联合体任意一方按规定提交的履约保证金，视为有效履约保证金。</w:t>
            </w:r>
          </w:p>
        </w:tc>
      </w:tr>
      <w:tr w14:paraId="47FF8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68D7DCF6">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29.1</w:t>
            </w:r>
          </w:p>
        </w:tc>
        <w:tc>
          <w:tcPr>
            <w:tcW w:w="8181" w:type="dxa"/>
            <w:vAlign w:val="center"/>
          </w:tcPr>
          <w:p w14:paraId="16F62A9A">
            <w:pPr>
              <w:keepNext w:val="0"/>
              <w:keepLines w:val="0"/>
              <w:pageBreakBefore w:val="0"/>
              <w:widowControl w:val="0"/>
              <w:kinsoku/>
              <w:wordWrap/>
              <w:overflowPunct/>
              <w:topLinePunct w:val="0"/>
              <w:autoSpaceDE w:val="0"/>
              <w:autoSpaceDN w:val="0"/>
              <w:bidi w:val="0"/>
              <w:adjustRightInd/>
              <w:snapToGrid w:val="0"/>
              <w:spacing w:line="400" w:lineRule="exact"/>
              <w:textAlignment w:val="bottom"/>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签订合同携带的证明材料</w:t>
            </w:r>
            <w:r>
              <w:rPr>
                <w:rFonts w:hint="eastAsia" w:asciiTheme="minorEastAsia" w:hAnsiTheme="minorEastAsia" w:eastAsiaTheme="minorEastAsia" w:cstheme="minorEastAsia"/>
                <w:color w:val="auto"/>
                <w:sz w:val="24"/>
                <w:szCs w:val="24"/>
                <w:lang w:eastAsia="zh-CN"/>
              </w:rPr>
              <w:t>：</w:t>
            </w:r>
          </w:p>
          <w:p w14:paraId="79E852AA">
            <w:pPr>
              <w:keepNext w:val="0"/>
              <w:keepLines w:val="0"/>
              <w:pageBreakBefore w:val="0"/>
              <w:widowControl w:val="0"/>
              <w:kinsoku/>
              <w:wordWrap/>
              <w:overflowPunct/>
              <w:topLinePunct w:val="0"/>
              <w:autoSpaceDE w:val="0"/>
              <w:autoSpaceDN w:val="0"/>
              <w:bidi w:val="0"/>
              <w:adjustRightInd/>
              <w:snapToGrid w:val="0"/>
              <w:spacing w:line="400" w:lineRule="exact"/>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委托代理人负责签订合同的，须携带授权委托书及委托代理人身份证原件等其他资格证件。</w:t>
            </w:r>
          </w:p>
          <w:p w14:paraId="7A566F67">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法定代表人负责签订合同的，须携带法定代表人身份证明原件及身份证原件等其他证明材料。</w:t>
            </w:r>
          </w:p>
        </w:tc>
      </w:tr>
      <w:tr w14:paraId="6113D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7645A598">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31.2</w:t>
            </w:r>
          </w:p>
        </w:tc>
        <w:tc>
          <w:tcPr>
            <w:tcW w:w="8181" w:type="dxa"/>
            <w:vAlign w:val="center"/>
          </w:tcPr>
          <w:p w14:paraId="64D0B75A">
            <w:pPr>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接收质疑函方式：以纸质书面形式。</w:t>
            </w:r>
          </w:p>
          <w:p w14:paraId="36D53C03">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质疑联系部门及联系方式：广西建设工程机电设备招标中心有限公司，</w:t>
            </w:r>
          </w:p>
          <w:p w14:paraId="78A12FAE">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质疑联系人：刘雅婷；联系电话：0771-2821389</w:t>
            </w:r>
          </w:p>
          <w:p w14:paraId="65EF7B0C">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通讯地址：广西壮族自治区南宁市青秀区枫林路18号</w:t>
            </w:r>
            <w:r>
              <w:rPr>
                <w:rFonts w:hint="eastAsia" w:asciiTheme="minorEastAsia" w:hAnsiTheme="minorEastAsia" w:eastAsiaTheme="minorEastAsia" w:cstheme="minorEastAsia"/>
                <w:color w:val="auto"/>
                <w:sz w:val="24"/>
                <w:szCs w:val="24"/>
                <w:lang w:eastAsia="zh-CN"/>
              </w:rPr>
              <w:t>广西国控大厦</w:t>
            </w:r>
            <w:r>
              <w:rPr>
                <w:rFonts w:hint="eastAsia" w:asciiTheme="minorEastAsia" w:hAnsiTheme="minorEastAsia" w:eastAsiaTheme="minorEastAsia" w:cstheme="minorEastAsia"/>
                <w:color w:val="auto"/>
                <w:sz w:val="24"/>
                <w:szCs w:val="24"/>
              </w:rPr>
              <w:t>裙楼三层</w:t>
            </w:r>
          </w:p>
          <w:p w14:paraId="701ABEC4">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sz w:val="24"/>
                <w:szCs w:val="24"/>
              </w:rPr>
              <w:t>业务时间</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工作日（上午8</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00-12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00；下午15</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00-18</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00</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p>
        </w:tc>
      </w:tr>
      <w:tr w14:paraId="4FE96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1EAE3C5D">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32.1</w:t>
            </w:r>
          </w:p>
        </w:tc>
        <w:tc>
          <w:tcPr>
            <w:tcW w:w="8181" w:type="dxa"/>
            <w:vAlign w:val="center"/>
          </w:tcPr>
          <w:p w14:paraId="08F13BFA">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1.采购代理服务费支付方式：本项目的招标代理服务费按以下收费标准向成交供应商收取。</w:t>
            </w:r>
          </w:p>
          <w:p w14:paraId="12F32A98">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采购代理服务费收取标准：</w:t>
            </w:r>
          </w:p>
          <w:p w14:paraId="1A332FEF">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固定金额：人民币柒仟元整（¥</w:t>
            </w:r>
            <w:r>
              <w:rPr>
                <w:rFonts w:hint="eastAsia" w:asciiTheme="minorEastAsia" w:hAnsiTheme="minorEastAsia" w:eastAsiaTheme="minorEastAsia" w:cstheme="minorEastAsia"/>
                <w:color w:val="auto"/>
                <w:sz w:val="24"/>
                <w:szCs w:val="24"/>
                <w:lang w:val="en-US" w:eastAsia="zh-CN"/>
              </w:rPr>
              <w:t>7000.00</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p>
          <w:p w14:paraId="40653ADE">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3</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b/>
                <w:bCs/>
                <w:color w:val="auto"/>
                <w:sz w:val="24"/>
                <w:szCs w:val="24"/>
              </w:rPr>
              <w:t>采购代理服务费专用银行信息：</w:t>
            </w:r>
          </w:p>
          <w:p w14:paraId="2CE8E2F9">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b/>
                <w:bCs/>
                <w:color w:val="auto"/>
                <w:sz w:val="24"/>
                <w:szCs w:val="24"/>
                <w:u w:val="single"/>
              </w:rPr>
            </w:pPr>
            <w:r>
              <w:rPr>
                <w:rFonts w:hint="eastAsia" w:asciiTheme="minorEastAsia" w:hAnsiTheme="minorEastAsia" w:eastAsiaTheme="minorEastAsia" w:cstheme="minorEastAsia"/>
                <w:b/>
                <w:bCs/>
                <w:color w:val="auto"/>
                <w:sz w:val="24"/>
                <w:szCs w:val="24"/>
                <w:u w:val="single"/>
              </w:rPr>
              <w:t>开户名称：广西建设工程机电设备招标中心有限公司</w:t>
            </w:r>
          </w:p>
          <w:p w14:paraId="5F1743B1">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b/>
                <w:bCs/>
                <w:color w:val="auto"/>
                <w:sz w:val="24"/>
                <w:szCs w:val="24"/>
                <w:u w:val="single"/>
              </w:rPr>
            </w:pPr>
            <w:r>
              <w:rPr>
                <w:rFonts w:hint="eastAsia" w:asciiTheme="minorEastAsia" w:hAnsiTheme="minorEastAsia" w:eastAsiaTheme="minorEastAsia" w:cstheme="minorEastAsia"/>
                <w:b/>
                <w:bCs/>
                <w:color w:val="auto"/>
                <w:sz w:val="24"/>
                <w:szCs w:val="24"/>
                <w:u w:val="single"/>
              </w:rPr>
              <w:t>开户银行：招商银行南宁分行营业部</w:t>
            </w:r>
          </w:p>
          <w:p w14:paraId="7FF89A08">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b/>
                <w:bCs/>
                <w:color w:val="auto"/>
                <w:sz w:val="24"/>
                <w:szCs w:val="24"/>
                <w:u w:val="single"/>
              </w:rPr>
              <w:t>银行账号：7719 0142 3310 201</w:t>
            </w:r>
          </w:p>
        </w:tc>
      </w:tr>
      <w:tr w14:paraId="25AD8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7605CB58">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33.1</w:t>
            </w:r>
          </w:p>
        </w:tc>
        <w:tc>
          <w:tcPr>
            <w:tcW w:w="8181" w:type="dxa"/>
            <w:vAlign w:val="center"/>
          </w:tcPr>
          <w:p w14:paraId="5FD54955">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解释：构成本谈判文件的各个组成文件应互为解释，互为说明；除谈判文件中有特别规定外，仅适用于竞争性谈判阶段的规定，按更正公告（澄清公告</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竞争性谈判公告、供应商须知、采购需求、评审程序和评定成交的标准、响应文件格式、合同文本的先后顺序解释；同一组成文件中就同一事项的规定或约定不一致的，以编排顺序在后者为准；同一组成文件不同版本之间有不一致的，以形成时间在后者为准；更正公告（澄清公告</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与同步更新的谈判文件不一致时以更正公告（澄清公告</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为准。按本款前述规定仍不能形成结论的，由采购人或者采购代理机构负责解释。</w:t>
            </w:r>
          </w:p>
        </w:tc>
      </w:tr>
      <w:tr w14:paraId="627DC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91" w:type="dxa"/>
            <w:vAlign w:val="center"/>
          </w:tcPr>
          <w:p w14:paraId="0F1EABBB">
            <w:pPr>
              <w:keepNext w:val="0"/>
              <w:keepLines w:val="0"/>
              <w:pageBreakBefore w:val="0"/>
              <w:widowControl w:val="0"/>
              <w:kinsoku/>
              <w:wordWrap/>
              <w:overflowPunct/>
              <w:topLinePunct w:val="0"/>
              <w:bidi w:val="0"/>
              <w:adjustRightInd/>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33.2</w:t>
            </w:r>
          </w:p>
        </w:tc>
        <w:tc>
          <w:tcPr>
            <w:tcW w:w="8181" w:type="dxa"/>
            <w:vAlign w:val="center"/>
          </w:tcPr>
          <w:p w14:paraId="0B0707E2">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1.本谈判文件中描述供应商的“公章”是指根据我国对公章的管理规定，用供应商法定主体名称制作的印章或供应商通过指定电子化政府采购平台办理数字证书（CA认证</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获得的以法定主体名称制作的电子印章。除本谈判文件有特殊规定外，供应商的财务章、部门章、分公司章、工会章、合同章、竞争性谈判专用章、业务专用章及银行的转账章、现金收讫章、现金付讫章等其他形式印章均不能代替公章。</w:t>
            </w:r>
          </w:p>
          <w:p w14:paraId="335F72CE">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2.供应商为其他组织或者自然人时，本谈判文件规定的法定代表人指负责人或者自然人。本谈判文件所称负责人是指参加竞争性谈判的其他组织</w:t>
            </w:r>
            <w:r>
              <w:rPr>
                <w:rFonts w:hint="eastAsia" w:asciiTheme="minorEastAsia" w:hAnsiTheme="minorEastAsia" w:eastAsiaTheme="minorEastAsia" w:cstheme="minorEastAsia"/>
                <w:bCs/>
                <w:color w:val="auto"/>
                <w:sz w:val="24"/>
                <w:szCs w:val="24"/>
              </w:rPr>
              <w:t>营业执照或者执业许可证等证照上</w:t>
            </w:r>
            <w:r>
              <w:rPr>
                <w:rFonts w:hint="eastAsia" w:asciiTheme="minorEastAsia" w:hAnsiTheme="minorEastAsia" w:eastAsiaTheme="minorEastAsia" w:cstheme="minorEastAsia"/>
                <w:color w:val="auto"/>
                <w:sz w:val="24"/>
                <w:szCs w:val="24"/>
              </w:rPr>
              <w:t>的负责人，本谈判文件所称自然人指参与竞争性谈判的自然人本人，</w:t>
            </w:r>
            <w:r>
              <w:rPr>
                <w:rFonts w:hint="eastAsia" w:asciiTheme="minorEastAsia" w:hAnsiTheme="minorEastAsia" w:eastAsiaTheme="minorEastAsia" w:cstheme="minorEastAsia"/>
                <w:bCs/>
                <w:color w:val="auto"/>
                <w:sz w:val="24"/>
                <w:szCs w:val="24"/>
              </w:rPr>
              <w:t>且应具备独立承担民事责任能力，自然人应当为年满18岁以上成年人（十六周岁以上的未成年人，以自己的劳动收入为主要生活来源的，视为完全民事行为能力人</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rPr>
              <w:t>。</w:t>
            </w:r>
          </w:p>
          <w:p w14:paraId="362CAFFB">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3.本谈判文件中描述供应商的“签字”是指供应商的法定代表人或者委托代理人在文件规定签署处签名或者指供应商通过指定电子化政府采购平台办理数字证书（CA认证</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获得的以供应商法定代表人或者委托代理人姓名制作的电子印章签名的行为，私章、印鉴等其他形式均不能代替签字。</w:t>
            </w:r>
          </w:p>
          <w:p w14:paraId="4D2DD2F4">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本谈判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07DD29FA">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5.自然人参与竞争性谈判的，谈判文件规定盖章的地方自然人可以加盖手指指印。</w:t>
            </w:r>
          </w:p>
          <w:p w14:paraId="6556E847">
            <w:pPr>
              <w:pStyle w:val="14"/>
              <w:keepNext w:val="0"/>
              <w:keepLines w:val="0"/>
              <w:pageBreakBefore w:val="0"/>
              <w:widowControl w:val="0"/>
              <w:kinsoku/>
              <w:wordWrap/>
              <w:overflowPunct/>
              <w:topLinePunct w:val="0"/>
              <w:bidi w:val="0"/>
              <w:adjustRightInd/>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6.本谈判文件所称的“以上”“以下”“以内”“届满”，包括本数；所称的“不满”“超过”“以外”，不包括本数。</w:t>
            </w:r>
          </w:p>
        </w:tc>
      </w:tr>
    </w:tbl>
    <w:p w14:paraId="6B5A98BE">
      <w:pPr>
        <w:pStyle w:val="14"/>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br w:type="page"/>
      </w:r>
      <w:r>
        <w:rPr>
          <w:rFonts w:hint="eastAsia" w:asciiTheme="minorEastAsia" w:hAnsiTheme="minorEastAsia" w:eastAsiaTheme="minorEastAsia" w:cstheme="minorEastAsia"/>
          <w:b/>
          <w:color w:val="auto"/>
          <w:sz w:val="32"/>
          <w:szCs w:val="32"/>
        </w:rPr>
        <w:t>供应商须知正文</w:t>
      </w:r>
    </w:p>
    <w:p w14:paraId="564F72E2">
      <w:pPr>
        <w:pStyle w:val="14"/>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color w:val="auto"/>
          <w:sz w:val="32"/>
          <w:szCs w:val="32"/>
        </w:rPr>
      </w:pPr>
    </w:p>
    <w:p w14:paraId="2E48D519">
      <w:pPr>
        <w:pStyle w:val="14"/>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一、总则</w:t>
      </w:r>
    </w:p>
    <w:p w14:paraId="11F40769">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1.适用范围</w:t>
      </w:r>
    </w:p>
    <w:p w14:paraId="71E6BFE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14:paraId="4458488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w:t>
      </w:r>
      <w:r>
        <w:rPr>
          <w:rFonts w:hint="eastAsia" w:asciiTheme="minorEastAsia" w:hAnsiTheme="minorEastAsia" w:eastAsiaTheme="minorEastAsia" w:cstheme="minorEastAsia"/>
          <w:color w:val="auto"/>
          <w:spacing w:val="-6"/>
          <w:sz w:val="24"/>
          <w:szCs w:val="24"/>
        </w:rPr>
        <w:t>本竞争性谈判采购文件（以下简称谈判文件</w:t>
      </w:r>
      <w:r>
        <w:rPr>
          <w:rFonts w:hint="eastAsia" w:asciiTheme="minorEastAsia" w:hAnsiTheme="minorEastAsia" w:eastAsiaTheme="minorEastAsia" w:cstheme="minorEastAsia"/>
          <w:color w:val="auto"/>
          <w:spacing w:val="-6"/>
          <w:sz w:val="24"/>
          <w:szCs w:val="24"/>
          <w:lang w:eastAsia="zh-CN"/>
        </w:rPr>
        <w:t>）</w:t>
      </w:r>
      <w:r>
        <w:rPr>
          <w:rFonts w:hint="eastAsia" w:asciiTheme="minorEastAsia" w:hAnsiTheme="minorEastAsia" w:eastAsiaTheme="minorEastAsia" w:cstheme="minorEastAsia"/>
          <w:color w:val="auto"/>
          <w:spacing w:val="-6"/>
          <w:sz w:val="24"/>
          <w:szCs w:val="24"/>
        </w:rPr>
        <w:t>适用于本项目的所有采购程序和环节（法律、法规另有规定的，从其规定</w:t>
      </w:r>
      <w:r>
        <w:rPr>
          <w:rFonts w:hint="eastAsia" w:asciiTheme="minorEastAsia" w:hAnsiTheme="minorEastAsia" w:eastAsiaTheme="minorEastAsia" w:cstheme="minorEastAsia"/>
          <w:color w:val="auto"/>
          <w:spacing w:val="-6"/>
          <w:sz w:val="24"/>
          <w:szCs w:val="24"/>
          <w:lang w:eastAsia="zh-CN"/>
        </w:rPr>
        <w:t>）</w:t>
      </w:r>
      <w:r>
        <w:rPr>
          <w:rFonts w:hint="eastAsia" w:asciiTheme="minorEastAsia" w:hAnsiTheme="minorEastAsia" w:eastAsiaTheme="minorEastAsia" w:cstheme="minorEastAsia"/>
          <w:color w:val="auto"/>
          <w:spacing w:val="-6"/>
          <w:sz w:val="24"/>
          <w:szCs w:val="24"/>
        </w:rPr>
        <w:t>。</w:t>
      </w:r>
    </w:p>
    <w:p w14:paraId="0510FC71">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2.定义</w:t>
      </w:r>
    </w:p>
    <w:p w14:paraId="7704F90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2.1“采购人”是指依法进行采购的国家机关、事业单位、团体组织。</w:t>
      </w:r>
    </w:p>
    <w:p w14:paraId="4E2C0A3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2.2“采购代理机构”</w:t>
      </w:r>
      <w:r>
        <w:rPr>
          <w:rFonts w:hint="eastAsia" w:asciiTheme="minorEastAsia" w:hAnsiTheme="minorEastAsia" w:eastAsiaTheme="minorEastAsia" w:cstheme="minorEastAsia"/>
          <w:b/>
          <w:color w:val="auto"/>
          <w:sz w:val="24"/>
          <w:szCs w:val="24"/>
        </w:rPr>
        <w:t>是指政府采购集中采购机构和集中采购机构以外的采购代理机构。</w:t>
      </w:r>
    </w:p>
    <w:p w14:paraId="090A3EF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2.3“供应商”是指向采购人提供货物、工程或者服务的法人、其他组织或者自然人。</w:t>
      </w:r>
    </w:p>
    <w:p w14:paraId="7125B04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2.4“货物”是指各种形态和种类的物品，包括原材料、燃料、设备、产品等。</w:t>
      </w:r>
    </w:p>
    <w:p w14:paraId="154077D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2.5“竞争性谈判”是指按照本项目竞争性谈判公告或者邀请函规定的方式供应商获取谈判文件、提交响应文件并希望获得标的的行为。</w:t>
      </w:r>
    </w:p>
    <w:p w14:paraId="3A78A8C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2.6“售后服务” 是指包含但不限于供应商须承担的备品备件、包装、运输、装卸、保险、货到就位以及安装、调试、培训、保修和其他类似的义务。</w:t>
      </w:r>
    </w:p>
    <w:p w14:paraId="07E066C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2.7“书面形式”是指合同书、信件和数据电文（包括电报、电传、传真、电子数据交换和电子邮件</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等可以有形地表现所载内容的形式。</w:t>
      </w:r>
    </w:p>
    <w:p w14:paraId="7F9E641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2.8“响应文件”</w:t>
      </w:r>
      <w:r>
        <w:rPr>
          <w:rFonts w:hint="eastAsia" w:asciiTheme="minorEastAsia" w:hAnsiTheme="minorEastAsia" w:eastAsiaTheme="minorEastAsia" w:cstheme="minorEastAsia"/>
          <w:color w:val="auto"/>
          <w:spacing w:val="-6"/>
          <w:sz w:val="24"/>
          <w:szCs w:val="24"/>
        </w:rPr>
        <w:t>是指：供应商根据本谈判文件要求，编制包含报价、技术和服务等所有内容的文件。</w:t>
      </w:r>
    </w:p>
    <w:p w14:paraId="06FB9A1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2.9“实质性要求”是指采购需求中带“▲”的条款或者不能负偏离的条款或者已经指明不满足按响应文件按无效响应处理的条款。</w:t>
      </w:r>
    </w:p>
    <w:p w14:paraId="5294DBA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2.10“正偏离”，是指响应文件对谈判文件“采购需求”中有关条款作出优于条款要求并有利于采购人的响应情形；</w:t>
      </w:r>
    </w:p>
    <w:p w14:paraId="588C398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2.11“负偏离”，是指响应文件对谈判文件“采购需求”中有关条款作出的响应不满足条款要求，导致采购人要求不能得到满足的情形。</w:t>
      </w:r>
    </w:p>
    <w:p w14:paraId="1D2030D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2.12“允许负偏离的条款”是指采购需求中的不属于“实质性要求”的条款。</w:t>
      </w:r>
    </w:p>
    <w:p w14:paraId="1AA63C5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2.13“首次报价”是指供应商提交的首次响应文件中的竞争性谈判报价。</w:t>
      </w:r>
    </w:p>
    <w:p w14:paraId="3D4AC737">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3.供应商的资格条件</w:t>
      </w:r>
    </w:p>
    <w:p w14:paraId="0503D441">
      <w:pPr>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供应商的资格条件详见“供应商须知前附表”。</w:t>
      </w:r>
    </w:p>
    <w:p w14:paraId="279FE1ED">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4.竞争性谈判费用</w:t>
      </w:r>
    </w:p>
    <w:p w14:paraId="6AA0C32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竞争性谈判费用：供应商应承担参与本次采购活动有关的所有费用，包括但不限于获取谈判文件、勘查现场、编制和提交响应文件、参加谈判与应答、签订合同等，不论竞争性谈判结果如何，均应自行承担。</w:t>
      </w:r>
    </w:p>
    <w:p w14:paraId="10B87B9A">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5.联合体参与竞争性谈判</w:t>
      </w:r>
    </w:p>
    <w:p w14:paraId="5949F6C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5.1本项目是否接受联合体参与竞争性谈判，详见“供应商须知前附表”。</w:t>
      </w:r>
    </w:p>
    <w:p w14:paraId="295FC94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5.2</w:t>
      </w:r>
      <w:r>
        <w:rPr>
          <w:rFonts w:hint="eastAsia" w:asciiTheme="minorEastAsia" w:hAnsiTheme="minorEastAsia" w:eastAsiaTheme="minorEastAsia" w:cstheme="minorEastAsia"/>
          <w:bCs/>
          <w:color w:val="auto"/>
          <w:sz w:val="24"/>
          <w:szCs w:val="24"/>
        </w:rPr>
        <w:t>如接受联合体参与</w:t>
      </w:r>
      <w:r>
        <w:rPr>
          <w:rFonts w:hint="eastAsia" w:asciiTheme="minorEastAsia" w:hAnsiTheme="minorEastAsia" w:eastAsiaTheme="minorEastAsia" w:cstheme="minorEastAsia"/>
          <w:color w:val="auto"/>
          <w:sz w:val="24"/>
          <w:szCs w:val="24"/>
        </w:rPr>
        <w:t>竞争性谈判</w:t>
      </w:r>
      <w:r>
        <w:rPr>
          <w:rFonts w:hint="eastAsia" w:asciiTheme="minorEastAsia" w:hAnsiTheme="minorEastAsia" w:eastAsiaTheme="minorEastAsia" w:cstheme="minorEastAsia"/>
          <w:bCs/>
          <w:color w:val="auto"/>
          <w:sz w:val="24"/>
          <w:szCs w:val="24"/>
        </w:rPr>
        <w:t>，</w:t>
      </w:r>
      <w:r>
        <w:rPr>
          <w:rFonts w:hint="eastAsia" w:asciiTheme="minorEastAsia" w:hAnsiTheme="minorEastAsia" w:eastAsiaTheme="minorEastAsia" w:cstheme="minorEastAsia"/>
          <w:color w:val="auto"/>
          <w:sz w:val="24"/>
          <w:szCs w:val="24"/>
        </w:rPr>
        <w:t>具体要求详见“供应商须知前附表”。</w:t>
      </w:r>
    </w:p>
    <w:p w14:paraId="00422E7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5.3</w:t>
      </w:r>
      <w:bookmarkStart w:id="16" w:name="_Hlk65857072"/>
      <w:r>
        <w:rPr>
          <w:rFonts w:hint="eastAsia" w:asciiTheme="minorEastAsia" w:hAnsiTheme="minorEastAsia" w:eastAsiaTheme="minorEastAsia" w:cstheme="minorEastAsia"/>
          <w:color w:val="auto"/>
          <w:sz w:val="24"/>
          <w:szCs w:val="24"/>
        </w:rPr>
        <w:t>根据《政府采购促进中小企业发展管理办法》（财库〔2020〕46号</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16"/>
    </w:p>
    <w:p w14:paraId="38CF2DEA">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6.转包与分包</w:t>
      </w:r>
    </w:p>
    <w:p w14:paraId="6E55B40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bookmarkStart w:id="17" w:name="_Toc254970673"/>
      <w:bookmarkStart w:id="18" w:name="_Toc254970532"/>
      <w:r>
        <w:rPr>
          <w:rFonts w:hint="eastAsia" w:asciiTheme="minorEastAsia" w:hAnsiTheme="minorEastAsia" w:eastAsiaTheme="minorEastAsia" w:cstheme="minorEastAsia"/>
          <w:color w:val="auto"/>
          <w:sz w:val="24"/>
          <w:szCs w:val="24"/>
        </w:rPr>
        <w:t>6.1本项目不允许转包。</w:t>
      </w:r>
    </w:p>
    <w:p w14:paraId="112BEF2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04A5786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6.3供应商根据谈判文件的规定和采购项目的实际情况，拟在成交后将成交项目的非主体、非关键性工作分包的，应当在响应文件中载明分包承担主体，分包承担主体应当具备相应资质条件且不得再次分包。</w:t>
      </w:r>
    </w:p>
    <w:p w14:paraId="0144751E">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7.特别说明</w:t>
      </w:r>
      <w:bookmarkEnd w:id="17"/>
      <w:bookmarkEnd w:id="18"/>
      <w:bookmarkStart w:id="19" w:name="_8.1提供相同品牌产品且通过资格审查、符合性审查的不同投标人参加同一合"/>
      <w:bookmarkEnd w:id="19"/>
    </w:p>
    <w:p w14:paraId="0987170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7.1如果本谈判文件要求提供供应商或制造商的资格、信誉、荣誉、业绩与企业认证等材料的，资格、信誉、荣誉、业绩与企业认证等必须为供应商或者制造商所拥有或自身获得 。</w:t>
      </w:r>
    </w:p>
    <w:p w14:paraId="3AE362C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7.2供应商应仔细阅读谈判文件的所有内容，按照谈判文件的要求提交响应文件，并对所提供的全部资料的真实性承担法律责任。</w:t>
      </w:r>
    </w:p>
    <w:p w14:paraId="7B9037D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7.3供应商在参与竞争性谈判活动中提供任何虚假材料</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其响应文件按无效响应处理，并报监管部门查处；签订合同后发现的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成交供应商须依法赔偿采购人，且民事赔偿并不免除违法供应商的行政与刑事责任。</w:t>
      </w:r>
    </w:p>
    <w:p w14:paraId="2705E8D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7.4在政府采购活动中，采购人员及相关人员与供应商有下列利害关系之一的，应当回避：</w:t>
      </w:r>
    </w:p>
    <w:p w14:paraId="32FF446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参加采购活动前3年内与供应商存在劳动关系；</w:t>
      </w:r>
    </w:p>
    <w:p w14:paraId="4516FD1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参加采购活动前3年内担任供应商的董事、监事；</w:t>
      </w:r>
    </w:p>
    <w:p w14:paraId="773828A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参加采购活动前3年内是供应商的控股股东或者实际控制人；</w:t>
      </w:r>
    </w:p>
    <w:p w14:paraId="4903B17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与供应商的法定代表人或者负责人有夫妻、直系血亲、三代以内旁系血亲或者近姻亲关系；</w:t>
      </w:r>
    </w:p>
    <w:p w14:paraId="78FE305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与供应商有其他可能影响政府采购活动公平、公正进行的关系。</w:t>
      </w:r>
    </w:p>
    <w:p w14:paraId="539B949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8A6484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7.5有下列情形之一的视为供应商相互串通参与竞争性谈判，响应文件将被视为无效：</w:t>
      </w:r>
    </w:p>
    <w:p w14:paraId="3C6EAB1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不同供应商的响应文件由同一单位或者个人编制；或者不同供应商报名的IP地址一致的；</w:t>
      </w:r>
      <w:r>
        <w:rPr>
          <w:rFonts w:hint="eastAsia" w:asciiTheme="minorEastAsia" w:hAnsiTheme="minorEastAsia" w:eastAsiaTheme="minorEastAsia" w:cstheme="minorEastAsia"/>
          <w:color w:val="auto"/>
          <w:sz w:val="24"/>
          <w:lang w:eastAsia="zh-CN"/>
        </w:rPr>
        <w:t>或者</w:t>
      </w:r>
      <w:r>
        <w:rPr>
          <w:rFonts w:hint="eastAsia" w:asciiTheme="minorEastAsia" w:hAnsiTheme="minorEastAsia" w:eastAsiaTheme="minorEastAsia" w:cstheme="minorEastAsia"/>
          <w:color w:val="auto"/>
          <w:sz w:val="24"/>
        </w:rPr>
        <w:t>不同供应商</w:t>
      </w:r>
      <w:r>
        <w:rPr>
          <w:rFonts w:hint="eastAsia" w:asciiTheme="minorEastAsia" w:hAnsiTheme="minorEastAsia" w:eastAsiaTheme="minorEastAsia" w:cstheme="minorEastAsia"/>
          <w:color w:val="auto"/>
          <w:sz w:val="24"/>
          <w:lang w:eastAsia="zh-CN"/>
        </w:rPr>
        <w:t>上传的响应文件存在IP地址、MAC地址、硬盘号、主板号一致的情况</w:t>
      </w:r>
      <w:r>
        <w:rPr>
          <w:rFonts w:hint="eastAsia" w:asciiTheme="minorEastAsia" w:hAnsiTheme="minorEastAsia" w:eastAsiaTheme="minorEastAsia" w:cstheme="minorEastAsia"/>
          <w:color w:val="auto"/>
          <w:sz w:val="24"/>
          <w:szCs w:val="24"/>
        </w:rPr>
        <w:t>。</w:t>
      </w:r>
    </w:p>
    <w:p w14:paraId="4E74519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不同供应商委托同一单位或者个人办理竞争性谈判事宜；</w:t>
      </w:r>
    </w:p>
    <w:p w14:paraId="26FF486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不同的供应商的响应文件载明的项目管理员为同一个人；</w:t>
      </w:r>
    </w:p>
    <w:p w14:paraId="5D69C03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不同供应商的响应文件异常一致或者报价呈规律性差异；</w:t>
      </w:r>
    </w:p>
    <w:p w14:paraId="6FCD43F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不同供应商的响应文件相互混装；</w:t>
      </w:r>
    </w:p>
    <w:p w14:paraId="0ED9F84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不同供应商的谈判保证金从同一单位或者个人账户转出；</w:t>
      </w:r>
    </w:p>
    <w:p w14:paraId="5E29B08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供应商之间协商报价等响应文件的实质性内容；</w:t>
      </w:r>
    </w:p>
    <w:p w14:paraId="038BF7D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供应商之间约定成交供应商；</w:t>
      </w:r>
    </w:p>
    <w:p w14:paraId="0855923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供应商之间约定部分供应商放弃参与竞争性谈判或者成交；</w:t>
      </w:r>
    </w:p>
    <w:p w14:paraId="6CE43CF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属于同一集团、协会、商会等组织成员的供应商按照该组织要求协同参与竞争性谈判；</w:t>
      </w:r>
    </w:p>
    <w:p w14:paraId="4361E48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供应商之间为谋取成交或者排斥特定供应商而采取的其他联合行动。</w:t>
      </w:r>
    </w:p>
    <w:p w14:paraId="0FFF4ED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7.6供应商有下列情形之一的，属于恶意串通行为</w:t>
      </w:r>
      <w:bookmarkStart w:id="20" w:name="_Hlk54682620"/>
      <w:r>
        <w:rPr>
          <w:rFonts w:hint="eastAsia" w:asciiTheme="minorEastAsia" w:hAnsiTheme="minorEastAsia" w:eastAsiaTheme="minorEastAsia" w:cstheme="minorEastAsia"/>
          <w:color w:val="auto"/>
          <w:sz w:val="24"/>
          <w:szCs w:val="24"/>
        </w:rPr>
        <w:t>，将报同级监督管理部门</w:t>
      </w:r>
      <w:bookmarkEnd w:id="20"/>
      <w:r>
        <w:rPr>
          <w:rFonts w:hint="eastAsia" w:asciiTheme="minorEastAsia" w:hAnsiTheme="minorEastAsia" w:eastAsiaTheme="minorEastAsia" w:cstheme="minorEastAsia"/>
          <w:color w:val="auto"/>
          <w:sz w:val="24"/>
          <w:szCs w:val="24"/>
        </w:rPr>
        <w:t>：</w:t>
      </w:r>
    </w:p>
    <w:p w14:paraId="0EE16D7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供应商直接或者间接从采购人或者采购代理机构处获得其他供应商的相关信息并修改其响应文件；</w:t>
      </w:r>
    </w:p>
    <w:p w14:paraId="15E17F9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供应商按照采购人或者采购代理机构的授意撤换、修改响应文件；</w:t>
      </w:r>
    </w:p>
    <w:p w14:paraId="0B17E69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供应商之间协商报价、技术方案等响应文件或者响应文件的实质性内容；</w:t>
      </w:r>
    </w:p>
    <w:p w14:paraId="0E5684A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属于同一集团、协会、商会等组织成员的供应商按照该组织要求协同参加政府采购活动；</w:t>
      </w:r>
    </w:p>
    <w:p w14:paraId="0A33AC8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供应商之间事先约定一致抬高或者压低报价</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或者在政府采购活动中事先约定轮流以高价位或者低价位成交</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或者事先约定由某一特定供应商成交</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然后再参加竞争性谈判；</w:t>
      </w:r>
    </w:p>
    <w:p w14:paraId="0E12482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供应商之间商定部分供应商放弃参加政府采购活动或者放弃成交；</w:t>
      </w:r>
    </w:p>
    <w:p w14:paraId="166F579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供应商与采购人或者采购代理机构之间、供应商相互之间，为谋求特定供应商成交或者排斥其他供应商的其他串通行为。</w:t>
      </w:r>
    </w:p>
    <w:p w14:paraId="3B07BF0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7.7单一产品采购项目，提供相同品牌产品的不同供应商参加同一合同项下竞争性谈判的，以其中通过资格审查、符合性审查、谈判且最后报价最低的参加报价评审；最后报价相同的，按照前附表第26条规定确定一个参加评审的供应商，其他响应文件作无效处理。</w:t>
      </w:r>
    </w:p>
    <w:p w14:paraId="1AFD478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非单一产品采购项目，多家供应商提供的核心产品品牌相同的，按前款规定处理；多家供应商提供的所有产品品牌相同，按前款处理。</w:t>
      </w:r>
    </w:p>
    <w:p w14:paraId="02872CA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7.8.对本国产品的支持政策</w:t>
      </w:r>
    </w:p>
    <w:p w14:paraId="2DD5CF7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7.8.1本国产品标准</w:t>
      </w:r>
    </w:p>
    <w:p w14:paraId="595E34A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“本国产品标准的产品”是指：符合《国务院办公厅关于在政府采购中实施本国产品标准及相关政策的通知》（国办发〔2025〕34号）规定的本国产品标准的产品。</w:t>
      </w:r>
    </w:p>
    <w:p w14:paraId="65D300C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本国产品标准的产品应当符合以下条件：</w:t>
      </w:r>
    </w:p>
    <w:p w14:paraId="055EA07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在中国境内生产。产品应当在中国境内生产，即在中华人民共和国关境内实现从原材料、组件到产品的属性改变；属性改变是指经过制造、加工或者组装等工序，产生完全不同于原材料、组件的新产品，并具有新的名称和特征（用途），属性改变不包括以下细微操作：</w:t>
      </w:r>
    </w:p>
    <w:p w14:paraId="34626D6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①为确保产品在运输或者储存期间保持某种状态而进行的操作；</w:t>
      </w:r>
    </w:p>
    <w:p w14:paraId="15C4E7F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②为产品运输或者销售进行的包装或者展示；</w:t>
      </w:r>
    </w:p>
    <w:p w14:paraId="35BAD78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③在产品或者其包装上粘贴或者印刷品牌、标志、标识以及其他用于区别的标记；</w:t>
      </w:r>
    </w:p>
    <w:p w14:paraId="5710F6E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④简单的上漆、磨光和分装；</w:t>
      </w:r>
    </w:p>
    <w:p w14:paraId="17E7051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⑤其他不属于属性改变的情形；</w:t>
      </w:r>
    </w:p>
    <w:p w14:paraId="4555C05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中国境内生产的组件成本占比达到规定比例。</w:t>
      </w:r>
    </w:p>
    <w:p w14:paraId="3998800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①产品在中国境内生产的组件成本占比应当达到规定比例，计算公式为：产品在中国境内生产的组件成本/产品总成本≥规定比例；</w:t>
      </w:r>
    </w:p>
    <w:p w14:paraId="3EBFC01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②产品在中国境内生产的组件成本，按照《中国境内生产的组件成本核算基本规则》（见第七章15.6中的附件）计算；</w:t>
      </w:r>
    </w:p>
    <w:p w14:paraId="774A0CF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③中国境内生产的组件成本占比相关要求实施前，符合第（一）项条件的产品在政府采购活动中视同本国产品。</w:t>
      </w:r>
    </w:p>
    <w:p w14:paraId="3788008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特定产品的关键组件和工序在中国境内完成。</w:t>
      </w:r>
    </w:p>
    <w:p w14:paraId="27DBB62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①对特定产品，在符合第（一）项和第（二）项条件的基础上，应当符合财政部会同有关行业主管部门确定的其关键组件、关键工序在中国境内生产、完成等要求；</w:t>
      </w:r>
    </w:p>
    <w:p w14:paraId="3066AF5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②特定产品的关键组件、关键工序符合相关要求实施前，符合第（一）项和第（二）项条件的产品在政府采购活动中视同本国产品。</w:t>
      </w:r>
    </w:p>
    <w:p w14:paraId="7FB6C4C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7.8.2本国产品标准的适用范围</w:t>
      </w:r>
    </w:p>
    <w:p w14:paraId="012D690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本项目是否适用对本国产品的支持政策详见供应商须知前附表。</w:t>
      </w:r>
    </w:p>
    <w:p w14:paraId="30457F3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中华人民共和国缔结或者共同参加的国际条约、协定对政府采购中本国产品政策另有规定的，按照有关条约、协定执行。</w:t>
      </w:r>
    </w:p>
    <w:p w14:paraId="2EFAAF5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7.8.3价格评审优惠既有本国产品又有非本国产品参与竞争的，依法对本国产品给予价格评审优惠，对本国产品的报价给予20%的价格扣除，用扣除后的价格参与评审。</w:t>
      </w:r>
    </w:p>
    <w:p w14:paraId="0F4533C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D5C62A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价格扣除比例在第四章评审方法及标准中规定。</w:t>
      </w:r>
    </w:p>
    <w:p w14:paraId="655EF72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7.8.4政策执行要求</w:t>
      </w:r>
    </w:p>
    <w:p w14:paraId="2B5D47B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7.8.4.1产品在中国境内生产的组件成本核算规则：产品在中国境内生产的组件成本，按照《中国境内生产的组件成本核算基本规则》计算。</w:t>
      </w:r>
    </w:p>
    <w:p w14:paraId="6227E6A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《中国境内生产的组件成本核算基本规则》</w:t>
      </w:r>
    </w:p>
    <w:p w14:paraId="43C767F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0F05AC2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1.产品的一级组件是指直接组成产品的组件。产品的二级组件是指直接组成产品一级组件的组件。一级组件不可分解的，视同二级组件。</w:t>
      </w:r>
    </w:p>
    <w:p w14:paraId="44E0584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2.二级组件在中国境内生产的，其全部成本计入中国境内生产的组件成本；二级组件不在中国境内生产的，其成本不计入中国境内生产的组件成本。</w:t>
      </w:r>
    </w:p>
    <w:p w14:paraId="1DE899A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3.产品总成本和组件成本以相关会计核算数据、采购合同、进货记录等为基础进行计算。</w:t>
      </w:r>
    </w:p>
    <w:p w14:paraId="6BEC3FE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4.需要对成本核算规则予以进一步明确的其他有关事项，由财政部会同有关部门另行规定。</w:t>
      </w:r>
    </w:p>
    <w:p w14:paraId="61130A4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7.8.4.2证明材料要求：供应商需在竞标文件中对其提供的产品出具《关于符合本国产品标准的声明函》（样式见竞标文件格式）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采购人、采购代理机构应当随中标、成交结果同时公告中标、成交供应商提供的《声明函》或有关证明文件。</w:t>
      </w:r>
    </w:p>
    <w:p w14:paraId="0F2C579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7.5争议处理</w:t>
      </w:r>
    </w:p>
    <w:p w14:paraId="2EC4DE7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处理。</w:t>
      </w:r>
    </w:p>
    <w:p w14:paraId="3181EFD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p>
    <w:p w14:paraId="1C48FEBD">
      <w:pPr>
        <w:pStyle w:val="14"/>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color w:val="auto"/>
          <w:sz w:val="32"/>
          <w:szCs w:val="32"/>
        </w:rPr>
      </w:pPr>
      <w:bookmarkStart w:id="21" w:name="_Toc254970534"/>
      <w:bookmarkStart w:id="22" w:name="_Toc254970675"/>
    </w:p>
    <w:p w14:paraId="0FA4DDA3">
      <w:pPr>
        <w:pStyle w:val="14"/>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二、谈判文件</w:t>
      </w:r>
      <w:bookmarkEnd w:id="21"/>
      <w:bookmarkEnd w:id="22"/>
    </w:p>
    <w:p w14:paraId="1848D402">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8.谈判文件的构成</w:t>
      </w:r>
    </w:p>
    <w:p w14:paraId="62AC01E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竞争性谈判公告；</w:t>
      </w:r>
    </w:p>
    <w:p w14:paraId="3246A07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供应商须知； </w:t>
      </w:r>
    </w:p>
    <w:p w14:paraId="6CDDD8A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采购需求；</w:t>
      </w:r>
    </w:p>
    <w:p w14:paraId="35C6E9F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响应文件格式；</w:t>
      </w:r>
    </w:p>
    <w:p w14:paraId="7AB97DF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合同文本；</w:t>
      </w:r>
    </w:p>
    <w:p w14:paraId="528BA5B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评审程序和评定成交的标准。</w:t>
      </w:r>
    </w:p>
    <w:p w14:paraId="04D3ADC1">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9.供应商的询问</w:t>
      </w:r>
    </w:p>
    <w:p w14:paraId="3427373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应认真阅读谈判文件的采购需求，如供应商对谈判文件有疑问的，如要求采购人作出澄清或者修改的，供应商尽可能在提交首次响应文件截止之日前，以纸质书面形式向采购人、采购代理机构提出，否则，由此产生的后果由供应商自行负责。</w:t>
      </w:r>
    </w:p>
    <w:p w14:paraId="2D896002">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10.谈判文件的澄清和修改</w:t>
      </w:r>
    </w:p>
    <w:p w14:paraId="59ED71C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10.1提交首次响应文件截止之日前，采购人、采购代理机构可以对已发出的谈判文件进行必要的澄清或者修改，澄清或者修改的内容作为谈判文件的组成部分。澄清或者修改将在原公告发布媒体上发布更正公告。澄清或者修改的内容可能影响响应文件编制的，采购人、采购代理机构或者谈判小组应当在提交首次响应文件截止之日3个工作日前，在原公告发布媒体上发布更正公告；不足3个工作日的，应当顺延提交首次响应文件截止时间。</w:t>
      </w:r>
    </w:p>
    <w:p w14:paraId="2722DA8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10.2采购人和采购代理机构可以视采购具体情况，变更首次响应文件提交截止时间，并在原公告发布媒体上发布更正公告。</w:t>
      </w:r>
    </w:p>
    <w:p w14:paraId="3BB52F0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10.3谈判文件澄清、答复、修改、补充的内容为谈判文件的组成部分。当谈判文件与谈判文件的澄清、答复、修改、补充通知就同一内容的表述不一致时，以最后发出的文件为准。</w:t>
      </w:r>
    </w:p>
    <w:p w14:paraId="0E6E195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10.4响应文件未按谈判文件的澄清、修改后的内容编制的，其响应文件作无效响应处理。</w:t>
      </w:r>
    </w:p>
    <w:p w14:paraId="78ACCF91">
      <w:pPr>
        <w:pStyle w:val="14"/>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color w:val="auto"/>
          <w:sz w:val="32"/>
          <w:szCs w:val="32"/>
        </w:rPr>
      </w:pPr>
    </w:p>
    <w:p w14:paraId="7899B07D">
      <w:pPr>
        <w:pStyle w:val="14"/>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三、响应文件的编制</w:t>
      </w:r>
    </w:p>
    <w:p w14:paraId="0A6A3BCA">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11.响应文件的编制原则</w:t>
      </w:r>
    </w:p>
    <w:p w14:paraId="7021ADF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供应商必须按照谈判文件的要求编制响应文件，并对其提交的响应文件的真实性、合法性承担法律责任。响应文件必须对谈判文件作出实质性响应。</w:t>
      </w:r>
    </w:p>
    <w:p w14:paraId="3931C6E6">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12.响应文件的组成</w:t>
      </w:r>
    </w:p>
    <w:p w14:paraId="79BFAD0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12.1响应文件由资格证明文件、报价商务技术文件两部分组成。</w:t>
      </w:r>
    </w:p>
    <w:p w14:paraId="0A09D58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12.1.1资格证明文件：详见“供应商须知前附表”</w:t>
      </w:r>
    </w:p>
    <w:p w14:paraId="4FD486A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12.1.2报价商务技术文件：详见“供应商须知前附表”</w:t>
      </w:r>
    </w:p>
    <w:p w14:paraId="093A359E">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13.计量单位</w:t>
      </w:r>
    </w:p>
    <w:p w14:paraId="58132BA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谈判文件已有明确规定的，使用谈判文件规定的计量单位；谈判文件没有规定的，应采用中华人民共和国法定计量单位，货币种类为人民币，否则视同未响应。</w:t>
      </w:r>
    </w:p>
    <w:p w14:paraId="4669F5FB">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14.竞争性谈判的风险</w:t>
      </w:r>
    </w:p>
    <w:p w14:paraId="2A2D5C8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供应商没有按照谈判文件要求提供全部资料，或者供应商没有对谈判文件在各方面作出实质性响应可能导致其响应文件按无效响应处理，是供应商应当考虑的风险。</w:t>
      </w:r>
    </w:p>
    <w:p w14:paraId="035AC4C7">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15.竞争性谈判报价</w:t>
      </w:r>
    </w:p>
    <w:p w14:paraId="474F136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15.1竞争性谈判报价应按谈判文件中“竞争性谈判报价表”格式填写。</w:t>
      </w:r>
    </w:p>
    <w:p w14:paraId="2CF6ACF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15.2竞争性谈判报价的内容详见“供应商须知前附表”。</w:t>
      </w:r>
    </w:p>
    <w:p w14:paraId="75FAE9A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15.3竞争性谈判报价要求</w:t>
      </w:r>
    </w:p>
    <w:p w14:paraId="6778067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15.3.1供应商的竞争性谈判报价应符合以下要求，否则响应文件按无效响应处理：</w:t>
      </w:r>
    </w:p>
    <w:p w14:paraId="259D7E0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供应商必须就“采购需求”中所需竞争性谈判的每个分标的全部内容分别作完整唯一总价报价，不得存在漏项报价；</w:t>
      </w:r>
    </w:p>
    <w:p w14:paraId="1F40309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供应商必须就所需竞争性谈判的分标的单项内容作唯一报价。</w:t>
      </w:r>
    </w:p>
    <w:p w14:paraId="0F7ECA4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15.3.2竞争性谈判报价（包含首次报价、最后报价</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超过所参与竞争性谈判分标规定的采购预算金额或者最高限价的，其响应文件将按无效响应处理。</w:t>
      </w:r>
    </w:p>
    <w:p w14:paraId="51BE657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15.3.3竞争性谈判报价（包含首次报价、最后报价</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超过分项采购预算金额或者最高限价的，其响应文件将作无效处理。</w:t>
      </w:r>
    </w:p>
    <w:p w14:paraId="2804403B">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16.竞争性谈判有效期</w:t>
      </w:r>
    </w:p>
    <w:p w14:paraId="6465B60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16.1竞争性谈判有效期是指为保证采购人有足够的时间在提交响应文件后完成评审、确定成交供应商、合同签订等工作而要求供应商提交的响应文件在一定时间内保持有效的期限。</w:t>
      </w:r>
    </w:p>
    <w:p w14:paraId="30FD627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16.2竞争性谈判有效期应由供应商按“供应商须知前附表”规定的期限作出响应。</w:t>
      </w:r>
    </w:p>
    <w:p w14:paraId="4C9075F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16.3供应商的响应文件在竞争性谈判有效期内均保持有效。</w:t>
      </w:r>
    </w:p>
    <w:p w14:paraId="2C88C0F0">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17.谈判保证金</w:t>
      </w:r>
    </w:p>
    <w:p w14:paraId="63ADD62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17.1供应商须按“供应商须知前附表”的规定提交谈判保证金。</w:t>
      </w:r>
    </w:p>
    <w:p w14:paraId="4EB4128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17.2谈判保证金的退还</w:t>
      </w:r>
    </w:p>
    <w:p w14:paraId="348017F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未</w:t>
      </w:r>
      <w:r>
        <w:rPr>
          <w:rFonts w:hint="eastAsia" w:asciiTheme="minorEastAsia" w:hAnsiTheme="minorEastAsia" w:eastAsiaTheme="minorEastAsia" w:cstheme="minorEastAsia"/>
          <w:color w:val="auto"/>
          <w:spacing w:val="-6"/>
          <w:sz w:val="24"/>
          <w:szCs w:val="24"/>
        </w:rPr>
        <w:t>成交</w:t>
      </w:r>
      <w:r>
        <w:rPr>
          <w:rFonts w:hint="eastAsia" w:asciiTheme="minorEastAsia" w:hAnsiTheme="minorEastAsia" w:eastAsiaTheme="minorEastAsia" w:cstheme="minorEastAsia"/>
          <w:color w:val="auto"/>
          <w:sz w:val="24"/>
          <w:szCs w:val="24"/>
        </w:rPr>
        <w:t xml:space="preserve">供应商的谈判保证金自成交通知书发出之日起5个工作日内退还；成交供应商的谈判保证金自签订合同之日起5个工作日内退还。 </w:t>
      </w:r>
    </w:p>
    <w:p w14:paraId="209658F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17.3谈判保证金不计息。</w:t>
      </w:r>
    </w:p>
    <w:p w14:paraId="16A14F3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17.4供应商有下列情形之一的，谈判保证金将不予退还</w:t>
      </w:r>
      <w:r>
        <w:rPr>
          <w:rFonts w:hint="eastAsia" w:asciiTheme="minorEastAsia" w:hAnsiTheme="minorEastAsia" w:eastAsiaTheme="minorEastAsia" w:cstheme="minorEastAsia"/>
          <w:color w:val="auto"/>
          <w:sz w:val="24"/>
          <w:szCs w:val="24"/>
          <w:lang w:eastAsia="zh-CN"/>
        </w:rPr>
        <w:t>：</w:t>
      </w:r>
    </w:p>
    <w:p w14:paraId="3C05128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供应商在提交首次响应文件截止时间后撤回响应文件的，但在提交最后报价之前退出谈判的情况除外；</w:t>
      </w:r>
    </w:p>
    <w:p w14:paraId="0DDFF4A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未按规定提交履约保证金的；</w:t>
      </w:r>
    </w:p>
    <w:p w14:paraId="3B69E48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供应商在响应文件中提供虚假材料的；</w:t>
      </w:r>
    </w:p>
    <w:p w14:paraId="510A7CB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除因不可抗力或者谈判文件认可的情形以外，成交供应商不与采购人签订合同的；</w:t>
      </w:r>
    </w:p>
    <w:p w14:paraId="242C30A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供应商与采购人、其他供应商或者采购代理机构恶意串通的；</w:t>
      </w:r>
    </w:p>
    <w:p w14:paraId="3781352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法律法规规定的其他情形。</w:t>
      </w:r>
    </w:p>
    <w:p w14:paraId="0210A410">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18.响应文件编制的要求</w:t>
      </w:r>
    </w:p>
    <w:p w14:paraId="443D0B7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18.1供应商应按本谈判文件规定的格式和顺序编制、装订响应文件并标注页码，响应文件内容</w:t>
      </w:r>
      <w:r>
        <w:rPr>
          <w:rFonts w:hint="eastAsia" w:asciiTheme="minorEastAsia" w:hAnsiTheme="minorEastAsia" w:eastAsiaTheme="minorEastAsia" w:cstheme="minorEastAsia"/>
          <w:color w:val="auto"/>
          <w:spacing w:val="-6"/>
          <w:sz w:val="24"/>
          <w:szCs w:val="24"/>
        </w:rPr>
        <w:t>不完整、编排混乱导致响应文件被误读、漏读或者查找不到相关内容的，</w:t>
      </w:r>
      <w:r>
        <w:rPr>
          <w:rFonts w:hint="eastAsia" w:asciiTheme="minorEastAsia" w:hAnsiTheme="minorEastAsia" w:eastAsiaTheme="minorEastAsia" w:cstheme="minorEastAsia"/>
          <w:color w:val="auto"/>
          <w:sz w:val="24"/>
          <w:szCs w:val="24"/>
        </w:rPr>
        <w:t>由此引发的</w:t>
      </w:r>
      <w:r>
        <w:rPr>
          <w:rFonts w:hint="eastAsia" w:asciiTheme="minorEastAsia" w:hAnsiTheme="minorEastAsia" w:eastAsiaTheme="minorEastAsia" w:cstheme="minorEastAsia"/>
          <w:color w:val="auto"/>
          <w:spacing w:val="-6"/>
          <w:sz w:val="24"/>
          <w:szCs w:val="24"/>
        </w:rPr>
        <w:t>后果由供应商承担。</w:t>
      </w:r>
    </w:p>
    <w:p w14:paraId="6F2F7FD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18.2响应文件应按资格证明文件、报价商务技术文件分别编制电子文件，</w:t>
      </w:r>
      <w:r>
        <w:rPr>
          <w:rFonts w:hint="eastAsia" w:asciiTheme="minorEastAsia" w:hAnsiTheme="minorEastAsia" w:eastAsiaTheme="minorEastAsia" w:cstheme="minorEastAsia"/>
          <w:color w:val="auto"/>
          <w:sz w:val="24"/>
          <w:szCs w:val="24"/>
          <w:lang w:bidi="ar"/>
        </w:rPr>
        <w:t>并按广西政府采购云平台的要求编制、加密、上传。</w:t>
      </w:r>
    </w:p>
    <w:p w14:paraId="7A5ADEC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18.</w:t>
      </w:r>
      <w:bookmarkStart w:id="23" w:name="_Hlk65832699"/>
      <w:r>
        <w:rPr>
          <w:rFonts w:hint="eastAsia" w:asciiTheme="minorEastAsia" w:hAnsiTheme="minorEastAsia" w:eastAsiaTheme="minorEastAsia" w:cstheme="minorEastAsia"/>
          <w:color w:val="auto"/>
          <w:sz w:val="24"/>
          <w:szCs w:val="24"/>
        </w:rPr>
        <w:t>3响应文件须由供应商在规定位置盖公章并签字</w:t>
      </w:r>
      <w:bookmarkStart w:id="24" w:name="_Hlk65832569"/>
      <w:r>
        <w:rPr>
          <w:rFonts w:hint="eastAsia" w:asciiTheme="minorEastAsia" w:hAnsiTheme="minorEastAsia" w:eastAsiaTheme="minorEastAsia" w:cstheme="minorEastAsia"/>
          <w:color w:val="auto"/>
          <w:sz w:val="24"/>
          <w:szCs w:val="24"/>
        </w:rPr>
        <w:t>（具体以供应商须知前附表或响应文件格式规定为准</w:t>
      </w:r>
      <w:bookmarkEnd w:id="23"/>
      <w:bookmarkEnd w:id="24"/>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，否则其响应文件按无效响应处理。</w:t>
      </w:r>
    </w:p>
    <w:p w14:paraId="2A491D2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18.4响应文件中标注的供应商名称应与营业执照（事业单位法人证书、执业许可证、自然人身份证</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及公章一致，否则其响应文件按无效响应处理。</w:t>
      </w:r>
    </w:p>
    <w:p w14:paraId="45F42C9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18.5响应文件应尽量避免涂改、行间插字或者删除。如果出现上述情况，改动之处应由供应商的法定代表人或者其委托代理人签字或者加盖公章。响应文件因涂改、行间插字或者删除导致字迹潦草或者表达不清所引起的后果由供应商承担。</w:t>
      </w:r>
    </w:p>
    <w:p w14:paraId="53B28951">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19.响应文件的加密、解密</w:t>
      </w:r>
    </w:p>
    <w:p w14:paraId="41826EF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19.1电子响应文件编制完成后，供应商应按广西政府采购云平台的要求进行加密，并在规定时间内解密，否则，由此产生的后果由供应商自行负责。</w:t>
      </w:r>
    </w:p>
    <w:p w14:paraId="6679F6A7">
      <w:pPr>
        <w:pStyle w:val="39"/>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19.2本项目不接受电子备份响应文件。</w:t>
      </w:r>
    </w:p>
    <w:p w14:paraId="7942DF11">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20.响应文件的提交</w:t>
      </w:r>
    </w:p>
    <w:p w14:paraId="669C328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20.1供应商必须在“供应商须知前附表”规定的时间和地点提交响应文件。</w:t>
      </w:r>
    </w:p>
    <w:p w14:paraId="68757D2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color w:val="auto"/>
          <w:sz w:val="24"/>
          <w:szCs w:val="24"/>
          <w:lang w:bidi="ar"/>
        </w:rPr>
      </w:pPr>
      <w:r>
        <w:rPr>
          <w:rFonts w:hint="eastAsia" w:asciiTheme="minorEastAsia" w:hAnsiTheme="minorEastAsia" w:eastAsiaTheme="minorEastAsia" w:cstheme="minorEastAsia"/>
          <w:color w:val="auto"/>
          <w:sz w:val="24"/>
          <w:szCs w:val="24"/>
        </w:rPr>
        <w:t>20.2</w:t>
      </w:r>
      <w:r>
        <w:rPr>
          <w:rFonts w:hint="eastAsia" w:asciiTheme="minorEastAsia" w:hAnsiTheme="minorEastAsia" w:eastAsiaTheme="minorEastAsia" w:cstheme="minorEastAsia"/>
          <w:color w:val="auto"/>
          <w:sz w:val="24"/>
          <w:szCs w:val="24"/>
          <w:lang w:bidi="ar"/>
        </w:rPr>
        <w:t>本项目为全流程电子化政府采购项目，通过广西政府采购云平台（https</w:t>
      </w:r>
      <w:r>
        <w:rPr>
          <w:rFonts w:hint="eastAsia" w:asciiTheme="minorEastAsia" w:hAnsiTheme="minorEastAsia" w:eastAsiaTheme="minorEastAsia" w:cstheme="minorEastAsia"/>
          <w:color w:val="auto"/>
          <w:sz w:val="24"/>
          <w:szCs w:val="24"/>
          <w:lang w:eastAsia="zh-CN" w:bidi="ar"/>
        </w:rPr>
        <w:t>：</w:t>
      </w:r>
      <w:r>
        <w:rPr>
          <w:rFonts w:hint="eastAsia" w:asciiTheme="minorEastAsia" w:hAnsiTheme="minorEastAsia" w:eastAsiaTheme="minorEastAsia" w:cstheme="minorEastAsia"/>
          <w:color w:val="auto"/>
          <w:sz w:val="24"/>
          <w:szCs w:val="24"/>
          <w:lang w:bidi="ar"/>
        </w:rPr>
        <w:t>//www.gcy.zfcg.gxzf.gov.cn/</w:t>
      </w:r>
      <w:r>
        <w:rPr>
          <w:rFonts w:hint="eastAsia" w:asciiTheme="minorEastAsia" w:hAnsiTheme="minorEastAsia" w:eastAsiaTheme="minorEastAsia" w:cstheme="minorEastAsia"/>
          <w:color w:val="auto"/>
          <w:sz w:val="24"/>
          <w:szCs w:val="24"/>
          <w:lang w:eastAsia="zh-CN" w:bidi="ar"/>
        </w:rPr>
        <w:t>）</w:t>
      </w:r>
      <w:r>
        <w:rPr>
          <w:rFonts w:hint="eastAsia" w:asciiTheme="minorEastAsia" w:hAnsiTheme="minorEastAsia" w:eastAsiaTheme="minorEastAsia" w:cstheme="minorEastAsia"/>
          <w:color w:val="auto"/>
          <w:sz w:val="24"/>
          <w:szCs w:val="24"/>
          <w:lang w:bidi="ar"/>
        </w:rPr>
        <w:t>实行在线电子竞争性谈判，供应商应先安装“广西政府采购云平台电子交易客户端”（请自行前往广西政府采购云平台进行下载</w:t>
      </w:r>
      <w:r>
        <w:rPr>
          <w:rFonts w:hint="eastAsia" w:asciiTheme="minorEastAsia" w:hAnsiTheme="minorEastAsia" w:eastAsiaTheme="minorEastAsia" w:cstheme="minorEastAsia"/>
          <w:color w:val="auto"/>
          <w:sz w:val="24"/>
          <w:szCs w:val="24"/>
          <w:lang w:eastAsia="zh-CN" w:bidi="ar"/>
        </w:rPr>
        <w:t>）</w:t>
      </w:r>
      <w:r>
        <w:rPr>
          <w:rFonts w:hint="eastAsia" w:asciiTheme="minorEastAsia" w:hAnsiTheme="minorEastAsia" w:eastAsiaTheme="minorEastAsia" w:cstheme="minorEastAsia"/>
          <w:color w:val="auto"/>
          <w:sz w:val="24"/>
          <w:szCs w:val="24"/>
          <w:lang w:bidi="ar"/>
        </w:rPr>
        <w:t>，并按照本项目竞争性谈判文件和广西政府采购云平台的要求编制、加密后在首次响应文件提交截止时间前通过网络上传至广西政府采购云平台，</w:t>
      </w:r>
      <w:r>
        <w:rPr>
          <w:rFonts w:hint="eastAsia" w:asciiTheme="minorEastAsia" w:hAnsiTheme="minorEastAsia" w:eastAsiaTheme="minorEastAsia" w:cstheme="minorEastAsia"/>
          <w:b/>
          <w:color w:val="auto"/>
          <w:sz w:val="24"/>
          <w:szCs w:val="24"/>
          <w:lang w:bidi="ar"/>
        </w:rPr>
        <w:t>供应商在广西政府采购云平台提交电子版响应文件时，请填写参加远程开标活动经办人联系方式。</w:t>
      </w:r>
    </w:p>
    <w:p w14:paraId="049A0B1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bidi="ar"/>
        </w:rPr>
      </w:pPr>
      <w:r>
        <w:rPr>
          <w:rFonts w:hint="eastAsia" w:asciiTheme="minorEastAsia" w:hAnsiTheme="minorEastAsia" w:eastAsiaTheme="minorEastAsia" w:cstheme="minorEastAsia"/>
          <w:color w:val="auto"/>
          <w:sz w:val="24"/>
          <w:szCs w:val="24"/>
          <w:lang w:bidi="ar"/>
        </w:rPr>
        <w:t>20.3未在规定时间内上传或者未按广西政府采购云平台的要求编制、加密的电子响应文件，广西政府采购云平台将拒收。</w:t>
      </w:r>
    </w:p>
    <w:p w14:paraId="54FE11F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20.4电子响应文件提交方式见“竞争性谈判公告”中“四、响应文件提交”。</w:t>
      </w:r>
    </w:p>
    <w:p w14:paraId="691BEEFD">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21.首次响应文件的补充、修改与撤回</w:t>
      </w:r>
    </w:p>
    <w:p w14:paraId="3E5AF2B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lang w:bidi="ar"/>
        </w:rPr>
        <w:t>21.1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广西政府采购云平台将予以拒收。</w:t>
      </w:r>
    </w:p>
    <w:p w14:paraId="4282C16A">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22.首次响应文件的退回</w:t>
      </w:r>
    </w:p>
    <w:p w14:paraId="4BA07FF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22.1在首次响应文件提交截止时间止提交响应文件的供应商不足3家时，采购代理机构将根据广西政府采购云平台的操作将电子版响应文件退回，除此之外采购人和采购代理机构对已提交的电子响应文件概不退回。</w:t>
      </w:r>
    </w:p>
    <w:p w14:paraId="2B66FD1B">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23.截止时间后的撤回</w:t>
      </w:r>
    </w:p>
    <w:p w14:paraId="5998DD3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23.1供应商在首次响应文件提交截止时间后书面通知采购人、采购代理机构书面撤回响应文件的，将根据本须知正文17.4的规定不予退还其谈判保证金。</w:t>
      </w:r>
    </w:p>
    <w:p w14:paraId="250AE55F">
      <w:pPr>
        <w:pStyle w:val="14"/>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color w:val="auto"/>
          <w:sz w:val="32"/>
          <w:szCs w:val="32"/>
        </w:rPr>
      </w:pPr>
    </w:p>
    <w:p w14:paraId="532375F9">
      <w:pPr>
        <w:pStyle w:val="14"/>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四、评审及谈判</w:t>
      </w:r>
    </w:p>
    <w:p w14:paraId="433F1F80">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24.谈判小组成立</w:t>
      </w:r>
    </w:p>
    <w:p w14:paraId="41AEEB6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24.1竞争性谈判小组成立：谈判小组由采购人代表和评审专家共3人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39CDF20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0A976D68">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25.首次响应文件的开启</w:t>
      </w:r>
    </w:p>
    <w:p w14:paraId="4AD3498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25.1首次响应文件由谈判小组或者采购代理机构在“供应商须知前附表”规定的时间开启。</w:t>
      </w:r>
    </w:p>
    <w:p w14:paraId="5ADF651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25.2响应文件解密：采购代理机构将在“供应商须知前附表”规定的时间通过电子交易平台组织响应文件开启，采购代理机构将依托电子交易平台发起开始解密指令，</w:t>
      </w:r>
      <w:r>
        <w:rPr>
          <w:rFonts w:hint="eastAsia" w:asciiTheme="minorEastAsia" w:hAnsiTheme="minorEastAsia" w:eastAsiaTheme="minorEastAsia" w:cstheme="minorEastAsia"/>
          <w:b/>
          <w:color w:val="auto"/>
          <w:sz w:val="24"/>
          <w:szCs w:val="24"/>
        </w:rPr>
        <w:t>供应商的法定代表人或其委托代理人须携带加密时所用的CA锁按平台提示和采购文件的规定登录到广西政府采购云平台电子开标大厅签到并在发起解密指令之时起30分钟内完成对电子响应文件在线解密。</w:t>
      </w:r>
      <w:r>
        <w:rPr>
          <w:rFonts w:hint="eastAsia" w:asciiTheme="minorEastAsia" w:hAnsiTheme="minorEastAsia" w:eastAsiaTheme="minorEastAsia" w:cstheme="minorEastAsia"/>
          <w:b/>
          <w:bCs/>
          <w:color w:val="auto"/>
          <w:sz w:val="24"/>
          <w:szCs w:val="24"/>
        </w:rPr>
        <w:t>响应文件未按时解密的，视为响应文件无效。</w:t>
      </w:r>
      <w:r>
        <w:rPr>
          <w:rFonts w:hint="eastAsia" w:asciiTheme="minorEastAsia" w:hAnsiTheme="minorEastAsia" w:eastAsiaTheme="minorEastAsia" w:cstheme="minorEastAsia"/>
          <w:color w:val="auto"/>
          <w:sz w:val="24"/>
          <w:szCs w:val="24"/>
        </w:rPr>
        <w:t>（解密异常情况处理：详见本章26.2电子交易活动的中止。</w:t>
      </w:r>
      <w:r>
        <w:rPr>
          <w:rFonts w:hint="eastAsia" w:asciiTheme="minorEastAsia" w:hAnsiTheme="minorEastAsia" w:eastAsiaTheme="minorEastAsia" w:cstheme="minorEastAsia"/>
          <w:color w:val="auto"/>
          <w:sz w:val="24"/>
          <w:szCs w:val="24"/>
          <w:lang w:eastAsia="zh-CN"/>
        </w:rPr>
        <w:t>）</w:t>
      </w:r>
    </w:p>
    <w:p w14:paraId="2444D49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25.3成功解密响应文件的供应商不足3家的，不得谈判。</w:t>
      </w:r>
    </w:p>
    <w:p w14:paraId="6F00A6AF">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26.评审程序和评定成交的标准</w:t>
      </w:r>
    </w:p>
    <w:p w14:paraId="55D734F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26.1谈判小组按照“第四章  评审程序和评定成交的标准”规定的评审程序对响应文件进行评审，并按照评定成交的标准推荐成交候选供应商。</w:t>
      </w:r>
    </w:p>
    <w:p w14:paraId="1EF21B7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26.2电子交易活动的中止。采购过程中出现以下情形，导致电子交易平台无法正常运行，或者无法保证电子交易的公平、公正和安全时，采购机构可中止电子交易活动：</w:t>
      </w:r>
    </w:p>
    <w:p w14:paraId="69BE9B3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电子交易平台发生故障而无法登录访问的； </w:t>
      </w:r>
    </w:p>
    <w:p w14:paraId="21EA7CC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电子交易平台应用或数据库出现错误，不能进行正常操作的；</w:t>
      </w:r>
    </w:p>
    <w:p w14:paraId="34B6F87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电子交易平台发现严重安全漏洞，有潜在泄密危险的；</w:t>
      </w:r>
    </w:p>
    <w:p w14:paraId="50C7089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病毒发作导致不能进行正常操作的； </w:t>
      </w:r>
    </w:p>
    <w:p w14:paraId="377E61C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其他无法保证电子交易的公平、公正和安全的情况。</w:t>
      </w:r>
    </w:p>
    <w:p w14:paraId="4C87B1E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26.3出现以上情形，不影响采购公平、公正性的，采购代理机构可以待上述情形消除后继续组织电子交易活动；影响或可能影响采购公平、公正性的，经采购代理机构确认后，应当重新采购。</w:t>
      </w:r>
    </w:p>
    <w:p w14:paraId="6E22CB91">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27.确定成交供应商及结果公告</w:t>
      </w:r>
    </w:p>
    <w:p w14:paraId="1A4B4EB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27.1 采购代理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34C468C6">
      <w:pPr>
        <w:pStyle w:val="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27.2采购代理机构应当在成交供应商确定后2个工作日内，在省级以上财政部门指定的媒体上公告成交结果，同时向成交供应商发出成交通知书。</w:t>
      </w:r>
      <w:r>
        <w:rPr>
          <w:rFonts w:hint="eastAsia" w:asciiTheme="minorEastAsia" w:hAnsiTheme="minorEastAsia" w:eastAsiaTheme="minorEastAsia" w:cstheme="minorEastAsia"/>
          <w:b/>
          <w:color w:val="auto"/>
          <w:kern w:val="0"/>
          <w:sz w:val="24"/>
          <w:szCs w:val="24"/>
        </w:rPr>
        <w:t>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w:t>
      </w:r>
      <w:r>
        <w:rPr>
          <w:rFonts w:hint="eastAsia" w:asciiTheme="minorEastAsia" w:hAnsiTheme="minorEastAsia" w:eastAsiaTheme="minorEastAsia" w:cstheme="minorEastAsia"/>
          <w:color w:val="auto"/>
          <w:kern w:val="0"/>
          <w:sz w:val="24"/>
          <w:szCs w:val="24"/>
        </w:rPr>
        <w:t>排名第二的成交候选人因上述规定的同样原因被取消成交资格的，采购人可以确定排名第三的成交候选人为成交供应商。以上信息查询记录及相关证据与谈判文件一并保存。</w:t>
      </w:r>
      <w:r>
        <w:rPr>
          <w:rFonts w:hint="eastAsia" w:asciiTheme="minorEastAsia" w:hAnsiTheme="minorEastAsia" w:eastAsiaTheme="minorEastAsia" w:cstheme="minorEastAsia"/>
          <w:color w:val="auto"/>
          <w:sz w:val="24"/>
          <w:szCs w:val="24"/>
        </w:rPr>
        <w:t>成交供应商享受《政府采购促进中小企业发展管理办法》（财库〔2020〕46号</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规定的中小企业扶持政策的，采购人、采购代理机构应当随成交结果公开成交供应商的《中小企业声明函》。</w:t>
      </w:r>
    </w:p>
    <w:p w14:paraId="4097FD18">
      <w:pPr>
        <w:pStyle w:val="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27.3出现下列情形之一的，采购人或者采购代理机构应当终止竞争性谈判采购活动，发布项目终止公告并说明原因，重新开展采购活动：</w:t>
      </w:r>
    </w:p>
    <w:p w14:paraId="1C5B86F1">
      <w:pPr>
        <w:pStyle w:val="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因情况变化，不再符合规定的竞争性谈判采购方式适用情形的；</w:t>
      </w:r>
    </w:p>
    <w:p w14:paraId="1D8C43B9">
      <w:pPr>
        <w:pStyle w:val="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出现影响采购公正的违法、违规行为的；</w:t>
      </w:r>
    </w:p>
    <w:p w14:paraId="4732B149">
      <w:pPr>
        <w:pStyle w:val="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在采购过程中符合竞争要求的供应商或者报价未超过采购预算的供应商不足3家的，但“第四章 评审程序和评定成交的标准”第3.7条规定的情形除外。</w:t>
      </w:r>
    </w:p>
    <w:p w14:paraId="6ADABE62">
      <w:pPr>
        <w:pStyle w:val="8"/>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27.4在采购活动中因重大变故，采购任务取消的，采购人或者采购代理机构应当终止采购活动，通知所有参加采购活动的供应商。</w:t>
      </w:r>
    </w:p>
    <w:p w14:paraId="794461A4">
      <w:pPr>
        <w:pStyle w:val="8"/>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27.5</w:t>
      </w:r>
      <w:r>
        <w:rPr>
          <w:rFonts w:hint="eastAsia" w:asciiTheme="minorEastAsia" w:hAnsiTheme="minorEastAsia" w:eastAsiaTheme="minorEastAsia" w:cstheme="minorEastAsia"/>
          <w:color w:val="auto"/>
          <w:sz w:val="24"/>
          <w:szCs w:val="24"/>
        </w:rPr>
        <w:t>成交供应商拒绝签订政府采购合同（包括但不限于放弃成交、因不可抗力不能履行合同而放弃签订合同</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，采购人可以按照评审报告推荐的成交候选人名单排序，确定下一候选人为成交供应商，也可以重新开展政府采购活动。拒绝签订政府采购合同的成交供应商不得参加对该项目重新开展的采购活动。</w:t>
      </w:r>
    </w:p>
    <w:p w14:paraId="0D0F1086">
      <w:pPr>
        <w:pStyle w:val="8"/>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除因不可抗力外，成交供应商不与采购人签订合同的，除不予退还其谈判保证金外，若给采购人造成损失，或（并</w:t>
      </w:r>
      <w:r>
        <w:rPr>
          <w:rFonts w:hint="eastAsia" w:asciiTheme="minorEastAsia" w:hAnsiTheme="minorEastAsia" w:eastAsiaTheme="minorEastAsia" w:cstheme="minorEastAsia"/>
          <w:b/>
          <w:color w:val="auto"/>
          <w:sz w:val="24"/>
          <w:szCs w:val="24"/>
          <w:lang w:eastAsia="zh-CN"/>
        </w:rPr>
        <w:t>）</w:t>
      </w:r>
      <w:r>
        <w:rPr>
          <w:rFonts w:hint="eastAsia" w:asciiTheme="minorEastAsia" w:hAnsiTheme="minorEastAsia" w:eastAsiaTheme="minorEastAsia" w:cstheme="minorEastAsia"/>
          <w:b/>
          <w:color w:val="auto"/>
          <w:sz w:val="24"/>
          <w:szCs w:val="24"/>
        </w:rPr>
        <w:t>因此延误采购人教学科研计划的，须依据《中华人民共和国民法典》第五百条、《政府采购非招标采购方式管理办法（财政部令第74号</w:t>
      </w:r>
      <w:r>
        <w:rPr>
          <w:rFonts w:hint="eastAsia" w:asciiTheme="minorEastAsia" w:hAnsiTheme="minorEastAsia" w:eastAsiaTheme="minorEastAsia" w:cstheme="minorEastAsia"/>
          <w:b/>
          <w:color w:val="auto"/>
          <w:sz w:val="24"/>
          <w:szCs w:val="24"/>
          <w:lang w:eastAsia="zh-CN"/>
        </w:rPr>
        <w:t>）</w:t>
      </w:r>
      <w:r>
        <w:rPr>
          <w:rFonts w:hint="eastAsia" w:asciiTheme="minorEastAsia" w:hAnsiTheme="minorEastAsia" w:eastAsiaTheme="minorEastAsia" w:cstheme="minorEastAsia"/>
          <w:b/>
          <w:color w:val="auto"/>
          <w:sz w:val="24"/>
          <w:szCs w:val="24"/>
        </w:rPr>
        <w:t>》第二十二条、第五十四条规定承担赔偿损失等法律责任，采购人有权将成交供应商的失信行为报财政部门记入诚信档案，以示惩戒。</w:t>
      </w:r>
    </w:p>
    <w:p w14:paraId="31F6ED7F">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28.履约保证金</w:t>
      </w:r>
    </w:p>
    <w:p w14:paraId="72519ECB">
      <w:pPr>
        <w:pStyle w:val="8"/>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28.1履约保证金的金额、提交方式、退付的时间和条件详见 “供应商须知前附表”。</w:t>
      </w:r>
    </w:p>
    <w:p w14:paraId="43AA7553">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28.2在履约保证金退还日期前，若成交供应商的开户名称、开户银行、账号有变动的，请以书面形式通知履约保证金收取单位，否则由此产生的后果由成交供应商自负。</w:t>
      </w:r>
    </w:p>
    <w:p w14:paraId="2EA2C70D">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29.签订合同</w:t>
      </w:r>
    </w:p>
    <w:p w14:paraId="298ABC86">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29.1成交供应商在收到成交通知书（书面或电子</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后，按“供应商须知前附表”规定向采购人出示相关证明材料，经采购人核验合格后方可签订合同（书面或电子</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。如成交供应商为联合体的，联合体各方应当共同与采购人签订采购合同，就采购合同约定的事项对采购人承担连带责任。</w:t>
      </w:r>
    </w:p>
    <w:p w14:paraId="346B455D">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29.2 签订合同时间：按成交通知书的规定与采购人签订政府采购合同（最长不能超过25日</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p>
    <w:p w14:paraId="321CA711">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29.3成交供应商拒绝与采购人签订合同的，按照本文件之《供应商须知正文》第27.5条的规定执行。</w:t>
      </w:r>
    </w:p>
    <w:p w14:paraId="3C885044">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30.政府采购合同公告</w:t>
      </w:r>
    </w:p>
    <w:p w14:paraId="0494D75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1D5CB4CB">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31.询问、质疑和投诉</w:t>
      </w:r>
    </w:p>
    <w:p w14:paraId="3CC78276">
      <w:pPr>
        <w:pStyle w:val="6"/>
        <w:keepNext w:val="0"/>
        <w:keepLines w:val="0"/>
        <w:pageBreakBefore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31.1供应商对政府采购活动事项有疑问的，可以向采购人、采购代理机构提出询问，采购人或者采购代理机构应当在3个工作日内对供应商依法提出的询问作出答复，但答复的内容不得涉及商业秘密。</w:t>
      </w:r>
    </w:p>
    <w:p w14:paraId="20F1CBC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31.2供应商认为谈判文件、采购过程或者成交结果使自己的合法权益受到损害的，应当在知道或者应知其权益受到损害之日起7个工作日内，以纸质书面形式向采购人、采购代理机构提出质疑，</w:t>
      </w:r>
      <w:r>
        <w:rPr>
          <w:rFonts w:hint="eastAsia" w:asciiTheme="minorEastAsia" w:hAnsiTheme="minorEastAsia" w:eastAsiaTheme="minorEastAsia" w:cstheme="minorEastAsia"/>
          <w:color w:val="auto"/>
          <w:sz w:val="24"/>
          <w:szCs w:val="24"/>
          <w:shd w:val="clear" w:color="auto" w:fill="FFFFFF"/>
        </w:rPr>
        <w:t>接收质疑函的方式、联系部门、联系电话和通讯地址等信息</w:t>
      </w:r>
      <w:r>
        <w:rPr>
          <w:rFonts w:hint="eastAsia" w:asciiTheme="minorEastAsia" w:hAnsiTheme="minorEastAsia" w:eastAsiaTheme="minorEastAsia" w:cstheme="minorEastAsia"/>
          <w:color w:val="auto"/>
          <w:sz w:val="24"/>
          <w:szCs w:val="24"/>
        </w:rPr>
        <w:t>详见“供应商须知前附表”。供应商应当在法定质疑期内一次性提出针对同一采购程序环节的质疑。具体质疑起算时间如下：</w:t>
      </w:r>
    </w:p>
    <w:p w14:paraId="29022B3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对可以质疑的谈判文件提出质疑的，为获取谈判文件之日；</w:t>
      </w:r>
    </w:p>
    <w:p w14:paraId="6E88210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对采购过程提出质疑的，为各采购程序环节结束之日；</w:t>
      </w:r>
    </w:p>
    <w:p w14:paraId="525A004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对成交结果提出质疑的，为成交结果公告期限届满之日。</w:t>
      </w:r>
    </w:p>
    <w:p w14:paraId="410CFFE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68E2CB93">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31.4供应商提出质疑应当提交质疑函和必要的证明材料，针对同一采购程序环节的质疑必须在法定质疑期内一次性提出。质疑函应当包括下列内容</w:t>
      </w:r>
      <w:r>
        <w:rPr>
          <w:rFonts w:hint="eastAsia" w:asciiTheme="minorEastAsia" w:hAnsiTheme="minorEastAsia" w:eastAsiaTheme="minorEastAsia" w:cstheme="minorEastAsia"/>
          <w:bCs/>
          <w:color w:val="auto"/>
          <w:sz w:val="24"/>
          <w:szCs w:val="24"/>
        </w:rPr>
        <w:t>（质疑函格式后附</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color w:val="auto"/>
          <w:sz w:val="24"/>
          <w:szCs w:val="24"/>
        </w:rPr>
        <w:t>：</w:t>
      </w:r>
    </w:p>
    <w:p w14:paraId="2C5011E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供应商的姓名或者名称、地址、邮编、联系人及联系电话；</w:t>
      </w:r>
    </w:p>
    <w:p w14:paraId="1ABA844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质疑项目的名称、编号；</w:t>
      </w:r>
    </w:p>
    <w:p w14:paraId="3C895A7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具体、明确的质疑事项和与质疑事项相关的请求；</w:t>
      </w:r>
    </w:p>
    <w:p w14:paraId="7692F7B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事实依据；</w:t>
      </w:r>
    </w:p>
    <w:p w14:paraId="1590F3C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必要的法律依据；</w:t>
      </w:r>
    </w:p>
    <w:p w14:paraId="55E9C27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提出质疑的日期。</w:t>
      </w:r>
    </w:p>
    <w:p w14:paraId="673052F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供应商为自然人的，应当由本人签字；供应商为法人或者其他组织的，应当由法定代表人、主要负责人，或者其委托代理人签字或者盖章，并加盖公章。</w:t>
      </w:r>
    </w:p>
    <w:p w14:paraId="4F28C7F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31.5采购人、采购代理机构认为供应商质疑不成立，或者成立但未对成交结果构成影响的，继续开展采购活动；认为供应商质疑成立且影响或者可能影响成交结果的，按照下列情况处理：</w:t>
      </w:r>
    </w:p>
    <w:p w14:paraId="7C84FC9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对采购文件提出的质疑，依法通过澄清或者修改可以继续开展采购活动的，澄清或者修改采购文件后继续开展采购活动；否则应当修改采购文件后重新开展采购活动。</w:t>
      </w:r>
    </w:p>
    <w:p w14:paraId="3D3E656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对采购过程或者成交结果提出的质疑，合格供应商符合法定数量时，可以从合格的成交候选人中另行确定成交供应商的，应当依法另行确定成交供应商；否则应当重新开展采购活动。</w:t>
      </w:r>
    </w:p>
    <w:p w14:paraId="6E00AAA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质疑答复导致成交结果改变的，采购人或者采购代理机构应当将有关情况书面报告本级财政部门。</w:t>
      </w:r>
    </w:p>
    <w:p w14:paraId="48F6C0E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31.6质疑供应商对采购人、采购代理机构的答复不满意，或者采购人、采购代理机构未在规定时间内作出答复的，可以在答复期满后15个工作日内向《政府采购质疑和投诉办法》（财政部令第94号</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第六条规定的财政部门提起投诉（投诉书格式后附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p>
    <w:p w14:paraId="0F9DD3ED">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32.其他内容</w:t>
      </w:r>
    </w:p>
    <w:p w14:paraId="338AA861">
      <w:pPr>
        <w:keepNext w:val="0"/>
        <w:keepLines w:val="0"/>
        <w:pageBreakBefore w:val="0"/>
        <w:tabs>
          <w:tab w:val="left" w:pos="2835"/>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32.1代理服务费：代理服务收取标准及缴费账户详见“供应商须知前附表”，供应商为联合体的，可以由联合体中的一方或者多方共同交纳代理服务费。</w:t>
      </w:r>
    </w:p>
    <w:p w14:paraId="0356EB39">
      <w:pPr>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32.2代理服务费收费计算标准：固定金额：人民币柒仟元整（¥7000.00）</w:t>
      </w:r>
      <w:r>
        <w:rPr>
          <w:rFonts w:hint="eastAsia" w:asciiTheme="minorEastAsia" w:hAnsiTheme="minorEastAsia" w:eastAsiaTheme="minorEastAsia" w:cstheme="minorEastAsia"/>
          <w:color w:val="auto"/>
          <w:sz w:val="24"/>
          <w:szCs w:val="24"/>
          <w:lang w:eastAsia="zh-CN"/>
        </w:rPr>
        <w:t>。</w:t>
      </w:r>
    </w:p>
    <w:p w14:paraId="11A94D26">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Theme="minorEastAsia" w:hAnsiTheme="minorEastAsia" w:eastAsiaTheme="minorEastAsia" w:cstheme="minorEastAsia"/>
          <w:b/>
          <w:bCs/>
          <w:color w:val="auto"/>
          <w:sz w:val="30"/>
          <w:szCs w:val="30"/>
        </w:rPr>
      </w:pPr>
      <w:r>
        <w:rPr>
          <w:rFonts w:hint="eastAsia" w:asciiTheme="minorEastAsia" w:hAnsiTheme="minorEastAsia" w:eastAsiaTheme="minorEastAsia" w:cstheme="minorEastAsia"/>
          <w:b/>
          <w:bCs/>
          <w:color w:val="auto"/>
          <w:sz w:val="30"/>
          <w:szCs w:val="30"/>
        </w:rPr>
        <w:t>33.需要补充的其他内容</w:t>
      </w:r>
    </w:p>
    <w:p w14:paraId="0632D739">
      <w:pPr>
        <w:pStyle w:val="14"/>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33.1本谈判文件解释规则详见“供应商须知前附表”。</w:t>
      </w:r>
    </w:p>
    <w:p w14:paraId="1359CAC0">
      <w:pPr>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33.2其他事</w:t>
      </w:r>
      <w:r>
        <w:rPr>
          <w:rFonts w:hint="eastAsia" w:asciiTheme="minorEastAsia" w:hAnsiTheme="minorEastAsia" w:eastAsiaTheme="minorEastAsia" w:cstheme="minorEastAsia"/>
          <w:color w:val="auto"/>
          <w:sz w:val="24"/>
          <w:szCs w:val="24"/>
        </w:rPr>
        <w:t>项详见“供应商须知前附表”。</w:t>
      </w:r>
    </w:p>
    <w:p w14:paraId="592596D7">
      <w:pPr>
        <w:pStyle w:val="14"/>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33.3</w:t>
      </w:r>
      <w:bookmarkStart w:id="25" w:name="_Hlk65857140"/>
      <w:r>
        <w:rPr>
          <w:rFonts w:hint="eastAsia" w:asciiTheme="minorEastAsia" w:hAnsiTheme="minorEastAsia" w:eastAsiaTheme="minorEastAsia" w:cstheme="minorEastAsia"/>
          <w:color w:val="auto"/>
          <w:sz w:val="24"/>
          <w:szCs w:val="24"/>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件规定的中小企业扶持政策：</w:t>
      </w:r>
    </w:p>
    <w:p w14:paraId="43E437A9">
      <w:pPr>
        <w:pStyle w:val="14"/>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在货物采购项目中，货物由中小企业制造，即货物由中小企业生产且使用该中小企业商号或者注册商标，不对其中涉及的工程承建商和服务的承接商作出要求；</w:t>
      </w:r>
    </w:p>
    <w:p w14:paraId="6AE37720">
      <w:pPr>
        <w:pStyle w:val="14"/>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在工程采购项目中，工程由中小企业承建，即工程施工单位为中小企业，不对其中涉及的货物的制造商和服务的承接商作出要求；</w:t>
      </w:r>
    </w:p>
    <w:p w14:paraId="33FFB4E5">
      <w:pPr>
        <w:pStyle w:val="14"/>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在服务采购项目中，服务由中小企业承接，即提供服务的人员为中小企业依照《中华人民共和国劳动合同法》订立劳动合同的从业人员，不对其中涉及的货物的制造商和工程承建商作出要求。</w:t>
      </w:r>
    </w:p>
    <w:p w14:paraId="34D1CF04">
      <w:pPr>
        <w:pStyle w:val="14"/>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在货物采购项目中，供应商提供的货物既有中小企业制造货物，也有大型企业制造货物的，不享受本谈判文件规定的中小企业扶持政策。以联合体形式参加政府采购活动，联合体各方均为中小企业的，联合体视同中小企业。其中，联合体各方均为小微企业的，联合体视同小微企业。</w:t>
      </w:r>
    </w:p>
    <w:p w14:paraId="619A834D">
      <w:pPr>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szCs w:val="24"/>
        </w:rPr>
        <w:t>依据本谈判文件规定享受扶持政策获得政府采购合同的，小微企业不得将合同分包给大中型企业，中型企业不得将合同分包给大型企业。</w:t>
      </w:r>
      <w:bookmarkEnd w:id="25"/>
    </w:p>
    <w:p w14:paraId="6ADC6357">
      <w:pPr>
        <w:keepNext w:val="0"/>
        <w:keepLines w:val="0"/>
        <w:pageBreakBefore w:val="0"/>
        <w:kinsoku/>
        <w:wordWrap/>
        <w:overflowPunct/>
        <w:topLinePunct w:val="0"/>
        <w:autoSpaceDE/>
        <w:autoSpaceDN/>
        <w:bidi w:val="0"/>
        <w:adjustRightInd/>
        <w:snapToGrid/>
        <w:spacing w:line="360" w:lineRule="auto"/>
        <w:ind w:firstLine="480" w:firstLineChars="200"/>
        <w:contextualSpacing/>
        <w:textAlignment w:val="auto"/>
        <w:rPr>
          <w:rFonts w:hint="eastAsia" w:asciiTheme="minorEastAsia" w:hAnsiTheme="minorEastAsia" w:eastAsiaTheme="minorEastAsia" w:cstheme="minorEastAsia"/>
          <w:bCs w:val="0"/>
          <w:color w:val="auto"/>
          <w:sz w:val="24"/>
          <w:szCs w:val="24"/>
        </w:rPr>
      </w:pPr>
      <w:r>
        <w:rPr>
          <w:rFonts w:hint="eastAsia" w:asciiTheme="minorEastAsia" w:hAnsiTheme="minorEastAsia" w:eastAsiaTheme="minorEastAsia" w:cstheme="minorEastAsia"/>
          <w:bCs w:val="0"/>
          <w:color w:val="auto"/>
          <w:sz w:val="24"/>
          <w:szCs w:val="24"/>
        </w:rPr>
        <w:br w:type="page"/>
      </w:r>
      <w:bookmarkStart w:id="26" w:name="_Toc13725"/>
    </w:p>
    <w:p w14:paraId="1D93928F">
      <w:pPr>
        <w:pStyle w:val="2"/>
        <w:keepNext/>
        <w:keepLines/>
        <w:pageBreakBefore w:val="0"/>
        <w:widowControl w:val="0"/>
        <w:kinsoku/>
        <w:wordWrap/>
        <w:overflowPunct/>
        <w:topLinePunct w:val="0"/>
        <w:autoSpaceDE/>
        <w:autoSpaceDN/>
        <w:bidi w:val="0"/>
        <w:adjustRightInd/>
        <w:snapToGrid/>
        <w:spacing w:before="200" w:after="200"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lang w:val="en-US" w:eastAsia="zh-CN"/>
        </w:rPr>
        <w:t>第三章 采购需求</w:t>
      </w:r>
      <w:bookmarkEnd w:id="26"/>
    </w:p>
    <w:p w14:paraId="397372FF">
      <w:pPr>
        <w:spacing w:line="360" w:lineRule="auto"/>
        <w:jc w:val="left"/>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说明：</w:t>
      </w:r>
    </w:p>
    <w:p w14:paraId="28ECCA79">
      <w:pPr>
        <w:spacing w:line="360" w:lineRule="auto"/>
        <w:ind w:left="-10" w:leftChars="-5" w:right="2" w:rightChars="1" w:firstLine="480" w:firstLineChars="200"/>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1</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bCs/>
          <w:color w:val="auto"/>
          <w:sz w:val="24"/>
        </w:rPr>
        <w:t>采购需求中如出现品牌、型号或者生产厂家等均仅起参考作用，不属于指定品牌、型号或者生产厂家的情形，供应商可参照或者选用其他相当的品牌、型号或者生产供应商替代。但供应商提供的产品实质上应相当于或优于本《采购需求》中的技术要求。</w:t>
      </w:r>
    </w:p>
    <w:p w14:paraId="1CCA8B3E">
      <w:pPr>
        <w:spacing w:line="360" w:lineRule="auto"/>
        <w:ind w:left="-10" w:leftChars="-5" w:right="2" w:rightChars="1" w:firstLine="480" w:firstLineChars="200"/>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2</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bCs/>
          <w:color w:val="auto"/>
          <w:sz w:val="24"/>
        </w:rPr>
        <w:t>凡在“技术要求”中表述为“标配”或“标准配置”的设备，供应商应在</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bCs/>
          <w:color w:val="auto"/>
          <w:sz w:val="24"/>
        </w:rPr>
        <w:t>设备性能配置清单中将其标配参数详细列明。</w:t>
      </w:r>
    </w:p>
    <w:p w14:paraId="2A971A64">
      <w:pPr>
        <w:spacing w:line="360" w:lineRule="auto"/>
        <w:ind w:left="-10" w:leftChars="-5" w:right="2" w:rightChars="1" w:firstLine="480" w:firstLineChars="200"/>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3</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bCs/>
          <w:color w:val="auto"/>
          <w:sz w:val="24"/>
        </w:rPr>
        <w:t>根据《财政部发展改革委生态环境部市场监管总局关于调整优化节能产品、环境标志产品政府采购执行机制的通知》（财库〔2019〕9 号</w:t>
      </w:r>
      <w:r>
        <w:rPr>
          <w:rFonts w:hint="eastAsia" w:asciiTheme="minorEastAsia" w:hAnsiTheme="minorEastAsia" w:eastAsiaTheme="minorEastAsia" w:cstheme="minorEastAsia"/>
          <w:bCs/>
          <w:color w:val="auto"/>
          <w:sz w:val="24"/>
          <w:lang w:eastAsia="zh-CN"/>
        </w:rPr>
        <w:t>）</w:t>
      </w:r>
      <w:r>
        <w:rPr>
          <w:rFonts w:hint="eastAsia" w:asciiTheme="minorEastAsia" w:hAnsiTheme="minorEastAsia" w:eastAsiaTheme="minorEastAsia" w:cstheme="minorEastAsia"/>
          <w:bCs/>
          <w:color w:val="auto"/>
          <w:sz w:val="24"/>
        </w:rPr>
        <w:t>和《关于印发节能产品政府采购品目清单的通知》（财库〔2019〕19 号</w:t>
      </w:r>
      <w:r>
        <w:rPr>
          <w:rFonts w:hint="eastAsia" w:asciiTheme="minorEastAsia" w:hAnsiTheme="minorEastAsia" w:eastAsiaTheme="minorEastAsia" w:cstheme="minorEastAsia"/>
          <w:bCs/>
          <w:color w:val="auto"/>
          <w:sz w:val="24"/>
          <w:lang w:eastAsia="zh-CN"/>
        </w:rPr>
        <w:t>）</w:t>
      </w:r>
      <w:r>
        <w:rPr>
          <w:rFonts w:hint="eastAsia" w:asciiTheme="minorEastAsia" w:hAnsiTheme="minorEastAsia" w:eastAsiaTheme="minorEastAsia" w:cstheme="minorEastAsia"/>
          <w:bCs/>
          <w:color w:val="auto"/>
          <w:sz w:val="24"/>
        </w:rPr>
        <w:t>的规定，采购需求中的产品属于节能产品政府采购品目清单内标注“★”的（详见本章后附的节能产品政府采购品目清单</w:t>
      </w:r>
      <w:r>
        <w:rPr>
          <w:rFonts w:hint="eastAsia" w:asciiTheme="minorEastAsia" w:hAnsiTheme="minorEastAsia" w:eastAsiaTheme="minorEastAsia" w:cstheme="minorEastAsia"/>
          <w:bCs/>
          <w:color w:val="auto"/>
          <w:sz w:val="24"/>
          <w:lang w:eastAsia="zh-CN"/>
        </w:rPr>
        <w:t>）</w:t>
      </w:r>
      <w:r>
        <w:rPr>
          <w:rFonts w:hint="eastAsia" w:asciiTheme="minorEastAsia" w:hAnsiTheme="minorEastAsia" w:eastAsiaTheme="minorEastAsia" w:cstheme="minorEastAsia"/>
          <w:bCs/>
          <w:color w:val="auto"/>
          <w:sz w:val="24"/>
        </w:rPr>
        <w:t>，供应商参与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bCs/>
          <w:color w:val="auto"/>
          <w:sz w:val="24"/>
        </w:rPr>
        <w:t>提供的货物必须使用政府强制采购的节能产品，供应商必须在响应文件（商务及技术文件</w:t>
      </w:r>
      <w:r>
        <w:rPr>
          <w:rFonts w:hint="eastAsia" w:asciiTheme="minorEastAsia" w:hAnsiTheme="minorEastAsia" w:eastAsiaTheme="minorEastAsia" w:cstheme="minorEastAsia"/>
          <w:bCs/>
          <w:color w:val="auto"/>
          <w:sz w:val="24"/>
          <w:lang w:eastAsia="zh-CN"/>
        </w:rPr>
        <w:t>）</w:t>
      </w:r>
      <w:r>
        <w:rPr>
          <w:rFonts w:hint="eastAsia" w:asciiTheme="minorEastAsia" w:hAnsiTheme="minorEastAsia" w:eastAsiaTheme="minorEastAsia" w:cstheme="minorEastAsia"/>
          <w:bCs/>
          <w:color w:val="auto"/>
          <w:sz w:val="24"/>
        </w:rPr>
        <w:t>中提供所投产品的节能产品认证证书复印件（加盖供应商电子签章</w:t>
      </w:r>
      <w:r>
        <w:rPr>
          <w:rFonts w:hint="eastAsia" w:asciiTheme="minorEastAsia" w:hAnsiTheme="minorEastAsia" w:eastAsiaTheme="minorEastAsia" w:cstheme="minorEastAsia"/>
          <w:bCs/>
          <w:color w:val="auto"/>
          <w:sz w:val="24"/>
          <w:lang w:eastAsia="zh-CN"/>
        </w:rPr>
        <w:t>）</w:t>
      </w:r>
      <w:r>
        <w:rPr>
          <w:rFonts w:hint="eastAsia" w:asciiTheme="minorEastAsia" w:hAnsiTheme="minorEastAsia" w:eastAsiaTheme="minorEastAsia" w:cstheme="minorEastAsia"/>
          <w:bCs/>
          <w:color w:val="auto"/>
          <w:sz w:val="24"/>
        </w:rPr>
        <w:t>，否则响应文件作无效处理。</w:t>
      </w:r>
    </w:p>
    <w:p w14:paraId="3B9DFA96">
      <w:pPr>
        <w:spacing w:line="360" w:lineRule="auto"/>
        <w:ind w:left="-10" w:leftChars="-5" w:right="2" w:rightChars="1" w:firstLine="480" w:firstLineChars="200"/>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4</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bCs/>
          <w:color w:val="auto"/>
          <w:sz w:val="24"/>
        </w:rPr>
        <w:t>如供应商参与</w:t>
      </w:r>
      <w:r>
        <w:rPr>
          <w:rFonts w:hint="eastAsia" w:asciiTheme="minorEastAsia" w:hAnsiTheme="minorEastAsia" w:eastAsiaTheme="minorEastAsia" w:cstheme="minorEastAsia"/>
          <w:color w:val="auto"/>
          <w:sz w:val="24"/>
          <w:lang w:bidi="ar"/>
        </w:rPr>
        <w:t>竞争性谈判提供的</w:t>
      </w:r>
      <w:r>
        <w:rPr>
          <w:rFonts w:hint="eastAsia" w:asciiTheme="minorEastAsia" w:hAnsiTheme="minorEastAsia" w:eastAsiaTheme="minorEastAsia" w:cstheme="minorEastAsia"/>
          <w:bCs/>
          <w:color w:val="auto"/>
          <w:sz w:val="24"/>
        </w:rPr>
        <w:t>产品存在侵犯他人的知识产权或者专利成果行为的，由供应商自行承担相应法律责任。</w:t>
      </w:r>
    </w:p>
    <w:p w14:paraId="4B7B7A92">
      <w:pPr>
        <w:spacing w:line="360" w:lineRule="auto"/>
        <w:ind w:left="-10" w:leftChars="-5" w:right="2" w:rightChars="1" w:firstLine="480" w:firstLineChars="200"/>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5</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bCs/>
          <w:color w:val="auto"/>
          <w:sz w:val="24"/>
        </w:rPr>
        <w:t>实质性要求</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bCs/>
          <w:color w:val="auto"/>
          <w:sz w:val="24"/>
        </w:rPr>
        <w:t>是指采购文件中已经指明不满足则</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bCs/>
          <w:color w:val="auto"/>
          <w:sz w:val="24"/>
        </w:rPr>
        <w:t>无效的条款，或者不容许负偏离的条款，或者采购需求中带“▲”的条款。未标注“▲”号的非实质性条款要求可允许</w:t>
      </w:r>
      <w:r>
        <w:rPr>
          <w:rFonts w:hint="eastAsia" w:asciiTheme="minorEastAsia" w:hAnsiTheme="minorEastAsia" w:eastAsiaTheme="minorEastAsia" w:cstheme="minorEastAsia"/>
          <w:bCs/>
          <w:color w:val="auto"/>
          <w:sz w:val="24"/>
          <w:u w:val="single"/>
        </w:rPr>
        <w:t xml:space="preserve"> 3 </w:t>
      </w:r>
      <w:r>
        <w:rPr>
          <w:rFonts w:hint="eastAsia" w:asciiTheme="minorEastAsia" w:hAnsiTheme="minorEastAsia" w:eastAsiaTheme="minorEastAsia" w:cstheme="minorEastAsia"/>
          <w:bCs/>
          <w:color w:val="auto"/>
          <w:sz w:val="24"/>
        </w:rPr>
        <w:t>项负偏离，</w:t>
      </w:r>
      <w:r>
        <w:rPr>
          <w:rFonts w:hint="eastAsia" w:asciiTheme="minorEastAsia" w:hAnsiTheme="minorEastAsia" w:eastAsiaTheme="minorEastAsia" w:cstheme="minorEastAsia"/>
          <w:bCs/>
          <w:color w:val="auto"/>
          <w:sz w:val="24"/>
          <w:u w:val="single"/>
        </w:rPr>
        <w:t xml:space="preserve"> 4 </w:t>
      </w:r>
      <w:r>
        <w:rPr>
          <w:rFonts w:hint="eastAsia" w:asciiTheme="minorEastAsia" w:hAnsiTheme="minorEastAsia" w:eastAsiaTheme="minorEastAsia" w:cstheme="minorEastAsia"/>
          <w:bCs/>
          <w:color w:val="auto"/>
          <w:sz w:val="24"/>
        </w:rPr>
        <w:t>项以上（含4项</w:t>
      </w:r>
      <w:r>
        <w:rPr>
          <w:rFonts w:hint="eastAsia" w:asciiTheme="minorEastAsia" w:hAnsiTheme="minorEastAsia" w:eastAsiaTheme="minorEastAsia" w:cstheme="minorEastAsia"/>
          <w:bCs/>
          <w:color w:val="auto"/>
          <w:sz w:val="24"/>
          <w:lang w:eastAsia="zh-CN"/>
        </w:rPr>
        <w:t>）</w:t>
      </w:r>
      <w:r>
        <w:rPr>
          <w:rFonts w:hint="eastAsia" w:asciiTheme="minorEastAsia" w:hAnsiTheme="minorEastAsia" w:eastAsiaTheme="minorEastAsia" w:cstheme="minorEastAsia"/>
          <w:bCs/>
          <w:color w:val="auto"/>
          <w:sz w:val="24"/>
        </w:rPr>
        <w:t>负偏离的</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bCs/>
          <w:color w:val="auto"/>
          <w:sz w:val="24"/>
        </w:rPr>
        <w:t>无效。</w:t>
      </w:r>
    </w:p>
    <w:p w14:paraId="0D8FEAA2">
      <w:pPr>
        <w:spacing w:line="360" w:lineRule="auto"/>
        <w:ind w:left="-10" w:leftChars="-5" w:right="2" w:rightChars="1" w:firstLine="480" w:firstLineChars="200"/>
        <w:rPr>
          <w:rFonts w:hint="eastAsia" w:asciiTheme="minorEastAsia" w:hAnsiTheme="minorEastAsia" w:eastAsiaTheme="minorEastAsia" w:cstheme="minorEastAsia"/>
          <w:bCs/>
          <w:color w:val="auto"/>
          <w:sz w:val="24"/>
        </w:rPr>
      </w:pPr>
      <w:r>
        <w:rPr>
          <w:rFonts w:hint="eastAsia" w:asciiTheme="minorEastAsia" w:hAnsiTheme="minorEastAsia" w:eastAsiaTheme="minorEastAsia" w:cstheme="minorEastAsia"/>
          <w:bCs/>
          <w:color w:val="auto"/>
          <w:sz w:val="24"/>
        </w:rPr>
        <w:t>项目所属行业：工业</w:t>
      </w:r>
    </w:p>
    <w:tbl>
      <w:tblPr>
        <w:tblStyle w:val="26"/>
        <w:tblW w:w="9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896"/>
        <w:gridCol w:w="407"/>
        <w:gridCol w:w="285"/>
        <w:gridCol w:w="692"/>
        <w:gridCol w:w="4547"/>
        <w:gridCol w:w="1303"/>
        <w:gridCol w:w="1408"/>
      </w:tblGrid>
      <w:tr w14:paraId="47B0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dxa"/>
            <w:vAlign w:val="center"/>
          </w:tcPr>
          <w:p w14:paraId="71242E28">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序号</w:t>
            </w:r>
          </w:p>
        </w:tc>
        <w:tc>
          <w:tcPr>
            <w:tcW w:w="896" w:type="dxa"/>
            <w:vAlign w:val="center"/>
          </w:tcPr>
          <w:p w14:paraId="45EF6D73">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标的名称</w:t>
            </w:r>
          </w:p>
        </w:tc>
        <w:tc>
          <w:tcPr>
            <w:tcW w:w="692" w:type="dxa"/>
            <w:gridSpan w:val="2"/>
            <w:vAlign w:val="center"/>
          </w:tcPr>
          <w:p w14:paraId="51349145">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数量</w:t>
            </w:r>
          </w:p>
        </w:tc>
        <w:tc>
          <w:tcPr>
            <w:tcW w:w="692" w:type="dxa"/>
            <w:vAlign w:val="center"/>
          </w:tcPr>
          <w:p w14:paraId="28D3A0A7">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单位</w:t>
            </w:r>
          </w:p>
        </w:tc>
        <w:tc>
          <w:tcPr>
            <w:tcW w:w="4547" w:type="dxa"/>
            <w:vAlign w:val="center"/>
          </w:tcPr>
          <w:p w14:paraId="425B80BC">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kern w:val="0"/>
                <w:sz w:val="24"/>
                <w:highlight w:val="none"/>
              </w:rPr>
              <w:t>技术参数及性能（配置</w:t>
            </w:r>
            <w:r>
              <w:rPr>
                <w:rFonts w:hint="eastAsia" w:asciiTheme="minorEastAsia" w:hAnsiTheme="minorEastAsia" w:eastAsiaTheme="minorEastAsia" w:cstheme="minorEastAsia"/>
                <w:b/>
                <w:bCs/>
                <w:color w:val="auto"/>
                <w:kern w:val="0"/>
                <w:sz w:val="24"/>
                <w:highlight w:val="none"/>
                <w:lang w:eastAsia="zh-CN"/>
              </w:rPr>
              <w:t>）</w:t>
            </w:r>
            <w:r>
              <w:rPr>
                <w:rFonts w:hint="eastAsia" w:asciiTheme="minorEastAsia" w:hAnsiTheme="minorEastAsia" w:eastAsiaTheme="minorEastAsia" w:cstheme="minorEastAsia"/>
                <w:b/>
                <w:bCs/>
                <w:color w:val="auto"/>
                <w:kern w:val="0"/>
                <w:sz w:val="24"/>
                <w:highlight w:val="none"/>
              </w:rPr>
              <w:t>要求</w:t>
            </w:r>
          </w:p>
        </w:tc>
        <w:tc>
          <w:tcPr>
            <w:tcW w:w="1303" w:type="dxa"/>
            <w:vAlign w:val="center"/>
          </w:tcPr>
          <w:p w14:paraId="54DC0104">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4"/>
                <w:highlight w:val="none"/>
                <w:lang w:eastAsia="zh-CN"/>
              </w:rPr>
            </w:pPr>
            <w:r>
              <w:rPr>
                <w:rFonts w:hint="eastAsia" w:asciiTheme="minorEastAsia" w:hAnsiTheme="minorEastAsia" w:eastAsiaTheme="minorEastAsia" w:cstheme="minorEastAsia"/>
                <w:b/>
                <w:bCs/>
                <w:color w:val="auto"/>
                <w:kern w:val="0"/>
                <w:sz w:val="24"/>
                <w:highlight w:val="none"/>
                <w:lang w:eastAsia="zh-CN"/>
              </w:rPr>
              <w:t>最高</w:t>
            </w:r>
            <w:r>
              <w:rPr>
                <w:rFonts w:hint="eastAsia" w:asciiTheme="minorEastAsia" w:hAnsiTheme="minorEastAsia" w:eastAsiaTheme="minorEastAsia" w:cstheme="minorEastAsia"/>
                <w:b/>
                <w:bCs/>
                <w:color w:val="auto"/>
                <w:kern w:val="0"/>
                <w:sz w:val="24"/>
                <w:highlight w:val="none"/>
              </w:rPr>
              <w:t>单价</w:t>
            </w:r>
            <w:r>
              <w:rPr>
                <w:rFonts w:hint="eastAsia" w:asciiTheme="minorEastAsia" w:hAnsiTheme="minorEastAsia" w:eastAsiaTheme="minorEastAsia" w:cstheme="minorEastAsia"/>
                <w:b/>
                <w:bCs/>
                <w:color w:val="auto"/>
                <w:kern w:val="0"/>
                <w:sz w:val="24"/>
                <w:highlight w:val="none"/>
                <w:lang w:eastAsia="zh-CN"/>
              </w:rPr>
              <w:t>限价</w:t>
            </w:r>
            <w:r>
              <w:rPr>
                <w:rFonts w:hint="eastAsia" w:asciiTheme="minorEastAsia" w:hAnsiTheme="minorEastAsia" w:eastAsiaTheme="minorEastAsia" w:cstheme="minorEastAsia"/>
                <w:b/>
                <w:bCs/>
                <w:color w:val="auto"/>
                <w:kern w:val="0"/>
                <w:sz w:val="24"/>
                <w:highlight w:val="none"/>
              </w:rPr>
              <w:t>（万元/人民币</w:t>
            </w:r>
            <w:r>
              <w:rPr>
                <w:rFonts w:hint="eastAsia" w:asciiTheme="minorEastAsia" w:hAnsiTheme="minorEastAsia" w:eastAsiaTheme="minorEastAsia" w:cstheme="minorEastAsia"/>
                <w:b/>
                <w:bCs/>
                <w:color w:val="auto"/>
                <w:kern w:val="0"/>
                <w:sz w:val="24"/>
                <w:highlight w:val="none"/>
                <w:lang w:eastAsia="zh-CN"/>
              </w:rPr>
              <w:t>）</w:t>
            </w:r>
          </w:p>
        </w:tc>
        <w:tc>
          <w:tcPr>
            <w:tcW w:w="1408" w:type="dxa"/>
            <w:vAlign w:val="center"/>
          </w:tcPr>
          <w:p w14:paraId="2CD47906">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4"/>
                <w:highlight w:val="none"/>
                <w:lang w:eastAsia="zh-CN"/>
              </w:rPr>
            </w:pPr>
            <w:r>
              <w:rPr>
                <w:rFonts w:hint="eastAsia" w:asciiTheme="minorEastAsia" w:hAnsiTheme="minorEastAsia" w:eastAsiaTheme="minorEastAsia" w:cstheme="minorEastAsia"/>
                <w:b/>
                <w:bCs/>
                <w:color w:val="auto"/>
                <w:kern w:val="0"/>
                <w:sz w:val="24"/>
                <w:highlight w:val="none"/>
              </w:rPr>
              <w:t>单项</w:t>
            </w:r>
            <w:r>
              <w:rPr>
                <w:rFonts w:hint="eastAsia" w:asciiTheme="minorEastAsia" w:hAnsiTheme="minorEastAsia" w:eastAsiaTheme="minorEastAsia" w:cstheme="minorEastAsia"/>
                <w:b/>
                <w:bCs/>
                <w:color w:val="auto"/>
                <w:kern w:val="0"/>
                <w:sz w:val="24"/>
                <w:highlight w:val="none"/>
                <w:lang w:eastAsia="zh-CN"/>
              </w:rPr>
              <w:t>最高限价</w:t>
            </w:r>
            <w:r>
              <w:rPr>
                <w:rFonts w:hint="eastAsia" w:asciiTheme="minorEastAsia" w:hAnsiTheme="minorEastAsia" w:eastAsiaTheme="minorEastAsia" w:cstheme="minorEastAsia"/>
                <w:b/>
                <w:bCs/>
                <w:color w:val="auto"/>
                <w:kern w:val="0"/>
                <w:sz w:val="24"/>
                <w:highlight w:val="none"/>
              </w:rPr>
              <w:t>合计（万元/人民币</w:t>
            </w:r>
            <w:r>
              <w:rPr>
                <w:rFonts w:hint="eastAsia" w:asciiTheme="minorEastAsia" w:hAnsiTheme="minorEastAsia" w:eastAsiaTheme="minorEastAsia" w:cstheme="minorEastAsia"/>
                <w:b/>
                <w:bCs/>
                <w:color w:val="auto"/>
                <w:kern w:val="0"/>
                <w:sz w:val="24"/>
                <w:highlight w:val="none"/>
                <w:lang w:eastAsia="zh-CN"/>
              </w:rPr>
              <w:t>）</w:t>
            </w:r>
          </w:p>
        </w:tc>
      </w:tr>
      <w:tr w14:paraId="326B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dxa"/>
            <w:vAlign w:val="center"/>
          </w:tcPr>
          <w:p w14:paraId="0BABC3BA">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896" w:type="dxa"/>
            <w:vAlign w:val="center"/>
          </w:tcPr>
          <w:p w14:paraId="2594B23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定制型柴油发电机组</w:t>
            </w:r>
          </w:p>
        </w:tc>
        <w:tc>
          <w:tcPr>
            <w:tcW w:w="692" w:type="dxa"/>
            <w:gridSpan w:val="2"/>
            <w:vAlign w:val="center"/>
          </w:tcPr>
          <w:p w14:paraId="4054CED1">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w:t>
            </w:r>
          </w:p>
        </w:tc>
        <w:tc>
          <w:tcPr>
            <w:tcW w:w="692" w:type="dxa"/>
            <w:vAlign w:val="center"/>
          </w:tcPr>
          <w:p w14:paraId="140F31F3">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套</w:t>
            </w:r>
          </w:p>
        </w:tc>
        <w:tc>
          <w:tcPr>
            <w:tcW w:w="4547" w:type="dxa"/>
            <w:shd w:val="clear" w:color="auto" w:fill="auto"/>
            <w:vAlign w:val="center"/>
          </w:tcPr>
          <w:p w14:paraId="429C2276">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（一）</w:t>
            </w:r>
            <w:r>
              <w:rPr>
                <w:rFonts w:hint="eastAsia" w:asciiTheme="minorEastAsia" w:hAnsiTheme="minorEastAsia" w:eastAsiaTheme="minorEastAsia" w:cstheme="minorEastAsia"/>
                <w:color w:val="auto"/>
                <w:kern w:val="0"/>
                <w:sz w:val="24"/>
                <w:highlight w:val="none"/>
              </w:rPr>
              <w:t>定制型柴油发电机组</w:t>
            </w:r>
            <w:r>
              <w:rPr>
                <w:rFonts w:hint="eastAsia" w:asciiTheme="minorEastAsia" w:hAnsiTheme="minorEastAsia" w:eastAsiaTheme="minorEastAsia" w:cstheme="minorEastAsia"/>
                <w:color w:val="auto"/>
                <w:kern w:val="0"/>
                <w:sz w:val="24"/>
                <w:highlight w:val="none"/>
                <w:lang w:val="en-US" w:eastAsia="zh-CN"/>
              </w:rPr>
              <w:t xml:space="preserve">   1套</w:t>
            </w:r>
          </w:p>
          <w:p w14:paraId="6B0D72AC">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1.柴油发电机组整体技术要求</w:t>
            </w:r>
          </w:p>
          <w:p w14:paraId="014B501A">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1.1发电机组规格：机组额定≥12小时，常用功率（KW/KVA）：≥1500/1875，备用≥1小时，功率（KW/KVA）：≥1650/2062.5。</w:t>
            </w:r>
          </w:p>
          <w:p w14:paraId="718B2026">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1.2额定输出电压（V）：三相四线制230/400。</w:t>
            </w:r>
          </w:p>
          <w:p w14:paraId="5DC665C1">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1.3频率（Hz）：50。</w:t>
            </w:r>
          </w:p>
          <w:p w14:paraId="17CFE754">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1.4额定功率因数：0.8（滞后）。</w:t>
            </w:r>
          </w:p>
          <w:p w14:paraId="34C27460">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1.5额定≥12小时，持续电流（A）：≥2700。</w:t>
            </w:r>
          </w:p>
          <w:p w14:paraId="6C0DAA7E">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1.6机组尺寸约（长×宽×高mm）：</w:t>
            </w:r>
            <w:r>
              <w:rPr>
                <w:rFonts w:hint="eastAsia" w:asciiTheme="minorEastAsia" w:hAnsiTheme="minorEastAsia" w:eastAsiaTheme="minorEastAsia" w:cstheme="minorEastAsia"/>
                <w:b/>
                <w:bCs w:val="0"/>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val="en-US" w:eastAsia="zh-CN"/>
              </w:rPr>
              <w:t>5000×2150×2580。</w:t>
            </w:r>
          </w:p>
          <w:p w14:paraId="5BCB1082">
            <w:pPr>
              <w:keepNext w:val="0"/>
              <w:keepLines w:val="0"/>
              <w:pageBreakBefore w:val="0"/>
              <w:widowControl w:val="0"/>
              <w:tabs>
                <w:tab w:val="left" w:pos="1895"/>
              </w:tabs>
              <w:kinsoku/>
              <w:wordWrap w:val="0"/>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1.7燃油消耗（100%负载）：≤210g/kw·h。</w:t>
            </w:r>
          </w:p>
          <w:p w14:paraId="3B7392A7">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1.8燃油标准：（标准）0#轻柴油（常温）。</w:t>
            </w:r>
          </w:p>
          <w:p w14:paraId="57E7BD97">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1.9启动、停机方式：电启动/自动可调。</w:t>
            </w:r>
          </w:p>
          <w:p w14:paraId="13347640">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2.柴油发动机技术要求</w:t>
            </w:r>
          </w:p>
          <w:p w14:paraId="4BD9329E">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2.1气缸排量L：≥50.00。</w:t>
            </w:r>
          </w:p>
          <w:p w14:paraId="3C622413">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2.2型式：四冲程，V型，涡轮增压，中冷。</w:t>
            </w:r>
          </w:p>
          <w:p w14:paraId="50E9E283">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2.3增压器数量≥4个。</w:t>
            </w:r>
          </w:p>
          <w:p w14:paraId="602B4852">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2.4增压方式：涡轮增压方式。</w:t>
            </w:r>
          </w:p>
          <w:p w14:paraId="75E6CA4E">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2.5增压进气方式：4个空气滤器，2个空气进气管。</w:t>
            </w:r>
          </w:p>
          <w:p w14:paraId="0D829E48">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2.6增压排烟方式：2个排烟出口。</w:t>
            </w:r>
          </w:p>
          <w:p w14:paraId="2566B4DE">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2.7缸径（mm）、行程（mm）数值差0～35（mm）。</w:t>
            </w:r>
          </w:p>
          <w:p w14:paraId="321AB9F4">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2.8燃油系统：高压共轨。</w:t>
            </w:r>
          </w:p>
          <w:p w14:paraId="4A7AD81C">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2.9燃料：0#国标柴油。</w:t>
            </w:r>
          </w:p>
          <w:p w14:paraId="0531CF2A">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2.10常用≥12小时持续输出功率/转速kW/r/min：≥1650KW/1500（r/min)。</w:t>
            </w:r>
          </w:p>
          <w:p w14:paraId="3D23AC0F">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2.11备用≥1小时输出功率/转速kW/r/min：≥1760KW/1500（r/min)。</w:t>
            </w:r>
          </w:p>
          <w:p w14:paraId="7EEAC7FF">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2.12气缸数量：≥10缸。</w:t>
            </w:r>
          </w:p>
          <w:p w14:paraId="44B11518">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2.13使用性能：可持续48小时使用。</w:t>
            </w:r>
          </w:p>
          <w:p w14:paraId="47B5A3DD">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2.14冷却方式：闭式水冷。</w:t>
            </w:r>
          </w:p>
          <w:p w14:paraId="03E4C07A">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3.交流发电机技术要求</w:t>
            </w:r>
          </w:p>
          <w:p w14:paraId="77AD9C65">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3.1发电机规格：≥12小时持续输出功率≥1500kW。</w:t>
            </w:r>
          </w:p>
          <w:p w14:paraId="75A3677D">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3.2额定≥12小时持续电流：2700（A）。</w:t>
            </w:r>
          </w:p>
          <w:p w14:paraId="64EBEFD6">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3.3额定转速：1500（r/min）。</w:t>
            </w:r>
          </w:p>
          <w:p w14:paraId="3D87E392">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3.4励磁方式：无刷自励。</w:t>
            </w:r>
          </w:p>
          <w:p w14:paraId="1D0766B7">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3.5频率：50（Hz）。</w:t>
            </w:r>
          </w:p>
          <w:p w14:paraId="7746B988">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3.6额定电压：400/230（V）。</w:t>
            </w:r>
          </w:p>
          <w:p w14:paraId="60AE2D6C">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3.7相数与接法：三相四线。</w:t>
            </w:r>
          </w:p>
          <w:p w14:paraId="6951808D">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3.8功率因数：0.8滞后。</w:t>
            </w:r>
          </w:p>
          <w:p w14:paraId="730D66B1">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3.9材质：100%铜线圈。</w:t>
            </w:r>
          </w:p>
          <w:p w14:paraId="19BEDBC8">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3.10绝缘等级：H。</w:t>
            </w:r>
          </w:p>
          <w:p w14:paraId="4B24FC48">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3.11过载能力：（PRP）110%负荷可运行1h。</w:t>
            </w:r>
          </w:p>
          <w:p w14:paraId="0BA2A06A">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4.控制系统</w:t>
            </w:r>
          </w:p>
          <w:p w14:paraId="0B66B936">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4.1控制箱防护等级≥IP55。</w:t>
            </w:r>
          </w:p>
          <w:p w14:paraId="4006EEBF">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4.2自动开机/停机、数据测量、报警保护及“三遥”功能。</w:t>
            </w:r>
          </w:p>
          <w:p w14:paraId="13B17FAF">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4.3控制器采用彩色液晶（LCD)图形显示器,可显示中文、英文。</w:t>
            </w:r>
          </w:p>
          <w:p w14:paraId="7B924B3A">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4.4市电电量检测和市电/发电自动切换控制功能（AMF)</w:t>
            </w:r>
          </w:p>
          <w:p w14:paraId="6FD214EF">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4.5多种通讯能力RS485、CAN连接以太网，GPRS或者4G进行网络连接支持Modbus通讯协议.手机WiFi实时曲线，故障诊断，扫码报修、云监控</w:t>
            </w:r>
          </w:p>
          <w:p w14:paraId="6F8FF466">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default"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4.6拥有两套独立系统，一主一备。</w:t>
            </w:r>
          </w:p>
          <w:p w14:paraId="5CE42618">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5.质量保障要求：</w:t>
            </w:r>
          </w:p>
          <w:p w14:paraId="6C4CBC4B">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val="0"/>
                <w:bCs/>
                <w:color w:val="auto"/>
                <w:highlight w:val="none"/>
              </w:rPr>
            </w:pPr>
            <w:r>
              <w:rPr>
                <w:rFonts w:hint="eastAsia" w:asciiTheme="minorEastAsia" w:hAnsiTheme="minorEastAsia" w:eastAsiaTheme="minorEastAsia" w:cstheme="minorEastAsia"/>
                <w:b/>
                <w:bCs w:val="0"/>
                <w:color w:val="auto"/>
                <w:sz w:val="24"/>
                <w:szCs w:val="24"/>
                <w:highlight w:val="none"/>
                <w:lang w:val="en-US" w:eastAsia="zh-CN"/>
              </w:rPr>
              <w:t>发电机组主要组成部分（柴油发动机、发电机、控制系统）均为</w:t>
            </w:r>
            <w:r>
              <w:rPr>
                <w:rFonts w:hint="eastAsia" w:asciiTheme="minorEastAsia" w:hAnsiTheme="minorEastAsia" w:eastAsiaTheme="minorEastAsia" w:cstheme="minorEastAsia"/>
                <w:b/>
                <w:bCs w:val="0"/>
                <w:color w:val="auto"/>
                <w:sz w:val="24"/>
                <w:szCs w:val="24"/>
                <w:highlight w:val="none"/>
                <w:u w:val="single"/>
                <w:lang w:val="en-US" w:eastAsia="zh-CN"/>
              </w:rPr>
              <w:t>同一品牌同一生产制造商</w:t>
            </w:r>
            <w:r>
              <w:rPr>
                <w:rFonts w:hint="eastAsia" w:asciiTheme="minorEastAsia" w:hAnsiTheme="minorEastAsia" w:eastAsiaTheme="minorEastAsia" w:cstheme="minorEastAsia"/>
                <w:b/>
                <w:bCs w:val="0"/>
                <w:color w:val="auto"/>
                <w:sz w:val="24"/>
                <w:szCs w:val="24"/>
                <w:highlight w:val="none"/>
                <w:lang w:val="en-US" w:eastAsia="zh-CN"/>
              </w:rPr>
              <w:t>并通过GB/T19001-2016/ISO9001：2015质量标准合格产品（谈判时必须在响应文件《货物配置清单》中注明品牌、生产制造商及相关满足要求的证明材料）。</w:t>
            </w:r>
          </w:p>
          <w:p w14:paraId="0F692B8A">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（二）智能低压出线开关独立柜1套</w:t>
            </w:r>
          </w:p>
          <w:p w14:paraId="604495B6">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highlight w:val="none"/>
              </w:rPr>
              <w:t>▲</w:t>
            </w:r>
            <w:r>
              <w:rPr>
                <w:rFonts w:hint="eastAsia" w:asciiTheme="minorEastAsia" w:hAnsiTheme="minorEastAsia" w:eastAsiaTheme="minorEastAsia" w:cstheme="minorEastAsia"/>
                <w:b/>
                <w:bCs w:val="0"/>
                <w:color w:val="auto"/>
                <w:sz w:val="24"/>
                <w:szCs w:val="24"/>
                <w:highlight w:val="none"/>
                <w:lang w:val="en-US" w:eastAsia="zh-CN"/>
              </w:rPr>
              <w:t>1.额定容量≥3200A。</w:t>
            </w:r>
          </w:p>
          <w:p w14:paraId="4D5660B0">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2.结合现场条件合理安排安装位置，并与发电机组进行电缆连接，满足正常电力输出。</w:t>
            </w:r>
          </w:p>
          <w:p w14:paraId="6CC3D318">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3.与发电机组进行智能线路连接，跟随发电机组使用需求达到自动、手动两种分、合闸功能。</w:t>
            </w:r>
          </w:p>
          <w:p w14:paraId="6A2F4B37">
            <w:pPr>
              <w:keepNext w:val="0"/>
              <w:keepLines w:val="0"/>
              <w:pageBreakBefore w:val="0"/>
              <w:tabs>
                <w:tab w:val="left" w:pos="1895"/>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4.使用GGD型标准柜。</w:t>
            </w:r>
          </w:p>
        </w:tc>
        <w:tc>
          <w:tcPr>
            <w:tcW w:w="1303" w:type="dxa"/>
            <w:vAlign w:val="center"/>
          </w:tcPr>
          <w:p w14:paraId="21FA830E">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szCs w:val="24"/>
                <w:highlight w:val="none"/>
              </w:rPr>
              <w:t>142</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8</w:t>
            </w:r>
          </w:p>
        </w:tc>
        <w:tc>
          <w:tcPr>
            <w:tcW w:w="1408" w:type="dxa"/>
            <w:vAlign w:val="center"/>
          </w:tcPr>
          <w:p w14:paraId="21B6D42F">
            <w:pPr>
              <w:keepNext w:val="0"/>
              <w:keepLines w:val="0"/>
              <w:pageBreakBefore w:val="0"/>
              <w:kinsoku/>
              <w:wordWrap/>
              <w:overflowPunct/>
              <w:topLinePunct w:val="0"/>
              <w:autoSpaceDE/>
              <w:autoSpaceDN/>
              <w:bidi w:val="0"/>
              <w:adjustRightInd/>
              <w:snapToGrid/>
              <w:spacing w:line="44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szCs w:val="24"/>
                <w:highlight w:val="none"/>
              </w:rPr>
              <w:t>142</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8</w:t>
            </w:r>
          </w:p>
        </w:tc>
      </w:tr>
      <w:tr w14:paraId="79B9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54" w:type="dxa"/>
            <w:gridSpan w:val="8"/>
            <w:vAlign w:val="center"/>
          </w:tcPr>
          <w:p w14:paraId="584BA56C">
            <w:pPr>
              <w:keepNext w:val="0"/>
              <w:keepLines w:val="0"/>
              <w:pageBreakBefore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b/>
                <w:color w:val="auto"/>
                <w:sz w:val="24"/>
                <w:highlight w:val="none"/>
              </w:rPr>
              <w:t>商务要求表：</w:t>
            </w:r>
          </w:p>
        </w:tc>
      </w:tr>
      <w:tr w14:paraId="5630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9" w:type="dxa"/>
            <w:gridSpan w:val="3"/>
            <w:vAlign w:val="center"/>
          </w:tcPr>
          <w:p w14:paraId="7D319B04">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color w:val="auto"/>
                <w:kern w:val="1"/>
                <w:sz w:val="24"/>
                <w:highlight w:val="none"/>
              </w:rPr>
            </w:pPr>
            <w:r>
              <w:rPr>
                <w:rFonts w:hint="eastAsia" w:asciiTheme="minorEastAsia" w:hAnsiTheme="minorEastAsia" w:eastAsiaTheme="minorEastAsia" w:cstheme="minorEastAsia"/>
                <w:b/>
                <w:bCs/>
                <w:color w:val="auto"/>
                <w:sz w:val="24"/>
                <w:highlight w:val="none"/>
              </w:rPr>
              <w:t>合同签订时间</w:t>
            </w:r>
          </w:p>
        </w:tc>
        <w:tc>
          <w:tcPr>
            <w:tcW w:w="8235" w:type="dxa"/>
            <w:gridSpan w:val="5"/>
            <w:vAlign w:val="center"/>
          </w:tcPr>
          <w:p w14:paraId="56B1AF3F">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自成交通知书发出之日起25日内。</w:t>
            </w:r>
          </w:p>
        </w:tc>
      </w:tr>
      <w:tr w14:paraId="19D7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9" w:type="dxa"/>
            <w:gridSpan w:val="3"/>
            <w:vAlign w:val="center"/>
          </w:tcPr>
          <w:p w14:paraId="4A132728">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color w:val="auto"/>
                <w:kern w:val="1"/>
                <w:sz w:val="24"/>
                <w:highlight w:val="none"/>
              </w:rPr>
            </w:pPr>
            <w:r>
              <w:rPr>
                <w:rFonts w:hint="eastAsia" w:asciiTheme="minorEastAsia" w:hAnsiTheme="minorEastAsia" w:eastAsiaTheme="minorEastAsia" w:cstheme="minorEastAsia"/>
                <w:b/>
                <w:bCs/>
                <w:color w:val="auto"/>
                <w:sz w:val="24"/>
                <w:highlight w:val="none"/>
              </w:rPr>
              <w:t>交货时间及地点</w:t>
            </w:r>
          </w:p>
        </w:tc>
        <w:tc>
          <w:tcPr>
            <w:tcW w:w="8235" w:type="dxa"/>
            <w:gridSpan w:val="5"/>
            <w:vAlign w:val="center"/>
          </w:tcPr>
          <w:p w14:paraId="18A64FDE">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交货时间：</w:t>
            </w:r>
            <w:r>
              <w:rPr>
                <w:rFonts w:hint="eastAsia" w:asciiTheme="minorEastAsia" w:hAnsiTheme="minorEastAsia" w:eastAsiaTheme="minorEastAsia" w:cstheme="minorEastAsia"/>
                <w:b/>
                <w:bCs/>
                <w:color w:val="auto"/>
                <w:sz w:val="24"/>
                <w:highlight w:val="none"/>
                <w:lang w:eastAsia="zh-CN"/>
              </w:rPr>
              <w:t>自签订合同之日起30日历天内通过原厂测试验收并到货安装调试完成同时通过现场验收</w:t>
            </w:r>
            <w:r>
              <w:rPr>
                <w:rFonts w:hint="eastAsia" w:asciiTheme="minorEastAsia" w:hAnsiTheme="minorEastAsia" w:eastAsiaTheme="minorEastAsia" w:cstheme="minorEastAsia"/>
                <w:b/>
                <w:bCs/>
                <w:color w:val="auto"/>
                <w:sz w:val="24"/>
                <w:highlight w:val="none"/>
              </w:rPr>
              <w:t>。</w:t>
            </w:r>
          </w:p>
          <w:p w14:paraId="23EA88A3">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交货地点：</w:t>
            </w:r>
            <w:r>
              <w:rPr>
                <w:rFonts w:hint="eastAsia" w:asciiTheme="minorEastAsia" w:hAnsiTheme="minorEastAsia" w:eastAsiaTheme="minorEastAsia" w:cstheme="minorEastAsia"/>
                <w:b/>
                <w:bCs/>
                <w:color w:val="auto"/>
                <w:sz w:val="24"/>
                <w:highlight w:val="none"/>
                <w:lang w:eastAsia="zh-CN"/>
              </w:rPr>
              <w:t>灵山县人民医院</w:t>
            </w:r>
            <w:r>
              <w:rPr>
                <w:rFonts w:hint="eastAsia" w:asciiTheme="minorEastAsia" w:hAnsiTheme="minorEastAsia" w:eastAsiaTheme="minorEastAsia" w:cstheme="minorEastAsia"/>
                <w:b/>
                <w:bCs/>
                <w:color w:val="auto"/>
                <w:sz w:val="24"/>
                <w:highlight w:val="none"/>
              </w:rPr>
              <w:t>用户指定地点。</w:t>
            </w:r>
          </w:p>
          <w:p w14:paraId="54FD198B">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交货程序：为确保采购人的合法权益，自签订合同后，成交供应商必须先配合采购人进行原厂测试验收，采购人将对所提供成交供应商所提供的产品参数的真实性和实际效果进行测试，通过测试方可验收。成交供应商所提供的产品出厂前必须先进行100%满负载测试，100%满负载测试需连续运行4小时，每小时记录一次电压、电流、频率、水温、油温等关键数据；同时提供测试视频（测试视频需清晰拍摄设备运行状态、测试数据显示界面，时长不少于30分钟）和第三方检测机构出具的有效满负载测试报告，并且能配合采购人到产品生产厂家进行现场测试验货，否则不予通过验收。在测试验收过程中如发现有虚假应答行为的，采购人将拒绝验收该产品并报政府采购有关管理部门。</w:t>
            </w:r>
          </w:p>
        </w:tc>
      </w:tr>
      <w:tr w14:paraId="4AF1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9" w:type="dxa"/>
            <w:gridSpan w:val="3"/>
            <w:vAlign w:val="center"/>
          </w:tcPr>
          <w:p w14:paraId="7C0EA247">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货物验收</w:t>
            </w:r>
          </w:p>
        </w:tc>
        <w:tc>
          <w:tcPr>
            <w:tcW w:w="8235" w:type="dxa"/>
            <w:gridSpan w:val="5"/>
            <w:vAlign w:val="center"/>
          </w:tcPr>
          <w:p w14:paraId="1D5C7F0C">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1.货物验收时由采购人对照采购文件的《技术参数及性能（配置</w:t>
            </w:r>
            <w:r>
              <w:rPr>
                <w:rFonts w:hint="eastAsia" w:asciiTheme="minorEastAsia" w:hAnsiTheme="minorEastAsia" w:eastAsiaTheme="minorEastAsia" w:cstheme="minorEastAsia"/>
                <w:b/>
                <w:bCs/>
                <w:color w:val="auto"/>
                <w:sz w:val="24"/>
                <w:highlight w:val="none"/>
                <w:lang w:eastAsia="zh-CN"/>
              </w:rPr>
              <w:t>）</w:t>
            </w:r>
            <w:r>
              <w:rPr>
                <w:rFonts w:hint="eastAsia" w:asciiTheme="minorEastAsia" w:hAnsiTheme="minorEastAsia" w:eastAsiaTheme="minorEastAsia" w:cstheme="minorEastAsia"/>
                <w:b/>
                <w:bCs/>
                <w:color w:val="auto"/>
                <w:sz w:val="24"/>
                <w:highlight w:val="none"/>
              </w:rPr>
              <w:t>要求》进行全面核对检验，对所有要求出具的文件和材料的原件进行核查，如不符合采购文件要求或提供虚假承诺的、虚假检测报告等虚假材料的，采购人有权拒绝验收并认定成交供应商违约，采购人有权单方解除合同，供应商承担所有责任和费用，采购人保留进一步追究责任的权利。</w:t>
            </w:r>
          </w:p>
          <w:p w14:paraId="4470DF7C">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2.货物经过双方检验认可后，签署验收报告。由成交供应商提供产品保修文件。</w:t>
            </w:r>
          </w:p>
          <w:p w14:paraId="227E1380">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3.当满足以下条件时，采购人才向成交供应商签发货物验收报告：</w:t>
            </w:r>
          </w:p>
          <w:p w14:paraId="541F6CFE">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（1</w:t>
            </w:r>
            <w:r>
              <w:rPr>
                <w:rFonts w:hint="eastAsia" w:asciiTheme="minorEastAsia" w:hAnsiTheme="minorEastAsia" w:eastAsiaTheme="minorEastAsia" w:cstheme="minorEastAsia"/>
                <w:b/>
                <w:bCs/>
                <w:color w:val="auto"/>
                <w:sz w:val="24"/>
                <w:highlight w:val="none"/>
                <w:lang w:eastAsia="zh-CN"/>
              </w:rPr>
              <w:t>）</w:t>
            </w:r>
            <w:r>
              <w:rPr>
                <w:rFonts w:hint="eastAsia" w:asciiTheme="minorEastAsia" w:hAnsiTheme="minorEastAsia" w:eastAsiaTheme="minorEastAsia" w:cstheme="minorEastAsia"/>
                <w:b/>
                <w:bCs/>
                <w:color w:val="auto"/>
                <w:sz w:val="24"/>
                <w:highlight w:val="none"/>
              </w:rPr>
              <w:t>成交供应商已按照合同规定提供了全部产品及完整的技术资料。</w:t>
            </w:r>
          </w:p>
          <w:p w14:paraId="3EB48CEC">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（2</w:t>
            </w:r>
            <w:r>
              <w:rPr>
                <w:rFonts w:hint="eastAsia" w:asciiTheme="minorEastAsia" w:hAnsiTheme="minorEastAsia" w:eastAsiaTheme="minorEastAsia" w:cstheme="minorEastAsia"/>
                <w:b/>
                <w:bCs/>
                <w:color w:val="auto"/>
                <w:sz w:val="24"/>
                <w:highlight w:val="none"/>
                <w:lang w:eastAsia="zh-CN"/>
              </w:rPr>
              <w:t>）</w:t>
            </w:r>
            <w:r>
              <w:rPr>
                <w:rFonts w:hint="eastAsia" w:asciiTheme="minorEastAsia" w:hAnsiTheme="minorEastAsia" w:eastAsiaTheme="minorEastAsia" w:cstheme="minorEastAsia"/>
                <w:b/>
                <w:bCs/>
                <w:color w:val="auto"/>
                <w:sz w:val="24"/>
                <w:highlight w:val="none"/>
              </w:rPr>
              <w:t>货物各项参数完全符合《技术参数及性能（配置</w:t>
            </w:r>
            <w:r>
              <w:rPr>
                <w:rFonts w:hint="eastAsia" w:asciiTheme="minorEastAsia" w:hAnsiTheme="minorEastAsia" w:eastAsiaTheme="minorEastAsia" w:cstheme="minorEastAsia"/>
                <w:b/>
                <w:bCs/>
                <w:color w:val="auto"/>
                <w:sz w:val="24"/>
                <w:highlight w:val="none"/>
                <w:lang w:eastAsia="zh-CN"/>
              </w:rPr>
              <w:t>）</w:t>
            </w:r>
            <w:r>
              <w:rPr>
                <w:rFonts w:hint="eastAsia" w:asciiTheme="minorEastAsia" w:hAnsiTheme="minorEastAsia" w:eastAsiaTheme="minorEastAsia" w:cstheme="minorEastAsia"/>
                <w:b/>
                <w:bCs/>
                <w:color w:val="auto"/>
                <w:sz w:val="24"/>
                <w:highlight w:val="none"/>
              </w:rPr>
              <w:t>要求》的要求，性能满足要求。</w:t>
            </w:r>
          </w:p>
          <w:p w14:paraId="1F72AE5C">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（3</w:t>
            </w:r>
            <w:r>
              <w:rPr>
                <w:rFonts w:hint="eastAsia" w:asciiTheme="minorEastAsia" w:hAnsiTheme="minorEastAsia" w:eastAsiaTheme="minorEastAsia" w:cstheme="minorEastAsia"/>
                <w:b/>
                <w:bCs/>
                <w:color w:val="auto"/>
                <w:sz w:val="24"/>
                <w:highlight w:val="none"/>
                <w:lang w:eastAsia="zh-CN"/>
              </w:rPr>
              <w:t>）</w:t>
            </w:r>
            <w:r>
              <w:rPr>
                <w:rFonts w:hint="eastAsia" w:asciiTheme="minorEastAsia" w:hAnsiTheme="minorEastAsia" w:eastAsiaTheme="minorEastAsia" w:cstheme="minorEastAsia"/>
                <w:b/>
                <w:bCs/>
                <w:color w:val="auto"/>
                <w:sz w:val="24"/>
                <w:highlight w:val="none"/>
              </w:rPr>
              <w:t>成交供应商需负责安装、调试（测试</w:t>
            </w:r>
            <w:r>
              <w:rPr>
                <w:rFonts w:hint="eastAsia" w:asciiTheme="minorEastAsia" w:hAnsiTheme="minorEastAsia" w:eastAsiaTheme="minorEastAsia" w:cstheme="minorEastAsia"/>
                <w:b/>
                <w:bCs/>
                <w:color w:val="auto"/>
                <w:sz w:val="24"/>
                <w:highlight w:val="none"/>
                <w:lang w:eastAsia="zh-CN"/>
              </w:rPr>
              <w:t>）</w:t>
            </w:r>
            <w:r>
              <w:rPr>
                <w:rFonts w:hint="eastAsia" w:asciiTheme="minorEastAsia" w:hAnsiTheme="minorEastAsia" w:eastAsiaTheme="minorEastAsia" w:cstheme="minorEastAsia"/>
                <w:b/>
                <w:bCs/>
                <w:color w:val="auto"/>
                <w:sz w:val="24"/>
                <w:highlight w:val="none"/>
              </w:rPr>
              <w:t>，并完成采购人的使用操作培训。</w:t>
            </w:r>
          </w:p>
          <w:p w14:paraId="02B5FF8C">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4.采购人预验收及履约验收过程中所产生的一切费用均由成交供应商承担，报价时应考虑相关费用。</w:t>
            </w:r>
          </w:p>
          <w:p w14:paraId="14E22119">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5.成交产品不能涉及任何法律纠纷。</w:t>
            </w:r>
          </w:p>
        </w:tc>
      </w:tr>
      <w:tr w14:paraId="3E2F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9" w:type="dxa"/>
            <w:gridSpan w:val="3"/>
            <w:vAlign w:val="center"/>
          </w:tcPr>
          <w:p w14:paraId="7589F9C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质量保证要求</w:t>
            </w:r>
          </w:p>
        </w:tc>
        <w:tc>
          <w:tcPr>
            <w:tcW w:w="8235" w:type="dxa"/>
            <w:gridSpan w:val="5"/>
            <w:vAlign w:val="center"/>
          </w:tcPr>
          <w:p w14:paraId="2D10E349">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sz w:val="24"/>
                <w:highlight w:val="none"/>
              </w:rPr>
              <w:t>1.按国家有关产品“三包”规定执行“三包”政策，整机质量保证期不少于</w:t>
            </w:r>
            <w:r>
              <w:rPr>
                <w:rFonts w:hint="eastAsia" w:asciiTheme="minorEastAsia" w:hAnsiTheme="minorEastAsia" w:eastAsiaTheme="minorEastAsia" w:cstheme="minorEastAsia"/>
                <w:b/>
                <w:bCs/>
                <w:color w:val="auto"/>
                <w:sz w:val="24"/>
                <w:highlight w:val="none"/>
                <w:lang w:val="en-US" w:eastAsia="zh-CN"/>
              </w:rPr>
              <w:t>1</w:t>
            </w:r>
            <w:r>
              <w:rPr>
                <w:rFonts w:hint="eastAsia" w:asciiTheme="minorEastAsia" w:hAnsiTheme="minorEastAsia" w:eastAsiaTheme="minorEastAsia" w:cstheme="minorEastAsia"/>
                <w:b/>
                <w:bCs/>
                <w:color w:val="auto"/>
                <w:sz w:val="24"/>
                <w:highlight w:val="none"/>
              </w:rPr>
              <w:t>年（分项货物或配置有明确要求的按分项要求；生产厂家承诺的质量保证期更长的按生产厂家的承诺</w:t>
            </w:r>
            <w:r>
              <w:rPr>
                <w:rFonts w:hint="eastAsia" w:asciiTheme="minorEastAsia" w:hAnsiTheme="minorEastAsia" w:eastAsiaTheme="minorEastAsia" w:cstheme="minorEastAsia"/>
                <w:b/>
                <w:bCs/>
                <w:color w:val="auto"/>
                <w:sz w:val="24"/>
                <w:highlight w:val="none"/>
                <w:lang w:eastAsia="zh-CN"/>
              </w:rPr>
              <w:t>）</w:t>
            </w:r>
            <w:r>
              <w:rPr>
                <w:rFonts w:hint="eastAsia" w:asciiTheme="minorEastAsia" w:hAnsiTheme="minorEastAsia" w:eastAsiaTheme="minorEastAsia" w:cstheme="minorEastAsia"/>
                <w:b/>
                <w:bCs/>
                <w:color w:val="auto"/>
                <w:sz w:val="24"/>
                <w:highlight w:val="none"/>
              </w:rPr>
              <w:t>，从交货验收合格之日起计。</w:t>
            </w:r>
          </w:p>
          <w:p w14:paraId="18AA4B3C">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kern w:val="0"/>
                <w:sz w:val="24"/>
                <w:highlight w:val="none"/>
              </w:rPr>
              <w:t>2</w:t>
            </w:r>
            <w:r>
              <w:rPr>
                <w:rFonts w:hint="eastAsia" w:asciiTheme="minorEastAsia" w:hAnsiTheme="minorEastAsia" w:eastAsiaTheme="minorEastAsia" w:cstheme="minorEastAsia"/>
                <w:b/>
                <w:bCs/>
                <w:color w:val="auto"/>
                <w:sz w:val="24"/>
                <w:highlight w:val="none"/>
              </w:rPr>
              <w:t>.</w:t>
            </w:r>
            <w:r>
              <w:rPr>
                <w:rFonts w:hint="eastAsia" w:asciiTheme="minorEastAsia" w:hAnsiTheme="minorEastAsia" w:eastAsiaTheme="minorEastAsia" w:cstheme="minorEastAsia"/>
                <w:b/>
                <w:bCs/>
                <w:color w:val="auto"/>
                <w:kern w:val="0"/>
                <w:sz w:val="24"/>
                <w:highlight w:val="none"/>
              </w:rPr>
              <w:t>在质量保证期内出现的</w:t>
            </w:r>
            <w:r>
              <w:rPr>
                <w:rFonts w:hint="eastAsia" w:asciiTheme="minorEastAsia" w:hAnsiTheme="minorEastAsia" w:eastAsiaTheme="minorEastAsia" w:cstheme="minorEastAsia"/>
                <w:b/>
                <w:bCs/>
                <w:color w:val="auto"/>
                <w:sz w:val="24"/>
                <w:highlight w:val="none"/>
              </w:rPr>
              <w:t>任何故障及损失，成交供应商负责维修、更换配件，并负责软件更新升级、系统维护和远程服务。</w:t>
            </w:r>
          </w:p>
          <w:p w14:paraId="1C179BD8">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3.质量保证期满后，终身维护，且以市场最优惠价格提供维修和备件更换、软件更新升级，且承诺为用户提供终身技术咨询服务。</w:t>
            </w:r>
          </w:p>
          <w:p w14:paraId="78AA2D6A">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4.成交供应商应为质量保证期服务配备充足的技术人员、工具和备件并保证提供的联系方式畅通。成交供应商应在收到采购人通知后1小时内作出响应，如需成交供应商到合同货物现场，成交供应商应在收到采购人通知后3小时内到达，并在到达后24小时内解决合同货物的故障</w:t>
            </w:r>
            <w:r>
              <w:rPr>
                <w:rFonts w:hint="eastAsia" w:asciiTheme="minorEastAsia" w:hAnsiTheme="minorEastAsia" w:eastAsiaTheme="minorEastAsia" w:cstheme="minorEastAsia"/>
                <w:b/>
                <w:bCs/>
                <w:color w:val="auto"/>
                <w:sz w:val="24"/>
                <w:highlight w:val="none"/>
                <w:lang w:eastAsia="zh-CN"/>
              </w:rPr>
              <w:t>（</w:t>
            </w:r>
            <w:r>
              <w:rPr>
                <w:rFonts w:hint="eastAsia" w:asciiTheme="minorEastAsia" w:hAnsiTheme="minorEastAsia" w:eastAsiaTheme="minorEastAsia" w:cstheme="minorEastAsia"/>
                <w:b/>
                <w:bCs/>
                <w:color w:val="auto"/>
                <w:sz w:val="24"/>
                <w:highlight w:val="none"/>
              </w:rPr>
              <w:t>重大故障除外</w:t>
            </w:r>
            <w:r>
              <w:rPr>
                <w:rFonts w:hint="eastAsia" w:asciiTheme="minorEastAsia" w:hAnsiTheme="minorEastAsia" w:eastAsiaTheme="minorEastAsia" w:cstheme="minorEastAsia"/>
                <w:b/>
                <w:bCs/>
                <w:color w:val="auto"/>
                <w:sz w:val="24"/>
                <w:highlight w:val="none"/>
                <w:lang w:eastAsia="zh-CN"/>
              </w:rPr>
              <w:t>）</w:t>
            </w:r>
            <w:r>
              <w:rPr>
                <w:rFonts w:hint="eastAsia" w:asciiTheme="minorEastAsia" w:hAnsiTheme="minorEastAsia" w:eastAsiaTheme="minorEastAsia" w:cstheme="minorEastAsia"/>
                <w:b/>
                <w:bCs/>
                <w:color w:val="auto"/>
                <w:sz w:val="24"/>
                <w:highlight w:val="none"/>
              </w:rPr>
              <w:t>。如果成交供应商未在上述时间内作出响应</w:t>
            </w:r>
            <w:r>
              <w:rPr>
                <w:rFonts w:hint="eastAsia" w:asciiTheme="minorEastAsia" w:hAnsiTheme="minorEastAsia" w:eastAsiaTheme="minorEastAsia" w:cstheme="minorEastAsia"/>
                <w:b/>
                <w:bCs/>
                <w:color w:val="auto"/>
                <w:sz w:val="24"/>
                <w:highlight w:val="none"/>
                <w:lang w:eastAsia="zh-CN"/>
              </w:rPr>
              <w:t>，</w:t>
            </w:r>
            <w:r>
              <w:rPr>
                <w:rFonts w:hint="eastAsia" w:asciiTheme="minorEastAsia" w:hAnsiTheme="minorEastAsia" w:eastAsiaTheme="minorEastAsia" w:cstheme="minorEastAsia"/>
                <w:b/>
                <w:bCs/>
                <w:color w:val="auto"/>
                <w:sz w:val="24"/>
                <w:highlight w:val="none"/>
              </w:rPr>
              <w:t>则采购人有权自行或委托他人解决相关问题或查找和解决合同货物的故障，成交供应商应承担由此发生的全部费用。</w:t>
            </w:r>
          </w:p>
          <w:p w14:paraId="251C4455">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5.成交供应商在质量保证期内应对设备进行定期巡检。</w:t>
            </w:r>
          </w:p>
        </w:tc>
      </w:tr>
      <w:tr w14:paraId="749E5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9" w:type="dxa"/>
            <w:gridSpan w:val="3"/>
            <w:vAlign w:val="center"/>
          </w:tcPr>
          <w:p w14:paraId="43F0F0E5">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售后服务要求</w:t>
            </w:r>
          </w:p>
        </w:tc>
        <w:tc>
          <w:tcPr>
            <w:tcW w:w="8235" w:type="dxa"/>
            <w:gridSpan w:val="5"/>
            <w:vAlign w:val="center"/>
          </w:tcPr>
          <w:p w14:paraId="1768E55A">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1.负责送货上门、提供产品原厂工程师现场安装、安装调试服务、技术培训和12个月远程服务。</w:t>
            </w:r>
          </w:p>
          <w:p w14:paraId="41875557">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2.维修响应：售后服务要求每周7天×24小时工作制，成交供应商在接到用户维修电话后1小时内响应，3小时内到达现场处理，一般情况下24小时内恢复正常使用。若不能修复须有合理应对方案。</w:t>
            </w:r>
          </w:p>
          <w:p w14:paraId="347B710E">
            <w:pPr>
              <w:pStyle w:val="39"/>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highlight w:val="none"/>
              </w:rPr>
              <w:t>3.</w:t>
            </w:r>
            <w:r>
              <w:rPr>
                <w:rFonts w:hint="eastAsia" w:asciiTheme="minorEastAsia" w:hAnsiTheme="minorEastAsia" w:eastAsiaTheme="minorEastAsia" w:cstheme="minorEastAsia"/>
                <w:b/>
                <w:bCs/>
                <w:color w:val="auto"/>
                <w:kern w:val="0"/>
                <w:sz w:val="24"/>
                <w:highlight w:val="none"/>
              </w:rPr>
              <w:t>质量保证期</w:t>
            </w:r>
            <w:r>
              <w:rPr>
                <w:rFonts w:hint="eastAsia" w:asciiTheme="minorEastAsia" w:hAnsiTheme="minorEastAsia" w:eastAsiaTheme="minorEastAsia" w:cstheme="minorEastAsia"/>
                <w:b/>
                <w:bCs/>
                <w:color w:val="auto"/>
                <w:sz w:val="24"/>
                <w:szCs w:val="24"/>
                <w:highlight w:val="none"/>
              </w:rPr>
              <w:t>内因设备性能故障检修三次仍不能正常使用的，更换新设备。在超出</w:t>
            </w:r>
            <w:r>
              <w:rPr>
                <w:rFonts w:hint="eastAsia" w:asciiTheme="minorEastAsia" w:hAnsiTheme="minorEastAsia" w:eastAsiaTheme="minorEastAsia" w:cstheme="minorEastAsia"/>
                <w:b/>
                <w:bCs/>
                <w:color w:val="auto"/>
                <w:kern w:val="0"/>
                <w:sz w:val="24"/>
                <w:highlight w:val="none"/>
              </w:rPr>
              <w:t>质量保证期</w:t>
            </w:r>
            <w:r>
              <w:rPr>
                <w:rFonts w:hint="eastAsia" w:asciiTheme="minorEastAsia" w:hAnsiTheme="minorEastAsia" w:eastAsiaTheme="minorEastAsia" w:cstheme="minorEastAsia"/>
                <w:b/>
                <w:bCs/>
                <w:color w:val="auto"/>
                <w:sz w:val="24"/>
                <w:szCs w:val="24"/>
                <w:highlight w:val="none"/>
              </w:rPr>
              <w:t>后，如产品发生故障，可派技术员上门服务；如需更换配件，配件均按市场最优惠价格供应。</w:t>
            </w:r>
          </w:p>
          <w:p w14:paraId="4C0DE7BD">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4.终身提供技术协助服务。</w:t>
            </w:r>
          </w:p>
          <w:p w14:paraId="5EDE07B2">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5.提供原厂技术人员对采购人的操作技术培训和相关技术资料。提供不少于2次/每年的主要设备厂商工程师安装配置等实操培训课程，场地、交通等与培训相关的费用均由成交供应商承担。</w:t>
            </w:r>
          </w:p>
          <w:p w14:paraId="31A2AAA5">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6.提供验收与培训时开机实验必须的配件及耗材</w:t>
            </w:r>
            <w:r>
              <w:rPr>
                <w:rFonts w:hint="eastAsia" w:asciiTheme="minorEastAsia" w:hAnsiTheme="minorEastAsia" w:eastAsiaTheme="minorEastAsia" w:cstheme="minorEastAsia"/>
                <w:b/>
                <w:bCs/>
                <w:color w:val="auto"/>
                <w:sz w:val="24"/>
                <w:highlight w:val="none"/>
                <w:lang w:eastAsia="zh-CN"/>
              </w:rPr>
              <w:t>，</w:t>
            </w:r>
            <w:r>
              <w:rPr>
                <w:rFonts w:hint="eastAsia" w:asciiTheme="minorEastAsia" w:hAnsiTheme="minorEastAsia" w:eastAsiaTheme="minorEastAsia" w:cstheme="minorEastAsia"/>
                <w:b/>
                <w:bCs/>
                <w:color w:val="auto"/>
                <w:sz w:val="24"/>
                <w:highlight w:val="none"/>
              </w:rPr>
              <w:t>以保障验收与培训的正常开展。</w:t>
            </w:r>
          </w:p>
        </w:tc>
      </w:tr>
      <w:tr w14:paraId="43C6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9" w:type="dxa"/>
            <w:gridSpan w:val="3"/>
            <w:vAlign w:val="center"/>
          </w:tcPr>
          <w:p w14:paraId="5E3EAF0E">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sz w:val="24"/>
                <w:highlight w:val="none"/>
              </w:rPr>
              <w:t>履约保证金收取及退付</w:t>
            </w:r>
          </w:p>
        </w:tc>
        <w:tc>
          <w:tcPr>
            <w:tcW w:w="8235" w:type="dxa"/>
            <w:gridSpan w:val="5"/>
            <w:vAlign w:val="center"/>
          </w:tcPr>
          <w:p w14:paraId="1EED23FC">
            <w:pPr>
              <w:pStyle w:val="39"/>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eastAsia="zh-CN"/>
              </w:rPr>
              <w:t>本项目不收取履约保证金</w:t>
            </w:r>
          </w:p>
        </w:tc>
      </w:tr>
      <w:tr w14:paraId="3621D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9" w:type="dxa"/>
            <w:gridSpan w:val="3"/>
            <w:vAlign w:val="center"/>
          </w:tcPr>
          <w:p w14:paraId="68E1E175">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付款方式</w:t>
            </w:r>
          </w:p>
        </w:tc>
        <w:tc>
          <w:tcPr>
            <w:tcW w:w="8235" w:type="dxa"/>
            <w:gridSpan w:val="5"/>
            <w:vAlign w:val="center"/>
          </w:tcPr>
          <w:p w14:paraId="29FE4F87">
            <w:pPr>
              <w:keepNext w:val="0"/>
              <w:keepLines w:val="0"/>
              <w:pageBreakBefore w:val="0"/>
              <w:tabs>
                <w:tab w:val="left" w:pos="420"/>
              </w:tabs>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sz w:val="24"/>
                <w:highlight w:val="none"/>
              </w:rPr>
              <w:t>本项目无预付款，全部货物安装调试完毕并经验收合格后，采购人12个月内向成交供应商支付全部合同款（无息）；付款前，成交供应商开具等额增值税发票给采购人。</w:t>
            </w:r>
          </w:p>
        </w:tc>
      </w:tr>
      <w:tr w14:paraId="252C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9" w:type="dxa"/>
            <w:gridSpan w:val="3"/>
            <w:vAlign w:val="center"/>
          </w:tcPr>
          <w:p w14:paraId="53EB562F">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val="0"/>
                <w:color w:val="auto"/>
                <w:kern w:val="1"/>
                <w:sz w:val="24"/>
                <w:highlight w:val="none"/>
              </w:rPr>
            </w:pPr>
            <w:r>
              <w:rPr>
                <w:rFonts w:hint="eastAsia" w:asciiTheme="minorEastAsia" w:hAnsiTheme="minorEastAsia" w:eastAsiaTheme="minorEastAsia" w:cstheme="minorEastAsia"/>
                <w:b/>
                <w:bCs w:val="0"/>
                <w:color w:val="auto"/>
                <w:sz w:val="24"/>
                <w:highlight w:val="none"/>
              </w:rPr>
              <w:t>其他要求</w:t>
            </w:r>
          </w:p>
        </w:tc>
        <w:tc>
          <w:tcPr>
            <w:tcW w:w="8235" w:type="dxa"/>
            <w:gridSpan w:val="5"/>
            <w:vAlign w:val="center"/>
          </w:tcPr>
          <w:p w14:paraId="5C75EBAE">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highlight w:val="none"/>
              </w:rPr>
            </w:pPr>
            <w:r>
              <w:rPr>
                <w:rFonts w:hint="eastAsia" w:asciiTheme="minorEastAsia" w:hAnsiTheme="minorEastAsia" w:eastAsiaTheme="minorEastAsia" w:cstheme="minorEastAsia"/>
                <w:b/>
                <w:bCs w:val="0"/>
                <w:color w:val="auto"/>
                <w:sz w:val="24"/>
                <w:highlight w:val="none"/>
              </w:rPr>
              <w:t>1.要求供货产品是全新的、未经改装的、合格的、满足本项目技术需求及要求的货物。所有零部件、配件必须是未经使用的全新的并符合国家有关质量安全标准的产品。提供设备使用培训、操作技能训练等；提供相关设备说明书、管理和配置指南手册、使用手册和故障定位/排除指南手册等。</w:t>
            </w:r>
          </w:p>
          <w:p w14:paraId="1655566C">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highlight w:val="none"/>
              </w:rPr>
            </w:pPr>
            <w:r>
              <w:rPr>
                <w:rFonts w:hint="eastAsia" w:asciiTheme="minorEastAsia" w:hAnsiTheme="minorEastAsia" w:eastAsiaTheme="minorEastAsia" w:cstheme="minorEastAsia"/>
                <w:b/>
                <w:bCs w:val="0"/>
                <w:color w:val="auto"/>
                <w:sz w:val="24"/>
                <w:highlight w:val="none"/>
              </w:rPr>
              <w:t>2.本项目实行总价包干制，报价包含货物价款、配套软件、标准附件、随配附件、备品备件、辅助材料、专用工具、包装、运抵指定交货地点、运输、装卸、完工清场清洁、货到就位、安装、调试、检验、技术培训、技术资料、售后服务、保险、投标费用、预验收及履约验收及售后服务、人工费、一切税费等全部费用。税费因政策等原因发生变化的，由成交供应商承担。合同履行过程中，采购人不再支付合同以外的其他费用。</w:t>
            </w:r>
          </w:p>
          <w:p w14:paraId="3392EB11">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highlight w:val="none"/>
              </w:rPr>
            </w:pPr>
            <w:r>
              <w:rPr>
                <w:rFonts w:hint="eastAsia" w:asciiTheme="minorEastAsia" w:hAnsiTheme="minorEastAsia" w:eastAsiaTheme="minorEastAsia" w:cstheme="minorEastAsia"/>
                <w:b/>
                <w:bCs w:val="0"/>
                <w:color w:val="auto"/>
                <w:sz w:val="24"/>
                <w:highlight w:val="none"/>
              </w:rPr>
              <w:t>3.成交供应商承担货物交付验收前的运输、安装等作业工人人身、设备安全责任。验收前，如果设备丢失、因供应商自身原因及第三方原因导致损坏，成交供应商应自行负责并承担不能交付货物的责任。</w:t>
            </w:r>
          </w:p>
          <w:p w14:paraId="04289A0B">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sz w:val="24"/>
                <w:highlight w:val="none"/>
              </w:rPr>
            </w:pPr>
            <w:r>
              <w:rPr>
                <w:rFonts w:hint="eastAsia" w:asciiTheme="minorEastAsia" w:hAnsiTheme="minorEastAsia" w:eastAsiaTheme="minorEastAsia" w:cstheme="minorEastAsia"/>
                <w:b/>
                <w:bCs w:val="0"/>
                <w:color w:val="auto"/>
                <w:sz w:val="24"/>
                <w:highlight w:val="none"/>
              </w:rPr>
              <w:t>4.本项目不接受进口产品（即通过中国海关报关验放进入中国境内且产自关境外的产品</w:t>
            </w:r>
            <w:r>
              <w:rPr>
                <w:rFonts w:hint="eastAsia" w:asciiTheme="minorEastAsia" w:hAnsiTheme="minorEastAsia" w:eastAsiaTheme="minorEastAsia" w:cstheme="minorEastAsia"/>
                <w:b/>
                <w:bCs w:val="0"/>
                <w:color w:val="auto"/>
                <w:sz w:val="24"/>
                <w:highlight w:val="none"/>
                <w:lang w:eastAsia="zh-CN"/>
              </w:rPr>
              <w:t>）</w:t>
            </w:r>
            <w:r>
              <w:rPr>
                <w:rFonts w:hint="eastAsia" w:asciiTheme="minorEastAsia" w:hAnsiTheme="minorEastAsia" w:eastAsiaTheme="minorEastAsia" w:cstheme="minorEastAsia"/>
                <w:b/>
                <w:bCs w:val="0"/>
                <w:color w:val="auto"/>
                <w:sz w:val="24"/>
                <w:highlight w:val="none"/>
              </w:rPr>
              <w:t>参与</w:t>
            </w:r>
            <w:r>
              <w:rPr>
                <w:rFonts w:hint="eastAsia" w:asciiTheme="minorEastAsia" w:hAnsiTheme="minorEastAsia" w:eastAsiaTheme="minorEastAsia" w:cstheme="minorEastAsia"/>
                <w:b/>
                <w:bCs w:val="0"/>
                <w:color w:val="auto"/>
                <w:sz w:val="24"/>
                <w:highlight w:val="none"/>
                <w:lang w:bidi="ar"/>
              </w:rPr>
              <w:t>竞争性谈判</w:t>
            </w:r>
            <w:r>
              <w:rPr>
                <w:rFonts w:hint="eastAsia" w:asciiTheme="minorEastAsia" w:hAnsiTheme="minorEastAsia" w:eastAsiaTheme="minorEastAsia" w:cstheme="minorEastAsia"/>
                <w:b/>
                <w:bCs w:val="0"/>
                <w:color w:val="auto"/>
                <w:sz w:val="24"/>
                <w:highlight w:val="none"/>
              </w:rPr>
              <w:t>，如有此类产品参与</w:t>
            </w:r>
            <w:r>
              <w:rPr>
                <w:rFonts w:hint="eastAsia" w:asciiTheme="minorEastAsia" w:hAnsiTheme="minorEastAsia" w:eastAsiaTheme="minorEastAsia" w:cstheme="minorEastAsia"/>
                <w:b/>
                <w:bCs w:val="0"/>
                <w:color w:val="auto"/>
                <w:sz w:val="24"/>
                <w:highlight w:val="none"/>
                <w:lang w:bidi="ar"/>
              </w:rPr>
              <w:t>竞争性谈判</w:t>
            </w:r>
            <w:r>
              <w:rPr>
                <w:rFonts w:hint="eastAsia" w:asciiTheme="minorEastAsia" w:hAnsiTheme="minorEastAsia" w:eastAsiaTheme="minorEastAsia" w:cstheme="minorEastAsia"/>
                <w:b/>
                <w:bCs w:val="0"/>
                <w:color w:val="auto"/>
                <w:sz w:val="24"/>
                <w:highlight w:val="none"/>
              </w:rPr>
              <w:t>的按无效响应处理。</w:t>
            </w:r>
          </w:p>
          <w:p w14:paraId="641A498C">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Theme="minorEastAsia" w:hAnsiTheme="minorEastAsia" w:eastAsiaTheme="minorEastAsia" w:cstheme="minorEastAsia"/>
                <w:b/>
                <w:bCs w:val="0"/>
                <w:color w:val="auto"/>
                <w:highlight w:val="none"/>
              </w:rPr>
            </w:pPr>
            <w:r>
              <w:rPr>
                <w:rFonts w:hint="eastAsia" w:asciiTheme="minorEastAsia" w:hAnsiTheme="minorEastAsia" w:eastAsiaTheme="minorEastAsia" w:cstheme="minorEastAsia"/>
                <w:b/>
                <w:bCs w:val="0"/>
                <w:color w:val="auto"/>
                <w:sz w:val="24"/>
                <w:highlight w:val="none"/>
              </w:rPr>
              <w:t>5.供应商的竞争性谈判报价不能超过项目的预算，且各分项的报价也不能超过该分项的预算，否则竞争性谈判无效。</w:t>
            </w:r>
          </w:p>
        </w:tc>
      </w:tr>
    </w:tbl>
    <w:p w14:paraId="49562464">
      <w:pPr>
        <w:pStyle w:val="14"/>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rPr>
        <w:br w:type="page"/>
      </w:r>
      <w:r>
        <w:rPr>
          <w:rFonts w:hint="eastAsia" w:asciiTheme="minorEastAsia" w:hAnsiTheme="minorEastAsia" w:eastAsiaTheme="minorEastAsia" w:cstheme="minorEastAsia"/>
          <w:b/>
          <w:color w:val="auto"/>
          <w:sz w:val="32"/>
          <w:szCs w:val="32"/>
        </w:rPr>
        <w:t>附件1：</w:t>
      </w:r>
    </w:p>
    <w:p w14:paraId="0E6CAE78">
      <w:pPr>
        <w:snapToGrid w:val="0"/>
        <w:spacing w:line="360" w:lineRule="auto"/>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30"/>
          <w:szCs w:val="30"/>
          <w:highlight w:val="none"/>
        </w:rPr>
        <w:t>节能产品政府采购品目清单</w:t>
      </w:r>
    </w:p>
    <w:tbl>
      <w:tblPr>
        <w:tblStyle w:val="27"/>
        <w:tblW w:w="0" w:type="auto"/>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956"/>
        <w:gridCol w:w="1770"/>
        <w:gridCol w:w="1886"/>
        <w:gridCol w:w="4293"/>
      </w:tblGrid>
      <w:tr w14:paraId="7DF0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shd w:val="clear" w:color="auto" w:fill="auto"/>
            <w:vAlign w:val="center"/>
          </w:tcPr>
          <w:p w14:paraId="24A2D91D">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21"/>
                <w:szCs w:val="21"/>
                <w:highlight w:val="none"/>
                <w:lang w:val="en-US" w:eastAsia="zh-CN" w:bidi="ar-SA"/>
              </w:rPr>
            </w:pPr>
            <w:r>
              <w:rPr>
                <w:rFonts w:hint="eastAsia" w:asciiTheme="minorEastAsia" w:hAnsiTheme="minorEastAsia" w:eastAsiaTheme="minorEastAsia" w:cstheme="minorEastAsia"/>
                <w:b/>
                <w:bCs/>
                <w:color w:val="auto"/>
                <w:kern w:val="0"/>
                <w:sz w:val="21"/>
                <w:szCs w:val="21"/>
                <w:highlight w:val="none"/>
              </w:rPr>
              <w:t>品目序号</w:t>
            </w:r>
          </w:p>
        </w:tc>
        <w:tc>
          <w:tcPr>
            <w:tcW w:w="4612" w:type="dxa"/>
            <w:gridSpan w:val="3"/>
            <w:shd w:val="clear" w:color="auto" w:fill="auto"/>
            <w:vAlign w:val="center"/>
          </w:tcPr>
          <w:p w14:paraId="0044084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b/>
                <w:bCs/>
                <w:color w:val="auto"/>
                <w:kern w:val="0"/>
                <w:sz w:val="21"/>
                <w:szCs w:val="21"/>
                <w:highlight w:val="none"/>
              </w:rPr>
              <w:t>名称</w:t>
            </w:r>
          </w:p>
        </w:tc>
        <w:tc>
          <w:tcPr>
            <w:tcW w:w="4293" w:type="dxa"/>
            <w:vAlign w:val="center"/>
          </w:tcPr>
          <w:p w14:paraId="1880799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b/>
                <w:bCs/>
                <w:color w:val="auto"/>
                <w:kern w:val="0"/>
                <w:sz w:val="21"/>
                <w:szCs w:val="21"/>
                <w:highlight w:val="none"/>
              </w:rPr>
              <w:t>依据的标准</w:t>
            </w:r>
          </w:p>
        </w:tc>
      </w:tr>
      <w:tr w14:paraId="2816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restart"/>
            <w:shd w:val="clear" w:color="auto" w:fill="auto"/>
            <w:vAlign w:val="center"/>
          </w:tcPr>
          <w:p w14:paraId="4C3D6AE2">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1</w:t>
            </w:r>
          </w:p>
        </w:tc>
        <w:tc>
          <w:tcPr>
            <w:tcW w:w="956" w:type="dxa"/>
            <w:vMerge w:val="restart"/>
            <w:shd w:val="clear" w:color="auto" w:fill="auto"/>
            <w:vAlign w:val="center"/>
          </w:tcPr>
          <w:p w14:paraId="01D82B34">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A020101计算机设备</w:t>
            </w:r>
          </w:p>
        </w:tc>
        <w:tc>
          <w:tcPr>
            <w:tcW w:w="1770" w:type="dxa"/>
            <w:shd w:val="clear" w:color="auto" w:fill="auto"/>
            <w:vAlign w:val="center"/>
          </w:tcPr>
          <w:p w14:paraId="5559E0F1">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A02010104台式计算机</w:t>
            </w:r>
          </w:p>
        </w:tc>
        <w:tc>
          <w:tcPr>
            <w:tcW w:w="1886" w:type="dxa"/>
            <w:shd w:val="clear" w:color="auto" w:fill="auto"/>
            <w:vAlign w:val="center"/>
          </w:tcPr>
          <w:p w14:paraId="6CC34433">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6A33C2F5">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《微型计算机能效限定值及能效等级》（GB28380）</w:t>
            </w:r>
          </w:p>
        </w:tc>
      </w:tr>
      <w:tr w14:paraId="242E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32C9A44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3E577E4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shd w:val="clear" w:color="auto" w:fill="auto"/>
            <w:vAlign w:val="center"/>
          </w:tcPr>
          <w:p w14:paraId="28F193A2">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A02010105便携式计算机</w:t>
            </w:r>
          </w:p>
        </w:tc>
        <w:tc>
          <w:tcPr>
            <w:tcW w:w="1886" w:type="dxa"/>
            <w:shd w:val="clear" w:color="auto" w:fill="auto"/>
            <w:vAlign w:val="center"/>
          </w:tcPr>
          <w:p w14:paraId="6A6CD60C">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22DD2C76">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《微型计算机能效限定值及能效等级》（GB28380）</w:t>
            </w:r>
          </w:p>
        </w:tc>
      </w:tr>
      <w:tr w14:paraId="6D71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2679F18E">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2C7DBA1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shd w:val="clear" w:color="auto" w:fill="auto"/>
            <w:vAlign w:val="center"/>
          </w:tcPr>
          <w:p w14:paraId="71E68639">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A02010107平板式微型计算机</w:t>
            </w:r>
          </w:p>
        </w:tc>
        <w:tc>
          <w:tcPr>
            <w:tcW w:w="1886" w:type="dxa"/>
            <w:shd w:val="clear" w:color="auto" w:fill="auto"/>
            <w:vAlign w:val="center"/>
          </w:tcPr>
          <w:p w14:paraId="56CDC534">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p>
        </w:tc>
        <w:tc>
          <w:tcPr>
            <w:tcW w:w="4293" w:type="dxa"/>
            <w:shd w:val="clear" w:color="auto" w:fill="auto"/>
            <w:vAlign w:val="center"/>
          </w:tcPr>
          <w:p w14:paraId="60B3C3FD">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《微型计算机能效限定值及能效等级》（GB28380）</w:t>
            </w:r>
          </w:p>
        </w:tc>
      </w:tr>
      <w:tr w14:paraId="6B2FF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restart"/>
            <w:shd w:val="clear" w:color="auto" w:fill="auto"/>
            <w:vAlign w:val="center"/>
          </w:tcPr>
          <w:p w14:paraId="66755C7E">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2</w:t>
            </w:r>
          </w:p>
        </w:tc>
        <w:tc>
          <w:tcPr>
            <w:tcW w:w="956" w:type="dxa"/>
            <w:vMerge w:val="restart"/>
            <w:shd w:val="clear" w:color="auto" w:fill="auto"/>
            <w:vAlign w:val="center"/>
          </w:tcPr>
          <w:p w14:paraId="2FF91512">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A020106输入输出设备</w:t>
            </w:r>
          </w:p>
        </w:tc>
        <w:tc>
          <w:tcPr>
            <w:tcW w:w="1770" w:type="dxa"/>
            <w:vMerge w:val="restart"/>
            <w:shd w:val="clear" w:color="auto" w:fill="auto"/>
            <w:vAlign w:val="center"/>
          </w:tcPr>
          <w:p w14:paraId="3B0433B2">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A02010601打印设备</w:t>
            </w:r>
          </w:p>
        </w:tc>
        <w:tc>
          <w:tcPr>
            <w:tcW w:w="1886" w:type="dxa"/>
            <w:shd w:val="clear" w:color="auto" w:fill="auto"/>
            <w:vAlign w:val="center"/>
          </w:tcPr>
          <w:p w14:paraId="636FD11E">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A0201060101喷墨打印机</w:t>
            </w:r>
          </w:p>
        </w:tc>
        <w:tc>
          <w:tcPr>
            <w:tcW w:w="4293" w:type="dxa"/>
            <w:shd w:val="clear" w:color="auto" w:fill="auto"/>
            <w:vAlign w:val="center"/>
          </w:tcPr>
          <w:p w14:paraId="5E632C8C">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《复印机、打印机和传真机能效限定值及能效等级》（GB21521）</w:t>
            </w:r>
          </w:p>
        </w:tc>
      </w:tr>
      <w:tr w14:paraId="196E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110EDCBA">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5CFDC7B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vMerge w:val="continue"/>
            <w:vAlign w:val="center"/>
          </w:tcPr>
          <w:p w14:paraId="1BFAFFA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886" w:type="dxa"/>
            <w:shd w:val="clear" w:color="auto" w:fill="auto"/>
            <w:vAlign w:val="center"/>
          </w:tcPr>
          <w:p w14:paraId="4A027FCB">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A0201060102激光打印机</w:t>
            </w:r>
          </w:p>
        </w:tc>
        <w:tc>
          <w:tcPr>
            <w:tcW w:w="4293" w:type="dxa"/>
            <w:shd w:val="clear" w:color="auto" w:fill="auto"/>
            <w:vAlign w:val="center"/>
          </w:tcPr>
          <w:p w14:paraId="3F885FE6">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《复印机、打印机和传真机能效限定值及能效等级》（GB21521）</w:t>
            </w:r>
          </w:p>
        </w:tc>
      </w:tr>
      <w:tr w14:paraId="438C5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34C8B1E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613B92F4">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vMerge w:val="continue"/>
            <w:vAlign w:val="center"/>
          </w:tcPr>
          <w:p w14:paraId="1BED0148">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886" w:type="dxa"/>
            <w:shd w:val="clear" w:color="auto" w:fill="auto"/>
            <w:vAlign w:val="center"/>
          </w:tcPr>
          <w:p w14:paraId="5BB8276B">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A0201060104针式打印机</w:t>
            </w:r>
          </w:p>
        </w:tc>
        <w:tc>
          <w:tcPr>
            <w:tcW w:w="4293" w:type="dxa"/>
            <w:shd w:val="clear" w:color="auto" w:fill="auto"/>
            <w:vAlign w:val="center"/>
          </w:tcPr>
          <w:p w14:paraId="3FE5E766">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《复印机、打印机和传真机能效限定值及能效等级》（GB21521）</w:t>
            </w:r>
          </w:p>
        </w:tc>
      </w:tr>
      <w:tr w14:paraId="0244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21CB680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671D61F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shd w:val="clear" w:color="auto" w:fill="auto"/>
            <w:vAlign w:val="center"/>
          </w:tcPr>
          <w:p w14:paraId="58561F28">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A02010604显示设备</w:t>
            </w:r>
          </w:p>
        </w:tc>
        <w:tc>
          <w:tcPr>
            <w:tcW w:w="1886" w:type="dxa"/>
            <w:shd w:val="clear" w:color="auto" w:fill="auto"/>
            <w:vAlign w:val="center"/>
          </w:tcPr>
          <w:p w14:paraId="49B29710">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A0201060401液晶显示器</w:t>
            </w:r>
          </w:p>
        </w:tc>
        <w:tc>
          <w:tcPr>
            <w:tcW w:w="4293" w:type="dxa"/>
            <w:shd w:val="clear" w:color="auto" w:fill="auto"/>
            <w:vAlign w:val="center"/>
          </w:tcPr>
          <w:p w14:paraId="73108E06">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《计算机显示器能效限定值及能效等级》（GB21520）</w:t>
            </w:r>
          </w:p>
        </w:tc>
      </w:tr>
      <w:tr w14:paraId="38ED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6135589D">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7351D70F">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shd w:val="clear" w:color="auto" w:fill="auto"/>
            <w:vAlign w:val="center"/>
          </w:tcPr>
          <w:p w14:paraId="31DF188A">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A02010609图形图像输入设备</w:t>
            </w:r>
          </w:p>
        </w:tc>
        <w:tc>
          <w:tcPr>
            <w:tcW w:w="1886" w:type="dxa"/>
            <w:shd w:val="clear" w:color="auto" w:fill="auto"/>
            <w:vAlign w:val="center"/>
          </w:tcPr>
          <w:p w14:paraId="70499D45">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A0201060901扫描仪</w:t>
            </w:r>
          </w:p>
        </w:tc>
        <w:tc>
          <w:tcPr>
            <w:tcW w:w="4293" w:type="dxa"/>
            <w:shd w:val="clear" w:color="auto" w:fill="auto"/>
            <w:vAlign w:val="center"/>
          </w:tcPr>
          <w:p w14:paraId="32746D54">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参照《复印机、打印机和传真机能效限定值及能效等级》（GB21521）中打印速度为15页/分的针式打印机相关要求</w:t>
            </w:r>
          </w:p>
        </w:tc>
      </w:tr>
      <w:tr w14:paraId="0EEF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shd w:val="clear" w:color="auto" w:fill="auto"/>
            <w:vAlign w:val="center"/>
          </w:tcPr>
          <w:p w14:paraId="19219ADD">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3</w:t>
            </w:r>
          </w:p>
        </w:tc>
        <w:tc>
          <w:tcPr>
            <w:tcW w:w="956" w:type="dxa"/>
            <w:shd w:val="clear" w:color="auto" w:fill="auto"/>
            <w:vAlign w:val="center"/>
          </w:tcPr>
          <w:p w14:paraId="09C75AEB">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A020202投影仪</w:t>
            </w:r>
          </w:p>
        </w:tc>
        <w:tc>
          <w:tcPr>
            <w:tcW w:w="1770" w:type="dxa"/>
            <w:shd w:val="clear" w:color="auto" w:fill="auto"/>
            <w:vAlign w:val="center"/>
          </w:tcPr>
          <w:p w14:paraId="5B6E6247">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1886" w:type="dxa"/>
            <w:shd w:val="clear" w:color="auto" w:fill="auto"/>
            <w:vAlign w:val="center"/>
          </w:tcPr>
          <w:p w14:paraId="49704FC8">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3329C44A">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《投影机能效限定值及能效等级（GB32028）</w:t>
            </w:r>
          </w:p>
        </w:tc>
      </w:tr>
      <w:tr w14:paraId="3A2E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shd w:val="clear" w:color="auto" w:fill="auto"/>
            <w:vAlign w:val="center"/>
          </w:tcPr>
          <w:p w14:paraId="3B70F852">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4</w:t>
            </w:r>
          </w:p>
        </w:tc>
        <w:tc>
          <w:tcPr>
            <w:tcW w:w="956" w:type="dxa"/>
            <w:shd w:val="clear" w:color="auto" w:fill="auto"/>
            <w:vAlign w:val="center"/>
          </w:tcPr>
          <w:p w14:paraId="47FAD149">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A020204多功能一体机</w:t>
            </w:r>
          </w:p>
        </w:tc>
        <w:tc>
          <w:tcPr>
            <w:tcW w:w="1770" w:type="dxa"/>
            <w:shd w:val="clear" w:color="auto" w:fill="auto"/>
            <w:vAlign w:val="center"/>
          </w:tcPr>
          <w:p w14:paraId="53D52664">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1886" w:type="dxa"/>
            <w:shd w:val="clear" w:color="auto" w:fill="auto"/>
            <w:vAlign w:val="center"/>
          </w:tcPr>
          <w:p w14:paraId="754D415C">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5447E971">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《复印机、打印机和传真机能效限定值及能效等级》（GB21521）</w:t>
            </w:r>
          </w:p>
        </w:tc>
      </w:tr>
      <w:tr w14:paraId="5D3D6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shd w:val="clear" w:color="auto" w:fill="auto"/>
            <w:vAlign w:val="center"/>
          </w:tcPr>
          <w:p w14:paraId="4A64D959">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5</w:t>
            </w:r>
          </w:p>
        </w:tc>
        <w:tc>
          <w:tcPr>
            <w:tcW w:w="956" w:type="dxa"/>
            <w:shd w:val="clear" w:color="auto" w:fill="auto"/>
            <w:vAlign w:val="center"/>
          </w:tcPr>
          <w:p w14:paraId="554D8C8C">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A020519泵</w:t>
            </w:r>
          </w:p>
        </w:tc>
        <w:tc>
          <w:tcPr>
            <w:tcW w:w="1770" w:type="dxa"/>
            <w:shd w:val="clear" w:color="auto" w:fill="auto"/>
            <w:vAlign w:val="center"/>
          </w:tcPr>
          <w:p w14:paraId="3B3BC484">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A02051901离心泵</w:t>
            </w:r>
          </w:p>
        </w:tc>
        <w:tc>
          <w:tcPr>
            <w:tcW w:w="1886" w:type="dxa"/>
            <w:shd w:val="clear" w:color="auto" w:fill="auto"/>
            <w:vAlign w:val="center"/>
          </w:tcPr>
          <w:p w14:paraId="542BCB6D">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32A23457">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《清水离心泵能效限定值及节能评价值》（GB19762）</w:t>
            </w:r>
          </w:p>
        </w:tc>
      </w:tr>
      <w:tr w14:paraId="5F95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restart"/>
            <w:vAlign w:val="center"/>
          </w:tcPr>
          <w:p w14:paraId="01668CA1">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6</w:t>
            </w:r>
          </w:p>
        </w:tc>
        <w:tc>
          <w:tcPr>
            <w:tcW w:w="956" w:type="dxa"/>
            <w:vMerge w:val="restart"/>
            <w:vAlign w:val="center"/>
          </w:tcPr>
          <w:p w14:paraId="55897115">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A020523制冷空调设备</w:t>
            </w:r>
          </w:p>
        </w:tc>
        <w:tc>
          <w:tcPr>
            <w:tcW w:w="1770" w:type="dxa"/>
            <w:vMerge w:val="restart"/>
            <w:vAlign w:val="center"/>
          </w:tcPr>
          <w:p w14:paraId="1E97638C">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A02052301制冷压缩机</w:t>
            </w:r>
          </w:p>
        </w:tc>
        <w:tc>
          <w:tcPr>
            <w:tcW w:w="1886" w:type="dxa"/>
            <w:vAlign w:val="center"/>
          </w:tcPr>
          <w:p w14:paraId="7B317558">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冷水机组</w:t>
            </w:r>
          </w:p>
        </w:tc>
        <w:tc>
          <w:tcPr>
            <w:tcW w:w="4293" w:type="dxa"/>
            <w:vAlign w:val="center"/>
          </w:tcPr>
          <w:p w14:paraId="6AEDD10A">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《冷水机组能效限定值及能效等级》（GB19577），《低环境温度空气源热泵（冷水）机组能效限定值及能效等级》（GB37480）</w:t>
            </w:r>
          </w:p>
        </w:tc>
      </w:tr>
      <w:tr w14:paraId="17EA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02BF051D">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0688EB06">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vMerge w:val="continue"/>
            <w:vAlign w:val="center"/>
          </w:tcPr>
          <w:p w14:paraId="4498C5E4">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886" w:type="dxa"/>
            <w:vAlign w:val="center"/>
          </w:tcPr>
          <w:p w14:paraId="112F2AF5">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水源热泵机组</w:t>
            </w:r>
          </w:p>
        </w:tc>
        <w:tc>
          <w:tcPr>
            <w:tcW w:w="4293" w:type="dxa"/>
            <w:vAlign w:val="center"/>
          </w:tcPr>
          <w:p w14:paraId="681AE9D8">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《水（地）源热泵机组能效限定值及能效等级》（GB30721）</w:t>
            </w:r>
          </w:p>
        </w:tc>
      </w:tr>
      <w:tr w14:paraId="4EE5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2897695A">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1DB50479">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vMerge w:val="continue"/>
            <w:vAlign w:val="center"/>
          </w:tcPr>
          <w:p w14:paraId="159F0CDD">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886" w:type="dxa"/>
            <w:vAlign w:val="center"/>
          </w:tcPr>
          <w:p w14:paraId="4B08AC7B">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溴化锂吸收式冷水机组</w:t>
            </w:r>
          </w:p>
        </w:tc>
        <w:tc>
          <w:tcPr>
            <w:tcW w:w="4293" w:type="dxa"/>
            <w:vAlign w:val="center"/>
          </w:tcPr>
          <w:p w14:paraId="38E9EA12">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《溴化锂吸收式冷水机组能效限定值及能效等级》（GB29540）</w:t>
            </w:r>
          </w:p>
        </w:tc>
      </w:tr>
      <w:tr w14:paraId="0A6E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2EF494D6">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4950E2C4">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vMerge w:val="restart"/>
            <w:vAlign w:val="center"/>
          </w:tcPr>
          <w:p w14:paraId="104B97F5">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A02052305空调机组</w:t>
            </w:r>
          </w:p>
        </w:tc>
        <w:tc>
          <w:tcPr>
            <w:tcW w:w="1886" w:type="dxa"/>
            <w:vAlign w:val="center"/>
          </w:tcPr>
          <w:p w14:paraId="6F2BD141">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多联式空调（热泵）机组</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制量</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14000W</w:t>
            </w:r>
            <w:r>
              <w:rPr>
                <w:rFonts w:hint="eastAsia" w:asciiTheme="minorEastAsia" w:hAnsiTheme="minorEastAsia" w:eastAsiaTheme="minorEastAsia" w:cstheme="minorEastAsia"/>
                <w:color w:val="auto"/>
                <w:kern w:val="0"/>
                <w:sz w:val="21"/>
                <w:szCs w:val="21"/>
                <w:highlight w:val="none"/>
                <w:lang w:eastAsia="zh-CN"/>
              </w:rPr>
              <w:t>）</w:t>
            </w:r>
          </w:p>
        </w:tc>
        <w:tc>
          <w:tcPr>
            <w:tcW w:w="4293" w:type="dxa"/>
            <w:vAlign w:val="center"/>
          </w:tcPr>
          <w:p w14:paraId="37A95B99">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《多联式空调（热泵）机组能效限定值及能源效率等级》（GB21454）</w:t>
            </w:r>
          </w:p>
        </w:tc>
      </w:tr>
      <w:tr w14:paraId="0A2C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1433D405">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10075E18">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vMerge w:val="continue"/>
            <w:vAlign w:val="center"/>
          </w:tcPr>
          <w:p w14:paraId="286B1568">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886" w:type="dxa"/>
            <w:vAlign w:val="center"/>
          </w:tcPr>
          <w:p w14:paraId="012CBC6D">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单元式空气调节机</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制冷量</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14000W</w:t>
            </w:r>
            <w:r>
              <w:rPr>
                <w:rFonts w:hint="eastAsia" w:asciiTheme="minorEastAsia" w:hAnsiTheme="minorEastAsia" w:eastAsiaTheme="minorEastAsia" w:cstheme="minorEastAsia"/>
                <w:color w:val="auto"/>
                <w:kern w:val="0"/>
                <w:sz w:val="21"/>
                <w:szCs w:val="21"/>
                <w:highlight w:val="none"/>
                <w:lang w:eastAsia="zh-CN"/>
              </w:rPr>
              <w:t>）</w:t>
            </w:r>
          </w:p>
        </w:tc>
        <w:tc>
          <w:tcPr>
            <w:tcW w:w="4293" w:type="dxa"/>
            <w:vAlign w:val="center"/>
          </w:tcPr>
          <w:p w14:paraId="12CD72B9">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《单元式空气调节机能效限定值及能效等级》（GB19576）《风管送风式空调机组能效限定值及能效等级》（GB37479）</w:t>
            </w:r>
          </w:p>
        </w:tc>
      </w:tr>
      <w:tr w14:paraId="2D93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62B69E5E">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68170FBE">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vAlign w:val="center"/>
          </w:tcPr>
          <w:p w14:paraId="112007F5">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A02052309专用制冷、空调设备</w:t>
            </w:r>
          </w:p>
        </w:tc>
        <w:tc>
          <w:tcPr>
            <w:tcW w:w="1886" w:type="dxa"/>
            <w:vAlign w:val="center"/>
          </w:tcPr>
          <w:p w14:paraId="1ABA1239">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机房空调</w:t>
            </w:r>
          </w:p>
        </w:tc>
        <w:tc>
          <w:tcPr>
            <w:tcW w:w="4293" w:type="dxa"/>
            <w:vAlign w:val="center"/>
          </w:tcPr>
          <w:p w14:paraId="670D41A0">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《单元式空气调节机能效限定值及能效等级》（GB19576）</w:t>
            </w:r>
          </w:p>
        </w:tc>
      </w:tr>
      <w:tr w14:paraId="0611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1011F976">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184CCE8D">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vAlign w:val="center"/>
          </w:tcPr>
          <w:p w14:paraId="1EDBB1B1">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A02052399其他制冷空调设备</w:t>
            </w:r>
          </w:p>
        </w:tc>
        <w:tc>
          <w:tcPr>
            <w:tcW w:w="1886" w:type="dxa"/>
            <w:vAlign w:val="center"/>
          </w:tcPr>
          <w:p w14:paraId="27556857">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冷却塔</w:t>
            </w:r>
          </w:p>
        </w:tc>
        <w:tc>
          <w:tcPr>
            <w:tcW w:w="4293" w:type="dxa"/>
            <w:vAlign w:val="center"/>
          </w:tcPr>
          <w:p w14:paraId="4143547F">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《机械通风冷却塔第1部分：中小型开式冷却塔》（GB/T7190.1）</w:t>
            </w:r>
          </w:p>
          <w:p w14:paraId="0D613F77">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《机械通风冷却塔第2部分：大型开式冷却塔》（GB/T7190.2）</w:t>
            </w:r>
          </w:p>
        </w:tc>
      </w:tr>
      <w:tr w14:paraId="098E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shd w:val="clear" w:color="auto" w:fill="auto"/>
            <w:vAlign w:val="center"/>
          </w:tcPr>
          <w:p w14:paraId="236ACB0E">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7</w:t>
            </w:r>
          </w:p>
        </w:tc>
        <w:tc>
          <w:tcPr>
            <w:tcW w:w="956" w:type="dxa"/>
            <w:shd w:val="clear" w:color="auto" w:fill="auto"/>
            <w:vAlign w:val="center"/>
          </w:tcPr>
          <w:p w14:paraId="0EBB6F85">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A020601电机</w:t>
            </w:r>
          </w:p>
        </w:tc>
        <w:tc>
          <w:tcPr>
            <w:tcW w:w="1770" w:type="dxa"/>
            <w:shd w:val="clear" w:color="auto" w:fill="auto"/>
            <w:vAlign w:val="center"/>
          </w:tcPr>
          <w:p w14:paraId="231A2A27">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1886" w:type="dxa"/>
            <w:shd w:val="clear" w:color="auto" w:fill="auto"/>
            <w:vAlign w:val="center"/>
          </w:tcPr>
          <w:p w14:paraId="2D491679">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564CC934">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《中小型三相异步电动机能效限定值及能效等级》（GB18613）</w:t>
            </w:r>
          </w:p>
        </w:tc>
      </w:tr>
      <w:tr w14:paraId="6700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shd w:val="clear" w:color="auto" w:fill="auto"/>
            <w:vAlign w:val="center"/>
          </w:tcPr>
          <w:p w14:paraId="6534E7C6">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8</w:t>
            </w:r>
          </w:p>
        </w:tc>
        <w:tc>
          <w:tcPr>
            <w:tcW w:w="956" w:type="dxa"/>
            <w:shd w:val="clear" w:color="auto" w:fill="auto"/>
            <w:vAlign w:val="center"/>
          </w:tcPr>
          <w:p w14:paraId="648C7BFA">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A020602变压器</w:t>
            </w:r>
          </w:p>
        </w:tc>
        <w:tc>
          <w:tcPr>
            <w:tcW w:w="1770" w:type="dxa"/>
            <w:shd w:val="clear" w:color="auto" w:fill="auto"/>
            <w:vAlign w:val="center"/>
          </w:tcPr>
          <w:p w14:paraId="3BF70386">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配电变压器</w:t>
            </w:r>
          </w:p>
        </w:tc>
        <w:tc>
          <w:tcPr>
            <w:tcW w:w="1886" w:type="dxa"/>
            <w:shd w:val="clear" w:color="auto" w:fill="auto"/>
            <w:vAlign w:val="center"/>
          </w:tcPr>
          <w:p w14:paraId="685D8FE8">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01F76F7A">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《三相配电变压器能效限定值及能效等级》（GB20052）</w:t>
            </w:r>
          </w:p>
        </w:tc>
      </w:tr>
      <w:tr w14:paraId="2F7A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shd w:val="clear" w:color="auto" w:fill="auto"/>
            <w:vAlign w:val="center"/>
          </w:tcPr>
          <w:p w14:paraId="2B14B6CD">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9</w:t>
            </w:r>
          </w:p>
        </w:tc>
        <w:tc>
          <w:tcPr>
            <w:tcW w:w="956" w:type="dxa"/>
            <w:shd w:val="clear" w:color="auto" w:fill="auto"/>
            <w:vAlign w:val="center"/>
          </w:tcPr>
          <w:p w14:paraId="28B3F2A9">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A020609镇流器</w:t>
            </w:r>
          </w:p>
        </w:tc>
        <w:tc>
          <w:tcPr>
            <w:tcW w:w="1770" w:type="dxa"/>
            <w:shd w:val="clear" w:color="auto" w:fill="auto"/>
            <w:vAlign w:val="center"/>
          </w:tcPr>
          <w:p w14:paraId="54283C70">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管型荧光灯镇流器</w:t>
            </w:r>
          </w:p>
        </w:tc>
        <w:tc>
          <w:tcPr>
            <w:tcW w:w="1886" w:type="dxa"/>
            <w:shd w:val="clear" w:color="auto" w:fill="auto"/>
            <w:vAlign w:val="center"/>
          </w:tcPr>
          <w:p w14:paraId="6A68166F">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537B2AB5">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《管形荧光灯镇流器能效限定值及能效等级》（GB17896）</w:t>
            </w:r>
          </w:p>
        </w:tc>
      </w:tr>
      <w:tr w14:paraId="5B99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restart"/>
            <w:vAlign w:val="center"/>
          </w:tcPr>
          <w:p w14:paraId="4FAC2713">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10</w:t>
            </w:r>
          </w:p>
        </w:tc>
        <w:tc>
          <w:tcPr>
            <w:tcW w:w="956" w:type="dxa"/>
            <w:vMerge w:val="restart"/>
            <w:vAlign w:val="center"/>
          </w:tcPr>
          <w:p w14:paraId="155D1D8C">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A020618生活用电器</w:t>
            </w:r>
          </w:p>
        </w:tc>
        <w:tc>
          <w:tcPr>
            <w:tcW w:w="1770" w:type="dxa"/>
            <w:vAlign w:val="center"/>
          </w:tcPr>
          <w:p w14:paraId="6B15C6E9">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A0206180101电冰箱</w:t>
            </w:r>
          </w:p>
        </w:tc>
        <w:tc>
          <w:tcPr>
            <w:tcW w:w="1886" w:type="dxa"/>
            <w:vAlign w:val="center"/>
          </w:tcPr>
          <w:p w14:paraId="5C4C5463">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4293" w:type="dxa"/>
            <w:vAlign w:val="center"/>
          </w:tcPr>
          <w:p w14:paraId="46999843">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《家用电冰箱耗电量限定值及能效等级》（GB12021.2）</w:t>
            </w:r>
          </w:p>
        </w:tc>
      </w:tr>
      <w:tr w14:paraId="131A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60F33A99">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1ECEF7AE">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vMerge w:val="restart"/>
            <w:vAlign w:val="center"/>
          </w:tcPr>
          <w:p w14:paraId="5F5AA4C9">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A0206180203空调机</w:t>
            </w:r>
          </w:p>
        </w:tc>
        <w:tc>
          <w:tcPr>
            <w:tcW w:w="1886" w:type="dxa"/>
            <w:vAlign w:val="center"/>
          </w:tcPr>
          <w:p w14:paraId="5909E1D5">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房间空气调节器</w:t>
            </w:r>
          </w:p>
        </w:tc>
        <w:tc>
          <w:tcPr>
            <w:tcW w:w="4293" w:type="dxa"/>
            <w:vAlign w:val="center"/>
          </w:tcPr>
          <w:p w14:paraId="5DC17570">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《转速可控型房间空气调节器能效限定值及能效等级》（GB21455-2013），待2019年修订发布后，按《房间空气调节器能效限定值及能效等级》（GB21455-2019实施。</w:t>
            </w:r>
          </w:p>
        </w:tc>
      </w:tr>
      <w:tr w14:paraId="7153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42B1728A">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5B3CA197">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vMerge w:val="continue"/>
            <w:vAlign w:val="center"/>
          </w:tcPr>
          <w:p w14:paraId="760FDEAF">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886" w:type="dxa"/>
            <w:vAlign w:val="center"/>
          </w:tcPr>
          <w:p w14:paraId="140E99E0">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多联式空调（热泵）机组（制冷量</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14000W）</w:t>
            </w:r>
          </w:p>
        </w:tc>
        <w:tc>
          <w:tcPr>
            <w:tcW w:w="4293" w:type="dxa"/>
            <w:vAlign w:val="center"/>
          </w:tcPr>
          <w:p w14:paraId="2F1820B5">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《多联式空调（热泵）机组能效限定值及能源效率等级》（GB21454）</w:t>
            </w:r>
          </w:p>
        </w:tc>
      </w:tr>
      <w:tr w14:paraId="303D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499E4D09">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1BCF1930">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vMerge w:val="continue"/>
            <w:vAlign w:val="center"/>
          </w:tcPr>
          <w:p w14:paraId="423E8F37">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886" w:type="dxa"/>
            <w:vAlign w:val="center"/>
          </w:tcPr>
          <w:p w14:paraId="4552360C">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单元式空气调节机</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制冷量≤14000W</w:t>
            </w:r>
            <w:r>
              <w:rPr>
                <w:rFonts w:hint="eastAsia" w:asciiTheme="minorEastAsia" w:hAnsiTheme="minorEastAsia" w:eastAsiaTheme="minorEastAsia" w:cstheme="minorEastAsia"/>
                <w:color w:val="auto"/>
                <w:kern w:val="0"/>
                <w:sz w:val="21"/>
                <w:szCs w:val="21"/>
                <w:highlight w:val="none"/>
                <w:lang w:eastAsia="zh-CN"/>
              </w:rPr>
              <w:t>）</w:t>
            </w:r>
          </w:p>
        </w:tc>
        <w:tc>
          <w:tcPr>
            <w:tcW w:w="4293" w:type="dxa"/>
            <w:vAlign w:val="center"/>
          </w:tcPr>
          <w:p w14:paraId="5E1298F7">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《单元式空气调节机能效限定值及能源效率等级》（GB19576）</w:t>
            </w:r>
          </w:p>
          <w:p w14:paraId="23CAB802">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《风管送风式空调机组能效限定值及能效等级》（GB37479）</w:t>
            </w:r>
          </w:p>
        </w:tc>
      </w:tr>
      <w:tr w14:paraId="2868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13894AF2">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7C4B0E2E">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vAlign w:val="center"/>
          </w:tcPr>
          <w:p w14:paraId="6A3D5BBC">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A0206180301洗衣机</w:t>
            </w:r>
          </w:p>
        </w:tc>
        <w:tc>
          <w:tcPr>
            <w:tcW w:w="1886" w:type="dxa"/>
            <w:vAlign w:val="center"/>
          </w:tcPr>
          <w:p w14:paraId="1E257D8E">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4293" w:type="dxa"/>
            <w:vAlign w:val="center"/>
          </w:tcPr>
          <w:p w14:paraId="5DA93CBA">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《电动洗衣机能效水效限定值及等级》（GB12021.4）</w:t>
            </w:r>
          </w:p>
        </w:tc>
      </w:tr>
      <w:tr w14:paraId="1103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30584CFA">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3A3A6460">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vMerge w:val="restart"/>
            <w:vAlign w:val="center"/>
          </w:tcPr>
          <w:p w14:paraId="0472388C">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A02061808热水器</w:t>
            </w:r>
          </w:p>
        </w:tc>
        <w:tc>
          <w:tcPr>
            <w:tcW w:w="1886" w:type="dxa"/>
            <w:vAlign w:val="center"/>
          </w:tcPr>
          <w:p w14:paraId="77F2A22F">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电热水器</w:t>
            </w:r>
          </w:p>
        </w:tc>
        <w:tc>
          <w:tcPr>
            <w:tcW w:w="4293" w:type="dxa"/>
            <w:vAlign w:val="center"/>
          </w:tcPr>
          <w:p w14:paraId="17BAE2FE">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《储水式电热水器能效限定值及能效等级》（GB21519）</w:t>
            </w:r>
          </w:p>
        </w:tc>
      </w:tr>
      <w:tr w14:paraId="6008A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02076CD2">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16199A66">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vMerge w:val="continue"/>
            <w:vAlign w:val="center"/>
          </w:tcPr>
          <w:p w14:paraId="3EAEBA4B">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886" w:type="dxa"/>
            <w:vAlign w:val="center"/>
          </w:tcPr>
          <w:p w14:paraId="71B98E21">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燃气热水器</w:t>
            </w:r>
          </w:p>
        </w:tc>
        <w:tc>
          <w:tcPr>
            <w:tcW w:w="4293" w:type="dxa"/>
            <w:vAlign w:val="center"/>
          </w:tcPr>
          <w:p w14:paraId="3C791D00">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《家用燃气快速热水器和燃气采暖热水炉能效限定值及能效等级》（GB20665）</w:t>
            </w:r>
          </w:p>
        </w:tc>
      </w:tr>
      <w:tr w14:paraId="30C3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119CD1BA">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4EC842C1">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vMerge w:val="continue"/>
            <w:vAlign w:val="center"/>
          </w:tcPr>
          <w:p w14:paraId="05C1B628">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886" w:type="dxa"/>
            <w:vAlign w:val="center"/>
          </w:tcPr>
          <w:p w14:paraId="41B7DA9F">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热泵热水器</w:t>
            </w:r>
          </w:p>
        </w:tc>
        <w:tc>
          <w:tcPr>
            <w:tcW w:w="4293" w:type="dxa"/>
            <w:vAlign w:val="center"/>
          </w:tcPr>
          <w:p w14:paraId="556E8A5B">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《热泵热水机（器）能效限定值及能效等级》（GB29541）</w:t>
            </w:r>
          </w:p>
        </w:tc>
      </w:tr>
      <w:tr w14:paraId="6B42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35B75454">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2A6A7092">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vMerge w:val="continue"/>
            <w:vAlign w:val="center"/>
          </w:tcPr>
          <w:p w14:paraId="1FA8AB29">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886" w:type="dxa"/>
            <w:vAlign w:val="center"/>
          </w:tcPr>
          <w:p w14:paraId="56DDC2C8">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太阳能热水系统</w:t>
            </w:r>
          </w:p>
        </w:tc>
        <w:tc>
          <w:tcPr>
            <w:tcW w:w="4293" w:type="dxa"/>
            <w:vAlign w:val="center"/>
          </w:tcPr>
          <w:p w14:paraId="19F8CF61">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r>
              <w:rPr>
                <w:rFonts w:hint="eastAsia" w:asciiTheme="minorEastAsia" w:hAnsiTheme="minorEastAsia" w:eastAsiaTheme="minorEastAsia" w:cstheme="minorEastAsia"/>
                <w:color w:val="auto"/>
                <w:kern w:val="0"/>
                <w:sz w:val="21"/>
                <w:szCs w:val="21"/>
                <w:highlight w:val="none"/>
              </w:rPr>
              <w:t>《家用太阳能热水系统能效限定值及能效等级》（GB26969）</w:t>
            </w:r>
          </w:p>
        </w:tc>
      </w:tr>
      <w:tr w14:paraId="14A8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restart"/>
            <w:shd w:val="clear" w:color="auto" w:fill="auto"/>
            <w:vAlign w:val="center"/>
          </w:tcPr>
          <w:p w14:paraId="69E8F036">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11</w:t>
            </w:r>
          </w:p>
        </w:tc>
        <w:tc>
          <w:tcPr>
            <w:tcW w:w="956" w:type="dxa"/>
            <w:vMerge w:val="restart"/>
            <w:shd w:val="clear" w:color="auto" w:fill="auto"/>
            <w:vAlign w:val="center"/>
          </w:tcPr>
          <w:p w14:paraId="5BF79CF8">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A020619照明设备</w:t>
            </w:r>
          </w:p>
        </w:tc>
        <w:tc>
          <w:tcPr>
            <w:tcW w:w="1770" w:type="dxa"/>
            <w:shd w:val="clear" w:color="auto" w:fill="auto"/>
            <w:vAlign w:val="center"/>
          </w:tcPr>
          <w:p w14:paraId="6881B49B">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普通照明用双端荧光灯</w:t>
            </w:r>
          </w:p>
        </w:tc>
        <w:tc>
          <w:tcPr>
            <w:tcW w:w="1886" w:type="dxa"/>
            <w:shd w:val="clear" w:color="auto" w:fill="auto"/>
            <w:vAlign w:val="center"/>
          </w:tcPr>
          <w:p w14:paraId="4A5420DF">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p>
        </w:tc>
        <w:tc>
          <w:tcPr>
            <w:tcW w:w="4293" w:type="dxa"/>
            <w:shd w:val="clear" w:color="auto" w:fill="auto"/>
            <w:vAlign w:val="center"/>
          </w:tcPr>
          <w:p w14:paraId="76190BAD">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《普通照明用双端荧光灯能效限定值及能效等级》（GB19043）</w:t>
            </w:r>
          </w:p>
        </w:tc>
      </w:tr>
      <w:tr w14:paraId="6053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3368C3E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780F7B35">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shd w:val="clear" w:color="auto" w:fill="auto"/>
            <w:vAlign w:val="center"/>
          </w:tcPr>
          <w:p w14:paraId="5C181F3E">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LED道路/隧道照明产品</w:t>
            </w:r>
          </w:p>
        </w:tc>
        <w:tc>
          <w:tcPr>
            <w:tcW w:w="1886" w:type="dxa"/>
            <w:shd w:val="clear" w:color="auto" w:fill="auto"/>
            <w:vAlign w:val="center"/>
          </w:tcPr>
          <w:p w14:paraId="44562187">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038DF928">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《道路和隧道照明用LED灯具能效限定值及能效等级》（GB37478）</w:t>
            </w:r>
          </w:p>
        </w:tc>
      </w:tr>
      <w:tr w14:paraId="1871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76034C37">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5FC230F2">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shd w:val="clear" w:color="auto" w:fill="auto"/>
            <w:vAlign w:val="center"/>
          </w:tcPr>
          <w:p w14:paraId="3981CCC2">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LED筒灯</w:t>
            </w:r>
          </w:p>
        </w:tc>
        <w:tc>
          <w:tcPr>
            <w:tcW w:w="1886" w:type="dxa"/>
            <w:shd w:val="clear" w:color="auto" w:fill="auto"/>
            <w:vAlign w:val="center"/>
          </w:tcPr>
          <w:p w14:paraId="479759E6">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78A98574">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《室内照明用LED产品能效限定值及能效等级》（GB30255）</w:t>
            </w:r>
          </w:p>
        </w:tc>
      </w:tr>
      <w:tr w14:paraId="08D8A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0ECCDB31">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10F8FD5C">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shd w:val="clear" w:color="auto" w:fill="auto"/>
            <w:vAlign w:val="center"/>
          </w:tcPr>
          <w:p w14:paraId="1791658A">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普通照明用非定向自镇流LED灯</w:t>
            </w:r>
          </w:p>
        </w:tc>
        <w:tc>
          <w:tcPr>
            <w:tcW w:w="1886" w:type="dxa"/>
            <w:shd w:val="clear" w:color="auto" w:fill="auto"/>
            <w:vAlign w:val="center"/>
          </w:tcPr>
          <w:p w14:paraId="150904A7">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p>
        </w:tc>
        <w:tc>
          <w:tcPr>
            <w:tcW w:w="4293" w:type="dxa"/>
            <w:shd w:val="clear" w:color="auto" w:fill="auto"/>
            <w:vAlign w:val="center"/>
          </w:tcPr>
          <w:p w14:paraId="7223AAD5">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《室内照明用LED产品能效限定值及能效等级》（GB30255）</w:t>
            </w:r>
          </w:p>
        </w:tc>
      </w:tr>
      <w:tr w14:paraId="0CCE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shd w:val="clear" w:color="auto" w:fill="auto"/>
            <w:vAlign w:val="center"/>
          </w:tcPr>
          <w:p w14:paraId="25CC3BFE">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12</w:t>
            </w:r>
          </w:p>
        </w:tc>
        <w:tc>
          <w:tcPr>
            <w:tcW w:w="956" w:type="dxa"/>
            <w:shd w:val="clear" w:color="auto" w:fill="auto"/>
            <w:vAlign w:val="center"/>
          </w:tcPr>
          <w:p w14:paraId="2140BB97">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A020910电视设备</w:t>
            </w:r>
          </w:p>
        </w:tc>
        <w:tc>
          <w:tcPr>
            <w:tcW w:w="1770" w:type="dxa"/>
            <w:shd w:val="clear" w:color="auto" w:fill="auto"/>
            <w:vAlign w:val="center"/>
          </w:tcPr>
          <w:p w14:paraId="067C6C28">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A02091001普通电视设备（电视机）</w:t>
            </w:r>
          </w:p>
        </w:tc>
        <w:tc>
          <w:tcPr>
            <w:tcW w:w="1886" w:type="dxa"/>
            <w:shd w:val="clear" w:color="auto" w:fill="auto"/>
            <w:vAlign w:val="center"/>
          </w:tcPr>
          <w:p w14:paraId="61F7C8CD">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p>
        </w:tc>
        <w:tc>
          <w:tcPr>
            <w:tcW w:w="4293" w:type="dxa"/>
            <w:shd w:val="clear" w:color="auto" w:fill="auto"/>
            <w:vAlign w:val="center"/>
          </w:tcPr>
          <w:p w14:paraId="3BE6FE05">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《平板电视能效限定值及能效等级》（GB24850）</w:t>
            </w:r>
          </w:p>
        </w:tc>
      </w:tr>
      <w:tr w14:paraId="24F7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shd w:val="clear" w:color="auto" w:fill="auto"/>
            <w:vAlign w:val="center"/>
          </w:tcPr>
          <w:p w14:paraId="45FE9292">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13</w:t>
            </w:r>
          </w:p>
        </w:tc>
        <w:tc>
          <w:tcPr>
            <w:tcW w:w="956" w:type="dxa"/>
            <w:shd w:val="clear" w:color="auto" w:fill="auto"/>
            <w:vAlign w:val="center"/>
          </w:tcPr>
          <w:p w14:paraId="4F26D874">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A020911视频设备</w:t>
            </w:r>
          </w:p>
        </w:tc>
        <w:tc>
          <w:tcPr>
            <w:tcW w:w="1770" w:type="dxa"/>
            <w:shd w:val="clear" w:color="auto" w:fill="auto"/>
            <w:vAlign w:val="center"/>
          </w:tcPr>
          <w:p w14:paraId="4DCCAA3C">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A02091107视频监控设备</w:t>
            </w:r>
          </w:p>
        </w:tc>
        <w:tc>
          <w:tcPr>
            <w:tcW w:w="1886" w:type="dxa"/>
            <w:shd w:val="clear" w:color="auto" w:fill="auto"/>
            <w:vAlign w:val="center"/>
          </w:tcPr>
          <w:p w14:paraId="2E4311B7">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监视器</w:t>
            </w:r>
          </w:p>
        </w:tc>
        <w:tc>
          <w:tcPr>
            <w:tcW w:w="4293" w:type="dxa"/>
            <w:shd w:val="clear" w:color="auto" w:fill="auto"/>
            <w:vAlign w:val="center"/>
          </w:tcPr>
          <w:p w14:paraId="2D79F75B">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以射频信号为主要信号输入的监视器应符合《平板电视能效限定值及能效等级》（GB24850），以数字信号为主要信号输入的监视器应符合《计算机显示器能效限定值及能效等级》（GB21520）</w:t>
            </w:r>
          </w:p>
        </w:tc>
      </w:tr>
      <w:tr w14:paraId="54B98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shd w:val="clear" w:color="auto" w:fill="auto"/>
            <w:vAlign w:val="center"/>
          </w:tcPr>
          <w:p w14:paraId="4AFDFC41">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14</w:t>
            </w:r>
          </w:p>
        </w:tc>
        <w:tc>
          <w:tcPr>
            <w:tcW w:w="956" w:type="dxa"/>
            <w:shd w:val="clear" w:color="auto" w:fill="auto"/>
            <w:vAlign w:val="center"/>
          </w:tcPr>
          <w:p w14:paraId="3661B832">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A031210饮食炊事机械</w:t>
            </w:r>
          </w:p>
        </w:tc>
        <w:tc>
          <w:tcPr>
            <w:tcW w:w="1770" w:type="dxa"/>
            <w:shd w:val="clear" w:color="auto" w:fill="auto"/>
            <w:vAlign w:val="center"/>
          </w:tcPr>
          <w:p w14:paraId="57940D96">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商用燃气灶具</w:t>
            </w:r>
          </w:p>
        </w:tc>
        <w:tc>
          <w:tcPr>
            <w:tcW w:w="1886" w:type="dxa"/>
            <w:shd w:val="clear" w:color="auto" w:fill="auto"/>
            <w:vAlign w:val="center"/>
          </w:tcPr>
          <w:p w14:paraId="708EEBC1">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1ECDBF7D">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《商用燃气灶具能效限定值及能效等级》（GB30531）</w:t>
            </w:r>
          </w:p>
        </w:tc>
      </w:tr>
      <w:tr w14:paraId="4978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restart"/>
            <w:shd w:val="clear" w:color="auto" w:fill="auto"/>
            <w:vAlign w:val="center"/>
          </w:tcPr>
          <w:p w14:paraId="5AC271AA">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15</w:t>
            </w:r>
          </w:p>
        </w:tc>
        <w:tc>
          <w:tcPr>
            <w:tcW w:w="956" w:type="dxa"/>
            <w:vMerge w:val="restart"/>
            <w:shd w:val="clear" w:color="auto" w:fill="auto"/>
            <w:vAlign w:val="center"/>
          </w:tcPr>
          <w:p w14:paraId="32A3A0A5">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A060805便器</w:t>
            </w:r>
          </w:p>
        </w:tc>
        <w:tc>
          <w:tcPr>
            <w:tcW w:w="1770" w:type="dxa"/>
            <w:shd w:val="clear" w:color="auto" w:fill="auto"/>
            <w:vAlign w:val="center"/>
          </w:tcPr>
          <w:p w14:paraId="04229E2F">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坐便器</w:t>
            </w:r>
          </w:p>
        </w:tc>
        <w:tc>
          <w:tcPr>
            <w:tcW w:w="1886" w:type="dxa"/>
            <w:shd w:val="clear" w:color="auto" w:fill="auto"/>
            <w:vAlign w:val="center"/>
          </w:tcPr>
          <w:p w14:paraId="3E63AAA0">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7C0EA230">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《坐便器水效限定值及水效等级》（GB25502）</w:t>
            </w:r>
          </w:p>
        </w:tc>
      </w:tr>
      <w:tr w14:paraId="20EB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6CB3049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75F62693">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shd w:val="clear" w:color="auto" w:fill="auto"/>
            <w:vAlign w:val="center"/>
          </w:tcPr>
          <w:p w14:paraId="4C6F66DA">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蹲便器</w:t>
            </w:r>
          </w:p>
        </w:tc>
        <w:tc>
          <w:tcPr>
            <w:tcW w:w="1886" w:type="dxa"/>
            <w:shd w:val="clear" w:color="auto" w:fill="auto"/>
            <w:vAlign w:val="center"/>
          </w:tcPr>
          <w:p w14:paraId="504F8482">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1B0AEEE5">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《蹲便器用水效率限定值及用水效率等级》（GB30717）</w:t>
            </w:r>
          </w:p>
        </w:tc>
      </w:tr>
      <w:tr w14:paraId="16C6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vMerge w:val="continue"/>
            <w:vAlign w:val="center"/>
          </w:tcPr>
          <w:p w14:paraId="6F3D83F9">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956" w:type="dxa"/>
            <w:vMerge w:val="continue"/>
            <w:vAlign w:val="center"/>
          </w:tcPr>
          <w:p w14:paraId="20E99F16">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sz w:val="21"/>
                <w:szCs w:val="21"/>
                <w:highlight w:val="none"/>
                <w:vertAlign w:val="baseline"/>
              </w:rPr>
            </w:pPr>
          </w:p>
        </w:tc>
        <w:tc>
          <w:tcPr>
            <w:tcW w:w="1770" w:type="dxa"/>
            <w:shd w:val="clear" w:color="auto" w:fill="auto"/>
            <w:vAlign w:val="center"/>
          </w:tcPr>
          <w:p w14:paraId="3DF0D5F2">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小便器</w:t>
            </w:r>
          </w:p>
        </w:tc>
        <w:tc>
          <w:tcPr>
            <w:tcW w:w="1886" w:type="dxa"/>
            <w:shd w:val="clear" w:color="auto" w:fill="auto"/>
            <w:vAlign w:val="center"/>
          </w:tcPr>
          <w:p w14:paraId="6BC42B5A">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1B169341">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《小便器用水效率限定值及用水效率等级》（GB28377）</w:t>
            </w:r>
          </w:p>
        </w:tc>
      </w:tr>
      <w:tr w14:paraId="49D79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shd w:val="clear" w:color="auto" w:fill="auto"/>
            <w:vAlign w:val="center"/>
          </w:tcPr>
          <w:p w14:paraId="3EED3623">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16</w:t>
            </w:r>
          </w:p>
        </w:tc>
        <w:tc>
          <w:tcPr>
            <w:tcW w:w="956" w:type="dxa"/>
            <w:shd w:val="clear" w:color="auto" w:fill="auto"/>
            <w:vAlign w:val="center"/>
          </w:tcPr>
          <w:p w14:paraId="44F9DFBE">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A060806水嘴</w:t>
            </w:r>
          </w:p>
        </w:tc>
        <w:tc>
          <w:tcPr>
            <w:tcW w:w="1770" w:type="dxa"/>
            <w:shd w:val="clear" w:color="auto" w:fill="auto"/>
            <w:vAlign w:val="center"/>
          </w:tcPr>
          <w:p w14:paraId="15FD2AAE">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1886" w:type="dxa"/>
            <w:shd w:val="clear" w:color="auto" w:fill="auto"/>
            <w:vAlign w:val="center"/>
          </w:tcPr>
          <w:p w14:paraId="7C79EC43">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627BCF8E">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《水嘴用水效率限定值及用水效率等级》（GB 25501）</w:t>
            </w:r>
          </w:p>
        </w:tc>
      </w:tr>
      <w:tr w14:paraId="37E9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shd w:val="clear" w:color="auto" w:fill="auto"/>
            <w:vAlign w:val="center"/>
          </w:tcPr>
          <w:p w14:paraId="3E07D34E">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17</w:t>
            </w:r>
          </w:p>
        </w:tc>
        <w:tc>
          <w:tcPr>
            <w:tcW w:w="956" w:type="dxa"/>
            <w:shd w:val="clear" w:color="auto" w:fill="auto"/>
            <w:vAlign w:val="center"/>
          </w:tcPr>
          <w:p w14:paraId="7CE5992B">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A060807便器冲洗阀</w:t>
            </w:r>
          </w:p>
        </w:tc>
        <w:tc>
          <w:tcPr>
            <w:tcW w:w="1770" w:type="dxa"/>
            <w:shd w:val="clear" w:color="auto" w:fill="auto"/>
            <w:vAlign w:val="center"/>
          </w:tcPr>
          <w:p w14:paraId="74E2741F">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1886" w:type="dxa"/>
            <w:shd w:val="clear" w:color="auto" w:fill="auto"/>
            <w:vAlign w:val="center"/>
          </w:tcPr>
          <w:p w14:paraId="6198F8C3">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23D2D9D0">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《便器冲洗阀用水效率限定值及用水效率等级》（GB28379）</w:t>
            </w:r>
          </w:p>
        </w:tc>
      </w:tr>
      <w:tr w14:paraId="5849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4" w:type="dxa"/>
            <w:shd w:val="clear" w:color="auto" w:fill="auto"/>
            <w:vAlign w:val="center"/>
          </w:tcPr>
          <w:p w14:paraId="733D7427">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18</w:t>
            </w:r>
          </w:p>
        </w:tc>
        <w:tc>
          <w:tcPr>
            <w:tcW w:w="956" w:type="dxa"/>
            <w:shd w:val="clear" w:color="auto" w:fill="auto"/>
            <w:vAlign w:val="center"/>
          </w:tcPr>
          <w:p w14:paraId="553167FC">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A060810淋浴器</w:t>
            </w:r>
          </w:p>
        </w:tc>
        <w:tc>
          <w:tcPr>
            <w:tcW w:w="1770" w:type="dxa"/>
            <w:shd w:val="clear" w:color="auto" w:fill="auto"/>
            <w:vAlign w:val="center"/>
          </w:tcPr>
          <w:p w14:paraId="6639C661">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1886" w:type="dxa"/>
            <w:shd w:val="clear" w:color="auto" w:fill="auto"/>
            <w:vAlign w:val="center"/>
          </w:tcPr>
          <w:p w14:paraId="2D70F2B5">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en-US" w:bidi="ar-SA"/>
              </w:rPr>
            </w:pPr>
          </w:p>
        </w:tc>
        <w:tc>
          <w:tcPr>
            <w:tcW w:w="4293" w:type="dxa"/>
            <w:shd w:val="clear" w:color="auto" w:fill="auto"/>
            <w:vAlign w:val="center"/>
          </w:tcPr>
          <w:p w14:paraId="4615D8B6">
            <w:pPr>
              <w:keepNext w:val="0"/>
              <w:keepLines w:val="0"/>
              <w:pageBreakBefore w:val="0"/>
              <w:widowControl w:val="0"/>
              <w:kinsoku/>
              <w:wordWrap/>
              <w:overflowPunct/>
              <w:topLinePunct w:val="0"/>
              <w:autoSpaceDE/>
              <w:autoSpaceDN/>
              <w:bidi w:val="0"/>
              <w:adjustRightInd/>
              <w:spacing w:line="3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rPr>
              <w:t>《淋浴器用水效率限定值及用水效率等级》（GB28378）</w:t>
            </w:r>
          </w:p>
        </w:tc>
      </w:tr>
    </w:tbl>
    <w:p w14:paraId="667EBB08">
      <w:pPr>
        <w:pStyle w:val="14"/>
        <w:jc w:val="left"/>
        <w:rPr>
          <w:rFonts w:hint="eastAsia" w:asciiTheme="minorEastAsia" w:hAnsiTheme="minorEastAsia" w:eastAsiaTheme="minorEastAsia" w:cstheme="minorEastAsia"/>
          <w:b/>
          <w:bCs/>
          <w:color w:val="auto"/>
          <w:spacing w:val="-3"/>
          <w:sz w:val="21"/>
          <w:szCs w:val="21"/>
        </w:rPr>
      </w:pPr>
      <w:r>
        <w:rPr>
          <w:rFonts w:hint="eastAsia" w:asciiTheme="minorEastAsia" w:hAnsiTheme="minorEastAsia" w:eastAsiaTheme="minorEastAsia" w:cstheme="minorEastAsia"/>
          <w:b/>
          <w:bCs/>
          <w:color w:val="auto"/>
          <w:spacing w:val="-3"/>
          <w:sz w:val="21"/>
          <w:szCs w:val="21"/>
        </w:rPr>
        <w:t>注：</w:t>
      </w:r>
    </w:p>
    <w:p w14:paraId="055695AB">
      <w:pPr>
        <w:pStyle w:val="14"/>
        <w:ind w:firstLine="410" w:firstLineChars="200"/>
        <w:jc w:val="left"/>
        <w:rPr>
          <w:rFonts w:hint="eastAsia" w:asciiTheme="minorEastAsia" w:hAnsiTheme="minorEastAsia" w:eastAsiaTheme="minorEastAsia" w:cstheme="minorEastAsia"/>
          <w:b/>
          <w:bCs/>
          <w:color w:val="auto"/>
          <w:spacing w:val="-3"/>
          <w:sz w:val="21"/>
          <w:szCs w:val="21"/>
        </w:rPr>
      </w:pPr>
      <w:r>
        <w:rPr>
          <w:rFonts w:hint="eastAsia" w:asciiTheme="minorEastAsia" w:hAnsiTheme="minorEastAsia" w:eastAsiaTheme="minorEastAsia" w:cstheme="minorEastAsia"/>
          <w:b/>
          <w:bCs/>
          <w:color w:val="auto"/>
          <w:spacing w:val="-3"/>
          <w:sz w:val="21"/>
          <w:szCs w:val="21"/>
        </w:rPr>
        <w:t>1.节能产品认证应依据相关国家标准的最新版本，依据国家标准中二级能效（水效）指标。</w:t>
      </w:r>
    </w:p>
    <w:p w14:paraId="4D1C9B86">
      <w:pPr>
        <w:pStyle w:val="14"/>
        <w:ind w:firstLine="410" w:firstLineChars="200"/>
        <w:jc w:val="left"/>
        <w:rPr>
          <w:rFonts w:hint="eastAsia" w:asciiTheme="minorEastAsia" w:hAnsiTheme="minorEastAsia" w:eastAsiaTheme="minorEastAsia" w:cstheme="minorEastAsia"/>
          <w:b/>
          <w:bCs/>
          <w:color w:val="auto"/>
          <w:spacing w:val="-3"/>
          <w:sz w:val="21"/>
          <w:szCs w:val="21"/>
        </w:rPr>
      </w:pPr>
      <w:r>
        <w:rPr>
          <w:rFonts w:hint="eastAsia" w:asciiTheme="minorEastAsia" w:hAnsiTheme="minorEastAsia" w:eastAsiaTheme="minorEastAsia" w:cstheme="minorEastAsia"/>
          <w:b/>
          <w:bCs/>
          <w:color w:val="auto"/>
          <w:spacing w:val="-3"/>
          <w:sz w:val="21"/>
          <w:szCs w:val="21"/>
        </w:rPr>
        <w:t>2.以“★”标注的为政府强制采购产品。</w:t>
      </w:r>
    </w:p>
    <w:p w14:paraId="7778FF9E">
      <w:pPr>
        <w:pStyle w:val="14"/>
        <w:ind w:firstLine="410" w:firstLineChars="200"/>
        <w:jc w:val="left"/>
        <w:rPr>
          <w:rFonts w:hint="eastAsia" w:asciiTheme="minorEastAsia" w:hAnsiTheme="minorEastAsia" w:eastAsiaTheme="minorEastAsia" w:cstheme="minorEastAsia"/>
          <w:color w:val="auto"/>
          <w:spacing w:val="-3"/>
          <w:sz w:val="21"/>
          <w:szCs w:val="21"/>
        </w:rPr>
      </w:pPr>
      <w:r>
        <w:rPr>
          <w:rFonts w:hint="eastAsia" w:asciiTheme="minorEastAsia" w:hAnsiTheme="minorEastAsia" w:eastAsiaTheme="minorEastAsia" w:cstheme="minorEastAsia"/>
          <w:b/>
          <w:bCs/>
          <w:color w:val="auto"/>
          <w:spacing w:val="-3"/>
          <w:sz w:val="21"/>
          <w:szCs w:val="21"/>
        </w:rPr>
        <w:t>3.本表格原为《关于印发节能产品政府采购品目清单的通知》（财库〔2019〕19号</w:t>
      </w:r>
      <w:r>
        <w:rPr>
          <w:rFonts w:hint="eastAsia" w:asciiTheme="minorEastAsia" w:hAnsiTheme="minorEastAsia" w:eastAsiaTheme="minorEastAsia" w:cstheme="minorEastAsia"/>
          <w:b/>
          <w:bCs/>
          <w:color w:val="auto"/>
          <w:spacing w:val="-3"/>
          <w:sz w:val="21"/>
          <w:szCs w:val="21"/>
          <w:lang w:eastAsia="zh-CN"/>
        </w:rPr>
        <w:t>）</w:t>
      </w:r>
      <w:r>
        <w:rPr>
          <w:rFonts w:hint="eastAsia" w:asciiTheme="minorEastAsia" w:hAnsiTheme="minorEastAsia" w:eastAsiaTheme="minorEastAsia" w:cstheme="minorEastAsia"/>
          <w:b/>
          <w:bCs/>
          <w:color w:val="auto"/>
          <w:spacing w:val="-3"/>
          <w:sz w:val="21"/>
          <w:szCs w:val="21"/>
        </w:rPr>
        <w:t>规定的表格附件，其中名称及编码已根据《财政部关于印发〈政府采购品目分类目录〉的通知》（财库〔2022〕31号</w:t>
      </w:r>
      <w:r>
        <w:rPr>
          <w:rFonts w:hint="eastAsia" w:asciiTheme="minorEastAsia" w:hAnsiTheme="minorEastAsia" w:eastAsiaTheme="minorEastAsia" w:cstheme="minorEastAsia"/>
          <w:b/>
          <w:bCs/>
          <w:color w:val="auto"/>
          <w:spacing w:val="-3"/>
          <w:sz w:val="21"/>
          <w:szCs w:val="21"/>
          <w:lang w:eastAsia="zh-CN"/>
        </w:rPr>
        <w:t>）</w:t>
      </w:r>
      <w:r>
        <w:rPr>
          <w:rFonts w:hint="eastAsia" w:asciiTheme="minorEastAsia" w:hAnsiTheme="minorEastAsia" w:eastAsiaTheme="minorEastAsia" w:cstheme="minorEastAsia"/>
          <w:b/>
          <w:bCs/>
          <w:color w:val="auto"/>
          <w:spacing w:val="-3"/>
          <w:sz w:val="21"/>
          <w:szCs w:val="21"/>
        </w:rPr>
        <w:t>修改。</w:t>
      </w:r>
    </w:p>
    <w:p w14:paraId="5C39238C">
      <w:pPr>
        <w:pStyle w:val="14"/>
        <w:ind w:firstLine="468" w:firstLineChars="200"/>
        <w:jc w:val="left"/>
        <w:rPr>
          <w:rFonts w:hint="eastAsia" w:asciiTheme="minorEastAsia" w:hAnsiTheme="minorEastAsia" w:eastAsiaTheme="minorEastAsia" w:cstheme="minorEastAsia"/>
          <w:color w:val="auto"/>
          <w:spacing w:val="-3"/>
          <w:sz w:val="24"/>
          <w:szCs w:val="24"/>
        </w:rPr>
      </w:pPr>
    </w:p>
    <w:p w14:paraId="5C9E2071">
      <w:pP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br w:type="page"/>
      </w:r>
    </w:p>
    <w:p w14:paraId="1BE1BB20">
      <w:pPr>
        <w:pStyle w:val="14"/>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附件2</w:t>
      </w:r>
    </w:p>
    <w:p w14:paraId="5B144B04">
      <w:pPr>
        <w:snapToGrid w:val="0"/>
        <w:spacing w:line="360" w:lineRule="auto"/>
        <w:jc w:val="center"/>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中小微企业划型标准</w:t>
      </w:r>
    </w:p>
    <w:tbl>
      <w:tblPr>
        <w:tblStyle w:val="26"/>
        <w:tblW w:w="4998" w:type="pct"/>
        <w:jc w:val="center"/>
        <w:tblLayout w:type="autofit"/>
        <w:tblCellMar>
          <w:top w:w="0" w:type="dxa"/>
          <w:left w:w="108" w:type="dxa"/>
          <w:bottom w:w="0" w:type="dxa"/>
          <w:right w:w="108" w:type="dxa"/>
        </w:tblCellMar>
      </w:tblPr>
      <w:tblGrid>
        <w:gridCol w:w="1998"/>
        <w:gridCol w:w="1276"/>
        <w:gridCol w:w="1076"/>
        <w:gridCol w:w="2110"/>
        <w:gridCol w:w="1694"/>
        <w:gridCol w:w="1696"/>
      </w:tblGrid>
      <w:tr w14:paraId="1C5CFBA6">
        <w:tblPrEx>
          <w:tblCellMar>
            <w:top w:w="0" w:type="dxa"/>
            <w:left w:w="108" w:type="dxa"/>
            <w:bottom w:w="0" w:type="dxa"/>
            <w:right w:w="108" w:type="dxa"/>
          </w:tblCellMar>
        </w:tblPrEx>
        <w:trPr>
          <w:trHeight w:val="340" w:hRule="atLeast"/>
          <w:jc w:val="center"/>
        </w:trPr>
        <w:tc>
          <w:tcPr>
            <w:tcW w:w="1014" w:type="pct"/>
            <w:tcBorders>
              <w:top w:val="single" w:color="auto" w:sz="4" w:space="0"/>
              <w:left w:val="single" w:color="auto" w:sz="4" w:space="0"/>
              <w:bottom w:val="single" w:color="auto" w:sz="4" w:space="0"/>
              <w:right w:val="single" w:color="auto" w:sz="4" w:space="0"/>
            </w:tcBorders>
            <w:noWrap w:val="0"/>
            <w:vAlign w:val="center"/>
          </w:tcPr>
          <w:p w14:paraId="264140E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color w:val="auto"/>
                <w:kern w:val="0"/>
                <w:sz w:val="18"/>
                <w:szCs w:val="18"/>
                <w:highlight w:val="none"/>
              </w:rPr>
            </w:pPr>
            <w:r>
              <w:rPr>
                <w:rFonts w:hint="eastAsia" w:asciiTheme="minorEastAsia" w:hAnsiTheme="minorEastAsia" w:eastAsiaTheme="minorEastAsia" w:cstheme="minorEastAsia"/>
                <w:b/>
                <w:color w:val="auto"/>
                <w:kern w:val="0"/>
                <w:sz w:val="18"/>
                <w:szCs w:val="18"/>
                <w:highlight w:val="none"/>
              </w:rPr>
              <w:t>行业名称</w:t>
            </w:r>
          </w:p>
        </w:tc>
        <w:tc>
          <w:tcPr>
            <w:tcW w:w="647" w:type="pct"/>
            <w:tcBorders>
              <w:top w:val="single" w:color="auto" w:sz="4" w:space="0"/>
              <w:left w:val="nil"/>
              <w:bottom w:val="single" w:color="auto" w:sz="4" w:space="0"/>
              <w:right w:val="single" w:color="auto" w:sz="4" w:space="0"/>
            </w:tcBorders>
            <w:noWrap w:val="0"/>
            <w:vAlign w:val="center"/>
          </w:tcPr>
          <w:p w14:paraId="4A5C99B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color w:val="auto"/>
                <w:kern w:val="0"/>
                <w:sz w:val="18"/>
                <w:szCs w:val="18"/>
                <w:highlight w:val="none"/>
              </w:rPr>
            </w:pPr>
            <w:r>
              <w:rPr>
                <w:rFonts w:hint="eastAsia" w:asciiTheme="minorEastAsia" w:hAnsiTheme="minorEastAsia" w:eastAsiaTheme="minorEastAsia" w:cstheme="minorEastAsia"/>
                <w:b/>
                <w:color w:val="auto"/>
                <w:kern w:val="0"/>
                <w:sz w:val="18"/>
                <w:szCs w:val="18"/>
                <w:highlight w:val="none"/>
              </w:rPr>
              <w:t>指标名称</w:t>
            </w:r>
          </w:p>
        </w:tc>
        <w:tc>
          <w:tcPr>
            <w:tcW w:w="546" w:type="pct"/>
            <w:tcBorders>
              <w:top w:val="single" w:color="auto" w:sz="4" w:space="0"/>
              <w:left w:val="nil"/>
              <w:bottom w:val="single" w:color="auto" w:sz="4" w:space="0"/>
              <w:right w:val="single" w:color="auto" w:sz="4" w:space="0"/>
            </w:tcBorders>
            <w:noWrap w:val="0"/>
            <w:vAlign w:val="center"/>
          </w:tcPr>
          <w:p w14:paraId="457B982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color w:val="auto"/>
                <w:kern w:val="0"/>
                <w:sz w:val="18"/>
                <w:szCs w:val="18"/>
                <w:highlight w:val="none"/>
              </w:rPr>
            </w:pPr>
            <w:r>
              <w:rPr>
                <w:rFonts w:hint="eastAsia" w:asciiTheme="minorEastAsia" w:hAnsiTheme="minorEastAsia" w:eastAsiaTheme="minorEastAsia" w:cstheme="minorEastAsia"/>
                <w:b/>
                <w:color w:val="auto"/>
                <w:kern w:val="0"/>
                <w:sz w:val="18"/>
                <w:szCs w:val="18"/>
                <w:highlight w:val="none"/>
              </w:rPr>
              <w:t>计量单位</w:t>
            </w:r>
          </w:p>
        </w:tc>
        <w:tc>
          <w:tcPr>
            <w:tcW w:w="1070" w:type="pct"/>
            <w:tcBorders>
              <w:top w:val="single" w:color="auto" w:sz="4" w:space="0"/>
              <w:left w:val="nil"/>
              <w:bottom w:val="single" w:color="auto" w:sz="4" w:space="0"/>
              <w:right w:val="single" w:color="auto" w:sz="4" w:space="0"/>
            </w:tcBorders>
            <w:noWrap w:val="0"/>
            <w:vAlign w:val="center"/>
          </w:tcPr>
          <w:p w14:paraId="0BF2973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color w:val="auto"/>
                <w:kern w:val="0"/>
                <w:sz w:val="18"/>
                <w:szCs w:val="18"/>
                <w:highlight w:val="none"/>
              </w:rPr>
            </w:pPr>
            <w:r>
              <w:rPr>
                <w:rFonts w:hint="eastAsia" w:asciiTheme="minorEastAsia" w:hAnsiTheme="minorEastAsia" w:eastAsiaTheme="minorEastAsia" w:cstheme="minorEastAsia"/>
                <w:b/>
                <w:color w:val="auto"/>
                <w:kern w:val="0"/>
                <w:sz w:val="18"/>
                <w:szCs w:val="18"/>
                <w:highlight w:val="none"/>
              </w:rPr>
              <w:t>中型</w:t>
            </w:r>
          </w:p>
        </w:tc>
        <w:tc>
          <w:tcPr>
            <w:tcW w:w="859" w:type="pct"/>
            <w:tcBorders>
              <w:top w:val="single" w:color="auto" w:sz="4" w:space="0"/>
              <w:left w:val="nil"/>
              <w:bottom w:val="single" w:color="auto" w:sz="4" w:space="0"/>
              <w:right w:val="single" w:color="auto" w:sz="4" w:space="0"/>
            </w:tcBorders>
            <w:noWrap w:val="0"/>
            <w:vAlign w:val="center"/>
          </w:tcPr>
          <w:p w14:paraId="3761FEC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color w:val="auto"/>
                <w:kern w:val="0"/>
                <w:sz w:val="18"/>
                <w:szCs w:val="18"/>
                <w:highlight w:val="none"/>
              </w:rPr>
            </w:pPr>
            <w:r>
              <w:rPr>
                <w:rFonts w:hint="eastAsia" w:asciiTheme="minorEastAsia" w:hAnsiTheme="minorEastAsia" w:eastAsiaTheme="minorEastAsia" w:cstheme="minorEastAsia"/>
                <w:b/>
                <w:color w:val="auto"/>
                <w:kern w:val="0"/>
                <w:sz w:val="18"/>
                <w:szCs w:val="18"/>
                <w:highlight w:val="none"/>
              </w:rPr>
              <w:t>小型</w:t>
            </w:r>
          </w:p>
        </w:tc>
        <w:tc>
          <w:tcPr>
            <w:tcW w:w="860" w:type="pct"/>
            <w:tcBorders>
              <w:top w:val="single" w:color="auto" w:sz="4" w:space="0"/>
              <w:left w:val="nil"/>
              <w:bottom w:val="single" w:color="auto" w:sz="4" w:space="0"/>
              <w:right w:val="single" w:color="auto" w:sz="4" w:space="0"/>
            </w:tcBorders>
            <w:noWrap w:val="0"/>
            <w:vAlign w:val="center"/>
          </w:tcPr>
          <w:p w14:paraId="704B4C7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color w:val="auto"/>
                <w:kern w:val="0"/>
                <w:sz w:val="18"/>
                <w:szCs w:val="18"/>
                <w:highlight w:val="none"/>
              </w:rPr>
            </w:pPr>
            <w:r>
              <w:rPr>
                <w:rFonts w:hint="eastAsia" w:asciiTheme="minorEastAsia" w:hAnsiTheme="minorEastAsia" w:eastAsiaTheme="minorEastAsia" w:cstheme="minorEastAsia"/>
                <w:b/>
                <w:color w:val="auto"/>
                <w:kern w:val="0"/>
                <w:sz w:val="18"/>
                <w:szCs w:val="18"/>
                <w:highlight w:val="none"/>
              </w:rPr>
              <w:t>微型</w:t>
            </w:r>
          </w:p>
        </w:tc>
      </w:tr>
      <w:tr w14:paraId="668D1F67">
        <w:tblPrEx>
          <w:tblCellMar>
            <w:top w:w="0" w:type="dxa"/>
            <w:left w:w="108" w:type="dxa"/>
            <w:bottom w:w="0" w:type="dxa"/>
            <w:right w:w="108" w:type="dxa"/>
          </w:tblCellMar>
        </w:tblPrEx>
        <w:trPr>
          <w:trHeight w:val="340" w:hRule="atLeast"/>
          <w:jc w:val="center"/>
        </w:trPr>
        <w:tc>
          <w:tcPr>
            <w:tcW w:w="1014" w:type="pct"/>
            <w:tcBorders>
              <w:top w:val="nil"/>
              <w:left w:val="single" w:color="auto" w:sz="4" w:space="0"/>
              <w:bottom w:val="single" w:color="auto" w:sz="4" w:space="0"/>
              <w:right w:val="single" w:color="auto" w:sz="4" w:space="0"/>
            </w:tcBorders>
            <w:noWrap w:val="0"/>
            <w:vAlign w:val="center"/>
          </w:tcPr>
          <w:p w14:paraId="064C34F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农、林、牧、渔</w:t>
            </w:r>
          </w:p>
        </w:tc>
        <w:tc>
          <w:tcPr>
            <w:tcW w:w="647" w:type="pct"/>
            <w:tcBorders>
              <w:top w:val="nil"/>
              <w:left w:val="nil"/>
              <w:bottom w:val="single" w:color="auto" w:sz="4" w:space="0"/>
              <w:right w:val="single" w:color="auto" w:sz="4" w:space="0"/>
            </w:tcBorders>
            <w:noWrap w:val="0"/>
            <w:vAlign w:val="center"/>
          </w:tcPr>
          <w:p w14:paraId="5758661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546" w:type="pct"/>
            <w:tcBorders>
              <w:top w:val="nil"/>
              <w:left w:val="nil"/>
              <w:bottom w:val="single" w:color="auto" w:sz="4" w:space="0"/>
              <w:right w:val="single" w:color="auto" w:sz="4" w:space="0"/>
            </w:tcBorders>
            <w:noWrap w:val="0"/>
            <w:vAlign w:val="center"/>
          </w:tcPr>
          <w:p w14:paraId="0A04B22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3319251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859" w:type="pct"/>
            <w:tcBorders>
              <w:top w:val="nil"/>
              <w:left w:val="nil"/>
              <w:bottom w:val="single" w:color="auto" w:sz="4" w:space="0"/>
              <w:right w:val="single" w:color="auto" w:sz="4" w:space="0"/>
            </w:tcBorders>
            <w:noWrap w:val="0"/>
            <w:vAlign w:val="center"/>
          </w:tcPr>
          <w:p w14:paraId="7CBD8D8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50≤Y＜500</w:t>
            </w:r>
          </w:p>
        </w:tc>
        <w:tc>
          <w:tcPr>
            <w:tcW w:w="860" w:type="pct"/>
            <w:tcBorders>
              <w:top w:val="nil"/>
              <w:left w:val="nil"/>
              <w:bottom w:val="single" w:color="auto" w:sz="4" w:space="0"/>
              <w:right w:val="single" w:color="auto" w:sz="4" w:space="0"/>
            </w:tcBorders>
            <w:noWrap w:val="0"/>
            <w:vAlign w:val="center"/>
          </w:tcPr>
          <w:p w14:paraId="065279B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5A95307E">
        <w:tblPrEx>
          <w:tblCellMar>
            <w:top w:w="0" w:type="dxa"/>
            <w:left w:w="108" w:type="dxa"/>
            <w:bottom w:w="0" w:type="dxa"/>
            <w:right w:w="108" w:type="dxa"/>
          </w:tblCellMar>
        </w:tblPrEx>
        <w:trPr>
          <w:trHeight w:val="340" w:hRule="atLeast"/>
          <w:jc w:val="center"/>
        </w:trPr>
        <w:tc>
          <w:tcPr>
            <w:tcW w:w="1014" w:type="pct"/>
            <w:vMerge w:val="restart"/>
            <w:tcBorders>
              <w:top w:val="nil"/>
              <w:left w:val="single" w:color="auto" w:sz="4" w:space="0"/>
              <w:bottom w:val="single" w:color="auto" w:sz="4" w:space="0"/>
              <w:right w:val="single" w:color="auto" w:sz="4" w:space="0"/>
            </w:tcBorders>
            <w:noWrap w:val="0"/>
            <w:vAlign w:val="center"/>
          </w:tcPr>
          <w:p w14:paraId="2A7821A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工业</w:t>
            </w:r>
          </w:p>
        </w:tc>
        <w:tc>
          <w:tcPr>
            <w:tcW w:w="647" w:type="pct"/>
            <w:tcBorders>
              <w:top w:val="nil"/>
              <w:left w:val="nil"/>
              <w:bottom w:val="single" w:color="auto" w:sz="4" w:space="0"/>
              <w:right w:val="single" w:color="auto" w:sz="4" w:space="0"/>
            </w:tcBorders>
            <w:noWrap w:val="0"/>
            <w:vAlign w:val="center"/>
          </w:tcPr>
          <w:p w14:paraId="723AAF6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lang w:eastAsia="zh-CN"/>
              </w:rPr>
              <w:t>从业人员（X）</w:t>
            </w:r>
          </w:p>
        </w:tc>
        <w:tc>
          <w:tcPr>
            <w:tcW w:w="546" w:type="pct"/>
            <w:tcBorders>
              <w:top w:val="nil"/>
              <w:left w:val="nil"/>
              <w:bottom w:val="single" w:color="auto" w:sz="4" w:space="0"/>
              <w:right w:val="single" w:color="auto" w:sz="4" w:space="0"/>
            </w:tcBorders>
            <w:noWrap w:val="0"/>
            <w:vAlign w:val="center"/>
          </w:tcPr>
          <w:p w14:paraId="33D2842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070" w:type="pct"/>
            <w:tcBorders>
              <w:top w:val="nil"/>
              <w:left w:val="nil"/>
              <w:bottom w:val="single" w:color="auto" w:sz="4" w:space="0"/>
              <w:right w:val="single" w:color="auto" w:sz="4" w:space="0"/>
            </w:tcBorders>
            <w:noWrap w:val="0"/>
            <w:vAlign w:val="center"/>
          </w:tcPr>
          <w:p w14:paraId="14BA47C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＜1000</w:t>
            </w:r>
          </w:p>
        </w:tc>
        <w:tc>
          <w:tcPr>
            <w:tcW w:w="859" w:type="pct"/>
            <w:tcBorders>
              <w:top w:val="nil"/>
              <w:left w:val="nil"/>
              <w:bottom w:val="single" w:color="auto" w:sz="4" w:space="0"/>
              <w:right w:val="single" w:color="auto" w:sz="4" w:space="0"/>
            </w:tcBorders>
            <w:noWrap w:val="0"/>
            <w:vAlign w:val="center"/>
          </w:tcPr>
          <w:p w14:paraId="50D4727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＜300</w:t>
            </w:r>
          </w:p>
        </w:tc>
        <w:tc>
          <w:tcPr>
            <w:tcW w:w="860" w:type="pct"/>
            <w:tcBorders>
              <w:top w:val="nil"/>
              <w:left w:val="nil"/>
              <w:bottom w:val="single" w:color="auto" w:sz="4" w:space="0"/>
              <w:right w:val="single" w:color="auto" w:sz="4" w:space="0"/>
            </w:tcBorders>
            <w:noWrap w:val="0"/>
            <w:vAlign w:val="center"/>
          </w:tcPr>
          <w:p w14:paraId="0B7FE9E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＜20</w:t>
            </w:r>
          </w:p>
        </w:tc>
      </w:tr>
      <w:tr w14:paraId="1CE34F05">
        <w:tblPrEx>
          <w:tblCellMar>
            <w:top w:w="0" w:type="dxa"/>
            <w:left w:w="108" w:type="dxa"/>
            <w:bottom w:w="0" w:type="dxa"/>
            <w:right w:w="108" w:type="dxa"/>
          </w:tblCellMar>
        </w:tblPrEx>
        <w:trPr>
          <w:trHeight w:val="340" w:hRule="atLeast"/>
          <w:jc w:val="center"/>
        </w:trPr>
        <w:tc>
          <w:tcPr>
            <w:tcW w:w="1014" w:type="pct"/>
            <w:vMerge w:val="continue"/>
            <w:tcBorders>
              <w:top w:val="nil"/>
              <w:left w:val="single" w:color="auto" w:sz="4" w:space="0"/>
              <w:bottom w:val="single" w:color="auto" w:sz="4" w:space="0"/>
              <w:right w:val="single" w:color="auto" w:sz="4" w:space="0"/>
            </w:tcBorders>
            <w:noWrap w:val="0"/>
            <w:vAlign w:val="center"/>
          </w:tcPr>
          <w:p w14:paraId="7754931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p>
        </w:tc>
        <w:tc>
          <w:tcPr>
            <w:tcW w:w="647" w:type="pct"/>
            <w:tcBorders>
              <w:top w:val="nil"/>
              <w:left w:val="nil"/>
              <w:bottom w:val="single" w:color="auto" w:sz="4" w:space="0"/>
              <w:right w:val="single" w:color="auto" w:sz="4" w:space="0"/>
            </w:tcBorders>
            <w:noWrap w:val="0"/>
            <w:vAlign w:val="center"/>
          </w:tcPr>
          <w:p w14:paraId="6BCF22A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546" w:type="pct"/>
            <w:tcBorders>
              <w:top w:val="nil"/>
              <w:left w:val="nil"/>
              <w:bottom w:val="single" w:color="auto" w:sz="4" w:space="0"/>
              <w:right w:val="single" w:color="auto" w:sz="4" w:space="0"/>
            </w:tcBorders>
            <w:noWrap w:val="0"/>
            <w:vAlign w:val="center"/>
          </w:tcPr>
          <w:p w14:paraId="7B6CA21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73608A9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2000≤Y＜40000</w:t>
            </w:r>
          </w:p>
        </w:tc>
        <w:tc>
          <w:tcPr>
            <w:tcW w:w="859" w:type="pct"/>
            <w:tcBorders>
              <w:top w:val="nil"/>
              <w:left w:val="nil"/>
              <w:bottom w:val="single" w:color="auto" w:sz="4" w:space="0"/>
              <w:right w:val="single" w:color="auto" w:sz="4" w:space="0"/>
            </w:tcBorders>
            <w:noWrap w:val="0"/>
            <w:vAlign w:val="center"/>
          </w:tcPr>
          <w:p w14:paraId="6840E92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300≤Y＜2000</w:t>
            </w:r>
          </w:p>
        </w:tc>
        <w:tc>
          <w:tcPr>
            <w:tcW w:w="860" w:type="pct"/>
            <w:tcBorders>
              <w:top w:val="nil"/>
              <w:left w:val="nil"/>
              <w:bottom w:val="single" w:color="auto" w:sz="4" w:space="0"/>
              <w:right w:val="single" w:color="auto" w:sz="4" w:space="0"/>
            </w:tcBorders>
            <w:noWrap w:val="0"/>
            <w:vAlign w:val="center"/>
          </w:tcPr>
          <w:p w14:paraId="35BB3F6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273CA822">
        <w:tblPrEx>
          <w:tblCellMar>
            <w:top w:w="0" w:type="dxa"/>
            <w:left w:w="108" w:type="dxa"/>
            <w:bottom w:w="0" w:type="dxa"/>
            <w:right w:w="108" w:type="dxa"/>
          </w:tblCellMar>
        </w:tblPrEx>
        <w:trPr>
          <w:trHeight w:val="340" w:hRule="atLeast"/>
          <w:jc w:val="center"/>
        </w:trPr>
        <w:tc>
          <w:tcPr>
            <w:tcW w:w="1014" w:type="pct"/>
            <w:vMerge w:val="restart"/>
            <w:tcBorders>
              <w:top w:val="nil"/>
              <w:left w:val="single" w:color="auto" w:sz="4" w:space="0"/>
              <w:bottom w:val="single" w:color="auto" w:sz="4" w:space="0"/>
              <w:right w:val="single" w:color="auto" w:sz="4" w:space="0"/>
            </w:tcBorders>
            <w:noWrap w:val="0"/>
            <w:vAlign w:val="center"/>
          </w:tcPr>
          <w:p w14:paraId="18F9907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建筑业</w:t>
            </w:r>
          </w:p>
        </w:tc>
        <w:tc>
          <w:tcPr>
            <w:tcW w:w="647" w:type="pct"/>
            <w:tcBorders>
              <w:top w:val="nil"/>
              <w:left w:val="nil"/>
              <w:bottom w:val="single" w:color="auto" w:sz="4" w:space="0"/>
              <w:right w:val="single" w:color="auto" w:sz="4" w:space="0"/>
            </w:tcBorders>
            <w:noWrap w:val="0"/>
            <w:vAlign w:val="center"/>
          </w:tcPr>
          <w:p w14:paraId="6750284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546" w:type="pct"/>
            <w:tcBorders>
              <w:top w:val="nil"/>
              <w:left w:val="nil"/>
              <w:bottom w:val="single" w:color="auto" w:sz="4" w:space="0"/>
              <w:right w:val="single" w:color="auto" w:sz="4" w:space="0"/>
            </w:tcBorders>
            <w:noWrap w:val="0"/>
            <w:vAlign w:val="center"/>
          </w:tcPr>
          <w:p w14:paraId="67D6E0E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490F2C1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6000≤Y＜80000</w:t>
            </w:r>
          </w:p>
        </w:tc>
        <w:tc>
          <w:tcPr>
            <w:tcW w:w="859" w:type="pct"/>
            <w:tcBorders>
              <w:top w:val="nil"/>
              <w:left w:val="nil"/>
              <w:bottom w:val="single" w:color="auto" w:sz="4" w:space="0"/>
              <w:right w:val="single" w:color="auto" w:sz="4" w:space="0"/>
            </w:tcBorders>
            <w:noWrap w:val="0"/>
            <w:vAlign w:val="center"/>
          </w:tcPr>
          <w:p w14:paraId="67BA7A7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300≤Y＜6000</w:t>
            </w:r>
          </w:p>
        </w:tc>
        <w:tc>
          <w:tcPr>
            <w:tcW w:w="860" w:type="pct"/>
            <w:tcBorders>
              <w:top w:val="nil"/>
              <w:left w:val="nil"/>
              <w:bottom w:val="single" w:color="auto" w:sz="4" w:space="0"/>
              <w:right w:val="single" w:color="auto" w:sz="4" w:space="0"/>
            </w:tcBorders>
            <w:noWrap w:val="0"/>
            <w:vAlign w:val="center"/>
          </w:tcPr>
          <w:p w14:paraId="40B89B9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1F9C364A">
        <w:tblPrEx>
          <w:tblCellMar>
            <w:top w:w="0" w:type="dxa"/>
            <w:left w:w="108" w:type="dxa"/>
            <w:bottom w:w="0" w:type="dxa"/>
            <w:right w:w="108" w:type="dxa"/>
          </w:tblCellMar>
        </w:tblPrEx>
        <w:trPr>
          <w:trHeight w:val="340" w:hRule="atLeast"/>
          <w:jc w:val="center"/>
        </w:trPr>
        <w:tc>
          <w:tcPr>
            <w:tcW w:w="1014" w:type="pct"/>
            <w:vMerge w:val="continue"/>
            <w:tcBorders>
              <w:top w:val="nil"/>
              <w:left w:val="single" w:color="auto" w:sz="4" w:space="0"/>
              <w:bottom w:val="single" w:color="auto" w:sz="4" w:space="0"/>
              <w:right w:val="single" w:color="auto" w:sz="4" w:space="0"/>
            </w:tcBorders>
            <w:noWrap w:val="0"/>
            <w:vAlign w:val="center"/>
          </w:tcPr>
          <w:p w14:paraId="6C48C67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p>
        </w:tc>
        <w:tc>
          <w:tcPr>
            <w:tcW w:w="647" w:type="pct"/>
            <w:tcBorders>
              <w:top w:val="nil"/>
              <w:left w:val="nil"/>
              <w:bottom w:val="single" w:color="auto" w:sz="4" w:space="0"/>
              <w:right w:val="single" w:color="auto" w:sz="4" w:space="0"/>
            </w:tcBorders>
            <w:noWrap w:val="0"/>
            <w:vAlign w:val="center"/>
          </w:tcPr>
          <w:p w14:paraId="29233E7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546" w:type="pct"/>
            <w:tcBorders>
              <w:top w:val="nil"/>
              <w:left w:val="nil"/>
              <w:bottom w:val="single" w:color="auto" w:sz="4" w:space="0"/>
              <w:right w:val="single" w:color="auto" w:sz="4" w:space="0"/>
            </w:tcBorders>
            <w:noWrap w:val="0"/>
            <w:vAlign w:val="center"/>
          </w:tcPr>
          <w:p w14:paraId="3EA4573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413AF90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5000≤Z＜80000</w:t>
            </w:r>
          </w:p>
        </w:tc>
        <w:tc>
          <w:tcPr>
            <w:tcW w:w="859" w:type="pct"/>
            <w:tcBorders>
              <w:top w:val="nil"/>
              <w:left w:val="nil"/>
              <w:bottom w:val="single" w:color="auto" w:sz="4" w:space="0"/>
              <w:right w:val="single" w:color="auto" w:sz="4" w:space="0"/>
            </w:tcBorders>
            <w:noWrap w:val="0"/>
            <w:vAlign w:val="center"/>
          </w:tcPr>
          <w:p w14:paraId="33CC752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300≤Z＜5000</w:t>
            </w:r>
          </w:p>
        </w:tc>
        <w:tc>
          <w:tcPr>
            <w:tcW w:w="860" w:type="pct"/>
            <w:tcBorders>
              <w:top w:val="nil"/>
              <w:left w:val="nil"/>
              <w:bottom w:val="single" w:color="auto" w:sz="4" w:space="0"/>
              <w:right w:val="single" w:color="auto" w:sz="4" w:space="0"/>
            </w:tcBorders>
            <w:noWrap w:val="0"/>
            <w:vAlign w:val="center"/>
          </w:tcPr>
          <w:p w14:paraId="40E761A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Z＜300</w:t>
            </w:r>
          </w:p>
        </w:tc>
      </w:tr>
      <w:tr w14:paraId="3F3B022A">
        <w:tblPrEx>
          <w:tblCellMar>
            <w:top w:w="0" w:type="dxa"/>
            <w:left w:w="108" w:type="dxa"/>
            <w:bottom w:w="0" w:type="dxa"/>
            <w:right w:w="108" w:type="dxa"/>
          </w:tblCellMar>
        </w:tblPrEx>
        <w:trPr>
          <w:trHeight w:val="340" w:hRule="atLeast"/>
          <w:jc w:val="center"/>
        </w:trPr>
        <w:tc>
          <w:tcPr>
            <w:tcW w:w="1014" w:type="pct"/>
            <w:vMerge w:val="restart"/>
            <w:tcBorders>
              <w:top w:val="nil"/>
              <w:left w:val="single" w:color="auto" w:sz="4" w:space="0"/>
              <w:bottom w:val="single" w:color="auto" w:sz="4" w:space="0"/>
              <w:right w:val="single" w:color="auto" w:sz="4" w:space="0"/>
            </w:tcBorders>
            <w:noWrap w:val="0"/>
            <w:vAlign w:val="center"/>
          </w:tcPr>
          <w:p w14:paraId="69BCD14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批发业</w:t>
            </w:r>
          </w:p>
        </w:tc>
        <w:tc>
          <w:tcPr>
            <w:tcW w:w="647" w:type="pct"/>
            <w:tcBorders>
              <w:top w:val="nil"/>
              <w:left w:val="nil"/>
              <w:bottom w:val="single" w:color="auto" w:sz="4" w:space="0"/>
              <w:right w:val="single" w:color="auto" w:sz="4" w:space="0"/>
            </w:tcBorders>
            <w:noWrap w:val="0"/>
            <w:vAlign w:val="center"/>
          </w:tcPr>
          <w:p w14:paraId="6C3CE7A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lang w:eastAsia="zh-CN"/>
              </w:rPr>
              <w:t>从业人员（X）</w:t>
            </w:r>
          </w:p>
        </w:tc>
        <w:tc>
          <w:tcPr>
            <w:tcW w:w="546" w:type="pct"/>
            <w:tcBorders>
              <w:top w:val="nil"/>
              <w:left w:val="nil"/>
              <w:bottom w:val="single" w:color="auto" w:sz="4" w:space="0"/>
              <w:right w:val="single" w:color="auto" w:sz="4" w:space="0"/>
            </w:tcBorders>
            <w:noWrap w:val="0"/>
            <w:vAlign w:val="center"/>
          </w:tcPr>
          <w:p w14:paraId="173D4D1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070" w:type="pct"/>
            <w:tcBorders>
              <w:top w:val="nil"/>
              <w:left w:val="nil"/>
              <w:bottom w:val="single" w:color="auto" w:sz="4" w:space="0"/>
              <w:right w:val="single" w:color="auto" w:sz="4" w:space="0"/>
            </w:tcBorders>
            <w:noWrap w:val="0"/>
            <w:vAlign w:val="center"/>
          </w:tcPr>
          <w:p w14:paraId="34F9091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＜200</w:t>
            </w:r>
          </w:p>
        </w:tc>
        <w:tc>
          <w:tcPr>
            <w:tcW w:w="859" w:type="pct"/>
            <w:tcBorders>
              <w:top w:val="nil"/>
              <w:left w:val="nil"/>
              <w:bottom w:val="single" w:color="auto" w:sz="4" w:space="0"/>
              <w:right w:val="single" w:color="auto" w:sz="4" w:space="0"/>
            </w:tcBorders>
            <w:noWrap w:val="0"/>
            <w:vAlign w:val="center"/>
          </w:tcPr>
          <w:p w14:paraId="3A11146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＜20</w:t>
            </w:r>
          </w:p>
        </w:tc>
        <w:tc>
          <w:tcPr>
            <w:tcW w:w="860" w:type="pct"/>
            <w:tcBorders>
              <w:top w:val="nil"/>
              <w:left w:val="nil"/>
              <w:bottom w:val="single" w:color="auto" w:sz="4" w:space="0"/>
              <w:right w:val="single" w:color="auto" w:sz="4" w:space="0"/>
            </w:tcBorders>
            <w:noWrap w:val="0"/>
            <w:vAlign w:val="center"/>
          </w:tcPr>
          <w:p w14:paraId="7FF25E6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＜5</w:t>
            </w:r>
          </w:p>
        </w:tc>
      </w:tr>
      <w:tr w14:paraId="29FC07EB">
        <w:tblPrEx>
          <w:tblCellMar>
            <w:top w:w="0" w:type="dxa"/>
            <w:left w:w="108" w:type="dxa"/>
            <w:bottom w:w="0" w:type="dxa"/>
            <w:right w:w="108" w:type="dxa"/>
          </w:tblCellMar>
        </w:tblPrEx>
        <w:trPr>
          <w:trHeight w:val="340" w:hRule="atLeast"/>
          <w:jc w:val="center"/>
        </w:trPr>
        <w:tc>
          <w:tcPr>
            <w:tcW w:w="1014" w:type="pct"/>
            <w:vMerge w:val="continue"/>
            <w:tcBorders>
              <w:top w:val="nil"/>
              <w:left w:val="single" w:color="auto" w:sz="4" w:space="0"/>
              <w:bottom w:val="single" w:color="auto" w:sz="4" w:space="0"/>
              <w:right w:val="single" w:color="auto" w:sz="4" w:space="0"/>
            </w:tcBorders>
            <w:noWrap w:val="0"/>
            <w:vAlign w:val="center"/>
          </w:tcPr>
          <w:p w14:paraId="0B6C082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p>
        </w:tc>
        <w:tc>
          <w:tcPr>
            <w:tcW w:w="647" w:type="pct"/>
            <w:tcBorders>
              <w:top w:val="nil"/>
              <w:left w:val="nil"/>
              <w:bottom w:val="single" w:color="auto" w:sz="4" w:space="0"/>
              <w:right w:val="single" w:color="auto" w:sz="4" w:space="0"/>
            </w:tcBorders>
            <w:noWrap w:val="0"/>
            <w:vAlign w:val="center"/>
          </w:tcPr>
          <w:p w14:paraId="05C4601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546" w:type="pct"/>
            <w:tcBorders>
              <w:top w:val="nil"/>
              <w:left w:val="nil"/>
              <w:bottom w:val="single" w:color="auto" w:sz="4" w:space="0"/>
              <w:right w:val="single" w:color="auto" w:sz="4" w:space="0"/>
            </w:tcBorders>
            <w:noWrap w:val="0"/>
            <w:vAlign w:val="center"/>
          </w:tcPr>
          <w:p w14:paraId="15E0E95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073D8EF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5000≤Y＜40000</w:t>
            </w:r>
          </w:p>
        </w:tc>
        <w:tc>
          <w:tcPr>
            <w:tcW w:w="859" w:type="pct"/>
            <w:tcBorders>
              <w:top w:val="nil"/>
              <w:left w:val="nil"/>
              <w:bottom w:val="single" w:color="auto" w:sz="4" w:space="0"/>
              <w:right w:val="single" w:color="auto" w:sz="4" w:space="0"/>
            </w:tcBorders>
            <w:noWrap w:val="0"/>
            <w:vAlign w:val="center"/>
          </w:tcPr>
          <w:p w14:paraId="419FD65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860" w:type="pct"/>
            <w:tcBorders>
              <w:top w:val="nil"/>
              <w:left w:val="nil"/>
              <w:bottom w:val="single" w:color="auto" w:sz="4" w:space="0"/>
              <w:right w:val="single" w:color="auto" w:sz="4" w:space="0"/>
            </w:tcBorders>
            <w:noWrap w:val="0"/>
            <w:vAlign w:val="center"/>
          </w:tcPr>
          <w:p w14:paraId="1ACF950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Y＜1000</w:t>
            </w:r>
          </w:p>
        </w:tc>
      </w:tr>
      <w:tr w14:paraId="7C5DDF4E">
        <w:tblPrEx>
          <w:tblCellMar>
            <w:top w:w="0" w:type="dxa"/>
            <w:left w:w="108" w:type="dxa"/>
            <w:bottom w:w="0" w:type="dxa"/>
            <w:right w:w="108" w:type="dxa"/>
          </w:tblCellMar>
        </w:tblPrEx>
        <w:trPr>
          <w:trHeight w:val="340" w:hRule="atLeast"/>
          <w:jc w:val="center"/>
        </w:trPr>
        <w:tc>
          <w:tcPr>
            <w:tcW w:w="1014" w:type="pct"/>
            <w:vMerge w:val="restart"/>
            <w:tcBorders>
              <w:top w:val="nil"/>
              <w:left w:val="single" w:color="auto" w:sz="4" w:space="0"/>
              <w:bottom w:val="single" w:color="auto" w:sz="4" w:space="0"/>
              <w:right w:val="single" w:color="auto" w:sz="4" w:space="0"/>
            </w:tcBorders>
            <w:noWrap w:val="0"/>
            <w:vAlign w:val="center"/>
          </w:tcPr>
          <w:p w14:paraId="01910AC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零售业</w:t>
            </w:r>
          </w:p>
        </w:tc>
        <w:tc>
          <w:tcPr>
            <w:tcW w:w="647" w:type="pct"/>
            <w:tcBorders>
              <w:top w:val="nil"/>
              <w:left w:val="nil"/>
              <w:bottom w:val="single" w:color="auto" w:sz="4" w:space="0"/>
              <w:right w:val="single" w:color="auto" w:sz="4" w:space="0"/>
            </w:tcBorders>
            <w:noWrap w:val="0"/>
            <w:vAlign w:val="center"/>
          </w:tcPr>
          <w:p w14:paraId="2E17093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lang w:eastAsia="zh-CN"/>
              </w:rPr>
              <w:t>从业人员（X）</w:t>
            </w:r>
          </w:p>
        </w:tc>
        <w:tc>
          <w:tcPr>
            <w:tcW w:w="546" w:type="pct"/>
            <w:tcBorders>
              <w:top w:val="nil"/>
              <w:left w:val="nil"/>
              <w:bottom w:val="single" w:color="auto" w:sz="4" w:space="0"/>
              <w:right w:val="single" w:color="auto" w:sz="4" w:space="0"/>
            </w:tcBorders>
            <w:noWrap w:val="0"/>
            <w:vAlign w:val="center"/>
          </w:tcPr>
          <w:p w14:paraId="39C4923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070" w:type="pct"/>
            <w:tcBorders>
              <w:top w:val="nil"/>
              <w:left w:val="nil"/>
              <w:bottom w:val="single" w:color="auto" w:sz="4" w:space="0"/>
              <w:right w:val="single" w:color="auto" w:sz="4" w:space="0"/>
            </w:tcBorders>
            <w:noWrap w:val="0"/>
            <w:vAlign w:val="center"/>
          </w:tcPr>
          <w:p w14:paraId="0EB3CC2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＜300</w:t>
            </w:r>
          </w:p>
        </w:tc>
        <w:tc>
          <w:tcPr>
            <w:tcW w:w="859" w:type="pct"/>
            <w:tcBorders>
              <w:top w:val="nil"/>
              <w:left w:val="nil"/>
              <w:bottom w:val="single" w:color="auto" w:sz="4" w:space="0"/>
              <w:right w:val="single" w:color="auto" w:sz="4" w:space="0"/>
            </w:tcBorders>
            <w:noWrap w:val="0"/>
            <w:vAlign w:val="center"/>
          </w:tcPr>
          <w:p w14:paraId="1042011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＜50</w:t>
            </w:r>
          </w:p>
        </w:tc>
        <w:tc>
          <w:tcPr>
            <w:tcW w:w="860" w:type="pct"/>
            <w:tcBorders>
              <w:top w:val="nil"/>
              <w:left w:val="nil"/>
              <w:bottom w:val="single" w:color="auto" w:sz="4" w:space="0"/>
              <w:right w:val="single" w:color="auto" w:sz="4" w:space="0"/>
            </w:tcBorders>
            <w:noWrap w:val="0"/>
            <w:vAlign w:val="center"/>
          </w:tcPr>
          <w:p w14:paraId="05FD815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w:t>
            </w:r>
          </w:p>
        </w:tc>
      </w:tr>
      <w:tr w14:paraId="14961D55">
        <w:tblPrEx>
          <w:tblCellMar>
            <w:top w:w="0" w:type="dxa"/>
            <w:left w:w="108" w:type="dxa"/>
            <w:bottom w:w="0" w:type="dxa"/>
            <w:right w:w="108" w:type="dxa"/>
          </w:tblCellMar>
        </w:tblPrEx>
        <w:trPr>
          <w:trHeight w:val="340" w:hRule="atLeast"/>
          <w:jc w:val="center"/>
        </w:trPr>
        <w:tc>
          <w:tcPr>
            <w:tcW w:w="1014" w:type="pct"/>
            <w:vMerge w:val="continue"/>
            <w:tcBorders>
              <w:top w:val="nil"/>
              <w:left w:val="single" w:color="auto" w:sz="4" w:space="0"/>
              <w:bottom w:val="single" w:color="auto" w:sz="4" w:space="0"/>
              <w:right w:val="single" w:color="auto" w:sz="4" w:space="0"/>
            </w:tcBorders>
            <w:noWrap w:val="0"/>
            <w:vAlign w:val="center"/>
          </w:tcPr>
          <w:p w14:paraId="4A70877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p>
        </w:tc>
        <w:tc>
          <w:tcPr>
            <w:tcW w:w="647" w:type="pct"/>
            <w:tcBorders>
              <w:top w:val="nil"/>
              <w:left w:val="nil"/>
              <w:bottom w:val="single" w:color="auto" w:sz="4" w:space="0"/>
              <w:right w:val="single" w:color="auto" w:sz="4" w:space="0"/>
            </w:tcBorders>
            <w:noWrap w:val="0"/>
            <w:vAlign w:val="center"/>
          </w:tcPr>
          <w:p w14:paraId="4F9C0D8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546" w:type="pct"/>
            <w:tcBorders>
              <w:top w:val="nil"/>
              <w:left w:val="nil"/>
              <w:bottom w:val="single" w:color="auto" w:sz="4" w:space="0"/>
              <w:right w:val="single" w:color="auto" w:sz="4" w:space="0"/>
            </w:tcBorders>
            <w:noWrap w:val="0"/>
            <w:vAlign w:val="center"/>
          </w:tcPr>
          <w:p w14:paraId="5F455A0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7E7A64D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859" w:type="pct"/>
            <w:tcBorders>
              <w:top w:val="nil"/>
              <w:left w:val="nil"/>
              <w:bottom w:val="single" w:color="auto" w:sz="4" w:space="0"/>
              <w:right w:val="single" w:color="auto" w:sz="4" w:space="0"/>
            </w:tcBorders>
            <w:noWrap w:val="0"/>
            <w:vAlign w:val="center"/>
          </w:tcPr>
          <w:p w14:paraId="53EB08B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100≤Y＜500</w:t>
            </w:r>
          </w:p>
        </w:tc>
        <w:tc>
          <w:tcPr>
            <w:tcW w:w="860" w:type="pct"/>
            <w:tcBorders>
              <w:top w:val="nil"/>
              <w:left w:val="nil"/>
              <w:bottom w:val="single" w:color="auto" w:sz="4" w:space="0"/>
              <w:right w:val="single" w:color="auto" w:sz="4" w:space="0"/>
            </w:tcBorders>
            <w:noWrap w:val="0"/>
            <w:vAlign w:val="center"/>
          </w:tcPr>
          <w:p w14:paraId="0D6A6AD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1824C44">
        <w:tblPrEx>
          <w:tblCellMar>
            <w:top w:w="0" w:type="dxa"/>
            <w:left w:w="108" w:type="dxa"/>
            <w:bottom w:w="0" w:type="dxa"/>
            <w:right w:w="108" w:type="dxa"/>
          </w:tblCellMar>
        </w:tblPrEx>
        <w:trPr>
          <w:trHeight w:val="340" w:hRule="atLeast"/>
          <w:jc w:val="center"/>
        </w:trPr>
        <w:tc>
          <w:tcPr>
            <w:tcW w:w="1014" w:type="pct"/>
            <w:vMerge w:val="restart"/>
            <w:tcBorders>
              <w:top w:val="nil"/>
              <w:left w:val="single" w:color="auto" w:sz="4" w:space="0"/>
              <w:bottom w:val="single" w:color="auto" w:sz="4" w:space="0"/>
              <w:right w:val="single" w:color="auto" w:sz="4" w:space="0"/>
            </w:tcBorders>
            <w:noWrap w:val="0"/>
            <w:vAlign w:val="center"/>
          </w:tcPr>
          <w:p w14:paraId="56CE02A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交通运输业</w:t>
            </w:r>
          </w:p>
        </w:tc>
        <w:tc>
          <w:tcPr>
            <w:tcW w:w="647" w:type="pct"/>
            <w:tcBorders>
              <w:top w:val="nil"/>
              <w:left w:val="nil"/>
              <w:bottom w:val="single" w:color="auto" w:sz="4" w:space="0"/>
              <w:right w:val="single" w:color="auto" w:sz="4" w:space="0"/>
            </w:tcBorders>
            <w:noWrap w:val="0"/>
            <w:vAlign w:val="center"/>
          </w:tcPr>
          <w:p w14:paraId="475E2F4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lang w:eastAsia="zh-CN"/>
              </w:rPr>
              <w:t>从业人员（X）</w:t>
            </w:r>
          </w:p>
        </w:tc>
        <w:tc>
          <w:tcPr>
            <w:tcW w:w="546" w:type="pct"/>
            <w:tcBorders>
              <w:top w:val="nil"/>
              <w:left w:val="nil"/>
              <w:bottom w:val="single" w:color="auto" w:sz="4" w:space="0"/>
              <w:right w:val="single" w:color="auto" w:sz="4" w:space="0"/>
            </w:tcBorders>
            <w:noWrap w:val="0"/>
            <w:vAlign w:val="center"/>
          </w:tcPr>
          <w:p w14:paraId="48AD570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070" w:type="pct"/>
            <w:tcBorders>
              <w:top w:val="nil"/>
              <w:left w:val="nil"/>
              <w:bottom w:val="single" w:color="auto" w:sz="4" w:space="0"/>
              <w:right w:val="single" w:color="auto" w:sz="4" w:space="0"/>
            </w:tcBorders>
            <w:noWrap w:val="0"/>
            <w:vAlign w:val="center"/>
          </w:tcPr>
          <w:p w14:paraId="7C0F1D0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＜1000</w:t>
            </w:r>
          </w:p>
        </w:tc>
        <w:tc>
          <w:tcPr>
            <w:tcW w:w="859" w:type="pct"/>
            <w:tcBorders>
              <w:top w:val="nil"/>
              <w:left w:val="nil"/>
              <w:bottom w:val="single" w:color="auto" w:sz="4" w:space="0"/>
              <w:right w:val="single" w:color="auto" w:sz="4" w:space="0"/>
            </w:tcBorders>
            <w:noWrap w:val="0"/>
            <w:vAlign w:val="center"/>
          </w:tcPr>
          <w:p w14:paraId="3070742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＜300</w:t>
            </w:r>
          </w:p>
        </w:tc>
        <w:tc>
          <w:tcPr>
            <w:tcW w:w="860" w:type="pct"/>
            <w:tcBorders>
              <w:top w:val="nil"/>
              <w:left w:val="nil"/>
              <w:bottom w:val="single" w:color="auto" w:sz="4" w:space="0"/>
              <w:right w:val="single" w:color="auto" w:sz="4" w:space="0"/>
            </w:tcBorders>
            <w:noWrap w:val="0"/>
            <w:vAlign w:val="center"/>
          </w:tcPr>
          <w:p w14:paraId="17C9C8F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＜20</w:t>
            </w:r>
          </w:p>
        </w:tc>
      </w:tr>
      <w:tr w14:paraId="4B7E4311">
        <w:tblPrEx>
          <w:tblCellMar>
            <w:top w:w="0" w:type="dxa"/>
            <w:left w:w="108" w:type="dxa"/>
            <w:bottom w:w="0" w:type="dxa"/>
            <w:right w:w="108" w:type="dxa"/>
          </w:tblCellMar>
        </w:tblPrEx>
        <w:trPr>
          <w:trHeight w:val="340" w:hRule="atLeast"/>
          <w:jc w:val="center"/>
        </w:trPr>
        <w:tc>
          <w:tcPr>
            <w:tcW w:w="1014" w:type="pct"/>
            <w:vMerge w:val="continue"/>
            <w:tcBorders>
              <w:top w:val="nil"/>
              <w:left w:val="single" w:color="auto" w:sz="4" w:space="0"/>
              <w:bottom w:val="single" w:color="auto" w:sz="4" w:space="0"/>
              <w:right w:val="single" w:color="auto" w:sz="4" w:space="0"/>
            </w:tcBorders>
            <w:noWrap w:val="0"/>
            <w:vAlign w:val="center"/>
          </w:tcPr>
          <w:p w14:paraId="2F6C5D8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p>
        </w:tc>
        <w:tc>
          <w:tcPr>
            <w:tcW w:w="647" w:type="pct"/>
            <w:tcBorders>
              <w:top w:val="nil"/>
              <w:left w:val="nil"/>
              <w:bottom w:val="single" w:color="auto" w:sz="4" w:space="0"/>
              <w:right w:val="single" w:color="auto" w:sz="4" w:space="0"/>
            </w:tcBorders>
            <w:noWrap w:val="0"/>
            <w:vAlign w:val="center"/>
          </w:tcPr>
          <w:p w14:paraId="5F33F56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546" w:type="pct"/>
            <w:tcBorders>
              <w:top w:val="nil"/>
              <w:left w:val="nil"/>
              <w:bottom w:val="single" w:color="auto" w:sz="4" w:space="0"/>
              <w:right w:val="single" w:color="auto" w:sz="4" w:space="0"/>
            </w:tcBorders>
            <w:noWrap w:val="0"/>
            <w:vAlign w:val="center"/>
          </w:tcPr>
          <w:p w14:paraId="1914FA4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38E0543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3000≤Y＜30000</w:t>
            </w:r>
          </w:p>
        </w:tc>
        <w:tc>
          <w:tcPr>
            <w:tcW w:w="859" w:type="pct"/>
            <w:tcBorders>
              <w:top w:val="nil"/>
              <w:left w:val="nil"/>
              <w:bottom w:val="single" w:color="auto" w:sz="4" w:space="0"/>
              <w:right w:val="single" w:color="auto" w:sz="4" w:space="0"/>
            </w:tcBorders>
            <w:noWrap w:val="0"/>
            <w:vAlign w:val="center"/>
          </w:tcPr>
          <w:p w14:paraId="787F6CF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200≤Y＜3000</w:t>
            </w:r>
          </w:p>
        </w:tc>
        <w:tc>
          <w:tcPr>
            <w:tcW w:w="860" w:type="pct"/>
            <w:tcBorders>
              <w:top w:val="nil"/>
              <w:left w:val="nil"/>
              <w:bottom w:val="single" w:color="auto" w:sz="4" w:space="0"/>
              <w:right w:val="single" w:color="auto" w:sz="4" w:space="0"/>
            </w:tcBorders>
            <w:noWrap w:val="0"/>
            <w:vAlign w:val="center"/>
          </w:tcPr>
          <w:p w14:paraId="4D5310F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w:t>
            </w:r>
          </w:p>
        </w:tc>
      </w:tr>
      <w:tr w14:paraId="3285E021">
        <w:tblPrEx>
          <w:tblCellMar>
            <w:top w:w="0" w:type="dxa"/>
            <w:left w:w="108" w:type="dxa"/>
            <w:bottom w:w="0" w:type="dxa"/>
            <w:right w:w="108" w:type="dxa"/>
          </w:tblCellMar>
        </w:tblPrEx>
        <w:trPr>
          <w:trHeight w:val="340" w:hRule="atLeast"/>
          <w:jc w:val="center"/>
        </w:trPr>
        <w:tc>
          <w:tcPr>
            <w:tcW w:w="1014" w:type="pct"/>
            <w:vMerge w:val="restart"/>
            <w:tcBorders>
              <w:top w:val="nil"/>
              <w:left w:val="single" w:color="auto" w:sz="4" w:space="0"/>
              <w:bottom w:val="single" w:color="auto" w:sz="4" w:space="0"/>
              <w:right w:val="single" w:color="auto" w:sz="4" w:space="0"/>
            </w:tcBorders>
            <w:noWrap w:val="0"/>
            <w:vAlign w:val="center"/>
          </w:tcPr>
          <w:p w14:paraId="3D591F1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仓储业</w:t>
            </w:r>
          </w:p>
        </w:tc>
        <w:tc>
          <w:tcPr>
            <w:tcW w:w="647" w:type="pct"/>
            <w:tcBorders>
              <w:top w:val="nil"/>
              <w:left w:val="nil"/>
              <w:bottom w:val="single" w:color="auto" w:sz="4" w:space="0"/>
              <w:right w:val="single" w:color="auto" w:sz="4" w:space="0"/>
            </w:tcBorders>
            <w:noWrap w:val="0"/>
            <w:vAlign w:val="center"/>
          </w:tcPr>
          <w:p w14:paraId="4FEFDE3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lang w:eastAsia="zh-CN"/>
              </w:rPr>
              <w:t>从业人员（X）</w:t>
            </w:r>
          </w:p>
        </w:tc>
        <w:tc>
          <w:tcPr>
            <w:tcW w:w="546" w:type="pct"/>
            <w:tcBorders>
              <w:top w:val="nil"/>
              <w:left w:val="nil"/>
              <w:bottom w:val="single" w:color="auto" w:sz="4" w:space="0"/>
              <w:right w:val="single" w:color="auto" w:sz="4" w:space="0"/>
            </w:tcBorders>
            <w:noWrap w:val="0"/>
            <w:vAlign w:val="center"/>
          </w:tcPr>
          <w:p w14:paraId="7C51C5C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070" w:type="pct"/>
            <w:tcBorders>
              <w:top w:val="nil"/>
              <w:left w:val="nil"/>
              <w:bottom w:val="single" w:color="auto" w:sz="4" w:space="0"/>
              <w:right w:val="single" w:color="auto" w:sz="4" w:space="0"/>
            </w:tcBorders>
            <w:noWrap w:val="0"/>
            <w:vAlign w:val="center"/>
          </w:tcPr>
          <w:p w14:paraId="153F565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＜200</w:t>
            </w:r>
          </w:p>
        </w:tc>
        <w:tc>
          <w:tcPr>
            <w:tcW w:w="859" w:type="pct"/>
            <w:tcBorders>
              <w:top w:val="nil"/>
              <w:left w:val="nil"/>
              <w:bottom w:val="single" w:color="auto" w:sz="4" w:space="0"/>
              <w:right w:val="single" w:color="auto" w:sz="4" w:space="0"/>
            </w:tcBorders>
            <w:noWrap w:val="0"/>
            <w:vAlign w:val="center"/>
          </w:tcPr>
          <w:p w14:paraId="743AA77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＜100</w:t>
            </w:r>
          </w:p>
        </w:tc>
        <w:tc>
          <w:tcPr>
            <w:tcW w:w="860" w:type="pct"/>
            <w:tcBorders>
              <w:top w:val="nil"/>
              <w:left w:val="nil"/>
              <w:bottom w:val="single" w:color="auto" w:sz="4" w:space="0"/>
              <w:right w:val="single" w:color="auto" w:sz="4" w:space="0"/>
            </w:tcBorders>
            <w:noWrap w:val="0"/>
            <w:vAlign w:val="center"/>
          </w:tcPr>
          <w:p w14:paraId="1F0FDE7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＜20</w:t>
            </w:r>
          </w:p>
        </w:tc>
      </w:tr>
      <w:tr w14:paraId="411B8622">
        <w:tblPrEx>
          <w:tblCellMar>
            <w:top w:w="0" w:type="dxa"/>
            <w:left w:w="108" w:type="dxa"/>
            <w:bottom w:w="0" w:type="dxa"/>
            <w:right w:w="108" w:type="dxa"/>
          </w:tblCellMar>
        </w:tblPrEx>
        <w:trPr>
          <w:trHeight w:val="340" w:hRule="atLeast"/>
          <w:jc w:val="center"/>
        </w:trPr>
        <w:tc>
          <w:tcPr>
            <w:tcW w:w="1014" w:type="pct"/>
            <w:vMerge w:val="continue"/>
            <w:tcBorders>
              <w:top w:val="nil"/>
              <w:left w:val="single" w:color="auto" w:sz="4" w:space="0"/>
              <w:bottom w:val="single" w:color="auto" w:sz="4" w:space="0"/>
              <w:right w:val="single" w:color="auto" w:sz="4" w:space="0"/>
            </w:tcBorders>
            <w:noWrap w:val="0"/>
            <w:vAlign w:val="center"/>
          </w:tcPr>
          <w:p w14:paraId="08BB30E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p>
        </w:tc>
        <w:tc>
          <w:tcPr>
            <w:tcW w:w="647" w:type="pct"/>
            <w:tcBorders>
              <w:top w:val="nil"/>
              <w:left w:val="nil"/>
              <w:bottom w:val="single" w:color="auto" w:sz="4" w:space="0"/>
              <w:right w:val="single" w:color="auto" w:sz="4" w:space="0"/>
            </w:tcBorders>
            <w:noWrap w:val="0"/>
            <w:vAlign w:val="center"/>
          </w:tcPr>
          <w:p w14:paraId="3289D2F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546" w:type="pct"/>
            <w:tcBorders>
              <w:top w:val="nil"/>
              <w:left w:val="nil"/>
              <w:bottom w:val="single" w:color="auto" w:sz="4" w:space="0"/>
              <w:right w:val="single" w:color="auto" w:sz="4" w:space="0"/>
            </w:tcBorders>
            <w:noWrap w:val="0"/>
            <w:vAlign w:val="center"/>
          </w:tcPr>
          <w:p w14:paraId="65C0162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31D47DD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1000≤Y＜30000</w:t>
            </w:r>
          </w:p>
        </w:tc>
        <w:tc>
          <w:tcPr>
            <w:tcW w:w="859" w:type="pct"/>
            <w:tcBorders>
              <w:top w:val="nil"/>
              <w:left w:val="nil"/>
              <w:bottom w:val="single" w:color="auto" w:sz="4" w:space="0"/>
              <w:right w:val="single" w:color="auto" w:sz="4" w:space="0"/>
            </w:tcBorders>
            <w:noWrap w:val="0"/>
            <w:vAlign w:val="center"/>
          </w:tcPr>
          <w:p w14:paraId="286EF38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860" w:type="pct"/>
            <w:tcBorders>
              <w:top w:val="nil"/>
              <w:left w:val="nil"/>
              <w:bottom w:val="single" w:color="auto" w:sz="4" w:space="0"/>
              <w:right w:val="single" w:color="auto" w:sz="4" w:space="0"/>
            </w:tcBorders>
            <w:noWrap w:val="0"/>
            <w:vAlign w:val="center"/>
          </w:tcPr>
          <w:p w14:paraId="35C6B1D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5D2822A8">
        <w:tblPrEx>
          <w:tblCellMar>
            <w:top w:w="0" w:type="dxa"/>
            <w:left w:w="108" w:type="dxa"/>
            <w:bottom w:w="0" w:type="dxa"/>
            <w:right w:w="108" w:type="dxa"/>
          </w:tblCellMar>
        </w:tblPrEx>
        <w:trPr>
          <w:trHeight w:val="340" w:hRule="atLeast"/>
          <w:jc w:val="center"/>
        </w:trPr>
        <w:tc>
          <w:tcPr>
            <w:tcW w:w="1014" w:type="pct"/>
            <w:vMerge w:val="restart"/>
            <w:tcBorders>
              <w:top w:val="nil"/>
              <w:left w:val="single" w:color="auto" w:sz="4" w:space="0"/>
              <w:bottom w:val="single" w:color="auto" w:sz="4" w:space="0"/>
              <w:right w:val="single" w:color="auto" w:sz="4" w:space="0"/>
            </w:tcBorders>
            <w:noWrap w:val="0"/>
            <w:vAlign w:val="center"/>
          </w:tcPr>
          <w:p w14:paraId="4856A64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邮政业</w:t>
            </w:r>
          </w:p>
        </w:tc>
        <w:tc>
          <w:tcPr>
            <w:tcW w:w="647" w:type="pct"/>
            <w:tcBorders>
              <w:top w:val="nil"/>
              <w:left w:val="nil"/>
              <w:bottom w:val="single" w:color="auto" w:sz="4" w:space="0"/>
              <w:right w:val="single" w:color="auto" w:sz="4" w:space="0"/>
            </w:tcBorders>
            <w:noWrap w:val="0"/>
            <w:vAlign w:val="center"/>
          </w:tcPr>
          <w:p w14:paraId="58BA6C9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lang w:eastAsia="zh-CN"/>
              </w:rPr>
              <w:t>从业人员（X）</w:t>
            </w:r>
          </w:p>
        </w:tc>
        <w:tc>
          <w:tcPr>
            <w:tcW w:w="546" w:type="pct"/>
            <w:tcBorders>
              <w:top w:val="nil"/>
              <w:left w:val="nil"/>
              <w:bottom w:val="single" w:color="auto" w:sz="4" w:space="0"/>
              <w:right w:val="single" w:color="auto" w:sz="4" w:space="0"/>
            </w:tcBorders>
            <w:noWrap w:val="0"/>
            <w:vAlign w:val="center"/>
          </w:tcPr>
          <w:p w14:paraId="2CCF1B2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070" w:type="pct"/>
            <w:tcBorders>
              <w:top w:val="nil"/>
              <w:left w:val="nil"/>
              <w:bottom w:val="single" w:color="auto" w:sz="4" w:space="0"/>
              <w:right w:val="single" w:color="auto" w:sz="4" w:space="0"/>
            </w:tcBorders>
            <w:noWrap w:val="0"/>
            <w:vAlign w:val="center"/>
          </w:tcPr>
          <w:p w14:paraId="28B1659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＜1000</w:t>
            </w:r>
          </w:p>
        </w:tc>
        <w:tc>
          <w:tcPr>
            <w:tcW w:w="859" w:type="pct"/>
            <w:tcBorders>
              <w:top w:val="nil"/>
              <w:left w:val="nil"/>
              <w:bottom w:val="single" w:color="auto" w:sz="4" w:space="0"/>
              <w:right w:val="single" w:color="auto" w:sz="4" w:space="0"/>
            </w:tcBorders>
            <w:noWrap w:val="0"/>
            <w:vAlign w:val="center"/>
          </w:tcPr>
          <w:p w14:paraId="39C7783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＜300</w:t>
            </w:r>
          </w:p>
        </w:tc>
        <w:tc>
          <w:tcPr>
            <w:tcW w:w="860" w:type="pct"/>
            <w:tcBorders>
              <w:top w:val="nil"/>
              <w:left w:val="nil"/>
              <w:bottom w:val="single" w:color="auto" w:sz="4" w:space="0"/>
              <w:right w:val="single" w:color="auto" w:sz="4" w:space="0"/>
            </w:tcBorders>
            <w:noWrap w:val="0"/>
            <w:vAlign w:val="center"/>
          </w:tcPr>
          <w:p w14:paraId="3D67587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＜20</w:t>
            </w:r>
          </w:p>
        </w:tc>
      </w:tr>
      <w:tr w14:paraId="5320867A">
        <w:tblPrEx>
          <w:tblCellMar>
            <w:top w:w="0" w:type="dxa"/>
            <w:left w:w="108" w:type="dxa"/>
            <w:bottom w:w="0" w:type="dxa"/>
            <w:right w:w="108" w:type="dxa"/>
          </w:tblCellMar>
        </w:tblPrEx>
        <w:trPr>
          <w:trHeight w:val="340" w:hRule="atLeast"/>
          <w:jc w:val="center"/>
        </w:trPr>
        <w:tc>
          <w:tcPr>
            <w:tcW w:w="1014" w:type="pct"/>
            <w:vMerge w:val="continue"/>
            <w:tcBorders>
              <w:top w:val="nil"/>
              <w:left w:val="single" w:color="auto" w:sz="4" w:space="0"/>
              <w:bottom w:val="single" w:color="auto" w:sz="4" w:space="0"/>
              <w:right w:val="single" w:color="auto" w:sz="4" w:space="0"/>
            </w:tcBorders>
            <w:noWrap w:val="0"/>
            <w:vAlign w:val="center"/>
          </w:tcPr>
          <w:p w14:paraId="60BD43B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p>
        </w:tc>
        <w:tc>
          <w:tcPr>
            <w:tcW w:w="647" w:type="pct"/>
            <w:tcBorders>
              <w:top w:val="nil"/>
              <w:left w:val="nil"/>
              <w:bottom w:val="single" w:color="auto" w:sz="4" w:space="0"/>
              <w:right w:val="single" w:color="auto" w:sz="4" w:space="0"/>
            </w:tcBorders>
            <w:noWrap w:val="0"/>
            <w:vAlign w:val="center"/>
          </w:tcPr>
          <w:p w14:paraId="54736D5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546" w:type="pct"/>
            <w:tcBorders>
              <w:top w:val="nil"/>
              <w:left w:val="nil"/>
              <w:bottom w:val="single" w:color="auto" w:sz="4" w:space="0"/>
              <w:right w:val="single" w:color="auto" w:sz="4" w:space="0"/>
            </w:tcBorders>
            <w:noWrap w:val="0"/>
            <w:vAlign w:val="center"/>
          </w:tcPr>
          <w:p w14:paraId="698B028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71F834E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2000≤Y＜30000</w:t>
            </w:r>
          </w:p>
        </w:tc>
        <w:tc>
          <w:tcPr>
            <w:tcW w:w="859" w:type="pct"/>
            <w:tcBorders>
              <w:top w:val="nil"/>
              <w:left w:val="nil"/>
              <w:bottom w:val="single" w:color="auto" w:sz="4" w:space="0"/>
              <w:right w:val="single" w:color="auto" w:sz="4" w:space="0"/>
            </w:tcBorders>
            <w:noWrap w:val="0"/>
            <w:vAlign w:val="center"/>
          </w:tcPr>
          <w:p w14:paraId="6CD7235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860" w:type="pct"/>
            <w:tcBorders>
              <w:top w:val="nil"/>
              <w:left w:val="nil"/>
              <w:bottom w:val="single" w:color="auto" w:sz="4" w:space="0"/>
              <w:right w:val="single" w:color="auto" w:sz="4" w:space="0"/>
            </w:tcBorders>
            <w:noWrap w:val="0"/>
            <w:vAlign w:val="center"/>
          </w:tcPr>
          <w:p w14:paraId="29337BD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019B4012">
        <w:tblPrEx>
          <w:tblCellMar>
            <w:top w:w="0" w:type="dxa"/>
            <w:left w:w="108" w:type="dxa"/>
            <w:bottom w:w="0" w:type="dxa"/>
            <w:right w:w="108" w:type="dxa"/>
          </w:tblCellMar>
        </w:tblPrEx>
        <w:trPr>
          <w:trHeight w:val="340" w:hRule="atLeast"/>
          <w:jc w:val="center"/>
        </w:trPr>
        <w:tc>
          <w:tcPr>
            <w:tcW w:w="1014" w:type="pct"/>
            <w:vMerge w:val="restart"/>
            <w:tcBorders>
              <w:top w:val="nil"/>
              <w:left w:val="single" w:color="auto" w:sz="4" w:space="0"/>
              <w:bottom w:val="single" w:color="auto" w:sz="4" w:space="0"/>
              <w:right w:val="single" w:color="auto" w:sz="4" w:space="0"/>
            </w:tcBorders>
            <w:noWrap w:val="0"/>
            <w:vAlign w:val="center"/>
          </w:tcPr>
          <w:p w14:paraId="18D7FC1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住宿业</w:t>
            </w:r>
          </w:p>
        </w:tc>
        <w:tc>
          <w:tcPr>
            <w:tcW w:w="647" w:type="pct"/>
            <w:tcBorders>
              <w:top w:val="nil"/>
              <w:left w:val="nil"/>
              <w:bottom w:val="single" w:color="auto" w:sz="4" w:space="0"/>
              <w:right w:val="single" w:color="auto" w:sz="4" w:space="0"/>
            </w:tcBorders>
            <w:noWrap w:val="0"/>
            <w:vAlign w:val="center"/>
          </w:tcPr>
          <w:p w14:paraId="023BBCF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lang w:eastAsia="zh-CN"/>
              </w:rPr>
              <w:t>从业人员（X）</w:t>
            </w:r>
          </w:p>
        </w:tc>
        <w:tc>
          <w:tcPr>
            <w:tcW w:w="546" w:type="pct"/>
            <w:tcBorders>
              <w:top w:val="nil"/>
              <w:left w:val="nil"/>
              <w:bottom w:val="single" w:color="auto" w:sz="4" w:space="0"/>
              <w:right w:val="single" w:color="auto" w:sz="4" w:space="0"/>
            </w:tcBorders>
            <w:noWrap w:val="0"/>
            <w:vAlign w:val="center"/>
          </w:tcPr>
          <w:p w14:paraId="442CA16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070" w:type="pct"/>
            <w:tcBorders>
              <w:top w:val="nil"/>
              <w:left w:val="nil"/>
              <w:bottom w:val="single" w:color="auto" w:sz="4" w:space="0"/>
              <w:right w:val="single" w:color="auto" w:sz="4" w:space="0"/>
            </w:tcBorders>
            <w:noWrap w:val="0"/>
            <w:vAlign w:val="center"/>
          </w:tcPr>
          <w:p w14:paraId="0C8D1D0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＜300</w:t>
            </w:r>
          </w:p>
        </w:tc>
        <w:tc>
          <w:tcPr>
            <w:tcW w:w="859" w:type="pct"/>
            <w:tcBorders>
              <w:top w:val="nil"/>
              <w:left w:val="nil"/>
              <w:bottom w:val="single" w:color="auto" w:sz="4" w:space="0"/>
              <w:right w:val="single" w:color="auto" w:sz="4" w:space="0"/>
            </w:tcBorders>
            <w:noWrap w:val="0"/>
            <w:vAlign w:val="center"/>
          </w:tcPr>
          <w:p w14:paraId="2A8849D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＜100</w:t>
            </w:r>
          </w:p>
        </w:tc>
        <w:tc>
          <w:tcPr>
            <w:tcW w:w="860" w:type="pct"/>
            <w:tcBorders>
              <w:top w:val="nil"/>
              <w:left w:val="nil"/>
              <w:bottom w:val="single" w:color="auto" w:sz="4" w:space="0"/>
              <w:right w:val="single" w:color="auto" w:sz="4" w:space="0"/>
            </w:tcBorders>
            <w:noWrap w:val="0"/>
            <w:vAlign w:val="center"/>
          </w:tcPr>
          <w:p w14:paraId="71B3258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w:t>
            </w:r>
          </w:p>
        </w:tc>
      </w:tr>
      <w:tr w14:paraId="5227D08A">
        <w:tblPrEx>
          <w:tblCellMar>
            <w:top w:w="0" w:type="dxa"/>
            <w:left w:w="108" w:type="dxa"/>
            <w:bottom w:w="0" w:type="dxa"/>
            <w:right w:w="108" w:type="dxa"/>
          </w:tblCellMar>
        </w:tblPrEx>
        <w:trPr>
          <w:trHeight w:val="340" w:hRule="atLeast"/>
          <w:jc w:val="center"/>
        </w:trPr>
        <w:tc>
          <w:tcPr>
            <w:tcW w:w="1014" w:type="pct"/>
            <w:vMerge w:val="continue"/>
            <w:tcBorders>
              <w:top w:val="nil"/>
              <w:left w:val="single" w:color="auto" w:sz="4" w:space="0"/>
              <w:bottom w:val="single" w:color="auto" w:sz="4" w:space="0"/>
              <w:right w:val="single" w:color="auto" w:sz="4" w:space="0"/>
            </w:tcBorders>
            <w:noWrap w:val="0"/>
            <w:vAlign w:val="center"/>
          </w:tcPr>
          <w:p w14:paraId="4E1AA3B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p>
        </w:tc>
        <w:tc>
          <w:tcPr>
            <w:tcW w:w="647" w:type="pct"/>
            <w:tcBorders>
              <w:top w:val="nil"/>
              <w:left w:val="nil"/>
              <w:bottom w:val="single" w:color="auto" w:sz="4" w:space="0"/>
              <w:right w:val="single" w:color="auto" w:sz="4" w:space="0"/>
            </w:tcBorders>
            <w:noWrap w:val="0"/>
            <w:vAlign w:val="center"/>
          </w:tcPr>
          <w:p w14:paraId="5C187A1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546" w:type="pct"/>
            <w:tcBorders>
              <w:top w:val="nil"/>
              <w:left w:val="nil"/>
              <w:bottom w:val="single" w:color="auto" w:sz="4" w:space="0"/>
              <w:right w:val="single" w:color="auto" w:sz="4" w:space="0"/>
            </w:tcBorders>
            <w:noWrap w:val="0"/>
            <w:vAlign w:val="center"/>
          </w:tcPr>
          <w:p w14:paraId="7CD19DD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70EA94C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859" w:type="pct"/>
            <w:tcBorders>
              <w:top w:val="nil"/>
              <w:left w:val="nil"/>
              <w:bottom w:val="single" w:color="auto" w:sz="4" w:space="0"/>
              <w:right w:val="single" w:color="auto" w:sz="4" w:space="0"/>
            </w:tcBorders>
            <w:noWrap w:val="0"/>
            <w:vAlign w:val="center"/>
          </w:tcPr>
          <w:p w14:paraId="0E82ECA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860" w:type="pct"/>
            <w:tcBorders>
              <w:top w:val="nil"/>
              <w:left w:val="nil"/>
              <w:bottom w:val="single" w:color="auto" w:sz="4" w:space="0"/>
              <w:right w:val="single" w:color="auto" w:sz="4" w:space="0"/>
            </w:tcBorders>
            <w:noWrap w:val="0"/>
            <w:vAlign w:val="center"/>
          </w:tcPr>
          <w:p w14:paraId="3F9FF9D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05FE76A3">
        <w:tblPrEx>
          <w:tblCellMar>
            <w:top w:w="0" w:type="dxa"/>
            <w:left w:w="108" w:type="dxa"/>
            <w:bottom w:w="0" w:type="dxa"/>
            <w:right w:w="108" w:type="dxa"/>
          </w:tblCellMar>
        </w:tblPrEx>
        <w:trPr>
          <w:trHeight w:val="340" w:hRule="atLeast"/>
          <w:jc w:val="center"/>
        </w:trPr>
        <w:tc>
          <w:tcPr>
            <w:tcW w:w="1014" w:type="pct"/>
            <w:vMerge w:val="restart"/>
            <w:tcBorders>
              <w:top w:val="nil"/>
              <w:left w:val="single" w:color="auto" w:sz="4" w:space="0"/>
              <w:bottom w:val="single" w:color="auto" w:sz="4" w:space="0"/>
              <w:right w:val="single" w:color="auto" w:sz="4" w:space="0"/>
            </w:tcBorders>
            <w:noWrap w:val="0"/>
            <w:vAlign w:val="center"/>
          </w:tcPr>
          <w:p w14:paraId="3119705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餐饮业</w:t>
            </w:r>
          </w:p>
        </w:tc>
        <w:tc>
          <w:tcPr>
            <w:tcW w:w="647" w:type="pct"/>
            <w:tcBorders>
              <w:top w:val="nil"/>
              <w:left w:val="nil"/>
              <w:bottom w:val="single" w:color="auto" w:sz="4" w:space="0"/>
              <w:right w:val="single" w:color="auto" w:sz="4" w:space="0"/>
            </w:tcBorders>
            <w:noWrap w:val="0"/>
            <w:vAlign w:val="center"/>
          </w:tcPr>
          <w:p w14:paraId="034AB96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lang w:eastAsia="zh-CN"/>
              </w:rPr>
              <w:t>从业人员（X）</w:t>
            </w:r>
          </w:p>
        </w:tc>
        <w:tc>
          <w:tcPr>
            <w:tcW w:w="546" w:type="pct"/>
            <w:tcBorders>
              <w:top w:val="nil"/>
              <w:left w:val="nil"/>
              <w:bottom w:val="single" w:color="auto" w:sz="4" w:space="0"/>
              <w:right w:val="single" w:color="auto" w:sz="4" w:space="0"/>
            </w:tcBorders>
            <w:noWrap w:val="0"/>
            <w:vAlign w:val="center"/>
          </w:tcPr>
          <w:p w14:paraId="781C357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070" w:type="pct"/>
            <w:tcBorders>
              <w:top w:val="nil"/>
              <w:left w:val="nil"/>
              <w:bottom w:val="single" w:color="auto" w:sz="4" w:space="0"/>
              <w:right w:val="single" w:color="auto" w:sz="4" w:space="0"/>
            </w:tcBorders>
            <w:noWrap w:val="0"/>
            <w:vAlign w:val="center"/>
          </w:tcPr>
          <w:p w14:paraId="047468A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＜300</w:t>
            </w:r>
          </w:p>
        </w:tc>
        <w:tc>
          <w:tcPr>
            <w:tcW w:w="859" w:type="pct"/>
            <w:tcBorders>
              <w:top w:val="nil"/>
              <w:left w:val="nil"/>
              <w:bottom w:val="single" w:color="auto" w:sz="4" w:space="0"/>
              <w:right w:val="single" w:color="auto" w:sz="4" w:space="0"/>
            </w:tcBorders>
            <w:noWrap w:val="0"/>
            <w:vAlign w:val="center"/>
          </w:tcPr>
          <w:p w14:paraId="77EFD0B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＜100</w:t>
            </w:r>
          </w:p>
        </w:tc>
        <w:tc>
          <w:tcPr>
            <w:tcW w:w="860" w:type="pct"/>
            <w:tcBorders>
              <w:top w:val="nil"/>
              <w:left w:val="nil"/>
              <w:bottom w:val="single" w:color="auto" w:sz="4" w:space="0"/>
              <w:right w:val="single" w:color="auto" w:sz="4" w:space="0"/>
            </w:tcBorders>
            <w:noWrap w:val="0"/>
            <w:vAlign w:val="center"/>
          </w:tcPr>
          <w:p w14:paraId="30B1A70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w:t>
            </w:r>
          </w:p>
        </w:tc>
      </w:tr>
      <w:tr w14:paraId="4193EEE6">
        <w:tblPrEx>
          <w:tblCellMar>
            <w:top w:w="0" w:type="dxa"/>
            <w:left w:w="108" w:type="dxa"/>
            <w:bottom w:w="0" w:type="dxa"/>
            <w:right w:w="108" w:type="dxa"/>
          </w:tblCellMar>
        </w:tblPrEx>
        <w:trPr>
          <w:trHeight w:val="340" w:hRule="atLeast"/>
          <w:jc w:val="center"/>
        </w:trPr>
        <w:tc>
          <w:tcPr>
            <w:tcW w:w="1014" w:type="pct"/>
            <w:vMerge w:val="continue"/>
            <w:tcBorders>
              <w:top w:val="nil"/>
              <w:left w:val="single" w:color="auto" w:sz="4" w:space="0"/>
              <w:bottom w:val="single" w:color="auto" w:sz="4" w:space="0"/>
              <w:right w:val="single" w:color="auto" w:sz="4" w:space="0"/>
            </w:tcBorders>
            <w:noWrap w:val="0"/>
            <w:vAlign w:val="center"/>
          </w:tcPr>
          <w:p w14:paraId="6C85C96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p>
        </w:tc>
        <w:tc>
          <w:tcPr>
            <w:tcW w:w="647" w:type="pct"/>
            <w:tcBorders>
              <w:top w:val="nil"/>
              <w:left w:val="nil"/>
              <w:bottom w:val="single" w:color="auto" w:sz="4" w:space="0"/>
              <w:right w:val="single" w:color="auto" w:sz="4" w:space="0"/>
            </w:tcBorders>
            <w:noWrap w:val="0"/>
            <w:vAlign w:val="center"/>
          </w:tcPr>
          <w:p w14:paraId="7CE6322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546" w:type="pct"/>
            <w:tcBorders>
              <w:top w:val="nil"/>
              <w:left w:val="nil"/>
              <w:bottom w:val="single" w:color="auto" w:sz="4" w:space="0"/>
              <w:right w:val="single" w:color="auto" w:sz="4" w:space="0"/>
            </w:tcBorders>
            <w:noWrap w:val="0"/>
            <w:vAlign w:val="center"/>
          </w:tcPr>
          <w:p w14:paraId="30CFA19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7DF2741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859" w:type="pct"/>
            <w:tcBorders>
              <w:top w:val="nil"/>
              <w:left w:val="nil"/>
              <w:bottom w:val="single" w:color="auto" w:sz="4" w:space="0"/>
              <w:right w:val="single" w:color="auto" w:sz="4" w:space="0"/>
            </w:tcBorders>
            <w:noWrap w:val="0"/>
            <w:vAlign w:val="center"/>
          </w:tcPr>
          <w:p w14:paraId="7C5DAC6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860" w:type="pct"/>
            <w:tcBorders>
              <w:top w:val="nil"/>
              <w:left w:val="nil"/>
              <w:bottom w:val="single" w:color="auto" w:sz="4" w:space="0"/>
              <w:right w:val="single" w:color="auto" w:sz="4" w:space="0"/>
            </w:tcBorders>
            <w:noWrap w:val="0"/>
            <w:vAlign w:val="center"/>
          </w:tcPr>
          <w:p w14:paraId="6CA3E3D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0CDD3EEA">
        <w:tblPrEx>
          <w:tblCellMar>
            <w:top w:w="0" w:type="dxa"/>
            <w:left w:w="108" w:type="dxa"/>
            <w:bottom w:w="0" w:type="dxa"/>
            <w:right w:w="108" w:type="dxa"/>
          </w:tblCellMar>
        </w:tblPrEx>
        <w:trPr>
          <w:trHeight w:val="340" w:hRule="atLeast"/>
          <w:jc w:val="center"/>
        </w:trPr>
        <w:tc>
          <w:tcPr>
            <w:tcW w:w="1014" w:type="pct"/>
            <w:vMerge w:val="restart"/>
            <w:tcBorders>
              <w:top w:val="nil"/>
              <w:left w:val="single" w:color="auto" w:sz="4" w:space="0"/>
              <w:bottom w:val="single" w:color="auto" w:sz="4" w:space="0"/>
              <w:right w:val="single" w:color="auto" w:sz="4" w:space="0"/>
            </w:tcBorders>
            <w:noWrap w:val="0"/>
            <w:vAlign w:val="center"/>
          </w:tcPr>
          <w:p w14:paraId="506BAEA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信息传输业</w:t>
            </w:r>
          </w:p>
        </w:tc>
        <w:tc>
          <w:tcPr>
            <w:tcW w:w="647" w:type="pct"/>
            <w:tcBorders>
              <w:top w:val="nil"/>
              <w:left w:val="nil"/>
              <w:bottom w:val="single" w:color="auto" w:sz="4" w:space="0"/>
              <w:right w:val="single" w:color="auto" w:sz="4" w:space="0"/>
            </w:tcBorders>
            <w:noWrap w:val="0"/>
            <w:vAlign w:val="center"/>
          </w:tcPr>
          <w:p w14:paraId="1A81B3E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lang w:eastAsia="zh-CN"/>
              </w:rPr>
              <w:t>从业人员（X）</w:t>
            </w:r>
          </w:p>
        </w:tc>
        <w:tc>
          <w:tcPr>
            <w:tcW w:w="546" w:type="pct"/>
            <w:tcBorders>
              <w:top w:val="nil"/>
              <w:left w:val="nil"/>
              <w:bottom w:val="single" w:color="auto" w:sz="4" w:space="0"/>
              <w:right w:val="single" w:color="auto" w:sz="4" w:space="0"/>
            </w:tcBorders>
            <w:noWrap w:val="0"/>
            <w:vAlign w:val="center"/>
          </w:tcPr>
          <w:p w14:paraId="6B046F8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070" w:type="pct"/>
            <w:tcBorders>
              <w:top w:val="nil"/>
              <w:left w:val="nil"/>
              <w:bottom w:val="single" w:color="auto" w:sz="4" w:space="0"/>
              <w:right w:val="single" w:color="auto" w:sz="4" w:space="0"/>
            </w:tcBorders>
            <w:noWrap w:val="0"/>
            <w:vAlign w:val="center"/>
          </w:tcPr>
          <w:p w14:paraId="63FC831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＜2000</w:t>
            </w:r>
          </w:p>
        </w:tc>
        <w:tc>
          <w:tcPr>
            <w:tcW w:w="859" w:type="pct"/>
            <w:tcBorders>
              <w:top w:val="nil"/>
              <w:left w:val="nil"/>
              <w:bottom w:val="single" w:color="auto" w:sz="4" w:space="0"/>
              <w:right w:val="single" w:color="auto" w:sz="4" w:space="0"/>
            </w:tcBorders>
            <w:noWrap w:val="0"/>
            <w:vAlign w:val="center"/>
          </w:tcPr>
          <w:p w14:paraId="03861A98">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w:t>
            </w:r>
            <w:r>
              <w:rPr>
                <w:rFonts w:hint="eastAsia" w:asciiTheme="minorEastAsia" w:hAnsiTheme="minorEastAsia" w:eastAsiaTheme="minorEastAsia" w:cstheme="minorEastAsia"/>
                <w:color w:val="auto"/>
                <w:kern w:val="0"/>
                <w:sz w:val="18"/>
                <w:szCs w:val="18"/>
                <w:highlight w:val="none"/>
                <w:lang w:eastAsia="zh-CN"/>
              </w:rPr>
              <w:t>×</w:t>
            </w:r>
            <w:r>
              <w:rPr>
                <w:rFonts w:hint="eastAsia" w:asciiTheme="minorEastAsia" w:hAnsiTheme="minorEastAsia" w:eastAsiaTheme="minorEastAsia" w:cstheme="minorEastAsia"/>
                <w:color w:val="auto"/>
                <w:kern w:val="0"/>
                <w:sz w:val="18"/>
                <w:szCs w:val="18"/>
                <w:highlight w:val="none"/>
              </w:rPr>
              <w:t>＜100</w:t>
            </w:r>
          </w:p>
        </w:tc>
        <w:tc>
          <w:tcPr>
            <w:tcW w:w="860" w:type="pct"/>
            <w:tcBorders>
              <w:top w:val="nil"/>
              <w:left w:val="nil"/>
              <w:bottom w:val="single" w:color="auto" w:sz="4" w:space="0"/>
              <w:right w:val="single" w:color="auto" w:sz="4" w:space="0"/>
            </w:tcBorders>
            <w:noWrap w:val="0"/>
            <w:vAlign w:val="center"/>
          </w:tcPr>
          <w:p w14:paraId="5DED985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w:t>
            </w:r>
          </w:p>
        </w:tc>
      </w:tr>
      <w:tr w14:paraId="06B37937">
        <w:tblPrEx>
          <w:tblCellMar>
            <w:top w:w="0" w:type="dxa"/>
            <w:left w:w="108" w:type="dxa"/>
            <w:bottom w:w="0" w:type="dxa"/>
            <w:right w:w="108" w:type="dxa"/>
          </w:tblCellMar>
        </w:tblPrEx>
        <w:trPr>
          <w:trHeight w:val="340" w:hRule="atLeast"/>
          <w:jc w:val="center"/>
        </w:trPr>
        <w:tc>
          <w:tcPr>
            <w:tcW w:w="1014" w:type="pct"/>
            <w:vMerge w:val="continue"/>
            <w:tcBorders>
              <w:top w:val="nil"/>
              <w:left w:val="single" w:color="auto" w:sz="4" w:space="0"/>
              <w:bottom w:val="single" w:color="auto" w:sz="4" w:space="0"/>
              <w:right w:val="single" w:color="auto" w:sz="4" w:space="0"/>
            </w:tcBorders>
            <w:noWrap w:val="0"/>
            <w:vAlign w:val="center"/>
          </w:tcPr>
          <w:p w14:paraId="7300A19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p>
        </w:tc>
        <w:tc>
          <w:tcPr>
            <w:tcW w:w="647" w:type="pct"/>
            <w:tcBorders>
              <w:top w:val="nil"/>
              <w:left w:val="nil"/>
              <w:bottom w:val="single" w:color="auto" w:sz="4" w:space="0"/>
              <w:right w:val="single" w:color="auto" w:sz="4" w:space="0"/>
            </w:tcBorders>
            <w:noWrap w:val="0"/>
            <w:vAlign w:val="center"/>
          </w:tcPr>
          <w:p w14:paraId="484DBE9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546" w:type="pct"/>
            <w:tcBorders>
              <w:top w:val="nil"/>
              <w:left w:val="nil"/>
              <w:bottom w:val="single" w:color="auto" w:sz="4" w:space="0"/>
              <w:right w:val="single" w:color="auto" w:sz="4" w:space="0"/>
            </w:tcBorders>
            <w:noWrap w:val="0"/>
            <w:vAlign w:val="center"/>
          </w:tcPr>
          <w:p w14:paraId="79E9ED4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6B8DC64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1000≤Y＜100000</w:t>
            </w:r>
          </w:p>
        </w:tc>
        <w:tc>
          <w:tcPr>
            <w:tcW w:w="859" w:type="pct"/>
            <w:tcBorders>
              <w:top w:val="nil"/>
              <w:left w:val="nil"/>
              <w:bottom w:val="single" w:color="auto" w:sz="4" w:space="0"/>
              <w:right w:val="single" w:color="auto" w:sz="4" w:space="0"/>
            </w:tcBorders>
            <w:noWrap w:val="0"/>
            <w:vAlign w:val="center"/>
          </w:tcPr>
          <w:p w14:paraId="18BED1D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860" w:type="pct"/>
            <w:tcBorders>
              <w:top w:val="nil"/>
              <w:left w:val="nil"/>
              <w:bottom w:val="single" w:color="auto" w:sz="4" w:space="0"/>
              <w:right w:val="single" w:color="auto" w:sz="4" w:space="0"/>
            </w:tcBorders>
            <w:noWrap w:val="0"/>
            <w:vAlign w:val="center"/>
          </w:tcPr>
          <w:p w14:paraId="139721B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F4B8304">
        <w:tblPrEx>
          <w:tblCellMar>
            <w:top w:w="0" w:type="dxa"/>
            <w:left w:w="108" w:type="dxa"/>
            <w:bottom w:w="0" w:type="dxa"/>
            <w:right w:w="108" w:type="dxa"/>
          </w:tblCellMar>
        </w:tblPrEx>
        <w:trPr>
          <w:trHeight w:val="340" w:hRule="atLeast"/>
          <w:jc w:val="center"/>
        </w:trPr>
        <w:tc>
          <w:tcPr>
            <w:tcW w:w="1014" w:type="pct"/>
            <w:vMerge w:val="restart"/>
            <w:tcBorders>
              <w:top w:val="nil"/>
              <w:left w:val="single" w:color="auto" w:sz="4" w:space="0"/>
              <w:bottom w:val="single" w:color="auto" w:sz="4" w:space="0"/>
              <w:right w:val="single" w:color="auto" w:sz="4" w:space="0"/>
            </w:tcBorders>
            <w:noWrap w:val="0"/>
            <w:vAlign w:val="center"/>
          </w:tcPr>
          <w:p w14:paraId="4E11E56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软件和信息技术服务业</w:t>
            </w:r>
          </w:p>
        </w:tc>
        <w:tc>
          <w:tcPr>
            <w:tcW w:w="647" w:type="pct"/>
            <w:tcBorders>
              <w:top w:val="nil"/>
              <w:left w:val="nil"/>
              <w:bottom w:val="single" w:color="auto" w:sz="4" w:space="0"/>
              <w:right w:val="single" w:color="auto" w:sz="4" w:space="0"/>
            </w:tcBorders>
            <w:noWrap w:val="0"/>
            <w:vAlign w:val="center"/>
          </w:tcPr>
          <w:p w14:paraId="711A96D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lang w:eastAsia="zh-CN"/>
              </w:rPr>
              <w:t>从业人员（X）</w:t>
            </w:r>
          </w:p>
        </w:tc>
        <w:tc>
          <w:tcPr>
            <w:tcW w:w="546" w:type="pct"/>
            <w:tcBorders>
              <w:top w:val="nil"/>
              <w:left w:val="nil"/>
              <w:bottom w:val="single" w:color="auto" w:sz="4" w:space="0"/>
              <w:right w:val="single" w:color="auto" w:sz="4" w:space="0"/>
            </w:tcBorders>
            <w:noWrap w:val="0"/>
            <w:vAlign w:val="center"/>
          </w:tcPr>
          <w:p w14:paraId="39BB26A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070" w:type="pct"/>
            <w:tcBorders>
              <w:top w:val="nil"/>
              <w:left w:val="nil"/>
              <w:bottom w:val="single" w:color="auto" w:sz="4" w:space="0"/>
              <w:right w:val="single" w:color="auto" w:sz="4" w:space="0"/>
            </w:tcBorders>
            <w:noWrap w:val="0"/>
            <w:vAlign w:val="center"/>
          </w:tcPr>
          <w:p w14:paraId="0574B28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＜300</w:t>
            </w:r>
          </w:p>
        </w:tc>
        <w:tc>
          <w:tcPr>
            <w:tcW w:w="859" w:type="pct"/>
            <w:tcBorders>
              <w:top w:val="nil"/>
              <w:left w:val="nil"/>
              <w:bottom w:val="single" w:color="auto" w:sz="4" w:space="0"/>
              <w:right w:val="single" w:color="auto" w:sz="4" w:space="0"/>
            </w:tcBorders>
            <w:noWrap w:val="0"/>
            <w:vAlign w:val="center"/>
          </w:tcPr>
          <w:p w14:paraId="3471ADD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w:t>
            </w:r>
            <w:r>
              <w:rPr>
                <w:rFonts w:hint="eastAsia" w:asciiTheme="minorEastAsia" w:hAnsiTheme="minorEastAsia" w:eastAsiaTheme="minorEastAsia" w:cstheme="minorEastAsia"/>
                <w:color w:val="auto"/>
                <w:kern w:val="0"/>
                <w:sz w:val="18"/>
                <w:szCs w:val="18"/>
                <w:highlight w:val="none"/>
                <w:lang w:eastAsia="zh-CN"/>
              </w:rPr>
              <w:t>×</w:t>
            </w:r>
            <w:r>
              <w:rPr>
                <w:rFonts w:hint="eastAsia" w:asciiTheme="minorEastAsia" w:hAnsiTheme="minorEastAsia" w:eastAsiaTheme="minorEastAsia" w:cstheme="minorEastAsia"/>
                <w:color w:val="auto"/>
                <w:kern w:val="0"/>
                <w:sz w:val="18"/>
                <w:szCs w:val="18"/>
                <w:highlight w:val="none"/>
              </w:rPr>
              <w:t>＜100</w:t>
            </w:r>
          </w:p>
        </w:tc>
        <w:tc>
          <w:tcPr>
            <w:tcW w:w="860" w:type="pct"/>
            <w:tcBorders>
              <w:top w:val="nil"/>
              <w:left w:val="nil"/>
              <w:bottom w:val="single" w:color="auto" w:sz="4" w:space="0"/>
              <w:right w:val="single" w:color="auto" w:sz="4" w:space="0"/>
            </w:tcBorders>
            <w:noWrap w:val="0"/>
            <w:vAlign w:val="center"/>
          </w:tcPr>
          <w:p w14:paraId="5D39973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w:t>
            </w:r>
          </w:p>
        </w:tc>
      </w:tr>
      <w:tr w14:paraId="01AE0AD5">
        <w:tblPrEx>
          <w:tblCellMar>
            <w:top w:w="0" w:type="dxa"/>
            <w:left w:w="108" w:type="dxa"/>
            <w:bottom w:w="0" w:type="dxa"/>
            <w:right w:w="108" w:type="dxa"/>
          </w:tblCellMar>
        </w:tblPrEx>
        <w:trPr>
          <w:trHeight w:val="340" w:hRule="atLeast"/>
          <w:jc w:val="center"/>
        </w:trPr>
        <w:tc>
          <w:tcPr>
            <w:tcW w:w="1014" w:type="pct"/>
            <w:vMerge w:val="continue"/>
            <w:tcBorders>
              <w:top w:val="nil"/>
              <w:left w:val="single" w:color="auto" w:sz="4" w:space="0"/>
              <w:bottom w:val="single" w:color="auto" w:sz="4" w:space="0"/>
              <w:right w:val="single" w:color="auto" w:sz="4" w:space="0"/>
            </w:tcBorders>
            <w:noWrap w:val="0"/>
            <w:vAlign w:val="center"/>
          </w:tcPr>
          <w:p w14:paraId="646BC9E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p>
        </w:tc>
        <w:tc>
          <w:tcPr>
            <w:tcW w:w="647" w:type="pct"/>
            <w:tcBorders>
              <w:top w:val="nil"/>
              <w:left w:val="nil"/>
              <w:bottom w:val="single" w:color="auto" w:sz="4" w:space="0"/>
              <w:right w:val="single" w:color="auto" w:sz="4" w:space="0"/>
            </w:tcBorders>
            <w:noWrap w:val="0"/>
            <w:vAlign w:val="center"/>
          </w:tcPr>
          <w:p w14:paraId="07CA824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546" w:type="pct"/>
            <w:tcBorders>
              <w:top w:val="nil"/>
              <w:left w:val="nil"/>
              <w:bottom w:val="single" w:color="auto" w:sz="4" w:space="0"/>
              <w:right w:val="single" w:color="auto" w:sz="4" w:space="0"/>
            </w:tcBorders>
            <w:noWrap w:val="0"/>
            <w:vAlign w:val="center"/>
          </w:tcPr>
          <w:p w14:paraId="3F3B69C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3C580D3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w:t>
            </w:r>
          </w:p>
        </w:tc>
        <w:tc>
          <w:tcPr>
            <w:tcW w:w="859" w:type="pct"/>
            <w:tcBorders>
              <w:top w:val="nil"/>
              <w:left w:val="nil"/>
              <w:bottom w:val="single" w:color="auto" w:sz="4" w:space="0"/>
              <w:right w:val="single" w:color="auto" w:sz="4" w:space="0"/>
            </w:tcBorders>
            <w:noWrap w:val="0"/>
            <w:vAlign w:val="center"/>
          </w:tcPr>
          <w:p w14:paraId="418FB2E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50≤Y＜1000</w:t>
            </w:r>
          </w:p>
        </w:tc>
        <w:tc>
          <w:tcPr>
            <w:tcW w:w="860" w:type="pct"/>
            <w:tcBorders>
              <w:top w:val="nil"/>
              <w:left w:val="nil"/>
              <w:bottom w:val="single" w:color="auto" w:sz="4" w:space="0"/>
              <w:right w:val="single" w:color="auto" w:sz="4" w:space="0"/>
            </w:tcBorders>
            <w:noWrap w:val="0"/>
            <w:vAlign w:val="center"/>
          </w:tcPr>
          <w:p w14:paraId="2526208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0264E8D1">
        <w:tblPrEx>
          <w:tblCellMar>
            <w:top w:w="0" w:type="dxa"/>
            <w:left w:w="108" w:type="dxa"/>
            <w:bottom w:w="0" w:type="dxa"/>
            <w:right w:w="108" w:type="dxa"/>
          </w:tblCellMar>
        </w:tblPrEx>
        <w:trPr>
          <w:trHeight w:val="340" w:hRule="atLeast"/>
          <w:jc w:val="center"/>
        </w:trPr>
        <w:tc>
          <w:tcPr>
            <w:tcW w:w="1014" w:type="pct"/>
            <w:vMerge w:val="restart"/>
            <w:tcBorders>
              <w:top w:val="nil"/>
              <w:left w:val="single" w:color="auto" w:sz="4" w:space="0"/>
              <w:bottom w:val="single" w:color="auto" w:sz="4" w:space="0"/>
              <w:right w:val="single" w:color="auto" w:sz="4" w:space="0"/>
            </w:tcBorders>
            <w:noWrap w:val="0"/>
            <w:vAlign w:val="center"/>
          </w:tcPr>
          <w:p w14:paraId="0CD99D2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房地产开发经营</w:t>
            </w:r>
          </w:p>
        </w:tc>
        <w:tc>
          <w:tcPr>
            <w:tcW w:w="647" w:type="pct"/>
            <w:tcBorders>
              <w:top w:val="nil"/>
              <w:left w:val="nil"/>
              <w:bottom w:val="single" w:color="auto" w:sz="4" w:space="0"/>
              <w:right w:val="single" w:color="auto" w:sz="4" w:space="0"/>
            </w:tcBorders>
            <w:noWrap w:val="0"/>
            <w:vAlign w:val="center"/>
          </w:tcPr>
          <w:p w14:paraId="06488B7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546" w:type="pct"/>
            <w:tcBorders>
              <w:top w:val="nil"/>
              <w:left w:val="nil"/>
              <w:bottom w:val="single" w:color="auto" w:sz="4" w:space="0"/>
              <w:right w:val="single" w:color="auto" w:sz="4" w:space="0"/>
            </w:tcBorders>
            <w:noWrap w:val="0"/>
            <w:vAlign w:val="center"/>
          </w:tcPr>
          <w:p w14:paraId="2190D9A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086542F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1000≤Y＜200000</w:t>
            </w:r>
          </w:p>
        </w:tc>
        <w:tc>
          <w:tcPr>
            <w:tcW w:w="859" w:type="pct"/>
            <w:tcBorders>
              <w:top w:val="nil"/>
              <w:left w:val="nil"/>
              <w:bottom w:val="single" w:color="auto" w:sz="4" w:space="0"/>
              <w:right w:val="single" w:color="auto" w:sz="4" w:space="0"/>
            </w:tcBorders>
            <w:noWrap w:val="0"/>
            <w:vAlign w:val="center"/>
          </w:tcPr>
          <w:p w14:paraId="647AC47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＜1000</w:t>
            </w:r>
          </w:p>
        </w:tc>
        <w:tc>
          <w:tcPr>
            <w:tcW w:w="860" w:type="pct"/>
            <w:tcBorders>
              <w:top w:val="nil"/>
              <w:left w:val="nil"/>
              <w:bottom w:val="single" w:color="auto" w:sz="4" w:space="0"/>
              <w:right w:val="single" w:color="auto" w:sz="4" w:space="0"/>
            </w:tcBorders>
            <w:noWrap w:val="0"/>
            <w:vAlign w:val="center"/>
          </w:tcPr>
          <w:p w14:paraId="6BE3167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＜100</w:t>
            </w:r>
          </w:p>
        </w:tc>
      </w:tr>
      <w:tr w14:paraId="686990DE">
        <w:tblPrEx>
          <w:tblCellMar>
            <w:top w:w="0" w:type="dxa"/>
            <w:left w:w="108" w:type="dxa"/>
            <w:bottom w:w="0" w:type="dxa"/>
            <w:right w:w="108" w:type="dxa"/>
          </w:tblCellMar>
        </w:tblPrEx>
        <w:trPr>
          <w:trHeight w:val="340" w:hRule="atLeast"/>
          <w:jc w:val="center"/>
        </w:trPr>
        <w:tc>
          <w:tcPr>
            <w:tcW w:w="1014" w:type="pct"/>
            <w:vMerge w:val="continue"/>
            <w:tcBorders>
              <w:top w:val="nil"/>
              <w:left w:val="single" w:color="auto" w:sz="4" w:space="0"/>
              <w:bottom w:val="single" w:color="auto" w:sz="4" w:space="0"/>
              <w:right w:val="single" w:color="auto" w:sz="4" w:space="0"/>
            </w:tcBorders>
            <w:noWrap w:val="0"/>
            <w:vAlign w:val="center"/>
          </w:tcPr>
          <w:p w14:paraId="6F01E27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p>
        </w:tc>
        <w:tc>
          <w:tcPr>
            <w:tcW w:w="647" w:type="pct"/>
            <w:tcBorders>
              <w:top w:val="nil"/>
              <w:left w:val="nil"/>
              <w:bottom w:val="single" w:color="auto" w:sz="4" w:space="0"/>
              <w:right w:val="single" w:color="auto" w:sz="4" w:space="0"/>
            </w:tcBorders>
            <w:noWrap w:val="0"/>
            <w:vAlign w:val="center"/>
          </w:tcPr>
          <w:p w14:paraId="34A077D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546" w:type="pct"/>
            <w:tcBorders>
              <w:top w:val="nil"/>
              <w:left w:val="nil"/>
              <w:bottom w:val="single" w:color="auto" w:sz="4" w:space="0"/>
              <w:right w:val="single" w:color="auto" w:sz="4" w:space="0"/>
            </w:tcBorders>
            <w:noWrap w:val="0"/>
            <w:vAlign w:val="center"/>
          </w:tcPr>
          <w:p w14:paraId="19D0AFA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172DDDB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5000≤Z＜10000</w:t>
            </w:r>
          </w:p>
        </w:tc>
        <w:tc>
          <w:tcPr>
            <w:tcW w:w="859" w:type="pct"/>
            <w:tcBorders>
              <w:top w:val="nil"/>
              <w:left w:val="nil"/>
              <w:bottom w:val="single" w:color="auto" w:sz="4" w:space="0"/>
              <w:right w:val="single" w:color="auto" w:sz="4" w:space="0"/>
            </w:tcBorders>
            <w:noWrap w:val="0"/>
            <w:vAlign w:val="center"/>
          </w:tcPr>
          <w:p w14:paraId="1D33C08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2000≤Y＜5000</w:t>
            </w:r>
          </w:p>
        </w:tc>
        <w:tc>
          <w:tcPr>
            <w:tcW w:w="860" w:type="pct"/>
            <w:tcBorders>
              <w:top w:val="nil"/>
              <w:left w:val="nil"/>
              <w:bottom w:val="single" w:color="auto" w:sz="4" w:space="0"/>
              <w:right w:val="single" w:color="auto" w:sz="4" w:space="0"/>
            </w:tcBorders>
            <w:noWrap w:val="0"/>
            <w:vAlign w:val="center"/>
          </w:tcPr>
          <w:p w14:paraId="515D102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Y＜2000</w:t>
            </w:r>
          </w:p>
        </w:tc>
      </w:tr>
      <w:tr w14:paraId="07F47C75">
        <w:tblPrEx>
          <w:tblCellMar>
            <w:top w:w="0" w:type="dxa"/>
            <w:left w:w="108" w:type="dxa"/>
            <w:bottom w:w="0" w:type="dxa"/>
            <w:right w:w="108" w:type="dxa"/>
          </w:tblCellMar>
        </w:tblPrEx>
        <w:trPr>
          <w:trHeight w:val="340" w:hRule="atLeast"/>
          <w:jc w:val="center"/>
        </w:trPr>
        <w:tc>
          <w:tcPr>
            <w:tcW w:w="1014" w:type="pct"/>
            <w:vMerge w:val="restart"/>
            <w:tcBorders>
              <w:top w:val="nil"/>
              <w:left w:val="single" w:color="auto" w:sz="4" w:space="0"/>
              <w:bottom w:val="single" w:color="auto" w:sz="4" w:space="0"/>
              <w:right w:val="single" w:color="auto" w:sz="4" w:space="0"/>
            </w:tcBorders>
            <w:noWrap w:val="0"/>
            <w:vAlign w:val="center"/>
          </w:tcPr>
          <w:p w14:paraId="3E2A338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物业管理</w:t>
            </w:r>
          </w:p>
        </w:tc>
        <w:tc>
          <w:tcPr>
            <w:tcW w:w="647" w:type="pct"/>
            <w:tcBorders>
              <w:top w:val="nil"/>
              <w:left w:val="nil"/>
              <w:bottom w:val="single" w:color="auto" w:sz="4" w:space="0"/>
              <w:right w:val="single" w:color="auto" w:sz="4" w:space="0"/>
            </w:tcBorders>
            <w:noWrap w:val="0"/>
            <w:vAlign w:val="center"/>
          </w:tcPr>
          <w:p w14:paraId="57B0D8B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lang w:eastAsia="zh-CN"/>
              </w:rPr>
              <w:t>从业人员（X）</w:t>
            </w:r>
          </w:p>
        </w:tc>
        <w:tc>
          <w:tcPr>
            <w:tcW w:w="546" w:type="pct"/>
            <w:tcBorders>
              <w:top w:val="nil"/>
              <w:left w:val="nil"/>
              <w:bottom w:val="single" w:color="auto" w:sz="4" w:space="0"/>
              <w:right w:val="single" w:color="auto" w:sz="4" w:space="0"/>
            </w:tcBorders>
            <w:noWrap w:val="0"/>
            <w:vAlign w:val="center"/>
          </w:tcPr>
          <w:p w14:paraId="050765D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070" w:type="pct"/>
            <w:tcBorders>
              <w:top w:val="nil"/>
              <w:left w:val="nil"/>
              <w:bottom w:val="single" w:color="auto" w:sz="4" w:space="0"/>
              <w:right w:val="single" w:color="auto" w:sz="4" w:space="0"/>
            </w:tcBorders>
            <w:noWrap w:val="0"/>
            <w:vAlign w:val="center"/>
          </w:tcPr>
          <w:p w14:paraId="5FC7805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＜1000</w:t>
            </w:r>
          </w:p>
        </w:tc>
        <w:tc>
          <w:tcPr>
            <w:tcW w:w="859" w:type="pct"/>
            <w:tcBorders>
              <w:top w:val="nil"/>
              <w:left w:val="nil"/>
              <w:bottom w:val="single" w:color="auto" w:sz="4" w:space="0"/>
              <w:right w:val="single" w:color="auto" w:sz="4" w:space="0"/>
            </w:tcBorders>
            <w:noWrap w:val="0"/>
            <w:vAlign w:val="center"/>
          </w:tcPr>
          <w:p w14:paraId="0D7A1C8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w:t>
            </w:r>
            <w:r>
              <w:rPr>
                <w:rFonts w:hint="eastAsia" w:asciiTheme="minorEastAsia" w:hAnsiTheme="minorEastAsia" w:eastAsiaTheme="minorEastAsia" w:cstheme="minorEastAsia"/>
                <w:color w:val="auto"/>
                <w:kern w:val="0"/>
                <w:sz w:val="18"/>
                <w:szCs w:val="18"/>
                <w:highlight w:val="none"/>
                <w:lang w:eastAsia="zh-CN"/>
              </w:rPr>
              <w:t>×</w:t>
            </w:r>
            <w:r>
              <w:rPr>
                <w:rFonts w:hint="eastAsia" w:asciiTheme="minorEastAsia" w:hAnsiTheme="minorEastAsia" w:eastAsiaTheme="minorEastAsia" w:cstheme="minorEastAsia"/>
                <w:color w:val="auto"/>
                <w:kern w:val="0"/>
                <w:sz w:val="18"/>
                <w:szCs w:val="18"/>
                <w:highlight w:val="none"/>
              </w:rPr>
              <w:t>＜300</w:t>
            </w:r>
          </w:p>
        </w:tc>
        <w:tc>
          <w:tcPr>
            <w:tcW w:w="860" w:type="pct"/>
            <w:tcBorders>
              <w:top w:val="nil"/>
              <w:left w:val="nil"/>
              <w:bottom w:val="single" w:color="auto" w:sz="4" w:space="0"/>
              <w:right w:val="single" w:color="auto" w:sz="4" w:space="0"/>
            </w:tcBorders>
            <w:noWrap w:val="0"/>
            <w:vAlign w:val="center"/>
          </w:tcPr>
          <w:p w14:paraId="1DA20EE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＜100</w:t>
            </w:r>
          </w:p>
        </w:tc>
      </w:tr>
      <w:tr w14:paraId="23214139">
        <w:tblPrEx>
          <w:tblCellMar>
            <w:top w:w="0" w:type="dxa"/>
            <w:left w:w="108" w:type="dxa"/>
            <w:bottom w:w="0" w:type="dxa"/>
            <w:right w:w="108" w:type="dxa"/>
          </w:tblCellMar>
        </w:tblPrEx>
        <w:trPr>
          <w:trHeight w:val="340" w:hRule="atLeast"/>
          <w:jc w:val="center"/>
        </w:trPr>
        <w:tc>
          <w:tcPr>
            <w:tcW w:w="1014" w:type="pct"/>
            <w:vMerge w:val="continue"/>
            <w:tcBorders>
              <w:top w:val="nil"/>
              <w:left w:val="single" w:color="auto" w:sz="4" w:space="0"/>
              <w:bottom w:val="single" w:color="auto" w:sz="4" w:space="0"/>
              <w:right w:val="single" w:color="auto" w:sz="4" w:space="0"/>
            </w:tcBorders>
            <w:noWrap w:val="0"/>
            <w:vAlign w:val="center"/>
          </w:tcPr>
          <w:p w14:paraId="7FE2D56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p>
        </w:tc>
        <w:tc>
          <w:tcPr>
            <w:tcW w:w="647" w:type="pct"/>
            <w:tcBorders>
              <w:top w:val="nil"/>
              <w:left w:val="nil"/>
              <w:bottom w:val="single" w:color="auto" w:sz="4" w:space="0"/>
              <w:right w:val="single" w:color="auto" w:sz="4" w:space="0"/>
            </w:tcBorders>
            <w:noWrap w:val="0"/>
            <w:vAlign w:val="center"/>
          </w:tcPr>
          <w:p w14:paraId="1FF6A07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546" w:type="pct"/>
            <w:tcBorders>
              <w:top w:val="nil"/>
              <w:left w:val="nil"/>
              <w:bottom w:val="single" w:color="auto" w:sz="4" w:space="0"/>
              <w:right w:val="single" w:color="auto" w:sz="4" w:space="0"/>
            </w:tcBorders>
            <w:noWrap w:val="0"/>
            <w:vAlign w:val="center"/>
          </w:tcPr>
          <w:p w14:paraId="4B70BA2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0B1FA30E">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859" w:type="pct"/>
            <w:tcBorders>
              <w:top w:val="nil"/>
              <w:left w:val="nil"/>
              <w:bottom w:val="single" w:color="auto" w:sz="4" w:space="0"/>
              <w:right w:val="single" w:color="auto" w:sz="4" w:space="0"/>
            </w:tcBorders>
            <w:noWrap w:val="0"/>
            <w:vAlign w:val="center"/>
          </w:tcPr>
          <w:p w14:paraId="7F08731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500≤Y＜1000</w:t>
            </w:r>
          </w:p>
        </w:tc>
        <w:tc>
          <w:tcPr>
            <w:tcW w:w="860" w:type="pct"/>
            <w:tcBorders>
              <w:top w:val="nil"/>
              <w:left w:val="nil"/>
              <w:bottom w:val="single" w:color="auto" w:sz="4" w:space="0"/>
              <w:right w:val="single" w:color="auto" w:sz="4" w:space="0"/>
            </w:tcBorders>
            <w:noWrap w:val="0"/>
            <w:vAlign w:val="center"/>
          </w:tcPr>
          <w:p w14:paraId="6B76E4EC">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Y＜500</w:t>
            </w:r>
          </w:p>
        </w:tc>
      </w:tr>
      <w:tr w14:paraId="6D2E8278">
        <w:tblPrEx>
          <w:tblCellMar>
            <w:top w:w="0" w:type="dxa"/>
            <w:left w:w="108" w:type="dxa"/>
            <w:bottom w:w="0" w:type="dxa"/>
            <w:right w:w="108" w:type="dxa"/>
          </w:tblCellMar>
        </w:tblPrEx>
        <w:trPr>
          <w:trHeight w:val="340" w:hRule="atLeast"/>
          <w:jc w:val="center"/>
        </w:trPr>
        <w:tc>
          <w:tcPr>
            <w:tcW w:w="1014" w:type="pct"/>
            <w:vMerge w:val="restart"/>
            <w:tcBorders>
              <w:top w:val="nil"/>
              <w:left w:val="single" w:color="auto" w:sz="4" w:space="0"/>
              <w:bottom w:val="single" w:color="auto" w:sz="4" w:space="0"/>
              <w:right w:val="single" w:color="auto" w:sz="4" w:space="0"/>
            </w:tcBorders>
            <w:noWrap w:val="0"/>
            <w:vAlign w:val="center"/>
          </w:tcPr>
          <w:p w14:paraId="667BB127">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租赁和商务服务业</w:t>
            </w:r>
          </w:p>
        </w:tc>
        <w:tc>
          <w:tcPr>
            <w:tcW w:w="647" w:type="pct"/>
            <w:tcBorders>
              <w:top w:val="nil"/>
              <w:left w:val="nil"/>
              <w:bottom w:val="single" w:color="auto" w:sz="4" w:space="0"/>
              <w:right w:val="single" w:color="auto" w:sz="4" w:space="0"/>
            </w:tcBorders>
            <w:noWrap w:val="0"/>
            <w:vAlign w:val="center"/>
          </w:tcPr>
          <w:p w14:paraId="2404C7A5">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lang w:eastAsia="zh-CN"/>
              </w:rPr>
              <w:t>从业人员（X）</w:t>
            </w:r>
          </w:p>
        </w:tc>
        <w:tc>
          <w:tcPr>
            <w:tcW w:w="546" w:type="pct"/>
            <w:tcBorders>
              <w:top w:val="nil"/>
              <w:left w:val="nil"/>
              <w:bottom w:val="single" w:color="auto" w:sz="4" w:space="0"/>
              <w:right w:val="single" w:color="auto" w:sz="4" w:space="0"/>
            </w:tcBorders>
            <w:noWrap w:val="0"/>
            <w:vAlign w:val="center"/>
          </w:tcPr>
          <w:p w14:paraId="4E781FD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070" w:type="pct"/>
            <w:tcBorders>
              <w:top w:val="nil"/>
              <w:left w:val="nil"/>
              <w:bottom w:val="single" w:color="auto" w:sz="4" w:space="0"/>
              <w:right w:val="single" w:color="auto" w:sz="4" w:space="0"/>
            </w:tcBorders>
            <w:noWrap w:val="0"/>
            <w:vAlign w:val="center"/>
          </w:tcPr>
          <w:p w14:paraId="787A773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＜300</w:t>
            </w:r>
          </w:p>
        </w:tc>
        <w:tc>
          <w:tcPr>
            <w:tcW w:w="859" w:type="pct"/>
            <w:tcBorders>
              <w:top w:val="nil"/>
              <w:left w:val="nil"/>
              <w:bottom w:val="single" w:color="auto" w:sz="4" w:space="0"/>
              <w:right w:val="single" w:color="auto" w:sz="4" w:space="0"/>
            </w:tcBorders>
            <w:noWrap w:val="0"/>
            <w:vAlign w:val="center"/>
          </w:tcPr>
          <w:p w14:paraId="4850279B">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＜100</w:t>
            </w:r>
          </w:p>
        </w:tc>
        <w:tc>
          <w:tcPr>
            <w:tcW w:w="860" w:type="pct"/>
            <w:tcBorders>
              <w:top w:val="nil"/>
              <w:left w:val="nil"/>
              <w:bottom w:val="single" w:color="auto" w:sz="4" w:space="0"/>
              <w:right w:val="single" w:color="auto" w:sz="4" w:space="0"/>
            </w:tcBorders>
            <w:noWrap w:val="0"/>
            <w:vAlign w:val="center"/>
          </w:tcPr>
          <w:p w14:paraId="6F2E5E7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w:t>
            </w:r>
          </w:p>
        </w:tc>
      </w:tr>
      <w:tr w14:paraId="1095B17E">
        <w:tblPrEx>
          <w:tblCellMar>
            <w:top w:w="0" w:type="dxa"/>
            <w:left w:w="108" w:type="dxa"/>
            <w:bottom w:w="0" w:type="dxa"/>
            <w:right w:w="108" w:type="dxa"/>
          </w:tblCellMar>
        </w:tblPrEx>
        <w:trPr>
          <w:trHeight w:val="340" w:hRule="atLeast"/>
          <w:jc w:val="center"/>
        </w:trPr>
        <w:tc>
          <w:tcPr>
            <w:tcW w:w="1014" w:type="pct"/>
            <w:vMerge w:val="continue"/>
            <w:tcBorders>
              <w:top w:val="nil"/>
              <w:left w:val="single" w:color="auto" w:sz="4" w:space="0"/>
              <w:bottom w:val="single" w:color="auto" w:sz="4" w:space="0"/>
              <w:right w:val="single" w:color="auto" w:sz="4" w:space="0"/>
            </w:tcBorders>
            <w:noWrap w:val="0"/>
            <w:vAlign w:val="center"/>
          </w:tcPr>
          <w:p w14:paraId="5D4A99B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p>
        </w:tc>
        <w:tc>
          <w:tcPr>
            <w:tcW w:w="647" w:type="pct"/>
            <w:tcBorders>
              <w:top w:val="nil"/>
              <w:left w:val="nil"/>
              <w:bottom w:val="single" w:color="auto" w:sz="4" w:space="0"/>
              <w:right w:val="single" w:color="auto" w:sz="4" w:space="0"/>
            </w:tcBorders>
            <w:noWrap w:val="0"/>
            <w:vAlign w:val="center"/>
          </w:tcPr>
          <w:p w14:paraId="0524B114">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546" w:type="pct"/>
            <w:tcBorders>
              <w:top w:val="nil"/>
              <w:left w:val="nil"/>
              <w:bottom w:val="single" w:color="auto" w:sz="4" w:space="0"/>
              <w:right w:val="single" w:color="auto" w:sz="4" w:space="0"/>
            </w:tcBorders>
            <w:noWrap w:val="0"/>
            <w:vAlign w:val="center"/>
          </w:tcPr>
          <w:p w14:paraId="7C329FD1">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070" w:type="pct"/>
            <w:tcBorders>
              <w:top w:val="nil"/>
              <w:left w:val="nil"/>
              <w:bottom w:val="single" w:color="auto" w:sz="4" w:space="0"/>
              <w:right w:val="single" w:color="auto" w:sz="4" w:space="0"/>
            </w:tcBorders>
            <w:noWrap w:val="0"/>
            <w:vAlign w:val="center"/>
          </w:tcPr>
          <w:p w14:paraId="3C17C7C3">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8000≤Z＜120000</w:t>
            </w:r>
          </w:p>
        </w:tc>
        <w:tc>
          <w:tcPr>
            <w:tcW w:w="859" w:type="pct"/>
            <w:tcBorders>
              <w:top w:val="nil"/>
              <w:left w:val="nil"/>
              <w:bottom w:val="single" w:color="auto" w:sz="4" w:space="0"/>
              <w:right w:val="single" w:color="auto" w:sz="4" w:space="0"/>
            </w:tcBorders>
            <w:noWrap w:val="0"/>
            <w:vAlign w:val="center"/>
          </w:tcPr>
          <w:p w14:paraId="39173216">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100≤Z＜8000</w:t>
            </w:r>
          </w:p>
        </w:tc>
        <w:tc>
          <w:tcPr>
            <w:tcW w:w="860" w:type="pct"/>
            <w:tcBorders>
              <w:top w:val="nil"/>
              <w:left w:val="nil"/>
              <w:bottom w:val="single" w:color="auto" w:sz="4" w:space="0"/>
              <w:right w:val="single" w:color="auto" w:sz="4" w:space="0"/>
            </w:tcBorders>
            <w:noWrap w:val="0"/>
            <w:vAlign w:val="center"/>
          </w:tcPr>
          <w:p w14:paraId="72E16039">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694A5660">
        <w:tblPrEx>
          <w:tblCellMar>
            <w:top w:w="0" w:type="dxa"/>
            <w:left w:w="108" w:type="dxa"/>
            <w:bottom w:w="0" w:type="dxa"/>
            <w:right w:w="108" w:type="dxa"/>
          </w:tblCellMar>
        </w:tblPrEx>
        <w:trPr>
          <w:trHeight w:val="340" w:hRule="atLeast"/>
          <w:jc w:val="center"/>
        </w:trPr>
        <w:tc>
          <w:tcPr>
            <w:tcW w:w="1014" w:type="pct"/>
            <w:tcBorders>
              <w:top w:val="nil"/>
              <w:left w:val="single" w:color="auto" w:sz="4" w:space="0"/>
              <w:bottom w:val="single" w:color="auto" w:sz="4" w:space="0"/>
              <w:right w:val="single" w:color="auto" w:sz="4" w:space="0"/>
            </w:tcBorders>
            <w:noWrap w:val="0"/>
            <w:vAlign w:val="center"/>
          </w:tcPr>
          <w:p w14:paraId="00A1CC3F">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其他未列明行业</w:t>
            </w:r>
          </w:p>
        </w:tc>
        <w:tc>
          <w:tcPr>
            <w:tcW w:w="647" w:type="pct"/>
            <w:tcBorders>
              <w:top w:val="nil"/>
              <w:left w:val="nil"/>
              <w:bottom w:val="single" w:color="auto" w:sz="4" w:space="0"/>
              <w:right w:val="single" w:color="auto" w:sz="4" w:space="0"/>
            </w:tcBorders>
            <w:noWrap w:val="0"/>
            <w:vAlign w:val="center"/>
          </w:tcPr>
          <w:p w14:paraId="3095FE0A">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lang w:eastAsia="zh-CN"/>
              </w:rPr>
            </w:pPr>
            <w:r>
              <w:rPr>
                <w:rFonts w:hint="eastAsia" w:asciiTheme="minorEastAsia" w:hAnsiTheme="minorEastAsia" w:eastAsiaTheme="minorEastAsia" w:cstheme="minorEastAsia"/>
                <w:color w:val="auto"/>
                <w:kern w:val="0"/>
                <w:sz w:val="18"/>
                <w:szCs w:val="18"/>
                <w:highlight w:val="none"/>
                <w:lang w:eastAsia="zh-CN"/>
              </w:rPr>
              <w:t>从业人员（X）</w:t>
            </w:r>
          </w:p>
        </w:tc>
        <w:tc>
          <w:tcPr>
            <w:tcW w:w="546" w:type="pct"/>
            <w:tcBorders>
              <w:top w:val="nil"/>
              <w:left w:val="nil"/>
              <w:bottom w:val="single" w:color="auto" w:sz="4" w:space="0"/>
              <w:right w:val="single" w:color="auto" w:sz="4" w:space="0"/>
            </w:tcBorders>
            <w:noWrap w:val="0"/>
            <w:vAlign w:val="center"/>
          </w:tcPr>
          <w:p w14:paraId="2704A18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070" w:type="pct"/>
            <w:tcBorders>
              <w:top w:val="nil"/>
              <w:left w:val="nil"/>
              <w:bottom w:val="single" w:color="auto" w:sz="4" w:space="0"/>
              <w:right w:val="single" w:color="auto" w:sz="4" w:space="0"/>
            </w:tcBorders>
            <w:noWrap w:val="0"/>
            <w:vAlign w:val="center"/>
          </w:tcPr>
          <w:p w14:paraId="7B66F852">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＜300</w:t>
            </w:r>
          </w:p>
        </w:tc>
        <w:tc>
          <w:tcPr>
            <w:tcW w:w="859" w:type="pct"/>
            <w:tcBorders>
              <w:top w:val="nil"/>
              <w:left w:val="nil"/>
              <w:bottom w:val="single" w:color="auto" w:sz="4" w:space="0"/>
              <w:right w:val="single" w:color="auto" w:sz="4" w:space="0"/>
            </w:tcBorders>
            <w:noWrap w:val="0"/>
            <w:vAlign w:val="center"/>
          </w:tcPr>
          <w:p w14:paraId="30EC512D">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w:t>
            </w: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＜100</w:t>
            </w:r>
          </w:p>
        </w:tc>
        <w:tc>
          <w:tcPr>
            <w:tcW w:w="860" w:type="pct"/>
            <w:tcBorders>
              <w:top w:val="nil"/>
              <w:left w:val="nil"/>
              <w:bottom w:val="single" w:color="auto" w:sz="4" w:space="0"/>
              <w:right w:val="single" w:color="auto" w:sz="4" w:space="0"/>
            </w:tcBorders>
            <w:noWrap w:val="0"/>
            <w:vAlign w:val="center"/>
          </w:tcPr>
          <w:p w14:paraId="25295F60">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lang w:val="en-US" w:eastAsia="zh-CN"/>
              </w:rPr>
              <w:t>X</w:t>
            </w:r>
            <w:r>
              <w:rPr>
                <w:rFonts w:hint="eastAsia" w:asciiTheme="minorEastAsia" w:hAnsiTheme="minorEastAsia" w:eastAsiaTheme="minorEastAsia" w:cstheme="minorEastAsia"/>
                <w:color w:val="auto"/>
                <w:kern w:val="0"/>
                <w:sz w:val="18"/>
                <w:szCs w:val="18"/>
                <w:highlight w:val="none"/>
              </w:rPr>
              <w:t>＜10</w:t>
            </w:r>
          </w:p>
        </w:tc>
      </w:tr>
    </w:tbl>
    <w:p w14:paraId="7FC992FB">
      <w:pPr>
        <w:pStyle w:val="14"/>
        <w:ind w:firstLine="410" w:firstLineChars="200"/>
        <w:jc w:val="left"/>
        <w:rPr>
          <w:rFonts w:hint="eastAsia" w:asciiTheme="minorEastAsia" w:hAnsiTheme="minorEastAsia" w:eastAsiaTheme="minorEastAsia" w:cstheme="minorEastAsia"/>
          <w:b/>
          <w:bCs/>
          <w:color w:val="auto"/>
          <w:spacing w:val="-3"/>
          <w:sz w:val="21"/>
          <w:szCs w:val="21"/>
        </w:rPr>
      </w:pPr>
      <w:r>
        <w:rPr>
          <w:rFonts w:hint="eastAsia" w:asciiTheme="minorEastAsia" w:hAnsiTheme="minorEastAsia" w:eastAsiaTheme="minorEastAsia" w:cstheme="minorEastAsia"/>
          <w:b/>
          <w:bCs/>
          <w:color w:val="auto"/>
          <w:spacing w:val="-3"/>
          <w:sz w:val="21"/>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27511B02">
      <w:pPr>
        <w:widowControl/>
        <w:jc w:val="left"/>
        <w:rPr>
          <w:rFonts w:hint="eastAsia" w:asciiTheme="minorEastAsia" w:hAnsiTheme="minorEastAsia" w:eastAsiaTheme="minorEastAsia" w:cstheme="minorEastAsia"/>
          <w:color w:val="auto"/>
          <w:sz w:val="24"/>
        </w:rPr>
        <w:sectPr>
          <w:footerReference r:id="rId5" w:type="default"/>
          <w:pgSz w:w="11906" w:h="16838"/>
          <w:pgMar w:top="1134" w:right="1134" w:bottom="1134" w:left="1134" w:header="720" w:footer="720" w:gutter="0"/>
          <w:pgNumType w:start="1"/>
          <w:cols w:space="720" w:num="1"/>
          <w:docGrid w:type="lines" w:linePitch="331" w:charSpace="0"/>
        </w:sectPr>
      </w:pPr>
    </w:p>
    <w:p w14:paraId="622EB184">
      <w:pPr>
        <w:pStyle w:val="2"/>
        <w:keepNext/>
        <w:keepLines/>
        <w:pageBreakBefore w:val="0"/>
        <w:widowControl w:val="0"/>
        <w:kinsoku/>
        <w:wordWrap/>
        <w:overflowPunct/>
        <w:topLinePunct w:val="0"/>
        <w:autoSpaceDE/>
        <w:autoSpaceDN/>
        <w:bidi w:val="0"/>
        <w:adjustRightInd/>
        <w:snapToGrid/>
        <w:spacing w:before="200" w:after="200"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lang w:val="en-US" w:eastAsia="zh-CN"/>
        </w:rPr>
      </w:pPr>
      <w:bookmarkStart w:id="27" w:name="_Toc30576"/>
      <w:r>
        <w:rPr>
          <w:rFonts w:hint="eastAsia" w:asciiTheme="minorEastAsia" w:hAnsiTheme="minorEastAsia" w:eastAsiaTheme="minorEastAsia" w:cstheme="minorEastAsia"/>
          <w:color w:val="auto"/>
          <w:lang w:val="en-US" w:eastAsia="zh-CN"/>
        </w:rPr>
        <w:t xml:space="preserve">第四章 </w:t>
      </w:r>
      <w:bookmarkStart w:id="28" w:name="_Hlk68601507"/>
      <w:r>
        <w:rPr>
          <w:rFonts w:hint="eastAsia" w:asciiTheme="minorEastAsia" w:hAnsiTheme="minorEastAsia" w:eastAsiaTheme="minorEastAsia" w:cstheme="minorEastAsia"/>
          <w:color w:val="auto"/>
          <w:lang w:val="en-US" w:eastAsia="zh-CN"/>
        </w:rPr>
        <w:t>评审程序和评定成交的标准</w:t>
      </w:r>
      <w:bookmarkEnd w:id="27"/>
      <w:bookmarkEnd w:id="28"/>
    </w:p>
    <w:p w14:paraId="135F489B">
      <w:pPr>
        <w:pStyle w:val="14"/>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一、评审程序</w:t>
      </w:r>
    </w:p>
    <w:p w14:paraId="31E6362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1.确认谈判文件</w:t>
      </w:r>
    </w:p>
    <w:p w14:paraId="656EB18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由谈判小组确认谈判文件。</w:t>
      </w:r>
    </w:p>
    <w:p w14:paraId="253BA3E3">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2.资格审查</w:t>
      </w:r>
    </w:p>
    <w:p w14:paraId="609C594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2.1响应文件开启后，谈判小组依法对供应商的资格证明文件进行审查。</w:t>
      </w:r>
    </w:p>
    <w:p w14:paraId="2DED5FD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查询渠道：“信用中国”网站（www.creditchina.gov.cn</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、中国政府采购网（</w:t>
      </w: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HYPERLINK "http://www.ccgp.gov.cn"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sz w:val="24"/>
        </w:rPr>
        <w:t>www.ccgp.gov.cn</w:t>
      </w:r>
      <w:r>
        <w:rPr>
          <w:rFonts w:hint="eastAsia" w:asciiTheme="minorEastAsia" w:hAnsiTheme="minorEastAsia" w:eastAsiaTheme="minorEastAsia" w:cstheme="minorEastAsia"/>
          <w:color w:val="auto"/>
          <w:sz w:val="24"/>
        </w:rPr>
        <w:fldChar w:fldCharType="end"/>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 xml:space="preserve"> </w:t>
      </w:r>
    </w:p>
    <w:p w14:paraId="5962C84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信用查询截止时点：资格审查结束前</w:t>
      </w:r>
    </w:p>
    <w:p w14:paraId="3099E3A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查询记录和证据留存方式：将查询网站中的查询记录截图并作为评审资料保存。</w:t>
      </w:r>
    </w:p>
    <w:p w14:paraId="34346FE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信用信息使用规则：信用信息使用规则：根据财政部《关于在政府采购活动中查询及使用信用记录有关问题的通知》（财库〔2016〕125号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的规定，对在“信用中国”网站</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www.creditchina.gov.cn</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 xml:space="preserve"> 、中国政府采购网</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www.ccgp.gov.cn</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被列入失信被执行人、重大税收违法失信主体、政府采购严重违法失信行为记录名单及其他不符合《中华人民共和国政府采购法》第二十二条规定条件的供应商，不得参与政府采购活动。</w:t>
      </w:r>
    </w:p>
    <w:p w14:paraId="5E6E9CC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2.2资格审查标准为本谈判文件中载明对供应商资格要求的条件。本项目资格审查采用合格制，凡符合谈判文件规定的供应商资格要求的供应商均通过资格审查。</w:t>
      </w:r>
    </w:p>
    <w:p w14:paraId="4E496B5E">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2.3 供应商有下列情形之一的，资格审查不通过，其响应文件按无效响应处理：</w:t>
      </w:r>
    </w:p>
    <w:p w14:paraId="2BEF877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不具备谈判文件中规定的资格要求的；</w:t>
      </w:r>
    </w:p>
    <w:p w14:paraId="220E0A3D">
      <w:pPr>
        <w:keepNext w:val="0"/>
        <w:keepLines w:val="0"/>
        <w:pageBreakBefore w:val="0"/>
        <w:widowControl w:val="0"/>
        <w:kinsoku/>
        <w:wordWrap/>
        <w:overflowPunct/>
        <w:topLinePunct w:val="0"/>
        <w:autoSpaceDE/>
        <w:autoSpaceDN/>
        <w:bidi w:val="0"/>
        <w:adjustRightInd/>
        <w:spacing w:line="360" w:lineRule="auto"/>
        <w:ind w:firstLine="480" w:firstLineChars="200"/>
        <w:contextualSpacing/>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响应文件中的资格证明文件缺少任一项“供应商须知前附表”资格证明文件规定的“必须提供”的文件资料的；</w:t>
      </w:r>
    </w:p>
    <w:p w14:paraId="737B1B3D">
      <w:pPr>
        <w:keepNext w:val="0"/>
        <w:keepLines w:val="0"/>
        <w:pageBreakBefore w:val="0"/>
        <w:widowControl w:val="0"/>
        <w:kinsoku/>
        <w:wordWrap/>
        <w:overflowPunct/>
        <w:topLinePunct w:val="0"/>
        <w:autoSpaceDE/>
        <w:autoSpaceDN/>
        <w:bidi w:val="0"/>
        <w:adjustRightInd/>
        <w:spacing w:line="360" w:lineRule="auto"/>
        <w:ind w:firstLine="480" w:firstLineChars="200"/>
        <w:contextualSpacing/>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响应文件中的资格证明文件出现任一项不符合“供应商须知前附表”资格证明文件规定的“必须提供”的文件资料要求或者无效的；</w:t>
      </w:r>
    </w:p>
    <w:p w14:paraId="17AD86F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同一合同项下的不同供应商，单位负责人为同一人或者存在直接控股、管理关系的；为本项目提供过整体设计、规范编制或者项目管理、监理、检测等服务的供应商，再参加该采购项目的其他采购活动的。</w:t>
      </w:r>
    </w:p>
    <w:p w14:paraId="07BBF75B">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2.4通过资格审查的合格供应商不足3家（本章3.7条规定除外</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的，不得进入符合性审查环节，应当重新开展采购活动。</w:t>
      </w:r>
    </w:p>
    <w:p w14:paraId="7C5B044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3.符合性审查</w:t>
      </w:r>
    </w:p>
    <w:p w14:paraId="608EA710">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3.1由谈判小组对资格审查的合格的供应商的响应文件进行</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报价、商务、技术等实质性要求符合性审查，以确定其是否满足谈判文件的实质性要求。</w:t>
      </w:r>
    </w:p>
    <w:p w14:paraId="45FDE6C3">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751CA7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pacing w:val="-6"/>
          <w:sz w:val="24"/>
        </w:rPr>
      </w:pPr>
      <w:r>
        <w:rPr>
          <w:rFonts w:hint="eastAsia" w:asciiTheme="minorEastAsia" w:hAnsiTheme="minorEastAsia" w:eastAsiaTheme="minorEastAsia" w:cstheme="minorEastAsia"/>
          <w:color w:val="auto"/>
          <w:sz w:val="24"/>
        </w:rPr>
        <w:t>3.3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由法定代表人或者其委托代理人签字或者加盖供应商公章。</w:t>
      </w:r>
    </w:p>
    <w:p w14:paraId="3E74A549">
      <w:pPr>
        <w:keepNext w:val="0"/>
        <w:keepLines w:val="0"/>
        <w:pageBreakBefore w:val="0"/>
        <w:widowControl w:val="0"/>
        <w:kinsoku/>
        <w:wordWrap/>
        <w:overflowPunct/>
        <w:topLinePunct w:val="0"/>
        <w:autoSpaceDE/>
        <w:autoSpaceDN/>
        <w:bidi w:val="0"/>
        <w:adjustRightInd/>
        <w:spacing w:line="360" w:lineRule="auto"/>
        <w:ind w:firstLine="456" w:firstLineChars="200"/>
        <w:textAlignment w:val="auto"/>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pacing w:val="-6"/>
          <w:sz w:val="24"/>
        </w:rPr>
        <w:t>3.4</w:t>
      </w:r>
      <w:r>
        <w:rPr>
          <w:rFonts w:hint="eastAsia" w:asciiTheme="minorEastAsia" w:hAnsiTheme="minorEastAsia" w:eastAsiaTheme="minorEastAsia" w:cstheme="minorEastAsia"/>
          <w:color w:val="auto"/>
          <w:sz w:val="24"/>
        </w:rPr>
        <w:t>首次响应文件报价出现前后不一致的，按照下列规定修正</w:t>
      </w:r>
      <w:r>
        <w:rPr>
          <w:rFonts w:hint="eastAsia" w:asciiTheme="minorEastAsia" w:hAnsiTheme="minorEastAsia" w:eastAsiaTheme="minorEastAsia" w:cstheme="minorEastAsia"/>
          <w:color w:val="auto"/>
          <w:sz w:val="24"/>
          <w:lang w:eastAsia="zh-CN"/>
        </w:rPr>
        <w:t>：</w:t>
      </w:r>
    </w:p>
    <w:p w14:paraId="4F48227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响应文件中报价表内容与响应文件中相应内容不一致的，以报价表为准；</w:t>
      </w:r>
    </w:p>
    <w:p w14:paraId="55C0E70E">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大写金额和小写金额不一致的，以大写金额为准；</w:t>
      </w:r>
    </w:p>
    <w:p w14:paraId="1B457BB6">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单价金额小数点或者百分比有明显错位的，以报价表的总价为准，并修改单价；</w:t>
      </w:r>
    </w:p>
    <w:p w14:paraId="2C5352A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总价金额与按单价汇总金额不一致的，以单价金额计算结果为准。</w:t>
      </w:r>
    </w:p>
    <w:p w14:paraId="2767209B">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同时出现两种以上不一致的，按照以上（1</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-（4</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规定的顺序逐条进行修正。修正后的报价经供应商确认后产生约束力，供应商不确认的，其响应文件按无效响应处理。</w:t>
      </w:r>
    </w:p>
    <w:p w14:paraId="24DCFBD3">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3.5商务技术报价评审</w:t>
      </w:r>
    </w:p>
    <w:p w14:paraId="4DBCCD4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在评审时，如发现下列情形之一的，将被视为响应文件无效响应处理：</w:t>
      </w:r>
    </w:p>
    <w:p w14:paraId="3AB10F7E">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商务技术评审</w:t>
      </w:r>
    </w:p>
    <w:p w14:paraId="2F0E9C70">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响应文件未按谈判文件要求签署、盖章的；</w:t>
      </w:r>
    </w:p>
    <w:p w14:paraId="386D857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 xml:space="preserve">委托代理人未能出具有效身份证或者出具的身份证与授权委托书中的信息不符的； </w:t>
      </w:r>
    </w:p>
    <w:p w14:paraId="39B0D45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提交的谈判保证金无效的或者未按照谈判文件的规定提交谈判保证金；</w:t>
      </w:r>
    </w:p>
    <w:p w14:paraId="720D5CB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响应文件中的报价商务技术文件出现任一项不符合“供应商须知前附表”中“必须提供”或者“委托时必须提供”文件资料要求的规定或者提供的报价商务技术文件无效。</w:t>
      </w:r>
    </w:p>
    <w:p w14:paraId="29D969C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商务条款中标“▲”的条款发生负偏离或者允许负偏离的条款数超过“供应商须知前附表”规定项数的；</w:t>
      </w:r>
    </w:p>
    <w:p w14:paraId="04EDA8B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未对</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有效期作出响应或者响应文件承诺的</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有效期不满足谈判文件要求；</w:t>
      </w:r>
    </w:p>
    <w:p w14:paraId="5CB8951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响应文件的实质性内容未使用中文表述、使用计量单位不符合谈判文件要求的；</w:t>
      </w:r>
    </w:p>
    <w:p w14:paraId="1DB26ACB">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8</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响应文件中的文件资料因填写不齐全或者内容虚假或者出现其他情形而导致被谈判小组认定无效的；</w:t>
      </w:r>
    </w:p>
    <w:p w14:paraId="3EE457DB">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9</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响应文件含有采购人不能接受的附加条件的；</w:t>
      </w:r>
    </w:p>
    <w:p w14:paraId="5B1844F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10</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属于“供应商须知正文”第7.4条的情形的；</w:t>
      </w:r>
    </w:p>
    <w:p w14:paraId="3845F6A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11</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技术要求中标“▲”的条款发生负偏离或允许负偏离的条款数超过“供应商须知前附表”规定项数的；</w:t>
      </w:r>
    </w:p>
    <w:p w14:paraId="3E56D8A4">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12</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虚假响应，或者出现其他情形而导致被谈判小组认定无效的；</w:t>
      </w:r>
    </w:p>
    <w:p w14:paraId="3D906A00">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13</w:t>
      </w:r>
      <w:bookmarkStart w:id="29" w:name="_Hlk71704147"/>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谈判文件未载明允许提供备选（替代</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响应方案或明确不允许提供备选（替代</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响应方案时，供应商提供了备选（替代</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响应方案的；</w:t>
      </w:r>
      <w:bookmarkEnd w:id="29"/>
    </w:p>
    <w:p w14:paraId="7C5614E0">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14</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响应文件标注的项目名称或者项目编号与谈判文件标注的项目名称或者项目编号不一致的；</w:t>
      </w:r>
    </w:p>
    <w:p w14:paraId="02AA0B3E">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15</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b/>
          <w:color w:val="auto"/>
          <w:sz w:val="24"/>
        </w:rPr>
        <w:t>谈判文件明确不允许分包，响应文件拟分包的；</w:t>
      </w:r>
    </w:p>
    <w:p w14:paraId="3628445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16</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未响应谈判文件实质性要求；</w:t>
      </w:r>
    </w:p>
    <w:p w14:paraId="70785AC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17</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法律、法规和谈判文件规定的其他无效情形。</w:t>
      </w:r>
    </w:p>
    <w:p w14:paraId="2B7AF33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报价评审</w:t>
      </w:r>
    </w:p>
    <w:p w14:paraId="28CB297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响应文件未提供“供应商须知前附表” 报价商务技术文件中规定的“</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报价表”的；</w:t>
      </w:r>
    </w:p>
    <w:p w14:paraId="37C8B680">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未采用人民币报价或者未按照谈判文件标明的币种报价的；</w:t>
      </w:r>
    </w:p>
    <w:p w14:paraId="66EA3CF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供应商未就所参与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分标进行报价或者存在漏项报价的；供应商未就所参与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分标的单项内容作唯一报价的；供应商未就所参与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分标的全部内容作完整唯一总价报价的；供应商响应文件中存在有选择、有条件报价的（谈判文件允许有备选方案或者其他约定的除外</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w:t>
      </w:r>
    </w:p>
    <w:p w14:paraId="6AB7A55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报价（包含首次报价、最后报价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超过所参与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分标规定的采购预算金额或者最高限价的；</w:t>
      </w:r>
    </w:p>
    <w:p w14:paraId="1205BE8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报价（包含首次报价、最后报价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超过分项采购预算金额或者最高限价的，其响应文件将作无效处理；</w:t>
      </w:r>
    </w:p>
    <w:p w14:paraId="1C67FF9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修正后的报价，供应商不确认的；或者经供应商确认修正后的最后报价超过所参与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分标规定的采购预算金额或者最高限价（如本项目公布了最高限价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w:t>
      </w:r>
    </w:p>
    <w:p w14:paraId="4B4CEB7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响应文件响应的标的数量及单位与竞争性谈判采购文件要求实质性不一致的。</w:t>
      </w:r>
    </w:p>
    <w:p w14:paraId="3166FA9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lang w:val="en-US" w:eastAsia="zh-CN"/>
        </w:rPr>
      </w:pPr>
    </w:p>
    <w:p w14:paraId="059CF8B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3.6谈判小组对响应文件进行评审，未实质性响应谈判文件的响应文件按无效响应处理。谈判小组应当将资格和符合性不通过的情况告知有关供应商。谈判小组从符合谈判文件规定的相应资格条件的供应商名单中确定不少于3家的供应商参加谈判。</w:t>
      </w:r>
    </w:p>
    <w:p w14:paraId="48C1FE0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3.7竞争性谈判方式采购的货物、服务项目，竞争性谈判过程中提交响应文件或者经评审实质性响应文件要求的供应商只有两家时，采购人、采购代理机构按照《政府采购非招标采购方式管理办法》（财政部74号令</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第四条经本级财政部门批准后可以与该两家供应商进行竞争性谈判采购，采购人、采购代理机构应当根据</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文件中的采购需求编制谈判文件，成立谈判小组，由谈判小组对谈判文件进行确认。</w:t>
      </w:r>
    </w:p>
    <w:p w14:paraId="473AB82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3.8通过符合性审查的合格供应商不足3家的，不得进入谈判环节，应当重新开展采购活动。</w:t>
      </w:r>
    </w:p>
    <w:p w14:paraId="31BFADB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4.谈判程序</w:t>
      </w:r>
    </w:p>
    <w:p w14:paraId="3F76BD7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kern w:val="0"/>
          <w:sz w:val="24"/>
        </w:rPr>
        <w:t>4.1谈判小组按照“供应商须知前附表”第26条确定的</w:t>
      </w:r>
      <w:r>
        <w:rPr>
          <w:rFonts w:hint="eastAsia" w:asciiTheme="minorEastAsia" w:hAnsiTheme="minorEastAsia" w:eastAsiaTheme="minorEastAsia" w:cstheme="minorEastAsia"/>
          <w:color w:val="auto"/>
          <w:sz w:val="24"/>
        </w:rPr>
        <w:t>顺序，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响应处理。</w:t>
      </w:r>
    </w:p>
    <w:p w14:paraId="17B2A1AE">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4.2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15110FF3">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4.3对谈判文件作出的实质性变动是谈判文件的有效组成部分，谈判小组应当及时以电子谈判记录形式同时通知所有参加谈判的供应商。</w:t>
      </w:r>
    </w:p>
    <w:p w14:paraId="6115E70B">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4.4供应商必须按照谈判文件的变动情况和谈判小组的要求以电子回函的形式重新提交响应文件，并由其法定代表人或者委托代理人签字或者加盖供应商公章。由委托代理人签字的，</w:t>
      </w:r>
      <w:r>
        <w:rPr>
          <w:rFonts w:hint="eastAsia" w:asciiTheme="minorEastAsia" w:hAnsiTheme="minorEastAsia" w:eastAsiaTheme="minorEastAsia" w:cstheme="minorEastAsia"/>
          <w:bCs/>
          <w:color w:val="auto"/>
          <w:sz w:val="24"/>
        </w:rPr>
        <w:t>若委托代理人不是响应文件中授权的委托代理人时，必须同时出示有效的授权委托书原件</w:t>
      </w:r>
      <w:r>
        <w:rPr>
          <w:rFonts w:hint="eastAsia" w:asciiTheme="minorEastAsia" w:hAnsiTheme="minorEastAsia" w:eastAsiaTheme="minorEastAsia" w:cstheme="minorEastAsia"/>
          <w:color w:val="auto"/>
          <w:sz w:val="24"/>
        </w:rPr>
        <w:t>。供应商为自然人的，必须由本人签字并附身份证明。参加谈判的供应商未在规定时间内以电子回函的形式重新提交响应文件的，视同退出谈判，其响应文件按无效响应处理。</w:t>
      </w:r>
    </w:p>
    <w:p w14:paraId="3DBDBA70">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4.5谈判中，谈判的任何一方不得透露与谈判有关的其他供应商的技术资料、价格和其他信息。</w:t>
      </w:r>
    </w:p>
    <w:p w14:paraId="3B451CAC">
      <w:pPr>
        <w:keepNext w:val="0"/>
        <w:keepLines w:val="0"/>
        <w:pageBreakBefore w:val="0"/>
        <w:widowControl w:val="0"/>
        <w:tabs>
          <w:tab w:val="left" w:pos="2835"/>
        </w:tabs>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4.6对谈判过程提交的响应文件进行有效性、完整性和响应程度审查，通过审查的合格供应商不足3家的，采购人或者采购代理机构应当重新开展采购活动。</w:t>
      </w:r>
    </w:p>
    <w:p w14:paraId="74F2931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5.最后报价</w:t>
      </w:r>
    </w:p>
    <w:p w14:paraId="5824073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5.1谈判文件能够详细列明采购标的的技术、服务要求的，谈判结束后，谈判小组应当要求所有继续参加谈判的供应商在规定时间内以电子文件形式提交最后报价，提交最后报价的供应商不得少于3家，除本章第3.7条外，否则必须重新采购。</w:t>
      </w:r>
    </w:p>
    <w:p w14:paraId="0C01240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5.2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以电子文件形式提交最后报价。</w:t>
      </w:r>
    </w:p>
    <w:p w14:paraId="1F5D7FD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5.3最后报价是供应商响应文件的有效组成部分。</w:t>
      </w:r>
    </w:p>
    <w:p w14:paraId="2BFBB7A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5.4已经提交响应文件的供应商，在提交最后报价之前，可以根据谈判情况退出谈判。采购人、采购代理机构将退还退出谈判的供应商的保证金。</w:t>
      </w:r>
    </w:p>
    <w:p w14:paraId="11919F2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5.5供应商未在规定时间内提交最后报价的，视为退出谈判，其响应文件按无效响应处理。</w:t>
      </w:r>
    </w:p>
    <w:p w14:paraId="4FFD7F8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5.6谈判小组收齐某一分标最后报价后或达到规定时间后统一开启，谈判小组对最后报价进行有效性、完整性和响应程度的审查。</w:t>
      </w:r>
    </w:p>
    <w:p w14:paraId="5F1DF886">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5.7响应文件首次及最后报价出现前后不一致的，按照本章第3.4条的规定修正。 </w:t>
      </w:r>
    </w:p>
    <w:p w14:paraId="707922D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5.8经供应商确认修正后的最后报价作为评审及签订合同的依据。</w:t>
      </w:r>
    </w:p>
    <w:p w14:paraId="6A3CA0F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5.9供应商出现最后报价按无效响应处理或者响应文件按无效响应处理时，谈判小组应当告知有关供应商。</w:t>
      </w:r>
    </w:p>
    <w:p w14:paraId="0895B4E4">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5.10最后报价结束后，谈判小组不得再与供应商进行任何形式的商谈。</w:t>
      </w:r>
    </w:p>
    <w:p w14:paraId="6791778E">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5.11政府采购异常低价审查</w:t>
      </w:r>
    </w:p>
    <w:p w14:paraId="42815C2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（一）政府采购评审中出现下列情形之一的，谈判小组应当启动异常低价响应审查程序：</w:t>
      </w:r>
    </w:p>
    <w:p w14:paraId="6AEAD93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1)最后报价低于全部通过符合性审查供应商投标最后报价平均值65%的，即最后报价＜全部通过符合性审查供应商最后报价平均值×65%；</w:t>
      </w:r>
    </w:p>
    <w:p w14:paraId="7C960B9B">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2）最后报价低于通过符合性审查的次低报价供应商最后报价65%的，即最后报价＜通过符合性审查的次低报价供应商投标最后报价×65%；</w:t>
      </w:r>
    </w:p>
    <w:p w14:paraId="72BE8A03">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3）最后报价低于采购项目最高限价65%的，即最后报价＜采购项目最高限价×65%；</w:t>
      </w:r>
    </w:p>
    <w:p w14:paraId="74DB91C4">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4）谈判小组基于专业判断，认为供应商报价过低，有可能影响产品质量或者不能诚信履约的其他情形。</w:t>
      </w:r>
    </w:p>
    <w:p w14:paraId="5A4C7EA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二）谈判小组启动异常低价响应审查后，属于前述第1项至第4项情形的，应当要求相关供应商在评审现场合理的时间内对最后报价价格作出解释，提供项目具体成本测算等与报价合理性相关的书面说明及必要的证明材料，包括但不限于原材料成本、人工成本、制造费用等，给予相关供应商的合理时间一般不少于30分钟。其中，属于第3项情形，供应商已随响应文件一并提交相关书面说明及必要的证明材料的，在评审现场可不再重复提交。</w:t>
      </w:r>
    </w:p>
    <w:p w14:paraId="363CA32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谈判小组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最后报价应当将其作为无效响应处理。</w:t>
      </w:r>
    </w:p>
    <w:p w14:paraId="7B7CF753">
      <w:pPr>
        <w:keepNext w:val="0"/>
        <w:keepLines w:val="0"/>
        <w:pageBreakBefore w:val="0"/>
        <w:widowControl w:val="0"/>
        <w:kinsoku/>
        <w:wordWrap/>
        <w:overflowPunct/>
        <w:topLinePunct w:val="0"/>
        <w:autoSpaceDE/>
        <w:autoSpaceDN/>
        <w:bidi w:val="0"/>
        <w:adjustRightInd/>
        <w:spacing w:line="360" w:lineRule="auto"/>
        <w:ind w:firstLine="472" w:firstLineChars="196"/>
        <w:textAlignment w:val="auto"/>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6.最后报价政府采购政策性扣除</w:t>
      </w:r>
    </w:p>
    <w:p w14:paraId="2BB057E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6.1评标价为供应商的最后报价进行政策性扣除后的价格，评标价只是作为评审时使用。最终成交供应商的成交金额等于最后报价（如有修正，以确认修正后的最后报价为准</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w:t>
      </w:r>
    </w:p>
    <w:p w14:paraId="2B2AE45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6.2政策性扣除计算方法。</w:t>
      </w:r>
    </w:p>
    <w:p w14:paraId="413D3F3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宋体" w:hAnsi="宋体" w:eastAsia="宋体" w:cs="宋体"/>
          <w:color w:val="auto"/>
          <w:sz w:val="24"/>
        </w:rPr>
        <w:t>根据《政府采购促进中小企业发展管理办法》</w:t>
      </w:r>
      <w:r>
        <w:rPr>
          <w:rFonts w:hint="eastAsia" w:ascii="宋体" w:hAnsi="宋体" w:eastAsia="宋体" w:cs="宋体"/>
          <w:bCs/>
          <w:color w:val="auto"/>
          <w:sz w:val="24"/>
        </w:rPr>
        <w:t>及《广西壮族自治区财政厅关于持续优化政府采购营商环境推动高质量发展的通知》</w:t>
      </w:r>
      <w:r>
        <w:rPr>
          <w:rFonts w:hint="eastAsia" w:ascii="宋体" w:hAnsi="宋体" w:eastAsia="宋体" w:cs="宋体"/>
          <w:color w:val="auto"/>
          <w:sz w:val="24"/>
        </w:rPr>
        <w:t>的规定，</w:t>
      </w:r>
      <w:r>
        <w:rPr>
          <w:rFonts w:hint="eastAsia" w:ascii="宋体" w:hAnsi="宋体" w:eastAsia="宋体" w:cs="宋体"/>
          <w:bCs/>
          <w:color w:val="auto"/>
          <w:sz w:val="24"/>
        </w:rPr>
        <w:t>调整对小微企业的价格评审优惠幅度</w:t>
      </w:r>
      <w:r>
        <w:rPr>
          <w:rFonts w:hint="eastAsia" w:ascii="宋体" w:hAnsi="宋体" w:eastAsia="宋体" w:cs="宋体"/>
          <w:color w:val="auto"/>
          <w:sz w:val="24"/>
        </w:rPr>
        <w:t>，供应商属于《政府采购促进中小企业发展管理办法》规定的小微企业的，对</w:t>
      </w:r>
      <w:r>
        <w:rPr>
          <w:rFonts w:hint="eastAsia" w:ascii="宋体" w:hAnsi="宋体" w:eastAsia="宋体" w:cs="宋体"/>
          <w:color w:val="auto"/>
          <w:sz w:val="24"/>
          <w:lang w:bidi="ar"/>
        </w:rPr>
        <w:t>竞争性谈判</w:t>
      </w:r>
      <w:r>
        <w:rPr>
          <w:rFonts w:hint="eastAsia" w:ascii="宋体" w:hAnsi="宋体" w:eastAsia="宋体" w:cs="宋体"/>
          <w:color w:val="auto"/>
          <w:sz w:val="24"/>
        </w:rPr>
        <w:t>报价给予</w:t>
      </w:r>
      <w:r>
        <w:rPr>
          <w:rFonts w:hint="eastAsia" w:ascii="宋体" w:hAnsi="宋体" w:eastAsia="宋体" w:cs="宋体"/>
          <w:color w:val="auto"/>
          <w:sz w:val="24"/>
          <w:lang w:val="en-US" w:eastAsia="zh-CN"/>
        </w:rPr>
        <w:t>10</w:t>
      </w:r>
      <w:r>
        <w:rPr>
          <w:rFonts w:hint="eastAsia" w:ascii="宋体" w:hAnsi="宋体" w:eastAsia="宋体" w:cs="宋体"/>
          <w:color w:val="auto"/>
          <w:sz w:val="24"/>
        </w:rPr>
        <w:t>%的扣除，用扣除后的价格参加评审；大中型企业与小微企业组成联合体或者大中型企业向一家或者多家小微企业分包，且联合协议或者分包意向协议约定小微企业的合同份额占到合同总金额30%以上的，对联合体或者大中型企业的报价给予6%的扣除，用扣除后的价</w:t>
      </w:r>
      <w:bookmarkStart w:id="38" w:name="_GoBack"/>
      <w:bookmarkEnd w:id="38"/>
      <w:r>
        <w:rPr>
          <w:rFonts w:hint="eastAsia" w:ascii="宋体" w:hAnsi="宋体" w:eastAsia="宋体" w:cs="宋体"/>
          <w:color w:val="auto"/>
          <w:sz w:val="24"/>
        </w:rPr>
        <w:t>格参加评审。符合上述规定对报价给予扣除的，扣除后的价格为评标价，即评标价=最后报价×（1-扣除比例</w:t>
      </w:r>
      <w:r>
        <w:rPr>
          <w:rFonts w:hint="eastAsia" w:ascii="宋体" w:hAnsi="宋体" w:cs="宋体"/>
          <w:color w:val="auto"/>
          <w:sz w:val="24"/>
          <w:lang w:eastAsia="zh-CN"/>
        </w:rPr>
        <w:t>）</w:t>
      </w:r>
      <w:r>
        <w:rPr>
          <w:rFonts w:hint="eastAsia" w:ascii="宋体" w:hAnsi="宋体" w:eastAsia="宋体" w:cs="宋体"/>
          <w:color w:val="auto"/>
          <w:sz w:val="24"/>
        </w:rPr>
        <w:t>。</w:t>
      </w:r>
    </w:p>
    <w:p w14:paraId="067C5F6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6.3按照《财政部、司法部关于政府采购支持监狱企业发展有关问题的通知》（财库〔2014〕68号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的规定，监狱企业视同小型、微型企业，享受预留份额、评审中价格扣除等促进中小企业发展的政府采购政策。监狱企业参加政府采购活动时，应当提供由省级以上监狱管理局、戒毒管理局（含新疆生产建设兵团</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出具的属于监狱企业的证明文件。不重复享受政策。</w:t>
      </w:r>
    </w:p>
    <w:p w14:paraId="4962B79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6.4按照《关于促进残疾人就业政府采购政策的通知》（财库〔2017〕141号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3D9FA80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6.5本采购包为单一产品，根据《国务院办公厅关于在政府采购中实施本国产品标准及相关政策的通知》（国办发〔2025】34号）的规定，供应商在其竞标文件中提供《关于符合本国产品标准的声明函》且符合政策条件的，对其报价给20%的扣除；同时享受《政府采购促进中小企业发展管理办法》（财库〔2020〕46号）价格扣除政策的可叠加计算。</w:t>
      </w:r>
    </w:p>
    <w:p w14:paraId="1D04206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评审报价计算：</w:t>
      </w:r>
    </w:p>
    <w:p w14:paraId="72EF958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①供应商符合中小企业支持政策的要求时，评审报价＝投标总报价×（1-10%）</w:t>
      </w:r>
    </w:p>
    <w:p w14:paraId="5FD8E24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②供应商符合本国产品支持政策的要求时，评审报价＝投标总报价×（1-20%）</w:t>
      </w:r>
    </w:p>
    <w:p w14:paraId="094A85B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宋体" w:hAnsi="宋体" w:eastAsia="宋体" w:cs="宋体"/>
          <w:color w:val="auto"/>
          <w:sz w:val="24"/>
          <w:lang w:val="en-US" w:eastAsia="zh-CN"/>
        </w:rPr>
        <w:t>③评审报价＝投标总报价－投标总报价×（1-10%-20%）</w:t>
      </w:r>
    </w:p>
    <w:p w14:paraId="696AF056">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6.6除上述情况外，评标价＝最后报价。</w:t>
      </w:r>
    </w:p>
    <w:p w14:paraId="646BD439">
      <w:pPr>
        <w:pStyle w:val="14"/>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32"/>
          <w:szCs w:val="32"/>
        </w:rPr>
      </w:pPr>
    </w:p>
    <w:p w14:paraId="7D3905D9">
      <w:pPr>
        <w:pStyle w:val="14"/>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二、评定成交的标准</w:t>
      </w:r>
    </w:p>
    <w:p w14:paraId="114770E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7.成交候选人推荐原则</w:t>
      </w:r>
    </w:p>
    <w:p w14:paraId="14EA7A8E">
      <w:pPr>
        <w:keepNext w:val="0"/>
        <w:keepLines w:val="0"/>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谈判小组应当从质量和服务均能满足谈判文件实质性响应要求的供应商中，按照评标价由低到高的顺序提出3名以上成交候选人（评标价相同时，按照最后报价由低到高顺序依次推荐；最后报价相同时，由谈判小组按“供应商须知前附表”第26条规定的顺序推荐</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并编写评审报告。</w:t>
      </w:r>
      <w:bookmarkStart w:id="30" w:name="_Toc1293"/>
    </w:p>
    <w:p w14:paraId="41E02B89">
      <w:pP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br w:type="page"/>
      </w:r>
    </w:p>
    <w:p w14:paraId="4B58ADA3">
      <w:pPr>
        <w:pStyle w:val="2"/>
        <w:spacing w:before="0" w:after="0" w:line="360" w:lineRule="auto"/>
        <w:jc w:val="center"/>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第五章 响应文件格式</w:t>
      </w:r>
      <w:bookmarkEnd w:id="30"/>
    </w:p>
    <w:p w14:paraId="71A2F73C">
      <w:pPr>
        <w:spacing w:line="360" w:lineRule="auto"/>
        <w:rPr>
          <w:rFonts w:hint="eastAsia" w:asciiTheme="minorEastAsia" w:hAnsiTheme="minorEastAsia" w:eastAsiaTheme="minorEastAsia" w:cstheme="minorEastAsia"/>
          <w:b/>
          <w:color w:val="auto"/>
          <w:sz w:val="32"/>
          <w:szCs w:val="32"/>
        </w:rPr>
      </w:pPr>
      <w:bookmarkStart w:id="31" w:name="_Toc71365382"/>
      <w:bookmarkStart w:id="32" w:name="_Toc71366060"/>
      <w:r>
        <w:rPr>
          <w:rFonts w:hint="eastAsia" w:asciiTheme="minorEastAsia" w:hAnsiTheme="minorEastAsia" w:eastAsiaTheme="minorEastAsia" w:cstheme="minorEastAsia"/>
          <w:b/>
          <w:color w:val="auto"/>
          <w:sz w:val="32"/>
          <w:szCs w:val="32"/>
        </w:rPr>
        <w:t>一、资格证明文件格式</w:t>
      </w:r>
      <w:bookmarkEnd w:id="31"/>
      <w:bookmarkEnd w:id="32"/>
    </w:p>
    <w:p w14:paraId="48D7869F">
      <w:pPr>
        <w:snapToGrid w:val="0"/>
        <w:spacing w:line="360" w:lineRule="auto"/>
        <w:jc w:val="left"/>
        <w:rPr>
          <w:rFonts w:hint="eastAsia" w:asciiTheme="minorEastAsia" w:hAnsiTheme="minorEastAsia" w:eastAsiaTheme="minorEastAsia" w:cstheme="minorEastAsia"/>
          <w:b/>
          <w:color w:val="auto"/>
          <w:sz w:val="24"/>
          <w:lang w:eastAsia="zh-CN"/>
        </w:rPr>
      </w:pPr>
      <w:r>
        <w:rPr>
          <w:rFonts w:hint="eastAsia" w:asciiTheme="minorEastAsia" w:hAnsiTheme="minorEastAsia" w:eastAsiaTheme="minorEastAsia" w:cstheme="minorEastAsia"/>
          <w:b/>
          <w:color w:val="auto"/>
          <w:sz w:val="32"/>
          <w:szCs w:val="32"/>
        </w:rPr>
        <w:t>1.资格证明文件封面格式</w:t>
      </w:r>
      <w:r>
        <w:rPr>
          <w:rFonts w:hint="eastAsia" w:asciiTheme="minorEastAsia" w:hAnsiTheme="minorEastAsia" w:eastAsiaTheme="minorEastAsia" w:cstheme="minorEastAsia"/>
          <w:b/>
          <w:color w:val="auto"/>
          <w:sz w:val="32"/>
          <w:szCs w:val="32"/>
          <w:lang w:eastAsia="zh-CN"/>
        </w:rPr>
        <w:t>：</w:t>
      </w:r>
    </w:p>
    <w:p w14:paraId="2C973A0B">
      <w:pPr>
        <w:snapToGrid w:val="0"/>
        <w:spacing w:line="360" w:lineRule="auto"/>
        <w:rPr>
          <w:rFonts w:hint="eastAsia" w:asciiTheme="minorEastAsia" w:hAnsiTheme="minorEastAsia" w:eastAsiaTheme="minorEastAsia" w:cstheme="minorEastAsia"/>
          <w:bCs/>
          <w:color w:val="auto"/>
          <w:sz w:val="32"/>
          <w:szCs w:val="20"/>
        </w:rPr>
      </w:pPr>
      <w:r>
        <w:rPr>
          <w:rFonts w:hint="eastAsia" w:asciiTheme="minorEastAsia" w:hAnsiTheme="minorEastAsia" w:eastAsiaTheme="minorEastAsia" w:cstheme="minorEastAsia"/>
          <w:color w:val="auto"/>
          <w:sz w:val="24"/>
        </w:rPr>
        <w:t xml:space="preserve">                                                  </w:t>
      </w:r>
    </w:p>
    <w:p w14:paraId="46348E2A">
      <w:pPr>
        <w:snapToGrid w:val="0"/>
        <w:spacing w:line="360" w:lineRule="auto"/>
        <w:jc w:val="center"/>
        <w:rPr>
          <w:rFonts w:hint="eastAsia" w:asciiTheme="minorEastAsia" w:hAnsiTheme="minorEastAsia" w:eastAsiaTheme="minorEastAsia" w:cstheme="minorEastAsia"/>
          <w:bCs/>
          <w:color w:val="auto"/>
          <w:sz w:val="44"/>
          <w:szCs w:val="44"/>
        </w:rPr>
      </w:pPr>
    </w:p>
    <w:p w14:paraId="64E0334D">
      <w:pPr>
        <w:snapToGrid w:val="0"/>
        <w:spacing w:line="360" w:lineRule="auto"/>
        <w:jc w:val="center"/>
        <w:rPr>
          <w:rFonts w:hint="eastAsia" w:asciiTheme="minorEastAsia" w:hAnsiTheme="minorEastAsia" w:eastAsiaTheme="minorEastAsia" w:cstheme="minorEastAsia"/>
          <w:bCs/>
          <w:color w:val="auto"/>
          <w:sz w:val="84"/>
          <w:szCs w:val="84"/>
        </w:rPr>
      </w:pPr>
      <w:r>
        <w:rPr>
          <w:rFonts w:hint="eastAsia" w:asciiTheme="minorEastAsia" w:hAnsiTheme="minorEastAsia" w:eastAsiaTheme="minorEastAsia" w:cstheme="minorEastAsia"/>
          <w:bCs/>
          <w:color w:val="auto"/>
          <w:sz w:val="84"/>
          <w:szCs w:val="84"/>
        </w:rPr>
        <w:t>响  应  文  件</w:t>
      </w:r>
    </w:p>
    <w:p w14:paraId="4DA5D2C7">
      <w:pPr>
        <w:snapToGrid w:val="0"/>
        <w:spacing w:line="360" w:lineRule="auto"/>
        <w:rPr>
          <w:rFonts w:hint="eastAsia" w:asciiTheme="minorEastAsia" w:hAnsiTheme="minorEastAsia" w:eastAsiaTheme="minorEastAsia" w:cstheme="minorEastAsia"/>
          <w:color w:val="auto"/>
          <w:sz w:val="24"/>
          <w:szCs w:val="20"/>
        </w:rPr>
      </w:pPr>
    </w:p>
    <w:p w14:paraId="379F1A27">
      <w:pPr>
        <w:snapToGrid w:val="0"/>
        <w:spacing w:line="360" w:lineRule="auto"/>
        <w:jc w:val="center"/>
        <w:rPr>
          <w:rFonts w:hint="eastAsia" w:asciiTheme="minorEastAsia" w:hAnsiTheme="minorEastAsia" w:eastAsiaTheme="minorEastAsia" w:cstheme="minorEastAsia"/>
          <w:bCs/>
          <w:color w:val="auto"/>
          <w:sz w:val="32"/>
          <w:szCs w:val="32"/>
        </w:rPr>
      </w:pPr>
      <w:r>
        <w:rPr>
          <w:rFonts w:hint="eastAsia" w:asciiTheme="minorEastAsia" w:hAnsiTheme="minorEastAsia" w:eastAsiaTheme="minorEastAsia" w:cstheme="minorEastAsia"/>
          <w:bCs/>
          <w:color w:val="auto"/>
          <w:sz w:val="32"/>
          <w:szCs w:val="32"/>
        </w:rPr>
        <w:t>资  格  证  明  文  件</w:t>
      </w:r>
    </w:p>
    <w:p w14:paraId="409FE4F9">
      <w:pPr>
        <w:snapToGrid w:val="0"/>
        <w:spacing w:line="360" w:lineRule="auto"/>
        <w:rPr>
          <w:rFonts w:hint="eastAsia" w:asciiTheme="minorEastAsia" w:hAnsiTheme="minorEastAsia" w:eastAsiaTheme="minorEastAsia" w:cstheme="minorEastAsia"/>
          <w:bCs/>
          <w:color w:val="auto"/>
          <w:sz w:val="24"/>
          <w:szCs w:val="20"/>
        </w:rPr>
      </w:pPr>
    </w:p>
    <w:p w14:paraId="3D2EECD5">
      <w:pPr>
        <w:snapToGrid w:val="0"/>
        <w:spacing w:line="360" w:lineRule="auto"/>
        <w:rPr>
          <w:rFonts w:hint="eastAsia" w:asciiTheme="minorEastAsia" w:hAnsiTheme="minorEastAsia" w:eastAsiaTheme="minorEastAsia" w:cstheme="minorEastAsia"/>
          <w:bCs/>
          <w:color w:val="auto"/>
          <w:sz w:val="24"/>
          <w:szCs w:val="20"/>
        </w:rPr>
      </w:pPr>
    </w:p>
    <w:p w14:paraId="38934F6B">
      <w:pPr>
        <w:snapToGrid w:val="0"/>
        <w:spacing w:line="360" w:lineRule="auto"/>
        <w:ind w:firstLine="2739" w:firstLineChars="856"/>
        <w:rPr>
          <w:rFonts w:hint="eastAsia" w:asciiTheme="minorEastAsia" w:hAnsiTheme="minorEastAsia" w:eastAsiaTheme="minorEastAsia" w:cstheme="minorEastAsia"/>
          <w:bCs/>
          <w:color w:val="auto"/>
          <w:sz w:val="32"/>
          <w:szCs w:val="32"/>
        </w:rPr>
      </w:pPr>
      <w:r>
        <w:rPr>
          <w:rFonts w:hint="eastAsia" w:asciiTheme="minorEastAsia" w:hAnsiTheme="minorEastAsia" w:eastAsiaTheme="minorEastAsia" w:cstheme="minorEastAsia"/>
          <w:bCs/>
          <w:color w:val="auto"/>
          <w:sz w:val="32"/>
          <w:szCs w:val="32"/>
        </w:rPr>
        <w:t>项目名称：</w:t>
      </w:r>
    </w:p>
    <w:p w14:paraId="4D424580">
      <w:pPr>
        <w:snapToGrid w:val="0"/>
        <w:spacing w:line="360" w:lineRule="auto"/>
        <w:ind w:firstLine="2739" w:firstLineChars="856"/>
        <w:rPr>
          <w:rFonts w:hint="eastAsia" w:asciiTheme="minorEastAsia" w:hAnsiTheme="minorEastAsia" w:eastAsiaTheme="minorEastAsia" w:cstheme="minorEastAsia"/>
          <w:bCs/>
          <w:color w:val="auto"/>
          <w:sz w:val="32"/>
          <w:szCs w:val="32"/>
          <w:lang w:eastAsia="zh-CN"/>
        </w:rPr>
      </w:pPr>
      <w:r>
        <w:rPr>
          <w:rFonts w:hint="eastAsia" w:asciiTheme="minorEastAsia" w:hAnsiTheme="minorEastAsia" w:eastAsiaTheme="minorEastAsia" w:cstheme="minorEastAsia"/>
          <w:bCs/>
          <w:color w:val="auto"/>
          <w:sz w:val="32"/>
          <w:szCs w:val="32"/>
        </w:rPr>
        <w:t>项目编号</w:t>
      </w:r>
      <w:r>
        <w:rPr>
          <w:rFonts w:hint="eastAsia" w:asciiTheme="minorEastAsia" w:hAnsiTheme="minorEastAsia" w:eastAsiaTheme="minorEastAsia" w:cstheme="minorEastAsia"/>
          <w:bCs/>
          <w:color w:val="auto"/>
          <w:sz w:val="32"/>
          <w:szCs w:val="32"/>
          <w:lang w:eastAsia="zh-CN"/>
        </w:rPr>
        <w:t>：</w:t>
      </w:r>
    </w:p>
    <w:p w14:paraId="64603AED">
      <w:pPr>
        <w:snapToGrid w:val="0"/>
        <w:spacing w:line="360" w:lineRule="auto"/>
        <w:ind w:firstLine="2739" w:firstLineChars="856"/>
        <w:rPr>
          <w:rFonts w:hint="eastAsia" w:asciiTheme="minorEastAsia" w:hAnsiTheme="minorEastAsia" w:eastAsiaTheme="minorEastAsia" w:cstheme="minorEastAsia"/>
          <w:bCs/>
          <w:color w:val="auto"/>
          <w:sz w:val="32"/>
          <w:szCs w:val="32"/>
        </w:rPr>
      </w:pPr>
      <w:r>
        <w:rPr>
          <w:rFonts w:hint="eastAsia" w:asciiTheme="minorEastAsia" w:hAnsiTheme="minorEastAsia" w:eastAsiaTheme="minorEastAsia" w:cstheme="minorEastAsia"/>
          <w:bCs/>
          <w:color w:val="auto"/>
          <w:sz w:val="32"/>
          <w:szCs w:val="32"/>
        </w:rPr>
        <w:t>所竞分标（如有</w:t>
      </w:r>
      <w:r>
        <w:rPr>
          <w:rFonts w:hint="eastAsia" w:asciiTheme="minorEastAsia" w:hAnsiTheme="minorEastAsia" w:eastAsiaTheme="minorEastAsia" w:cstheme="minorEastAsia"/>
          <w:bCs/>
          <w:color w:val="auto"/>
          <w:sz w:val="32"/>
          <w:szCs w:val="32"/>
          <w:lang w:eastAsia="zh-CN"/>
        </w:rPr>
        <w:t>）</w:t>
      </w:r>
      <w:r>
        <w:rPr>
          <w:rFonts w:hint="eastAsia" w:asciiTheme="minorEastAsia" w:hAnsiTheme="minorEastAsia" w:eastAsiaTheme="minorEastAsia" w:cstheme="minorEastAsia"/>
          <w:bCs/>
          <w:color w:val="auto"/>
          <w:sz w:val="32"/>
          <w:szCs w:val="32"/>
        </w:rPr>
        <w:t>：</w:t>
      </w:r>
    </w:p>
    <w:p w14:paraId="1C362AB7">
      <w:pPr>
        <w:pStyle w:val="6"/>
        <w:snapToGrid w:val="0"/>
        <w:spacing w:line="360" w:lineRule="auto"/>
        <w:ind w:firstLine="2739" w:firstLineChars="856"/>
        <w:rPr>
          <w:rFonts w:hint="eastAsia" w:asciiTheme="minorEastAsia" w:hAnsiTheme="minorEastAsia" w:eastAsiaTheme="minorEastAsia" w:cstheme="minorEastAsia"/>
          <w:bCs/>
          <w:color w:val="auto"/>
          <w:sz w:val="32"/>
          <w:szCs w:val="32"/>
        </w:rPr>
      </w:pPr>
      <w:r>
        <w:rPr>
          <w:rFonts w:hint="eastAsia" w:asciiTheme="minorEastAsia" w:hAnsiTheme="minorEastAsia" w:eastAsiaTheme="minorEastAsia" w:cstheme="minorEastAsia"/>
          <w:bCs/>
          <w:color w:val="auto"/>
          <w:sz w:val="32"/>
          <w:szCs w:val="32"/>
        </w:rPr>
        <w:t>供应商名称：</w:t>
      </w:r>
    </w:p>
    <w:p w14:paraId="77B6C6A4">
      <w:pPr>
        <w:pStyle w:val="6"/>
        <w:snapToGrid w:val="0"/>
        <w:spacing w:line="360" w:lineRule="auto"/>
        <w:ind w:firstLine="0"/>
        <w:rPr>
          <w:rFonts w:hint="eastAsia" w:asciiTheme="minorEastAsia" w:hAnsiTheme="minorEastAsia" w:eastAsiaTheme="minorEastAsia" w:cstheme="minorEastAsia"/>
          <w:bCs/>
          <w:color w:val="auto"/>
          <w:sz w:val="32"/>
          <w:szCs w:val="32"/>
        </w:rPr>
      </w:pPr>
    </w:p>
    <w:p w14:paraId="7FC0FE00">
      <w:pPr>
        <w:pStyle w:val="6"/>
        <w:snapToGrid w:val="0"/>
        <w:spacing w:line="360" w:lineRule="auto"/>
        <w:ind w:firstLine="1280" w:firstLineChars="400"/>
        <w:rPr>
          <w:rFonts w:hint="eastAsia" w:asciiTheme="minorEastAsia" w:hAnsiTheme="minorEastAsia" w:eastAsiaTheme="minorEastAsia" w:cstheme="minorEastAsia"/>
          <w:bCs/>
          <w:color w:val="auto"/>
          <w:sz w:val="32"/>
          <w:szCs w:val="32"/>
        </w:rPr>
      </w:pPr>
    </w:p>
    <w:p w14:paraId="5CB0E5BD">
      <w:pPr>
        <w:snapToGrid w:val="0"/>
        <w:spacing w:line="360" w:lineRule="auto"/>
        <w:jc w:val="center"/>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年    月    日</w:t>
      </w:r>
    </w:p>
    <w:p w14:paraId="25F76531">
      <w:pPr>
        <w:snapToGrid w:val="0"/>
        <w:spacing w:line="360" w:lineRule="auto"/>
        <w:jc w:val="left"/>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color w:val="auto"/>
          <w:sz w:val="24"/>
        </w:rPr>
        <w:br w:type="page"/>
      </w:r>
      <w:r>
        <w:rPr>
          <w:rFonts w:hint="eastAsia" w:asciiTheme="minorEastAsia" w:hAnsiTheme="minorEastAsia" w:eastAsiaTheme="minorEastAsia" w:cstheme="minorEastAsia"/>
          <w:b/>
          <w:bCs/>
          <w:color w:val="auto"/>
          <w:sz w:val="32"/>
          <w:szCs w:val="32"/>
        </w:rPr>
        <w:t>2.资格证明文件目录</w:t>
      </w:r>
    </w:p>
    <w:p w14:paraId="1016FB1D">
      <w:pPr>
        <w:snapToGrid w:val="0"/>
        <w:spacing w:line="360" w:lineRule="auto"/>
        <w:ind w:firstLine="645"/>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根据谈判文件规定及供应商提供的材料自行编写目录（部分格式后附</w:t>
      </w:r>
      <w:r>
        <w:rPr>
          <w:rFonts w:hint="eastAsia" w:asciiTheme="minorEastAsia" w:hAnsiTheme="minorEastAsia" w:eastAsiaTheme="minorEastAsia" w:cstheme="minorEastAsia"/>
          <w:color w:val="auto"/>
          <w:sz w:val="32"/>
          <w:szCs w:val="32"/>
          <w:lang w:eastAsia="zh-CN"/>
        </w:rPr>
        <w:t>）</w:t>
      </w:r>
      <w:r>
        <w:rPr>
          <w:rFonts w:hint="eastAsia" w:asciiTheme="minorEastAsia" w:hAnsiTheme="minorEastAsia" w:eastAsiaTheme="minorEastAsia" w:cstheme="minorEastAsia"/>
          <w:color w:val="auto"/>
          <w:sz w:val="32"/>
          <w:szCs w:val="32"/>
        </w:rPr>
        <w:t>。</w:t>
      </w:r>
    </w:p>
    <w:p w14:paraId="49758E21">
      <w:pPr>
        <w:snapToGrid w:val="0"/>
        <w:spacing w:line="360" w:lineRule="auto"/>
        <w:rPr>
          <w:rFonts w:hint="eastAsia" w:asciiTheme="minorEastAsia" w:hAnsiTheme="minorEastAsia" w:eastAsiaTheme="minorEastAsia" w:cstheme="minorEastAsia"/>
          <w:color w:val="auto"/>
          <w:sz w:val="24"/>
          <w:szCs w:val="20"/>
        </w:rPr>
      </w:pPr>
      <w:r>
        <w:rPr>
          <w:rFonts w:hint="eastAsia" w:asciiTheme="minorEastAsia" w:hAnsiTheme="minorEastAsia" w:eastAsiaTheme="minorEastAsia" w:cstheme="minorEastAsia"/>
          <w:color w:val="auto"/>
          <w:sz w:val="24"/>
          <w:szCs w:val="20"/>
        </w:rPr>
        <w:t xml:space="preserve"> </w:t>
      </w:r>
    </w:p>
    <w:p w14:paraId="6A3BCF6F">
      <w:pPr>
        <w:spacing w:line="360" w:lineRule="auto"/>
        <w:rPr>
          <w:rFonts w:hint="eastAsia" w:asciiTheme="minorEastAsia" w:hAnsiTheme="minorEastAsia" w:eastAsiaTheme="minorEastAsia" w:cstheme="minorEastAsia"/>
          <w:color w:val="auto"/>
          <w:szCs w:val="21"/>
        </w:rPr>
      </w:pPr>
    </w:p>
    <w:p w14:paraId="0D5E56CA">
      <w:pPr>
        <w:spacing w:line="360" w:lineRule="auto"/>
        <w:rPr>
          <w:rFonts w:hint="eastAsia" w:asciiTheme="minorEastAsia" w:hAnsiTheme="minorEastAsia" w:eastAsiaTheme="minorEastAsia" w:cstheme="minorEastAsia"/>
          <w:color w:val="auto"/>
          <w:szCs w:val="21"/>
        </w:rPr>
      </w:pPr>
    </w:p>
    <w:p w14:paraId="2983EB97">
      <w:pPr>
        <w:spacing w:line="360" w:lineRule="auto"/>
        <w:rPr>
          <w:rFonts w:hint="eastAsia" w:asciiTheme="minorEastAsia" w:hAnsiTheme="minorEastAsia" w:eastAsiaTheme="minorEastAsia" w:cstheme="minorEastAsia"/>
          <w:color w:val="auto"/>
          <w:szCs w:val="21"/>
        </w:rPr>
      </w:pPr>
    </w:p>
    <w:p w14:paraId="556E364C">
      <w:pPr>
        <w:spacing w:line="360" w:lineRule="auto"/>
        <w:rPr>
          <w:rFonts w:hint="eastAsia" w:asciiTheme="minorEastAsia" w:hAnsiTheme="minorEastAsia" w:eastAsiaTheme="minorEastAsia" w:cstheme="minorEastAsia"/>
          <w:color w:val="auto"/>
          <w:szCs w:val="21"/>
        </w:rPr>
      </w:pPr>
    </w:p>
    <w:p w14:paraId="5FDDA4E7">
      <w:pPr>
        <w:spacing w:line="360" w:lineRule="auto"/>
        <w:rPr>
          <w:rFonts w:hint="eastAsia" w:asciiTheme="minorEastAsia" w:hAnsiTheme="minorEastAsia" w:eastAsiaTheme="minorEastAsia" w:cstheme="minorEastAsia"/>
          <w:color w:val="auto"/>
          <w:szCs w:val="21"/>
        </w:rPr>
      </w:pPr>
    </w:p>
    <w:p w14:paraId="11800069">
      <w:pPr>
        <w:spacing w:line="360" w:lineRule="auto"/>
        <w:rPr>
          <w:rFonts w:hint="eastAsia" w:asciiTheme="minorEastAsia" w:hAnsiTheme="minorEastAsia" w:eastAsiaTheme="minorEastAsia" w:cstheme="minorEastAsia"/>
          <w:color w:val="auto"/>
          <w:szCs w:val="21"/>
        </w:rPr>
      </w:pPr>
    </w:p>
    <w:p w14:paraId="0154A94C">
      <w:pPr>
        <w:spacing w:line="360" w:lineRule="auto"/>
        <w:rPr>
          <w:rFonts w:hint="eastAsia" w:asciiTheme="minorEastAsia" w:hAnsiTheme="minorEastAsia" w:eastAsiaTheme="minorEastAsia" w:cstheme="minorEastAsia"/>
          <w:color w:val="auto"/>
          <w:szCs w:val="21"/>
        </w:rPr>
      </w:pPr>
    </w:p>
    <w:p w14:paraId="5680532B">
      <w:pPr>
        <w:spacing w:line="360" w:lineRule="auto"/>
        <w:rPr>
          <w:rFonts w:hint="eastAsia" w:asciiTheme="minorEastAsia" w:hAnsiTheme="minorEastAsia" w:eastAsiaTheme="minorEastAsia" w:cstheme="minorEastAsia"/>
          <w:color w:val="auto"/>
          <w:szCs w:val="21"/>
        </w:rPr>
      </w:pPr>
    </w:p>
    <w:p w14:paraId="550141DF">
      <w:pPr>
        <w:spacing w:line="360" w:lineRule="auto"/>
        <w:rPr>
          <w:rFonts w:hint="eastAsia" w:asciiTheme="minorEastAsia" w:hAnsiTheme="minorEastAsia" w:eastAsiaTheme="minorEastAsia" w:cstheme="minorEastAsia"/>
          <w:color w:val="auto"/>
          <w:szCs w:val="21"/>
        </w:rPr>
      </w:pPr>
    </w:p>
    <w:p w14:paraId="68314CD5">
      <w:pPr>
        <w:spacing w:line="360" w:lineRule="auto"/>
        <w:rPr>
          <w:rFonts w:hint="eastAsia" w:asciiTheme="minorEastAsia" w:hAnsiTheme="minorEastAsia" w:eastAsiaTheme="minorEastAsia" w:cstheme="minorEastAsia"/>
          <w:color w:val="auto"/>
          <w:szCs w:val="21"/>
        </w:rPr>
      </w:pPr>
    </w:p>
    <w:p w14:paraId="0BC31E32">
      <w:pPr>
        <w:spacing w:line="360" w:lineRule="auto"/>
        <w:rPr>
          <w:rFonts w:hint="eastAsia" w:asciiTheme="minorEastAsia" w:hAnsiTheme="minorEastAsia" w:eastAsiaTheme="minorEastAsia" w:cstheme="minorEastAsia"/>
          <w:color w:val="auto"/>
          <w:szCs w:val="21"/>
        </w:rPr>
      </w:pPr>
    </w:p>
    <w:p w14:paraId="78E4D2A2">
      <w:pPr>
        <w:spacing w:line="360" w:lineRule="auto"/>
        <w:rPr>
          <w:rFonts w:hint="eastAsia" w:asciiTheme="minorEastAsia" w:hAnsiTheme="minorEastAsia" w:eastAsiaTheme="minorEastAsia" w:cstheme="minorEastAsia"/>
          <w:color w:val="auto"/>
          <w:szCs w:val="21"/>
        </w:rPr>
      </w:pPr>
    </w:p>
    <w:p w14:paraId="623EB2E7">
      <w:pPr>
        <w:spacing w:line="360" w:lineRule="auto"/>
        <w:rPr>
          <w:rFonts w:hint="eastAsia" w:asciiTheme="minorEastAsia" w:hAnsiTheme="minorEastAsia" w:eastAsiaTheme="minorEastAsia" w:cstheme="minorEastAsia"/>
          <w:color w:val="auto"/>
          <w:szCs w:val="21"/>
        </w:rPr>
      </w:pPr>
    </w:p>
    <w:p w14:paraId="211EFA27">
      <w:pPr>
        <w:spacing w:line="360" w:lineRule="auto"/>
        <w:rPr>
          <w:rFonts w:hint="eastAsia" w:asciiTheme="minorEastAsia" w:hAnsiTheme="minorEastAsia" w:eastAsiaTheme="minorEastAsia" w:cstheme="minorEastAsia"/>
          <w:color w:val="auto"/>
          <w:szCs w:val="21"/>
        </w:rPr>
      </w:pPr>
    </w:p>
    <w:p w14:paraId="782F3BCA">
      <w:pPr>
        <w:spacing w:line="360" w:lineRule="auto"/>
        <w:rPr>
          <w:rFonts w:hint="eastAsia" w:asciiTheme="minorEastAsia" w:hAnsiTheme="minorEastAsia" w:eastAsiaTheme="minorEastAsia" w:cstheme="minorEastAsia"/>
          <w:color w:val="auto"/>
          <w:szCs w:val="21"/>
        </w:rPr>
      </w:pPr>
    </w:p>
    <w:p w14:paraId="63FFCF04">
      <w:pPr>
        <w:spacing w:line="360" w:lineRule="auto"/>
        <w:jc w:val="left"/>
        <w:rPr>
          <w:rFonts w:hint="eastAsia" w:asciiTheme="minorEastAsia" w:hAnsiTheme="minorEastAsia" w:eastAsiaTheme="minorEastAsia" w:cstheme="minorEastAsia"/>
          <w:color w:val="auto"/>
          <w:szCs w:val="21"/>
        </w:rPr>
      </w:pPr>
    </w:p>
    <w:p w14:paraId="78DCA59C">
      <w:pPr>
        <w:snapToGrid w:val="0"/>
        <w:spacing w:line="360" w:lineRule="auto"/>
        <w:jc w:val="center"/>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br w:type="page"/>
      </w:r>
      <w:r>
        <w:rPr>
          <w:rFonts w:hint="eastAsia" w:asciiTheme="minorEastAsia" w:hAnsiTheme="minorEastAsia" w:eastAsiaTheme="minorEastAsia" w:cstheme="minorEastAsia"/>
          <w:b/>
          <w:color w:val="auto"/>
          <w:sz w:val="32"/>
          <w:szCs w:val="32"/>
        </w:rPr>
        <w:t>3.供应商直接控股、管理关系信息表</w:t>
      </w:r>
    </w:p>
    <w:p w14:paraId="66195647">
      <w:pPr>
        <w:snapToGrid w:val="0"/>
        <w:spacing w:line="360" w:lineRule="auto"/>
        <w:jc w:val="center"/>
        <w:rPr>
          <w:rFonts w:hint="eastAsia" w:asciiTheme="minorEastAsia" w:hAnsiTheme="minorEastAsia" w:eastAsiaTheme="minorEastAsia" w:cstheme="minorEastAsia"/>
          <w:b/>
          <w:color w:val="auto"/>
          <w:sz w:val="32"/>
          <w:szCs w:val="32"/>
        </w:rPr>
      </w:pPr>
    </w:p>
    <w:p w14:paraId="25B277A1">
      <w:pPr>
        <w:snapToGrid w:val="0"/>
        <w:spacing w:line="360" w:lineRule="auto"/>
        <w:jc w:val="center"/>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供应商直接控股股东信息表</w:t>
      </w:r>
    </w:p>
    <w:p w14:paraId="40645451">
      <w:pPr>
        <w:snapToGrid w:val="0"/>
        <w:spacing w:line="360" w:lineRule="auto"/>
        <w:jc w:val="center"/>
        <w:rPr>
          <w:rFonts w:hint="eastAsia" w:asciiTheme="minorEastAsia" w:hAnsiTheme="minorEastAsia" w:eastAsiaTheme="minorEastAsia" w:cstheme="minorEastAsia"/>
          <w:b/>
          <w:color w:val="auto"/>
          <w:sz w:val="32"/>
          <w:szCs w:val="32"/>
        </w:rPr>
      </w:pPr>
    </w:p>
    <w:tbl>
      <w:tblPr>
        <w:tblStyle w:val="26"/>
        <w:tblW w:w="9318" w:type="dxa"/>
        <w:jc w:val="center"/>
        <w:shd w:val="clear" w:color="auto" w:fill="FBFBFB"/>
        <w:tblLayout w:type="fixed"/>
        <w:tblCellMar>
          <w:top w:w="0" w:type="dxa"/>
          <w:left w:w="0" w:type="dxa"/>
          <w:bottom w:w="0" w:type="dxa"/>
          <w:right w:w="0" w:type="dxa"/>
        </w:tblCellMar>
      </w:tblPr>
      <w:tblGrid>
        <w:gridCol w:w="880"/>
        <w:gridCol w:w="2655"/>
        <w:gridCol w:w="1455"/>
        <w:gridCol w:w="3503"/>
        <w:gridCol w:w="825"/>
      </w:tblGrid>
      <w:tr w14:paraId="0F981254">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83F326F">
            <w:pPr>
              <w:widowControl/>
              <w:spacing w:line="360" w:lineRule="auto"/>
              <w:jc w:val="center"/>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序号</w:t>
            </w:r>
          </w:p>
        </w:tc>
        <w:tc>
          <w:tcPr>
            <w:tcW w:w="26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15E1685">
            <w:pPr>
              <w:widowControl/>
              <w:spacing w:line="360" w:lineRule="auto"/>
              <w:jc w:val="center"/>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DB50086">
            <w:pPr>
              <w:widowControl/>
              <w:spacing w:line="360" w:lineRule="auto"/>
              <w:jc w:val="center"/>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出资比例</w:t>
            </w:r>
          </w:p>
        </w:tc>
        <w:tc>
          <w:tcPr>
            <w:tcW w:w="3503"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42E351A">
            <w:pPr>
              <w:widowControl/>
              <w:spacing w:line="360" w:lineRule="auto"/>
              <w:jc w:val="center"/>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身份证号码或者统一社会信用代码</w:t>
            </w:r>
          </w:p>
        </w:tc>
        <w:tc>
          <w:tcPr>
            <w:tcW w:w="82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C75C6E1">
            <w:pPr>
              <w:widowControl/>
              <w:spacing w:line="360" w:lineRule="auto"/>
              <w:jc w:val="center"/>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备注</w:t>
            </w:r>
          </w:p>
        </w:tc>
      </w:tr>
      <w:tr w14:paraId="69DC1750">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62EC4E">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887C892">
            <w:pPr>
              <w:widowControl/>
              <w:spacing w:line="360" w:lineRule="auto"/>
              <w:jc w:val="center"/>
              <w:rPr>
                <w:rFonts w:hint="eastAsia" w:asciiTheme="minorEastAsia" w:hAnsiTheme="minorEastAsia" w:eastAsiaTheme="minorEastAsia" w:cstheme="minorEastAsia"/>
                <w:color w:val="auto"/>
                <w:kern w:val="0"/>
                <w:sz w:val="28"/>
                <w:szCs w:val="28"/>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2AA2CDC">
            <w:pPr>
              <w:widowControl/>
              <w:spacing w:line="360" w:lineRule="auto"/>
              <w:jc w:val="center"/>
              <w:rPr>
                <w:rFonts w:hint="eastAsia" w:asciiTheme="minorEastAsia" w:hAnsiTheme="minorEastAsia" w:eastAsiaTheme="minorEastAsia" w:cstheme="minorEastAsia"/>
                <w:color w:val="auto"/>
                <w:kern w:val="0"/>
                <w:sz w:val="28"/>
                <w:szCs w:val="28"/>
              </w:rPr>
            </w:pPr>
          </w:p>
        </w:tc>
        <w:tc>
          <w:tcPr>
            <w:tcW w:w="350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635B6C">
            <w:pPr>
              <w:widowControl/>
              <w:spacing w:line="360" w:lineRule="auto"/>
              <w:jc w:val="center"/>
              <w:rPr>
                <w:rFonts w:hint="eastAsia" w:asciiTheme="minorEastAsia" w:hAnsiTheme="minorEastAsia" w:eastAsiaTheme="minorEastAsia" w:cstheme="minorEastAsia"/>
                <w:color w:val="auto"/>
                <w:kern w:val="0"/>
                <w:sz w:val="28"/>
                <w:szCs w:val="28"/>
              </w:rPr>
            </w:pPr>
          </w:p>
        </w:tc>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51CBD3">
            <w:pPr>
              <w:widowControl/>
              <w:spacing w:line="360" w:lineRule="auto"/>
              <w:jc w:val="center"/>
              <w:rPr>
                <w:rFonts w:hint="eastAsia" w:asciiTheme="minorEastAsia" w:hAnsiTheme="minorEastAsia" w:eastAsiaTheme="minorEastAsia" w:cstheme="minorEastAsia"/>
                <w:color w:val="auto"/>
                <w:kern w:val="0"/>
                <w:sz w:val="28"/>
                <w:szCs w:val="28"/>
              </w:rPr>
            </w:pPr>
          </w:p>
        </w:tc>
      </w:tr>
      <w:tr w14:paraId="5F33A12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574D1E">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05FD364">
            <w:pPr>
              <w:widowControl/>
              <w:spacing w:line="360" w:lineRule="auto"/>
              <w:jc w:val="center"/>
              <w:rPr>
                <w:rFonts w:hint="eastAsia" w:asciiTheme="minorEastAsia" w:hAnsiTheme="minorEastAsia" w:eastAsiaTheme="minorEastAsia" w:cstheme="minorEastAsia"/>
                <w:color w:val="auto"/>
                <w:kern w:val="0"/>
                <w:sz w:val="28"/>
                <w:szCs w:val="28"/>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FEB6E3">
            <w:pPr>
              <w:widowControl/>
              <w:spacing w:line="360" w:lineRule="auto"/>
              <w:jc w:val="center"/>
              <w:rPr>
                <w:rFonts w:hint="eastAsia" w:asciiTheme="minorEastAsia" w:hAnsiTheme="minorEastAsia" w:eastAsiaTheme="minorEastAsia" w:cstheme="minorEastAsia"/>
                <w:color w:val="auto"/>
                <w:kern w:val="0"/>
                <w:sz w:val="28"/>
                <w:szCs w:val="28"/>
              </w:rPr>
            </w:pPr>
          </w:p>
        </w:tc>
        <w:tc>
          <w:tcPr>
            <w:tcW w:w="350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860C12">
            <w:pPr>
              <w:widowControl/>
              <w:spacing w:line="360" w:lineRule="auto"/>
              <w:jc w:val="center"/>
              <w:rPr>
                <w:rFonts w:hint="eastAsia" w:asciiTheme="minorEastAsia" w:hAnsiTheme="minorEastAsia" w:eastAsiaTheme="minorEastAsia" w:cstheme="minorEastAsia"/>
                <w:color w:val="auto"/>
                <w:kern w:val="0"/>
                <w:sz w:val="28"/>
                <w:szCs w:val="28"/>
              </w:rPr>
            </w:pPr>
          </w:p>
        </w:tc>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BB8BFCA">
            <w:pPr>
              <w:widowControl/>
              <w:spacing w:line="360" w:lineRule="auto"/>
              <w:jc w:val="center"/>
              <w:rPr>
                <w:rFonts w:hint="eastAsia" w:asciiTheme="minorEastAsia" w:hAnsiTheme="minorEastAsia" w:eastAsiaTheme="minorEastAsia" w:cstheme="minorEastAsia"/>
                <w:color w:val="auto"/>
                <w:kern w:val="0"/>
                <w:sz w:val="28"/>
                <w:szCs w:val="28"/>
              </w:rPr>
            </w:pPr>
          </w:p>
        </w:tc>
      </w:tr>
      <w:tr w14:paraId="284E682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4BECA51">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3</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B32D4FA">
            <w:pPr>
              <w:widowControl/>
              <w:spacing w:line="360" w:lineRule="auto"/>
              <w:jc w:val="center"/>
              <w:rPr>
                <w:rFonts w:hint="eastAsia" w:asciiTheme="minorEastAsia" w:hAnsiTheme="minorEastAsia" w:eastAsiaTheme="minorEastAsia" w:cstheme="minorEastAsia"/>
                <w:color w:val="auto"/>
                <w:kern w:val="0"/>
                <w:sz w:val="28"/>
                <w:szCs w:val="28"/>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93C6CE7">
            <w:pPr>
              <w:widowControl/>
              <w:spacing w:line="360" w:lineRule="auto"/>
              <w:jc w:val="center"/>
              <w:rPr>
                <w:rFonts w:hint="eastAsia" w:asciiTheme="minorEastAsia" w:hAnsiTheme="minorEastAsia" w:eastAsiaTheme="minorEastAsia" w:cstheme="minorEastAsia"/>
                <w:color w:val="auto"/>
                <w:kern w:val="0"/>
                <w:sz w:val="28"/>
                <w:szCs w:val="28"/>
              </w:rPr>
            </w:pPr>
          </w:p>
        </w:tc>
        <w:tc>
          <w:tcPr>
            <w:tcW w:w="350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A214B8">
            <w:pPr>
              <w:widowControl/>
              <w:spacing w:line="360" w:lineRule="auto"/>
              <w:jc w:val="center"/>
              <w:rPr>
                <w:rFonts w:hint="eastAsia" w:asciiTheme="minorEastAsia" w:hAnsiTheme="minorEastAsia" w:eastAsiaTheme="minorEastAsia" w:cstheme="minorEastAsia"/>
                <w:color w:val="auto"/>
                <w:kern w:val="0"/>
                <w:sz w:val="28"/>
                <w:szCs w:val="28"/>
              </w:rPr>
            </w:pPr>
          </w:p>
        </w:tc>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072D74">
            <w:pPr>
              <w:widowControl/>
              <w:spacing w:line="360" w:lineRule="auto"/>
              <w:jc w:val="center"/>
              <w:rPr>
                <w:rFonts w:hint="eastAsia" w:asciiTheme="minorEastAsia" w:hAnsiTheme="minorEastAsia" w:eastAsiaTheme="minorEastAsia" w:cstheme="minorEastAsia"/>
                <w:color w:val="auto"/>
                <w:kern w:val="0"/>
                <w:sz w:val="28"/>
                <w:szCs w:val="28"/>
              </w:rPr>
            </w:pPr>
          </w:p>
        </w:tc>
      </w:tr>
      <w:tr w14:paraId="327F160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2EF6E83">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w:t>
            </w:r>
          </w:p>
        </w:tc>
        <w:tc>
          <w:tcPr>
            <w:tcW w:w="26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DE11D1">
            <w:pPr>
              <w:widowControl/>
              <w:spacing w:line="360" w:lineRule="auto"/>
              <w:jc w:val="center"/>
              <w:rPr>
                <w:rFonts w:hint="eastAsia" w:asciiTheme="minorEastAsia" w:hAnsiTheme="minorEastAsia" w:eastAsiaTheme="minorEastAsia" w:cstheme="minorEastAsia"/>
                <w:color w:val="auto"/>
                <w:kern w:val="0"/>
                <w:sz w:val="28"/>
                <w:szCs w:val="28"/>
              </w:rPr>
            </w:pPr>
          </w:p>
        </w:tc>
        <w:tc>
          <w:tcPr>
            <w:tcW w:w="14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B3C5AE3">
            <w:pPr>
              <w:widowControl/>
              <w:spacing w:line="360" w:lineRule="auto"/>
              <w:jc w:val="center"/>
              <w:rPr>
                <w:rFonts w:hint="eastAsia" w:asciiTheme="minorEastAsia" w:hAnsiTheme="minorEastAsia" w:eastAsiaTheme="minorEastAsia" w:cstheme="minorEastAsia"/>
                <w:color w:val="auto"/>
                <w:kern w:val="0"/>
                <w:sz w:val="28"/>
                <w:szCs w:val="28"/>
              </w:rPr>
            </w:pPr>
          </w:p>
        </w:tc>
        <w:tc>
          <w:tcPr>
            <w:tcW w:w="3503"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9D6483">
            <w:pPr>
              <w:widowControl/>
              <w:spacing w:line="360" w:lineRule="auto"/>
              <w:jc w:val="center"/>
              <w:rPr>
                <w:rFonts w:hint="eastAsia" w:asciiTheme="minorEastAsia" w:hAnsiTheme="minorEastAsia" w:eastAsiaTheme="minorEastAsia" w:cstheme="minorEastAsia"/>
                <w:color w:val="auto"/>
                <w:kern w:val="0"/>
                <w:sz w:val="28"/>
                <w:szCs w:val="28"/>
              </w:rPr>
            </w:pPr>
          </w:p>
        </w:tc>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728E06">
            <w:pPr>
              <w:widowControl/>
              <w:spacing w:line="360" w:lineRule="auto"/>
              <w:jc w:val="center"/>
              <w:rPr>
                <w:rFonts w:hint="eastAsia" w:asciiTheme="minorEastAsia" w:hAnsiTheme="minorEastAsia" w:eastAsiaTheme="minorEastAsia" w:cstheme="minorEastAsia"/>
                <w:color w:val="auto"/>
                <w:kern w:val="0"/>
                <w:sz w:val="28"/>
                <w:szCs w:val="28"/>
              </w:rPr>
            </w:pPr>
          </w:p>
        </w:tc>
      </w:tr>
    </w:tbl>
    <w:p w14:paraId="4A088DA4">
      <w:pPr>
        <w:spacing w:line="360" w:lineRule="auto"/>
        <w:contextualSpacing/>
        <w:jc w:val="left"/>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w:t>
      </w:r>
    </w:p>
    <w:p w14:paraId="55A81A4F">
      <w:pPr>
        <w:spacing w:line="360" w:lineRule="auto"/>
        <w:ind w:firstLine="480" w:firstLineChars="200"/>
        <w:contextualSpacing/>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826DE91">
      <w:pPr>
        <w:spacing w:line="360" w:lineRule="auto"/>
        <w:ind w:firstLine="480" w:firstLineChars="200"/>
        <w:contextualSpacing/>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2.本表所指的控股关系仅限于直接控股关系，不包括间接的控股关系。公司实际控制人与公司之间的关系不属于本表所指的直接控股关系。</w:t>
      </w:r>
    </w:p>
    <w:p w14:paraId="5BB57394">
      <w:pPr>
        <w:spacing w:line="360" w:lineRule="auto"/>
        <w:ind w:firstLine="480" w:firstLineChars="200"/>
        <w:contextualSpacing/>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3.供应商不存在直接控股股东的，则填“无”。</w:t>
      </w:r>
    </w:p>
    <w:p w14:paraId="02458524">
      <w:pPr>
        <w:spacing w:line="360" w:lineRule="auto"/>
        <w:ind w:firstLine="420" w:firstLineChars="200"/>
        <w:contextualSpacing/>
        <w:jc w:val="left"/>
        <w:rPr>
          <w:rFonts w:hint="eastAsia" w:asciiTheme="minorEastAsia" w:hAnsiTheme="minorEastAsia" w:eastAsiaTheme="minorEastAsia" w:cstheme="minorEastAsia"/>
          <w:color w:val="auto"/>
          <w:szCs w:val="21"/>
        </w:rPr>
      </w:pPr>
    </w:p>
    <w:p w14:paraId="52CEC067">
      <w:pPr>
        <w:spacing w:line="360" w:lineRule="auto"/>
        <w:ind w:firstLine="560" w:firstLineChars="200"/>
        <w:contextualSpacing/>
        <w:jc w:val="left"/>
        <w:rPr>
          <w:rFonts w:hint="eastAsia" w:asciiTheme="minorEastAsia" w:hAnsiTheme="minorEastAsia" w:eastAsiaTheme="minorEastAsia" w:cstheme="minorEastAsia"/>
          <w:color w:val="auto"/>
          <w:sz w:val="28"/>
          <w:szCs w:val="28"/>
        </w:rPr>
      </w:pPr>
    </w:p>
    <w:p w14:paraId="6E786760">
      <w:pPr>
        <w:spacing w:line="360" w:lineRule="auto"/>
        <w:contextualSpacing/>
        <w:jc w:val="center"/>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 xml:space="preserve">        法定代表人或者委托代理人签字</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6CA4CEB7">
      <w:pPr>
        <w:spacing w:line="360" w:lineRule="auto"/>
        <w:ind w:firstLine="3120" w:firstLineChars="1300"/>
        <w:contextualSpacing/>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 xml:space="preserve">供应商（公章 </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7E314027">
      <w:pPr>
        <w:spacing w:line="360" w:lineRule="auto"/>
        <w:ind w:firstLine="3120" w:firstLineChars="1300"/>
        <w:contextualSpacing/>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color w:val="auto"/>
          <w:sz w:val="24"/>
        </w:rPr>
        <w:t>日期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年</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月</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日</w:t>
      </w:r>
      <w:r>
        <w:rPr>
          <w:rFonts w:hint="eastAsia" w:asciiTheme="minorEastAsia" w:hAnsiTheme="minorEastAsia" w:eastAsiaTheme="minorEastAsia" w:cstheme="minorEastAsia"/>
          <w:b/>
          <w:color w:val="auto"/>
          <w:sz w:val="28"/>
          <w:szCs w:val="28"/>
        </w:rPr>
        <w:br w:type="page"/>
      </w:r>
    </w:p>
    <w:p w14:paraId="73C9B7C7">
      <w:pPr>
        <w:snapToGrid w:val="0"/>
        <w:spacing w:line="360" w:lineRule="auto"/>
        <w:jc w:val="center"/>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供应商直接管理关系信息表</w:t>
      </w:r>
    </w:p>
    <w:p w14:paraId="525F2304">
      <w:pPr>
        <w:snapToGrid w:val="0"/>
        <w:spacing w:line="360" w:lineRule="auto"/>
        <w:jc w:val="center"/>
        <w:rPr>
          <w:rFonts w:hint="eastAsia" w:asciiTheme="minorEastAsia" w:hAnsiTheme="minorEastAsia" w:eastAsiaTheme="minorEastAsia" w:cstheme="minorEastAsia"/>
          <w:b/>
          <w:color w:val="auto"/>
          <w:sz w:val="32"/>
          <w:szCs w:val="32"/>
        </w:rPr>
      </w:pPr>
    </w:p>
    <w:tbl>
      <w:tblPr>
        <w:tblStyle w:val="26"/>
        <w:tblW w:w="8942" w:type="dxa"/>
        <w:jc w:val="center"/>
        <w:shd w:val="clear" w:color="auto" w:fill="FBFBFB"/>
        <w:tblLayout w:type="fixed"/>
        <w:tblCellMar>
          <w:top w:w="0" w:type="dxa"/>
          <w:left w:w="0" w:type="dxa"/>
          <w:bottom w:w="0" w:type="dxa"/>
          <w:right w:w="0" w:type="dxa"/>
        </w:tblCellMar>
      </w:tblPr>
      <w:tblGrid>
        <w:gridCol w:w="808"/>
        <w:gridCol w:w="3600"/>
        <w:gridCol w:w="3555"/>
        <w:gridCol w:w="979"/>
      </w:tblGrid>
      <w:tr w14:paraId="271655CF">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DB82F78">
            <w:pPr>
              <w:widowControl/>
              <w:spacing w:line="360" w:lineRule="auto"/>
              <w:jc w:val="center"/>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9AD5677">
            <w:pPr>
              <w:widowControl/>
              <w:spacing w:line="360" w:lineRule="auto"/>
              <w:jc w:val="center"/>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1E7747E">
            <w:pPr>
              <w:widowControl/>
              <w:spacing w:line="360" w:lineRule="auto"/>
              <w:jc w:val="center"/>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统一社会信用代码</w:t>
            </w:r>
          </w:p>
        </w:tc>
        <w:tc>
          <w:tcPr>
            <w:tcW w:w="97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5C4898C">
            <w:pPr>
              <w:widowControl/>
              <w:spacing w:line="360" w:lineRule="auto"/>
              <w:jc w:val="center"/>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备注</w:t>
            </w:r>
          </w:p>
        </w:tc>
      </w:tr>
      <w:tr w14:paraId="31C2243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9B18F95">
            <w:pPr>
              <w:widowControl/>
              <w:wordWrap w:val="0"/>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B8A88D">
            <w:pPr>
              <w:widowControl/>
              <w:wordWrap w:val="0"/>
              <w:spacing w:line="360" w:lineRule="auto"/>
              <w:jc w:val="center"/>
              <w:rPr>
                <w:rFonts w:hint="eastAsia" w:asciiTheme="minorEastAsia" w:hAnsiTheme="minorEastAsia" w:eastAsiaTheme="minorEastAsia" w:cstheme="minorEastAsia"/>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A590F40">
            <w:pPr>
              <w:widowControl/>
              <w:wordWrap w:val="0"/>
              <w:spacing w:line="360" w:lineRule="auto"/>
              <w:jc w:val="center"/>
              <w:rPr>
                <w:rFonts w:hint="eastAsia" w:asciiTheme="minorEastAsia" w:hAnsiTheme="minorEastAsia" w:eastAsiaTheme="minorEastAsia" w:cstheme="minorEastAsia"/>
                <w:color w:val="auto"/>
                <w:kern w:val="0"/>
                <w:sz w:val="28"/>
                <w:szCs w:val="28"/>
              </w:rPr>
            </w:pPr>
          </w:p>
        </w:tc>
        <w:tc>
          <w:tcPr>
            <w:tcW w:w="9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D8C085">
            <w:pPr>
              <w:widowControl/>
              <w:wordWrap w:val="0"/>
              <w:spacing w:line="360" w:lineRule="auto"/>
              <w:jc w:val="center"/>
              <w:rPr>
                <w:rFonts w:hint="eastAsia" w:asciiTheme="minorEastAsia" w:hAnsiTheme="minorEastAsia" w:eastAsiaTheme="minorEastAsia" w:cstheme="minorEastAsia"/>
                <w:color w:val="auto"/>
                <w:kern w:val="0"/>
                <w:sz w:val="28"/>
                <w:szCs w:val="28"/>
              </w:rPr>
            </w:pPr>
          </w:p>
        </w:tc>
      </w:tr>
      <w:tr w14:paraId="7FAEC93F">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4D587D">
            <w:pPr>
              <w:widowControl/>
              <w:wordWrap w:val="0"/>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7A0064">
            <w:pPr>
              <w:widowControl/>
              <w:wordWrap w:val="0"/>
              <w:spacing w:line="360" w:lineRule="auto"/>
              <w:jc w:val="center"/>
              <w:rPr>
                <w:rFonts w:hint="eastAsia" w:asciiTheme="minorEastAsia" w:hAnsiTheme="minorEastAsia" w:eastAsiaTheme="minorEastAsia" w:cstheme="minorEastAsia"/>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97F64E">
            <w:pPr>
              <w:widowControl/>
              <w:wordWrap w:val="0"/>
              <w:spacing w:line="360" w:lineRule="auto"/>
              <w:jc w:val="center"/>
              <w:rPr>
                <w:rFonts w:hint="eastAsia" w:asciiTheme="minorEastAsia" w:hAnsiTheme="minorEastAsia" w:eastAsiaTheme="minorEastAsia" w:cstheme="minorEastAsia"/>
                <w:color w:val="auto"/>
                <w:kern w:val="0"/>
                <w:sz w:val="28"/>
                <w:szCs w:val="28"/>
              </w:rPr>
            </w:pPr>
          </w:p>
        </w:tc>
        <w:tc>
          <w:tcPr>
            <w:tcW w:w="9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183433">
            <w:pPr>
              <w:widowControl/>
              <w:wordWrap w:val="0"/>
              <w:spacing w:line="360" w:lineRule="auto"/>
              <w:jc w:val="center"/>
              <w:rPr>
                <w:rFonts w:hint="eastAsia" w:asciiTheme="minorEastAsia" w:hAnsiTheme="minorEastAsia" w:eastAsiaTheme="minorEastAsia" w:cstheme="minorEastAsia"/>
                <w:color w:val="auto"/>
                <w:kern w:val="0"/>
                <w:sz w:val="28"/>
                <w:szCs w:val="28"/>
              </w:rPr>
            </w:pPr>
          </w:p>
        </w:tc>
      </w:tr>
      <w:tr w14:paraId="7380B74A">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B50A47">
            <w:pPr>
              <w:widowControl/>
              <w:wordWrap w:val="0"/>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6BCA744">
            <w:pPr>
              <w:widowControl/>
              <w:wordWrap w:val="0"/>
              <w:spacing w:line="360" w:lineRule="auto"/>
              <w:jc w:val="center"/>
              <w:rPr>
                <w:rFonts w:hint="eastAsia" w:asciiTheme="minorEastAsia" w:hAnsiTheme="minorEastAsia" w:eastAsiaTheme="minorEastAsia" w:cstheme="minorEastAsia"/>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103FA7">
            <w:pPr>
              <w:widowControl/>
              <w:wordWrap w:val="0"/>
              <w:spacing w:line="360" w:lineRule="auto"/>
              <w:jc w:val="center"/>
              <w:rPr>
                <w:rFonts w:hint="eastAsia" w:asciiTheme="minorEastAsia" w:hAnsiTheme="minorEastAsia" w:eastAsiaTheme="minorEastAsia" w:cstheme="minorEastAsia"/>
                <w:color w:val="auto"/>
                <w:kern w:val="0"/>
                <w:sz w:val="28"/>
                <w:szCs w:val="28"/>
              </w:rPr>
            </w:pPr>
          </w:p>
        </w:tc>
        <w:tc>
          <w:tcPr>
            <w:tcW w:w="9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544FEE4">
            <w:pPr>
              <w:widowControl/>
              <w:wordWrap w:val="0"/>
              <w:spacing w:line="360" w:lineRule="auto"/>
              <w:jc w:val="center"/>
              <w:rPr>
                <w:rFonts w:hint="eastAsia" w:asciiTheme="minorEastAsia" w:hAnsiTheme="minorEastAsia" w:eastAsiaTheme="minorEastAsia" w:cstheme="minorEastAsia"/>
                <w:color w:val="auto"/>
                <w:kern w:val="0"/>
                <w:sz w:val="28"/>
                <w:szCs w:val="28"/>
              </w:rPr>
            </w:pPr>
          </w:p>
        </w:tc>
      </w:tr>
      <w:tr w14:paraId="5D46712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1ADDFF4">
            <w:pPr>
              <w:widowControl/>
              <w:wordWrap w:val="0"/>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AE526E">
            <w:pPr>
              <w:widowControl/>
              <w:wordWrap w:val="0"/>
              <w:spacing w:line="360" w:lineRule="auto"/>
              <w:jc w:val="center"/>
              <w:rPr>
                <w:rFonts w:hint="eastAsia" w:asciiTheme="minorEastAsia" w:hAnsiTheme="minorEastAsia" w:eastAsiaTheme="minorEastAsia" w:cstheme="minorEastAsia"/>
                <w:color w:val="auto"/>
                <w:kern w:val="0"/>
                <w:sz w:val="28"/>
                <w:szCs w:val="28"/>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865055">
            <w:pPr>
              <w:widowControl/>
              <w:wordWrap w:val="0"/>
              <w:spacing w:line="360" w:lineRule="auto"/>
              <w:jc w:val="center"/>
              <w:rPr>
                <w:rFonts w:hint="eastAsia" w:asciiTheme="minorEastAsia" w:hAnsiTheme="minorEastAsia" w:eastAsiaTheme="minorEastAsia" w:cstheme="minorEastAsia"/>
                <w:color w:val="auto"/>
                <w:kern w:val="0"/>
                <w:sz w:val="28"/>
                <w:szCs w:val="28"/>
              </w:rPr>
            </w:pPr>
          </w:p>
        </w:tc>
        <w:tc>
          <w:tcPr>
            <w:tcW w:w="97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C6557A">
            <w:pPr>
              <w:widowControl/>
              <w:wordWrap w:val="0"/>
              <w:spacing w:line="360" w:lineRule="auto"/>
              <w:jc w:val="center"/>
              <w:rPr>
                <w:rFonts w:hint="eastAsia" w:asciiTheme="minorEastAsia" w:hAnsiTheme="minorEastAsia" w:eastAsiaTheme="minorEastAsia" w:cstheme="minorEastAsia"/>
                <w:color w:val="auto"/>
                <w:kern w:val="0"/>
                <w:sz w:val="28"/>
                <w:szCs w:val="28"/>
              </w:rPr>
            </w:pPr>
          </w:p>
        </w:tc>
      </w:tr>
    </w:tbl>
    <w:p w14:paraId="722CB812">
      <w:pPr>
        <w:spacing w:line="360" w:lineRule="auto"/>
        <w:contextualSpacing/>
        <w:jc w:val="left"/>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w:t>
      </w:r>
    </w:p>
    <w:p w14:paraId="0C153C3A">
      <w:pPr>
        <w:spacing w:line="360" w:lineRule="auto"/>
        <w:ind w:firstLine="480" w:firstLineChars="200"/>
        <w:contextualSpacing/>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1.管理关系：是指不具有出资持股关系的其他单位之间存在的管理与被管理关系，如一些上下级关系的事业单位和团体组织。</w:t>
      </w:r>
    </w:p>
    <w:p w14:paraId="372AB344">
      <w:pPr>
        <w:spacing w:line="360" w:lineRule="auto"/>
        <w:ind w:firstLine="480" w:firstLineChars="200"/>
        <w:contextualSpacing/>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pacing w:val="-6"/>
          <w:sz w:val="24"/>
        </w:rPr>
        <w:t>本表所指的管理关系仅限于直接管理关系，不包括间接的管理关系。</w:t>
      </w:r>
    </w:p>
    <w:p w14:paraId="3752F9EA">
      <w:pPr>
        <w:spacing w:line="360" w:lineRule="auto"/>
        <w:ind w:firstLine="480" w:firstLineChars="200"/>
        <w:contextualSpacing/>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3.供应商不存在直接管理关系的，则填“无”。</w:t>
      </w:r>
    </w:p>
    <w:p w14:paraId="7B8D8998">
      <w:pPr>
        <w:spacing w:line="360" w:lineRule="auto"/>
        <w:contextualSpacing/>
        <w:jc w:val="left"/>
        <w:rPr>
          <w:rFonts w:hint="eastAsia" w:asciiTheme="minorEastAsia" w:hAnsiTheme="minorEastAsia" w:eastAsiaTheme="minorEastAsia" w:cstheme="minorEastAsia"/>
          <w:color w:val="auto"/>
          <w:sz w:val="28"/>
          <w:szCs w:val="28"/>
        </w:rPr>
      </w:pPr>
    </w:p>
    <w:p w14:paraId="0426C95B">
      <w:pPr>
        <w:spacing w:line="360" w:lineRule="auto"/>
        <w:contextualSpacing/>
        <w:jc w:val="left"/>
        <w:rPr>
          <w:rFonts w:hint="eastAsia" w:asciiTheme="minorEastAsia" w:hAnsiTheme="minorEastAsia" w:eastAsiaTheme="minorEastAsia" w:cstheme="minorEastAsia"/>
          <w:color w:val="auto"/>
          <w:sz w:val="28"/>
          <w:szCs w:val="28"/>
        </w:rPr>
      </w:pPr>
    </w:p>
    <w:p w14:paraId="3021BBFA">
      <w:pPr>
        <w:spacing w:line="360" w:lineRule="auto"/>
        <w:contextualSpacing/>
        <w:jc w:val="left"/>
        <w:rPr>
          <w:rFonts w:hint="eastAsia" w:asciiTheme="minorEastAsia" w:hAnsiTheme="minorEastAsia" w:eastAsiaTheme="minorEastAsia" w:cstheme="minorEastAsia"/>
          <w:color w:val="auto"/>
          <w:sz w:val="28"/>
          <w:szCs w:val="28"/>
        </w:rPr>
      </w:pPr>
    </w:p>
    <w:p w14:paraId="78FCC413">
      <w:pPr>
        <w:spacing w:line="360" w:lineRule="auto"/>
        <w:contextualSpacing/>
        <w:jc w:val="left"/>
        <w:rPr>
          <w:rFonts w:hint="eastAsia" w:asciiTheme="minorEastAsia" w:hAnsiTheme="minorEastAsia" w:eastAsiaTheme="minorEastAsia" w:cstheme="minorEastAsia"/>
          <w:color w:val="auto"/>
          <w:sz w:val="28"/>
          <w:szCs w:val="28"/>
        </w:rPr>
      </w:pPr>
    </w:p>
    <w:p w14:paraId="35F9A6C7">
      <w:pPr>
        <w:spacing w:line="360" w:lineRule="auto"/>
        <w:contextualSpacing/>
        <w:jc w:val="left"/>
        <w:rPr>
          <w:rFonts w:hint="eastAsia" w:asciiTheme="minorEastAsia" w:hAnsiTheme="minorEastAsia" w:eastAsiaTheme="minorEastAsia" w:cstheme="minorEastAsia"/>
          <w:color w:val="auto"/>
          <w:sz w:val="28"/>
          <w:szCs w:val="28"/>
        </w:rPr>
      </w:pPr>
    </w:p>
    <w:p w14:paraId="4BDC1C9E">
      <w:pPr>
        <w:spacing w:line="360" w:lineRule="auto"/>
        <w:contextualSpacing/>
        <w:jc w:val="left"/>
        <w:rPr>
          <w:rFonts w:hint="eastAsia" w:asciiTheme="minorEastAsia" w:hAnsiTheme="minorEastAsia" w:eastAsiaTheme="minorEastAsia" w:cstheme="minorEastAsia"/>
          <w:color w:val="auto"/>
          <w:sz w:val="28"/>
          <w:szCs w:val="28"/>
        </w:rPr>
      </w:pPr>
    </w:p>
    <w:p w14:paraId="67F1D470">
      <w:pPr>
        <w:spacing w:line="360" w:lineRule="auto"/>
        <w:contextualSpacing/>
        <w:jc w:val="center"/>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 xml:space="preserve">              法定代表人或者委托代理人签字</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7C9D3BA3">
      <w:pPr>
        <w:spacing w:line="360" w:lineRule="auto"/>
        <w:ind w:firstLine="3600" w:firstLineChars="15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供应商（公章</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4C8869C0">
      <w:pPr>
        <w:spacing w:line="360" w:lineRule="auto"/>
        <w:ind w:firstLine="240" w:firstLineChars="100"/>
        <w:contextualSpacing/>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4"/>
        </w:rPr>
        <w:t xml:space="preserve">        日期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年</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月</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日</w:t>
      </w:r>
    </w:p>
    <w:p w14:paraId="018A1038">
      <w:pPr>
        <w:spacing w:line="360" w:lineRule="auto"/>
        <w:jc w:val="center"/>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br w:type="page"/>
      </w:r>
      <w:r>
        <w:rPr>
          <w:rFonts w:hint="eastAsia" w:asciiTheme="minorEastAsia" w:hAnsiTheme="minorEastAsia" w:eastAsiaTheme="minorEastAsia" w:cstheme="minorEastAsia"/>
          <w:b/>
          <w:color w:val="auto"/>
          <w:sz w:val="32"/>
          <w:szCs w:val="32"/>
        </w:rPr>
        <w:t>参与竞争性谈判声明</w:t>
      </w:r>
    </w:p>
    <w:p w14:paraId="16880647">
      <w:pPr>
        <w:spacing w:line="360" w:lineRule="auto"/>
        <w:jc w:val="center"/>
        <w:rPr>
          <w:rFonts w:hint="eastAsia" w:asciiTheme="minorEastAsia" w:hAnsiTheme="minorEastAsia" w:eastAsiaTheme="minorEastAsia" w:cstheme="minorEastAsia"/>
          <w:color w:val="auto"/>
          <w:sz w:val="24"/>
          <w:szCs w:val="20"/>
        </w:rPr>
      </w:pPr>
    </w:p>
    <w:p w14:paraId="0C9CAA51">
      <w:pPr>
        <w:spacing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致：</w:t>
      </w:r>
      <w:r>
        <w:rPr>
          <w:rFonts w:hint="eastAsia" w:asciiTheme="minorEastAsia" w:hAnsiTheme="minorEastAsia" w:eastAsiaTheme="minorEastAsia" w:cstheme="minorEastAsia"/>
          <w:color w:val="auto"/>
          <w:sz w:val="24"/>
          <w:u w:val="single"/>
        </w:rPr>
        <w:t>（采购人名称</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rPr>
        <w:t>：</w:t>
      </w:r>
    </w:p>
    <w:p w14:paraId="2CADCBF1">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我方</w:t>
      </w:r>
      <w:r>
        <w:rPr>
          <w:rFonts w:hint="eastAsia" w:asciiTheme="minorEastAsia" w:hAnsiTheme="minorEastAsia" w:eastAsiaTheme="minorEastAsia" w:cstheme="minorEastAsia"/>
          <w:color w:val="auto"/>
          <w:sz w:val="24"/>
          <w:u w:val="single"/>
        </w:rPr>
        <w:t>（供应商名称</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rPr>
        <w:t>系中华人民共和国合法供应商，经营地址</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w:t>
      </w:r>
    </w:p>
    <w:p w14:paraId="36BA4C7C">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我方愿意参加贵方组织的</w:t>
      </w:r>
      <w:r>
        <w:rPr>
          <w:rFonts w:hint="eastAsia" w:asciiTheme="minorEastAsia" w:hAnsiTheme="minorEastAsia" w:eastAsiaTheme="minorEastAsia" w:cstheme="minorEastAsia"/>
          <w:color w:val="auto"/>
          <w:sz w:val="24"/>
          <w:u w:val="single"/>
        </w:rPr>
        <w:t>（项目名称</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rPr>
        <w:t>项目的</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，为便于贵方公正、择优地确定成交供应商及其参与</w:t>
      </w:r>
      <w:r>
        <w:rPr>
          <w:rFonts w:hint="eastAsia" w:asciiTheme="minorEastAsia" w:hAnsiTheme="minorEastAsia" w:eastAsiaTheme="minorEastAsia" w:cstheme="minorEastAsia"/>
          <w:color w:val="auto"/>
          <w:sz w:val="24"/>
          <w:lang w:bidi="ar"/>
        </w:rPr>
        <w:t>竞争性谈判的</w:t>
      </w:r>
      <w:r>
        <w:rPr>
          <w:rFonts w:hint="eastAsia" w:asciiTheme="minorEastAsia" w:hAnsiTheme="minorEastAsia" w:eastAsiaTheme="minorEastAsia" w:cstheme="minorEastAsia"/>
          <w:color w:val="auto"/>
          <w:sz w:val="24"/>
        </w:rPr>
        <w:t>产品和服务，我方就本次参与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有关事项郑重声明如下：</w:t>
      </w:r>
    </w:p>
    <w:p w14:paraId="779FCC12">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1.我方向贵方提交的所有响应文件、资料都是准确的和真实的。</w:t>
      </w:r>
    </w:p>
    <w:p w14:paraId="341CB890">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2.我方不是为本次采购项目提供整体设计、规范编制或者项目管理、监理、检测等服务的供应商。</w:t>
      </w:r>
    </w:p>
    <w:p w14:paraId="39A52BA6">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3.在此，我方宣布同意如下：</w:t>
      </w:r>
    </w:p>
    <w:p w14:paraId="267A473C">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将按谈判文件的约定履行合同责任和义务；</w:t>
      </w:r>
    </w:p>
    <w:p w14:paraId="272591D1">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已详细审查全部谈判文件，包括补遗文件（如有</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w:t>
      </w:r>
    </w:p>
    <w:p w14:paraId="771596DF">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同意提供按照贵方可能要求的与谈判有关的一切数据或者资料；</w:t>
      </w:r>
    </w:p>
    <w:p w14:paraId="00B5EBBB">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响应谈判文件规定的</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有效期。</w:t>
      </w:r>
    </w:p>
    <w:p w14:paraId="6896B7BF">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4.我方承诺符合《中华人民共和国政府采购法》第二十二条规定：</w:t>
      </w:r>
    </w:p>
    <w:p w14:paraId="52CE2169">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具有独立承担民事责任的能力；</w:t>
      </w:r>
    </w:p>
    <w:p w14:paraId="0C3F2EB3">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具有良好的商业信誉和健全的财务会计制度；</w:t>
      </w:r>
    </w:p>
    <w:p w14:paraId="0FEBCD97">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具有履行合同所必需的设备和专业技术能力；</w:t>
      </w:r>
    </w:p>
    <w:p w14:paraId="62058006">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有依法缴纳税收和社会保障资金的良好记录；</w:t>
      </w:r>
    </w:p>
    <w:p w14:paraId="7326947F">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参加政府采购活动前三年内，在经营活动中没有重大违法记录；</w:t>
      </w:r>
    </w:p>
    <w:p w14:paraId="5CDF33A7">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法律、行政法规规定的其他条件。</w:t>
      </w:r>
    </w:p>
    <w:p w14:paraId="60F83EC1">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，未被列入失信被执行人、重大税收违法失信主体、政府采购严重违法失信行为记录名单，完全符合《中华人民共和国政府采购法》第二十二条规定的供应商资格条件，我方对此声明负全部法律责任。</w:t>
      </w:r>
    </w:p>
    <w:p w14:paraId="4826DB4D">
      <w:pPr>
        <w:spacing w:line="360" w:lineRule="auto"/>
        <w:ind w:firstLine="480" w:firstLineChars="200"/>
        <w:contextualSpacing/>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r>
        <w:rPr>
          <w:rFonts w:hint="eastAsia" w:asciiTheme="minorEastAsia" w:hAnsiTheme="minorEastAsia" w:eastAsiaTheme="minorEastAsia" w:cstheme="minorEastAsia"/>
          <w:color w:val="auto"/>
          <w:sz w:val="24"/>
          <w:lang w:eastAsia="zh-CN"/>
        </w:rPr>
        <w:t>）</w:t>
      </w:r>
    </w:p>
    <w:p w14:paraId="534B494F">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□我方本次响应文件</w:t>
      </w:r>
      <w:r>
        <w:rPr>
          <w:rFonts w:hint="eastAsia" w:asciiTheme="minorEastAsia" w:hAnsiTheme="minorEastAsia" w:eastAsiaTheme="minorEastAsia" w:cstheme="minorEastAsia"/>
          <w:color w:val="auto"/>
          <w:kern w:val="0"/>
          <w:sz w:val="24"/>
        </w:rPr>
        <w:t>内容中</w:t>
      </w:r>
      <w:r>
        <w:rPr>
          <w:rFonts w:hint="eastAsia" w:asciiTheme="minorEastAsia" w:hAnsiTheme="minorEastAsia" w:eastAsiaTheme="minorEastAsia" w:cstheme="minorEastAsia"/>
          <w:color w:val="auto"/>
          <w:sz w:val="24"/>
        </w:rPr>
        <w:t>未</w:t>
      </w:r>
      <w:r>
        <w:rPr>
          <w:rFonts w:hint="eastAsia" w:asciiTheme="minorEastAsia" w:hAnsiTheme="minorEastAsia" w:eastAsiaTheme="minorEastAsia" w:cstheme="minorEastAsia"/>
          <w:color w:val="auto"/>
          <w:kern w:val="0"/>
          <w:sz w:val="24"/>
        </w:rPr>
        <w:t>涉及商业秘密；</w:t>
      </w:r>
    </w:p>
    <w:p w14:paraId="743C8E09">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□我方本次响应文件</w:t>
      </w:r>
      <w:r>
        <w:rPr>
          <w:rFonts w:hint="eastAsia" w:asciiTheme="minorEastAsia" w:hAnsiTheme="minorEastAsia" w:eastAsiaTheme="minorEastAsia" w:cstheme="minorEastAsia"/>
          <w:color w:val="auto"/>
          <w:kern w:val="0"/>
          <w:sz w:val="24"/>
        </w:rPr>
        <w:t>涉及商业秘密的内容有</w:t>
      </w:r>
      <w:r>
        <w:rPr>
          <w:rFonts w:hint="eastAsia" w:asciiTheme="minorEastAsia" w:hAnsiTheme="minorEastAsia" w:eastAsiaTheme="minorEastAsia" w:cstheme="minorEastAsia"/>
          <w:color w:val="auto"/>
          <w:kern w:val="0"/>
          <w:sz w:val="24"/>
          <w:lang w:eastAsia="zh-CN"/>
        </w:rPr>
        <w:t>：</w:t>
      </w:r>
      <w:r>
        <w:rPr>
          <w:rFonts w:hint="eastAsia" w:asciiTheme="minorEastAsia" w:hAnsiTheme="minorEastAsia" w:eastAsiaTheme="minorEastAsia" w:cstheme="minorEastAsia"/>
          <w:color w:val="auto"/>
          <w:kern w:val="0"/>
          <w:sz w:val="24"/>
          <w:u w:val="single"/>
        </w:rPr>
        <w:t xml:space="preserve">                        </w:t>
      </w:r>
      <w:r>
        <w:rPr>
          <w:rFonts w:hint="eastAsia" w:asciiTheme="minorEastAsia" w:hAnsiTheme="minorEastAsia" w:eastAsiaTheme="minorEastAsia" w:cstheme="minorEastAsia"/>
          <w:color w:val="auto"/>
          <w:kern w:val="0"/>
          <w:sz w:val="24"/>
        </w:rPr>
        <w:t>；</w:t>
      </w:r>
    </w:p>
    <w:p w14:paraId="484DB9DD">
      <w:pPr>
        <w:pStyle w:val="14"/>
        <w:spacing w:line="360" w:lineRule="auto"/>
        <w:ind w:firstLine="480" w:firstLineChars="200"/>
        <w:contextualSpacing/>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7.与本谈判有关的一切正式往来信函请寄</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邮政编码</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p>
    <w:p w14:paraId="419E40B6">
      <w:pPr>
        <w:pStyle w:val="14"/>
        <w:spacing w:line="360" w:lineRule="auto"/>
        <w:ind w:firstLine="480" w:firstLineChars="200"/>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电话/传真</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电子函件</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w:t>
      </w:r>
    </w:p>
    <w:p w14:paraId="595D4FCB">
      <w:pPr>
        <w:pStyle w:val="12"/>
        <w:tabs>
          <w:tab w:val="left" w:pos="939"/>
        </w:tabs>
        <w:spacing w:line="360" w:lineRule="auto"/>
        <w:ind w:left="0" w:leftChars="0" w:firstLine="360" w:firstLineChars="150"/>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开户银行</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  账号/行号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281E14E2">
      <w:pPr>
        <w:pStyle w:val="12"/>
        <w:tabs>
          <w:tab w:val="left" w:pos="939"/>
        </w:tabs>
        <w:spacing w:line="360" w:lineRule="auto"/>
        <w:ind w:left="0" w:leftChars="0" w:firstLine="360"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8.我方若参与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成功，将采取</w:t>
      </w:r>
      <w:r>
        <w:rPr>
          <w:rFonts w:hint="eastAsia" w:asciiTheme="minorEastAsia" w:hAnsiTheme="minorEastAsia" w:eastAsiaTheme="minorEastAsia" w:cstheme="minorEastAsia"/>
          <w:color w:val="auto"/>
          <w:sz w:val="24"/>
          <w:u w:val="single"/>
        </w:rPr>
        <w:t>      </w:t>
      </w:r>
      <w:r>
        <w:rPr>
          <w:rFonts w:hint="eastAsia" w:asciiTheme="minorEastAsia" w:hAnsiTheme="minorEastAsia" w:eastAsiaTheme="minorEastAsia" w:cstheme="minorEastAsia"/>
          <w:color w:val="auto"/>
          <w:sz w:val="24"/>
        </w:rPr>
        <w:t>（汽车、火车、飞机等</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方式运输货物。</w:t>
      </w:r>
    </w:p>
    <w:p w14:paraId="209F5975">
      <w:pPr>
        <w:pStyle w:val="12"/>
        <w:tabs>
          <w:tab w:val="left" w:pos="939"/>
        </w:tabs>
        <w:spacing w:line="360" w:lineRule="auto"/>
        <w:ind w:left="0" w:leftChars="0" w:firstLine="360"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9.我方若参与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成功，除非发生不可抗力，承诺与采购人及时签订《合同书》。如果放弃，自愿按照本文件之《供应商须知正文》第27.5条的要求承担法律责任和失信惩戒。</w:t>
      </w:r>
    </w:p>
    <w:p w14:paraId="7ED2DB69">
      <w:pPr>
        <w:pStyle w:val="12"/>
        <w:tabs>
          <w:tab w:val="left" w:pos="939"/>
        </w:tabs>
        <w:spacing w:line="360" w:lineRule="auto"/>
        <w:ind w:left="0" w:leftChars="0" w:firstLine="360"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10.以上事项如有虚假或者隐瞒，我方愿意承担一切后果，并不再寻求任何旨在减轻或者免除法律责任的辩解。</w:t>
      </w:r>
    </w:p>
    <w:p w14:paraId="6F67A87B">
      <w:pPr>
        <w:pStyle w:val="12"/>
        <w:tabs>
          <w:tab w:val="left" w:pos="939"/>
        </w:tabs>
        <w:spacing w:line="360" w:lineRule="auto"/>
        <w:ind w:left="0" w:leftChars="0" w:firstLine="360" w:firstLineChars="150"/>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4"/>
        </w:rPr>
        <w:t>特此承诺。</w:t>
      </w:r>
    </w:p>
    <w:p w14:paraId="48B68B57">
      <w:pPr>
        <w:spacing w:line="360" w:lineRule="auto"/>
        <w:contextualSpacing/>
        <w:jc w:val="left"/>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 xml:space="preserve">    注：如为联合体参与</w:t>
      </w:r>
      <w:r>
        <w:rPr>
          <w:rFonts w:hint="eastAsia" w:asciiTheme="minorEastAsia" w:hAnsiTheme="minorEastAsia" w:eastAsiaTheme="minorEastAsia" w:cstheme="minorEastAsia"/>
          <w:b/>
          <w:color w:val="auto"/>
          <w:sz w:val="24"/>
          <w:lang w:bidi="ar"/>
        </w:rPr>
        <w:t>竞争性谈判</w:t>
      </w:r>
      <w:r>
        <w:rPr>
          <w:rFonts w:hint="eastAsia" w:asciiTheme="minorEastAsia" w:hAnsiTheme="minorEastAsia" w:eastAsiaTheme="minorEastAsia" w:cstheme="minorEastAsia"/>
          <w:b/>
          <w:color w:val="auto"/>
          <w:sz w:val="24"/>
        </w:rPr>
        <w:t>，盖章处须加盖联合体各方公章并由联合体各方法定代表人分别签署，否则响应文件按无效响应处理。</w:t>
      </w:r>
    </w:p>
    <w:p w14:paraId="5EC9C06D">
      <w:pPr>
        <w:spacing w:line="360" w:lineRule="auto"/>
        <w:contextualSpacing/>
        <w:jc w:val="left"/>
        <w:rPr>
          <w:rFonts w:hint="eastAsia" w:asciiTheme="minorEastAsia" w:hAnsiTheme="minorEastAsia" w:eastAsiaTheme="minorEastAsia" w:cstheme="minorEastAsia"/>
          <w:color w:val="auto"/>
          <w:szCs w:val="21"/>
        </w:rPr>
      </w:pPr>
    </w:p>
    <w:p w14:paraId="32374388">
      <w:pPr>
        <w:spacing w:line="360" w:lineRule="auto"/>
        <w:ind w:firstLine="4320" w:firstLineChars="18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法定代表人（签字</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                                     </w:t>
      </w:r>
    </w:p>
    <w:p w14:paraId="64CE9A22">
      <w:pPr>
        <w:spacing w:line="360" w:lineRule="auto"/>
        <w:ind w:firstLine="4320" w:firstLineChars="1800"/>
        <w:contextualSpacing/>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供应商（公章</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           </w:t>
      </w:r>
    </w:p>
    <w:p w14:paraId="577927FC">
      <w:pPr>
        <w:spacing w:line="360" w:lineRule="auto"/>
        <w:ind w:firstLine="240" w:firstLineChars="100"/>
        <w:contextualSpacing/>
        <w:jc w:val="center"/>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color w:val="auto"/>
          <w:sz w:val="24"/>
        </w:rPr>
        <w:t xml:space="preserve">                      日期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年</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月</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日</w:t>
      </w:r>
      <w:r>
        <w:rPr>
          <w:rFonts w:hint="eastAsia" w:asciiTheme="minorEastAsia" w:hAnsiTheme="minorEastAsia" w:eastAsiaTheme="minorEastAsia" w:cstheme="minorEastAsia"/>
          <w:color w:val="auto"/>
          <w:sz w:val="32"/>
          <w:szCs w:val="32"/>
        </w:rPr>
        <w:br w:type="page"/>
      </w:r>
      <w:r>
        <w:rPr>
          <w:rFonts w:hint="eastAsia" w:asciiTheme="minorEastAsia" w:hAnsiTheme="minorEastAsia" w:eastAsiaTheme="minorEastAsia" w:cstheme="minorEastAsia"/>
          <w:b/>
          <w:color w:val="auto"/>
          <w:sz w:val="32"/>
          <w:szCs w:val="32"/>
        </w:rPr>
        <w:t>联合体参与竞争性谈判协议书</w:t>
      </w:r>
    </w:p>
    <w:p w14:paraId="261CC567">
      <w:pPr>
        <w:pStyle w:val="6"/>
        <w:overflowPunct w:val="0"/>
        <w:spacing w:line="360" w:lineRule="auto"/>
        <w:ind w:firstLine="0"/>
        <w:contextualSpacing/>
        <w:rPr>
          <w:rFonts w:hint="eastAsia" w:asciiTheme="minorEastAsia" w:hAnsiTheme="minorEastAsia" w:eastAsiaTheme="minorEastAsia" w:cstheme="minorEastAsia"/>
          <w:color w:val="auto"/>
          <w:sz w:val="24"/>
          <w:szCs w:val="24"/>
        </w:rPr>
      </w:pPr>
    </w:p>
    <w:p w14:paraId="7FBC5D66">
      <w:pPr>
        <w:pStyle w:val="6"/>
        <w:overflowPunct w:val="0"/>
        <w:spacing w:line="360" w:lineRule="auto"/>
        <w:ind w:firstLine="480" w:firstLineChars="200"/>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（所有成员单位名称</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自愿组成</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（联合体名称</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联合体，共同参加</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（项目名称</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采购项目</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szCs w:val="24"/>
        </w:rPr>
        <w:t>。现就联合体参与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szCs w:val="24"/>
        </w:rPr>
        <w:t>事宜订立如下协议。</w:t>
      </w:r>
    </w:p>
    <w:p w14:paraId="7C8BB71D">
      <w:pPr>
        <w:pStyle w:val="6"/>
        <w:overflowPunct w:val="0"/>
        <w:spacing w:line="360" w:lineRule="auto"/>
        <w:ind w:firstLine="480" w:firstLineChars="200"/>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（某成员单位名称</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为</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（联合体名称</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牵头人。</w:t>
      </w:r>
    </w:p>
    <w:p w14:paraId="6470D2D5">
      <w:pPr>
        <w:pStyle w:val="6"/>
        <w:overflowPunct w:val="0"/>
        <w:spacing w:line="360" w:lineRule="auto"/>
        <w:ind w:firstLine="480" w:firstLineChars="200"/>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2.联合体各成员授权牵头人代表联合体参加</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szCs w:val="24"/>
        </w:rPr>
        <w:t>活动，签署文件及对文件的盖章，提交和接收相关的资料、信息及指示，进行合同谈判活动，负责合同实施阶段的组织和协调工作，以及处理与本</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szCs w:val="24"/>
        </w:rPr>
        <w:t>项目有关的一切事宜。</w:t>
      </w:r>
    </w:p>
    <w:p w14:paraId="5D6CDB71">
      <w:pPr>
        <w:pStyle w:val="6"/>
        <w:overflowPunct w:val="0"/>
        <w:spacing w:line="360" w:lineRule="auto"/>
        <w:ind w:firstLine="480" w:firstLineChars="200"/>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3.联合体牵头人在本项目中签署和盖章的一切文件和处理的一切事宜，联合体各成员均予以承认。联合体各成员将严格按照谈判文件、响应文件和合同的要求全面履行义务，并向采购人承担连带责任。</w:t>
      </w:r>
    </w:p>
    <w:p w14:paraId="7C253D41">
      <w:pPr>
        <w:pStyle w:val="6"/>
        <w:overflowPunct w:val="0"/>
        <w:spacing w:line="360" w:lineRule="auto"/>
        <w:ind w:firstLine="480" w:firstLineChars="200"/>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4.联合体各成员单位内部的职责分工如下</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w:t>
      </w:r>
    </w:p>
    <w:p w14:paraId="7519A4F7">
      <w:pPr>
        <w:pStyle w:val="6"/>
        <w:overflowPunct w:val="0"/>
        <w:spacing w:line="360" w:lineRule="auto"/>
        <w:ind w:firstLine="480" w:firstLineChars="200"/>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5.本</w:t>
      </w:r>
      <w:r>
        <w:rPr>
          <w:rFonts w:hint="eastAsia" w:asciiTheme="minorEastAsia" w:hAnsiTheme="minorEastAsia" w:eastAsiaTheme="minorEastAsia" w:cstheme="minorEastAsia"/>
          <w:color w:val="auto"/>
          <w:spacing w:val="-6"/>
          <w:sz w:val="24"/>
          <w:szCs w:val="24"/>
        </w:rPr>
        <w:t>协议书自所有成员单位法定代表人或者其委托代理人签字或者盖单位章之日起生效，合同履行完毕后自动失效。</w:t>
      </w:r>
    </w:p>
    <w:p w14:paraId="203B4C4D">
      <w:pPr>
        <w:pStyle w:val="6"/>
        <w:overflowPunct w:val="0"/>
        <w:spacing w:line="360" w:lineRule="auto"/>
        <w:ind w:firstLine="480" w:firstLineChars="200"/>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6.本协议书一式</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rPr>
        <w:t>份，联合体成员和采购人各执壹份。</w:t>
      </w:r>
    </w:p>
    <w:p w14:paraId="0419AB5C">
      <w:pPr>
        <w:pStyle w:val="6"/>
        <w:overflowPunct w:val="0"/>
        <w:spacing w:line="360" w:lineRule="auto"/>
        <w:ind w:firstLine="480" w:firstLineChars="200"/>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注：本协议书由法定代表人签字的，应附法定代表人身份证明；由委托代理人签字的，应附联合体协议签订授权委托书（格式自拟</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p>
    <w:p w14:paraId="46E8AD91">
      <w:pPr>
        <w:pStyle w:val="6"/>
        <w:overflowPunct w:val="0"/>
        <w:spacing w:line="360" w:lineRule="auto"/>
        <w:ind w:firstLineChars="175"/>
        <w:contextualSpacing/>
        <w:rPr>
          <w:rFonts w:hint="eastAsia" w:asciiTheme="minorEastAsia" w:hAnsiTheme="minorEastAsia" w:eastAsiaTheme="minorEastAsia" w:cstheme="minorEastAsia"/>
          <w:color w:val="auto"/>
          <w:sz w:val="24"/>
          <w:szCs w:val="24"/>
        </w:rPr>
      </w:pPr>
    </w:p>
    <w:p w14:paraId="38D31871">
      <w:pPr>
        <w:pStyle w:val="6"/>
        <w:overflowPunct w:val="0"/>
        <w:spacing w:line="360" w:lineRule="auto"/>
        <w:ind w:firstLine="0"/>
        <w:contextualSpacing/>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联合体牵头人名称（公章</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p>
    <w:p w14:paraId="605A5CA4">
      <w:pPr>
        <w:pStyle w:val="6"/>
        <w:overflowPunct w:val="0"/>
        <w:spacing w:line="360" w:lineRule="auto"/>
        <w:ind w:firstLine="0"/>
        <w:contextualSpacing/>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法定代表人或者其委托代理人（签字</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p>
    <w:p w14:paraId="0E9677BE">
      <w:pPr>
        <w:pStyle w:val="6"/>
        <w:overflowPunct w:val="0"/>
        <w:spacing w:line="360" w:lineRule="auto"/>
        <w:ind w:firstLine="0"/>
        <w:contextualSpacing/>
        <w:rPr>
          <w:rFonts w:hint="eastAsia" w:asciiTheme="minorEastAsia" w:hAnsiTheme="minorEastAsia" w:eastAsiaTheme="minorEastAsia" w:cstheme="minorEastAsia"/>
          <w:color w:val="auto"/>
          <w:sz w:val="24"/>
          <w:szCs w:val="24"/>
        </w:rPr>
      </w:pPr>
    </w:p>
    <w:p w14:paraId="57B16DC9">
      <w:pPr>
        <w:pStyle w:val="6"/>
        <w:overflowPunct w:val="0"/>
        <w:spacing w:line="360" w:lineRule="auto"/>
        <w:ind w:firstLine="0"/>
        <w:contextualSpacing/>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联合体成员名称（公章</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p>
    <w:p w14:paraId="3942B252">
      <w:pPr>
        <w:pStyle w:val="6"/>
        <w:overflowPunct w:val="0"/>
        <w:spacing w:line="360" w:lineRule="auto"/>
        <w:ind w:firstLine="0"/>
        <w:contextualSpacing/>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法定代表人或者其委托代理人（签字</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p>
    <w:p w14:paraId="366736EA">
      <w:pPr>
        <w:pStyle w:val="6"/>
        <w:overflowPunct w:val="0"/>
        <w:spacing w:line="360" w:lineRule="auto"/>
        <w:ind w:firstLine="0"/>
        <w:contextualSpacing/>
        <w:rPr>
          <w:rFonts w:hint="eastAsia" w:asciiTheme="minorEastAsia" w:hAnsiTheme="minorEastAsia" w:eastAsiaTheme="minorEastAsia" w:cstheme="minorEastAsia"/>
          <w:color w:val="auto"/>
          <w:sz w:val="24"/>
          <w:szCs w:val="24"/>
        </w:rPr>
      </w:pPr>
    </w:p>
    <w:p w14:paraId="4867321E">
      <w:pPr>
        <w:pStyle w:val="6"/>
        <w:overflowPunct w:val="0"/>
        <w:spacing w:line="360" w:lineRule="auto"/>
        <w:ind w:firstLine="0"/>
        <w:contextualSpacing/>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联合体成员名称（公章</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p>
    <w:p w14:paraId="4580CDBD">
      <w:pPr>
        <w:pStyle w:val="6"/>
        <w:overflowPunct w:val="0"/>
        <w:spacing w:line="360" w:lineRule="auto"/>
        <w:ind w:firstLine="0"/>
        <w:contextualSpacing/>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法定代表人或者其委托代理人（签字</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p>
    <w:p w14:paraId="4BE61908">
      <w:pPr>
        <w:pStyle w:val="6"/>
        <w:overflowPunct w:val="0"/>
        <w:spacing w:line="360" w:lineRule="auto"/>
        <w:ind w:firstLine="0"/>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p w14:paraId="3486833D">
      <w:pPr>
        <w:spacing w:line="360" w:lineRule="auto"/>
        <w:contextualSpacing/>
        <w:jc w:val="righ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日期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年</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月</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日</w:t>
      </w:r>
      <w:r>
        <w:rPr>
          <w:rFonts w:hint="eastAsia" w:asciiTheme="minorEastAsia" w:hAnsiTheme="minorEastAsia" w:eastAsiaTheme="minorEastAsia" w:cstheme="minorEastAsia"/>
          <w:color w:val="auto"/>
          <w:sz w:val="32"/>
          <w:szCs w:val="32"/>
        </w:rPr>
        <w:t xml:space="preserve"> </w:t>
      </w:r>
    </w:p>
    <w:p w14:paraId="2D474C67">
      <w:pPr>
        <w:spacing w:line="360" w:lineRule="auto"/>
        <w:contextualSpacing/>
        <w:jc w:val="left"/>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color w:val="auto"/>
          <w:szCs w:val="21"/>
        </w:rPr>
        <w:br w:type="page"/>
      </w:r>
      <w:r>
        <w:rPr>
          <w:rFonts w:hint="eastAsia" w:asciiTheme="minorEastAsia" w:hAnsiTheme="minorEastAsia" w:eastAsiaTheme="minorEastAsia" w:cstheme="minorEastAsia"/>
          <w:b/>
          <w:bCs/>
          <w:color w:val="auto"/>
          <w:sz w:val="32"/>
          <w:szCs w:val="32"/>
        </w:rPr>
        <w:t>二、</w:t>
      </w:r>
      <w:r>
        <w:rPr>
          <w:rFonts w:hint="eastAsia" w:asciiTheme="minorEastAsia" w:hAnsiTheme="minorEastAsia" w:eastAsiaTheme="minorEastAsia" w:cstheme="minorEastAsia"/>
          <w:b/>
          <w:color w:val="auto"/>
          <w:sz w:val="32"/>
          <w:szCs w:val="32"/>
        </w:rPr>
        <w:t xml:space="preserve">报价商务技术文件格式 </w:t>
      </w:r>
    </w:p>
    <w:p w14:paraId="3733990F">
      <w:pPr>
        <w:snapToGrid w:val="0"/>
        <w:spacing w:line="360" w:lineRule="auto"/>
        <w:jc w:val="left"/>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1.报价商务技术文件封面格式</w:t>
      </w:r>
    </w:p>
    <w:p w14:paraId="3C7C96E6">
      <w:pPr>
        <w:snapToGrid w:val="0"/>
        <w:spacing w:line="360"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w:t>
      </w:r>
    </w:p>
    <w:p w14:paraId="33DA6BB9">
      <w:pPr>
        <w:snapToGrid w:val="0"/>
        <w:spacing w:line="360" w:lineRule="auto"/>
        <w:rPr>
          <w:rFonts w:hint="eastAsia" w:asciiTheme="minorEastAsia" w:hAnsiTheme="minorEastAsia" w:eastAsiaTheme="minorEastAsia" w:cstheme="minorEastAsia"/>
          <w:color w:val="auto"/>
          <w:sz w:val="24"/>
        </w:rPr>
      </w:pPr>
    </w:p>
    <w:p w14:paraId="4FF0BA7D">
      <w:pPr>
        <w:snapToGrid w:val="0"/>
        <w:spacing w:line="360" w:lineRule="auto"/>
        <w:rPr>
          <w:rFonts w:hint="eastAsia" w:asciiTheme="minorEastAsia" w:hAnsiTheme="minorEastAsia" w:eastAsiaTheme="minorEastAsia" w:cstheme="minorEastAsia"/>
          <w:color w:val="auto"/>
          <w:sz w:val="24"/>
          <w:szCs w:val="20"/>
        </w:rPr>
      </w:pPr>
    </w:p>
    <w:p w14:paraId="2AA1A59E">
      <w:pPr>
        <w:snapToGrid w:val="0"/>
        <w:spacing w:line="360" w:lineRule="auto"/>
        <w:jc w:val="center"/>
        <w:rPr>
          <w:rFonts w:hint="eastAsia" w:asciiTheme="minorEastAsia" w:hAnsiTheme="minorEastAsia" w:eastAsiaTheme="minorEastAsia" w:cstheme="minorEastAsia"/>
          <w:bCs/>
          <w:color w:val="auto"/>
          <w:sz w:val="84"/>
          <w:szCs w:val="84"/>
        </w:rPr>
      </w:pPr>
      <w:r>
        <w:rPr>
          <w:rFonts w:hint="eastAsia" w:asciiTheme="minorEastAsia" w:hAnsiTheme="minorEastAsia" w:eastAsiaTheme="minorEastAsia" w:cstheme="minorEastAsia"/>
          <w:b/>
          <w:color w:val="auto"/>
          <w:sz w:val="84"/>
          <w:szCs w:val="84"/>
        </w:rPr>
        <w:t>响  应  文  件</w:t>
      </w:r>
    </w:p>
    <w:p w14:paraId="413A7CAD">
      <w:pPr>
        <w:snapToGrid w:val="0"/>
        <w:spacing w:line="360" w:lineRule="auto"/>
        <w:rPr>
          <w:rFonts w:hint="eastAsia" w:asciiTheme="minorEastAsia" w:hAnsiTheme="minorEastAsia" w:eastAsiaTheme="minorEastAsia" w:cstheme="minorEastAsia"/>
          <w:color w:val="auto"/>
          <w:sz w:val="24"/>
          <w:szCs w:val="20"/>
        </w:rPr>
      </w:pPr>
    </w:p>
    <w:p w14:paraId="4F342053">
      <w:pPr>
        <w:snapToGrid w:val="0"/>
        <w:spacing w:line="360" w:lineRule="auto"/>
        <w:jc w:val="center"/>
        <w:rPr>
          <w:rFonts w:hint="eastAsia" w:asciiTheme="minorEastAsia" w:hAnsiTheme="minorEastAsia" w:eastAsiaTheme="minorEastAsia" w:cstheme="minorEastAsia"/>
          <w:bCs/>
          <w:color w:val="auto"/>
          <w:sz w:val="32"/>
          <w:szCs w:val="32"/>
        </w:rPr>
      </w:pPr>
      <w:r>
        <w:rPr>
          <w:rFonts w:hint="eastAsia" w:asciiTheme="minorEastAsia" w:hAnsiTheme="minorEastAsia" w:eastAsiaTheme="minorEastAsia" w:cstheme="minorEastAsia"/>
          <w:bCs/>
          <w:color w:val="auto"/>
          <w:sz w:val="32"/>
          <w:szCs w:val="32"/>
        </w:rPr>
        <w:t>报价商务技术文件</w:t>
      </w:r>
    </w:p>
    <w:p w14:paraId="3A77EA58">
      <w:pPr>
        <w:snapToGrid w:val="0"/>
        <w:spacing w:line="360" w:lineRule="auto"/>
        <w:rPr>
          <w:rFonts w:hint="eastAsia" w:asciiTheme="minorEastAsia" w:hAnsiTheme="minorEastAsia" w:eastAsiaTheme="minorEastAsia" w:cstheme="minorEastAsia"/>
          <w:bCs/>
          <w:color w:val="auto"/>
          <w:sz w:val="28"/>
          <w:szCs w:val="28"/>
        </w:rPr>
      </w:pPr>
    </w:p>
    <w:p w14:paraId="5748E393">
      <w:pPr>
        <w:snapToGrid w:val="0"/>
        <w:spacing w:line="360" w:lineRule="auto"/>
        <w:rPr>
          <w:rFonts w:hint="eastAsia" w:asciiTheme="minorEastAsia" w:hAnsiTheme="minorEastAsia" w:eastAsiaTheme="minorEastAsia" w:cstheme="minorEastAsia"/>
          <w:bCs/>
          <w:color w:val="auto"/>
          <w:sz w:val="28"/>
          <w:szCs w:val="28"/>
        </w:rPr>
      </w:pPr>
    </w:p>
    <w:p w14:paraId="74395831">
      <w:pPr>
        <w:snapToGrid w:val="0"/>
        <w:spacing w:line="360" w:lineRule="auto"/>
        <w:ind w:firstLine="1680" w:firstLineChars="600"/>
        <w:rPr>
          <w:rFonts w:hint="eastAsia" w:asciiTheme="minorEastAsia" w:hAnsiTheme="minorEastAsia" w:eastAsiaTheme="minorEastAsia" w:cstheme="minorEastAsia"/>
          <w:bCs/>
          <w:color w:val="auto"/>
          <w:sz w:val="28"/>
          <w:szCs w:val="28"/>
        </w:rPr>
      </w:pPr>
      <w:r>
        <w:rPr>
          <w:rFonts w:hint="eastAsia" w:asciiTheme="minorEastAsia" w:hAnsiTheme="minorEastAsia" w:eastAsiaTheme="minorEastAsia" w:cstheme="minorEastAsia"/>
          <w:bCs/>
          <w:color w:val="auto"/>
          <w:sz w:val="28"/>
          <w:szCs w:val="28"/>
        </w:rPr>
        <w:t>项目名称：</w:t>
      </w:r>
    </w:p>
    <w:p w14:paraId="5E2AB07A">
      <w:pPr>
        <w:snapToGrid w:val="0"/>
        <w:spacing w:line="360" w:lineRule="auto"/>
        <w:ind w:firstLine="1680" w:firstLineChars="600"/>
        <w:rPr>
          <w:rFonts w:hint="eastAsia" w:asciiTheme="minorEastAsia" w:hAnsiTheme="minorEastAsia" w:eastAsiaTheme="minorEastAsia" w:cstheme="minorEastAsia"/>
          <w:bCs/>
          <w:color w:val="auto"/>
          <w:sz w:val="28"/>
          <w:szCs w:val="28"/>
          <w:lang w:eastAsia="zh-CN"/>
        </w:rPr>
      </w:pPr>
      <w:r>
        <w:rPr>
          <w:rFonts w:hint="eastAsia" w:asciiTheme="minorEastAsia" w:hAnsiTheme="minorEastAsia" w:eastAsiaTheme="minorEastAsia" w:cstheme="minorEastAsia"/>
          <w:bCs/>
          <w:color w:val="auto"/>
          <w:sz w:val="28"/>
          <w:szCs w:val="28"/>
        </w:rPr>
        <w:t>项目编号</w:t>
      </w:r>
      <w:r>
        <w:rPr>
          <w:rFonts w:hint="eastAsia" w:asciiTheme="minorEastAsia" w:hAnsiTheme="minorEastAsia" w:eastAsiaTheme="minorEastAsia" w:cstheme="minorEastAsia"/>
          <w:bCs/>
          <w:color w:val="auto"/>
          <w:sz w:val="28"/>
          <w:szCs w:val="28"/>
          <w:lang w:eastAsia="zh-CN"/>
        </w:rPr>
        <w:t>：</w:t>
      </w:r>
    </w:p>
    <w:p w14:paraId="367104F8">
      <w:pPr>
        <w:snapToGrid w:val="0"/>
        <w:spacing w:line="360" w:lineRule="auto"/>
        <w:ind w:firstLine="1680" w:firstLineChars="600"/>
        <w:rPr>
          <w:rFonts w:hint="eastAsia" w:asciiTheme="minorEastAsia" w:hAnsiTheme="minorEastAsia" w:eastAsiaTheme="minorEastAsia" w:cstheme="minorEastAsia"/>
          <w:bCs/>
          <w:color w:val="auto"/>
          <w:sz w:val="28"/>
          <w:szCs w:val="28"/>
        </w:rPr>
      </w:pPr>
      <w:r>
        <w:rPr>
          <w:rFonts w:hint="eastAsia" w:asciiTheme="minorEastAsia" w:hAnsiTheme="minorEastAsia" w:eastAsiaTheme="minorEastAsia" w:cstheme="minorEastAsia"/>
          <w:bCs/>
          <w:color w:val="auto"/>
          <w:sz w:val="28"/>
          <w:szCs w:val="28"/>
        </w:rPr>
        <w:t>所竞分标（如有</w:t>
      </w:r>
      <w:r>
        <w:rPr>
          <w:rFonts w:hint="eastAsia" w:asciiTheme="minorEastAsia" w:hAnsiTheme="minorEastAsia" w:eastAsiaTheme="minorEastAsia" w:cstheme="minorEastAsia"/>
          <w:bCs/>
          <w:color w:val="auto"/>
          <w:sz w:val="28"/>
          <w:szCs w:val="28"/>
          <w:lang w:eastAsia="zh-CN"/>
        </w:rPr>
        <w:t>）</w:t>
      </w:r>
      <w:r>
        <w:rPr>
          <w:rFonts w:hint="eastAsia" w:asciiTheme="minorEastAsia" w:hAnsiTheme="minorEastAsia" w:eastAsiaTheme="minorEastAsia" w:cstheme="minorEastAsia"/>
          <w:bCs/>
          <w:color w:val="auto"/>
          <w:sz w:val="28"/>
          <w:szCs w:val="28"/>
        </w:rPr>
        <w:t>：</w:t>
      </w:r>
    </w:p>
    <w:p w14:paraId="39069A89">
      <w:pPr>
        <w:pStyle w:val="6"/>
        <w:snapToGrid w:val="0"/>
        <w:spacing w:line="360" w:lineRule="auto"/>
        <w:ind w:firstLine="1680" w:firstLineChars="600"/>
        <w:rPr>
          <w:rFonts w:hint="eastAsia" w:asciiTheme="minorEastAsia" w:hAnsiTheme="minorEastAsia" w:eastAsiaTheme="minorEastAsia" w:cstheme="minorEastAsia"/>
          <w:bCs/>
          <w:color w:val="auto"/>
          <w:sz w:val="28"/>
          <w:szCs w:val="28"/>
        </w:rPr>
      </w:pPr>
      <w:r>
        <w:rPr>
          <w:rFonts w:hint="eastAsia" w:asciiTheme="minorEastAsia" w:hAnsiTheme="minorEastAsia" w:eastAsiaTheme="minorEastAsia" w:cstheme="minorEastAsia"/>
          <w:bCs/>
          <w:color w:val="auto"/>
          <w:sz w:val="28"/>
          <w:szCs w:val="28"/>
        </w:rPr>
        <w:t>供应商名称：</w:t>
      </w:r>
    </w:p>
    <w:p w14:paraId="43977717">
      <w:pPr>
        <w:pStyle w:val="6"/>
        <w:snapToGrid w:val="0"/>
        <w:spacing w:line="360" w:lineRule="auto"/>
        <w:ind w:firstLine="1680" w:firstLineChars="600"/>
        <w:rPr>
          <w:rFonts w:hint="eastAsia" w:asciiTheme="minorEastAsia" w:hAnsiTheme="minorEastAsia" w:eastAsiaTheme="minorEastAsia" w:cstheme="minorEastAsia"/>
          <w:bCs/>
          <w:color w:val="auto"/>
          <w:sz w:val="28"/>
          <w:szCs w:val="28"/>
        </w:rPr>
      </w:pPr>
    </w:p>
    <w:p w14:paraId="71284A2F">
      <w:pPr>
        <w:snapToGrid w:val="0"/>
        <w:spacing w:line="360"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年    月    日</w:t>
      </w:r>
    </w:p>
    <w:p w14:paraId="1CCBAFDC">
      <w:pPr>
        <w:snapToGrid w:val="0"/>
        <w:spacing w:line="360" w:lineRule="auto"/>
        <w:jc w:val="left"/>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color w:val="auto"/>
          <w:sz w:val="28"/>
          <w:szCs w:val="28"/>
        </w:rPr>
        <w:br w:type="page"/>
      </w:r>
      <w:r>
        <w:rPr>
          <w:rFonts w:hint="eastAsia" w:asciiTheme="minorEastAsia" w:hAnsiTheme="minorEastAsia" w:eastAsiaTheme="minorEastAsia" w:cstheme="minorEastAsia"/>
          <w:b/>
          <w:bCs/>
          <w:color w:val="auto"/>
          <w:sz w:val="32"/>
          <w:szCs w:val="32"/>
        </w:rPr>
        <w:t>2.报价商务技术文件目录</w:t>
      </w:r>
    </w:p>
    <w:p w14:paraId="11E32C92">
      <w:pPr>
        <w:snapToGrid w:val="0"/>
        <w:spacing w:line="360" w:lineRule="auto"/>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根据谈判文件规定及供应商提供的材料自行编写目录（部分格式后附</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w:t>
      </w:r>
    </w:p>
    <w:p w14:paraId="5C283F15">
      <w:pPr>
        <w:spacing w:line="360" w:lineRule="auto"/>
        <w:rPr>
          <w:rFonts w:hint="eastAsia" w:asciiTheme="minorEastAsia" w:hAnsiTheme="minorEastAsia" w:eastAsiaTheme="minorEastAsia" w:cstheme="minorEastAsia"/>
          <w:color w:val="auto"/>
          <w:sz w:val="32"/>
          <w:szCs w:val="32"/>
        </w:rPr>
      </w:pPr>
    </w:p>
    <w:p w14:paraId="2D39C983">
      <w:pPr>
        <w:spacing w:line="360" w:lineRule="auto"/>
        <w:jc w:val="center"/>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color w:val="auto"/>
          <w:sz w:val="44"/>
          <w:szCs w:val="44"/>
        </w:rPr>
        <w:br w:type="page"/>
      </w:r>
      <w:r>
        <w:rPr>
          <w:rFonts w:hint="eastAsia" w:asciiTheme="minorEastAsia" w:hAnsiTheme="minorEastAsia" w:eastAsiaTheme="minorEastAsia" w:cstheme="minorEastAsia"/>
          <w:b/>
          <w:color w:val="auto"/>
          <w:sz w:val="44"/>
          <w:szCs w:val="44"/>
        </w:rPr>
        <w:t>无串通参与竞争性谈判行为的承诺函</w:t>
      </w:r>
    </w:p>
    <w:p w14:paraId="5A8C6930">
      <w:pPr>
        <w:spacing w:line="360" w:lineRule="auto"/>
        <w:ind w:firstLine="640" w:firstLineChars="200"/>
        <w:contextualSpacing/>
        <w:rPr>
          <w:rFonts w:hint="eastAsia" w:asciiTheme="minorEastAsia" w:hAnsiTheme="minorEastAsia" w:eastAsiaTheme="minorEastAsia" w:cstheme="minorEastAsia"/>
          <w:color w:val="auto"/>
          <w:sz w:val="32"/>
          <w:szCs w:val="32"/>
        </w:rPr>
      </w:pPr>
    </w:p>
    <w:p w14:paraId="0C7B6A9F">
      <w:pPr>
        <w:spacing w:line="360" w:lineRule="auto"/>
        <w:ind w:firstLine="482" w:firstLineChars="200"/>
        <w:contextualSpacing/>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一、我方承诺无下列相互串通参与</w:t>
      </w:r>
      <w:r>
        <w:rPr>
          <w:rFonts w:hint="eastAsia" w:asciiTheme="minorEastAsia" w:hAnsiTheme="minorEastAsia" w:eastAsiaTheme="minorEastAsia" w:cstheme="minorEastAsia"/>
          <w:b/>
          <w:color w:val="auto"/>
          <w:sz w:val="24"/>
          <w:lang w:bidi="ar"/>
        </w:rPr>
        <w:t>竞争性谈判</w:t>
      </w:r>
      <w:r>
        <w:rPr>
          <w:rFonts w:hint="eastAsia" w:asciiTheme="minorEastAsia" w:hAnsiTheme="minorEastAsia" w:eastAsiaTheme="minorEastAsia" w:cstheme="minorEastAsia"/>
          <w:b/>
          <w:bCs/>
          <w:color w:val="auto"/>
          <w:sz w:val="24"/>
        </w:rPr>
        <w:t>的情形：</w:t>
      </w:r>
    </w:p>
    <w:p w14:paraId="775D17EC">
      <w:pPr>
        <w:spacing w:line="360" w:lineRule="auto"/>
        <w:ind w:firstLine="480" w:firstLineChars="200"/>
        <w:contextualSpacing/>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rPr>
        <w:t>1.不同供应商的响应文件由同一单位或者个人编制</w:t>
      </w:r>
      <w:r>
        <w:rPr>
          <w:rFonts w:hint="eastAsia" w:asciiTheme="minorEastAsia" w:hAnsiTheme="minorEastAsia" w:eastAsiaTheme="minorEastAsia" w:cstheme="minorEastAsia"/>
          <w:color w:val="auto"/>
          <w:sz w:val="24"/>
          <w:lang w:eastAsia="zh-CN"/>
        </w:rPr>
        <w:t>，或者</w:t>
      </w:r>
      <w:r>
        <w:rPr>
          <w:rFonts w:hint="eastAsia" w:asciiTheme="minorEastAsia" w:hAnsiTheme="minorEastAsia" w:eastAsiaTheme="minorEastAsia" w:cstheme="minorEastAsia"/>
          <w:color w:val="auto"/>
          <w:sz w:val="24"/>
        </w:rPr>
        <w:t>不同供应商</w:t>
      </w:r>
      <w:r>
        <w:rPr>
          <w:rFonts w:hint="eastAsia" w:asciiTheme="minorEastAsia" w:hAnsiTheme="minorEastAsia" w:eastAsiaTheme="minorEastAsia" w:cstheme="minorEastAsia"/>
          <w:color w:val="auto"/>
          <w:sz w:val="24"/>
          <w:lang w:eastAsia="zh-CN"/>
        </w:rPr>
        <w:t>上传的响应文件存在IP地址、MAC地址、硬盘号、主板号一致的情况；</w:t>
      </w:r>
    </w:p>
    <w:p w14:paraId="472D4A58">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2.不同供应商委托同一单位或者个人办理参与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事宜；</w:t>
      </w:r>
    </w:p>
    <w:p w14:paraId="1C4BDB5C">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3.不同的供应商的响应文件载明的项目管理员为同一个人；</w:t>
      </w:r>
    </w:p>
    <w:p w14:paraId="289A5D25">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4.不</w:t>
      </w:r>
      <w:r>
        <w:rPr>
          <w:rFonts w:hint="eastAsia" w:asciiTheme="minorEastAsia" w:hAnsiTheme="minorEastAsia" w:eastAsiaTheme="minorEastAsia" w:cstheme="minorEastAsia"/>
          <w:color w:val="auto"/>
          <w:spacing w:val="-6"/>
          <w:sz w:val="24"/>
        </w:rPr>
        <w:t>同供应商的响应文件异常一致或者参与</w:t>
      </w:r>
      <w:r>
        <w:rPr>
          <w:rFonts w:hint="eastAsia" w:asciiTheme="minorEastAsia" w:hAnsiTheme="minorEastAsia" w:eastAsiaTheme="minorEastAsia" w:cstheme="minorEastAsia"/>
          <w:color w:val="auto"/>
          <w:sz w:val="24"/>
          <w:lang w:bidi="ar"/>
        </w:rPr>
        <w:t>竞争性谈判的</w:t>
      </w:r>
      <w:r>
        <w:rPr>
          <w:rFonts w:hint="eastAsia" w:asciiTheme="minorEastAsia" w:hAnsiTheme="minorEastAsia" w:eastAsiaTheme="minorEastAsia" w:cstheme="minorEastAsia"/>
          <w:color w:val="auto"/>
          <w:spacing w:val="-6"/>
          <w:sz w:val="24"/>
        </w:rPr>
        <w:t>报价呈规律性差异；</w:t>
      </w:r>
    </w:p>
    <w:p w14:paraId="47A93939">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5.不同供应商的响应文件相互混装；</w:t>
      </w:r>
    </w:p>
    <w:p w14:paraId="6B2A809C">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6.不同供应商的谈判保证金从同一单位或者个人账户转出。</w:t>
      </w:r>
    </w:p>
    <w:p w14:paraId="08CC0CE3">
      <w:pPr>
        <w:spacing w:line="360" w:lineRule="auto"/>
        <w:ind w:firstLine="482" w:firstLineChars="200"/>
        <w:contextualSpacing/>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二、我方承诺无下列恶意串通的情形：</w:t>
      </w:r>
    </w:p>
    <w:p w14:paraId="6346B04F">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1.供应商直接或者间接从采购人或者采购代理机构处获得其他供应商的相关信息并修改其响应文件；</w:t>
      </w:r>
    </w:p>
    <w:p w14:paraId="23D86889">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2.供应商按照采购人或者采购代理机构的授意撤换、修改响应文件；</w:t>
      </w:r>
    </w:p>
    <w:p w14:paraId="32E2E44E">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3.供</w:t>
      </w:r>
      <w:r>
        <w:rPr>
          <w:rFonts w:hint="eastAsia" w:asciiTheme="minorEastAsia" w:hAnsiTheme="minorEastAsia" w:eastAsiaTheme="minorEastAsia" w:cstheme="minorEastAsia"/>
          <w:color w:val="auto"/>
          <w:spacing w:val="-6"/>
          <w:sz w:val="24"/>
        </w:rPr>
        <w:t>应商之间协商报价、技术方案等响应文件的实质性内容；</w:t>
      </w:r>
    </w:p>
    <w:p w14:paraId="1625148A">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4.属于同一集团、协会、商会等组织成员的供应商按照该组织要求协同参加政府采购活动；</w:t>
      </w:r>
    </w:p>
    <w:p w14:paraId="24994F0B">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5.供应商之间事先约定一致抬高或者压低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报价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或者在竞争性谈判项目中事先约定轮流以高价位或者低价位成交</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或者事先约定由某一特定供应商成交</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然后再参加</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w:t>
      </w:r>
    </w:p>
    <w:p w14:paraId="108B5C96">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6.供应商之间商定部分供应商放弃参加政府采购活动或者放弃成交；</w:t>
      </w:r>
    </w:p>
    <w:p w14:paraId="59D7F713">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7.供应商与采购人或者采购代理机构之间、供应商相互之间，为</w:t>
      </w:r>
      <w:r>
        <w:rPr>
          <w:rFonts w:hint="eastAsia" w:asciiTheme="minorEastAsia" w:hAnsiTheme="minorEastAsia" w:eastAsiaTheme="minorEastAsia" w:cstheme="minorEastAsia"/>
          <w:color w:val="auto"/>
          <w:spacing w:val="-6"/>
          <w:sz w:val="24"/>
        </w:rPr>
        <w:t>谋求特定供应商成交或者排斥其他供应商的其他串通行为。</w:t>
      </w:r>
    </w:p>
    <w:p w14:paraId="6CF815B7">
      <w:pPr>
        <w:spacing w:line="360" w:lineRule="auto"/>
        <w:ind w:firstLine="480" w:firstLineChars="200"/>
        <w:contextualSpacing/>
        <w:rPr>
          <w:rFonts w:hint="eastAsia" w:asciiTheme="minorEastAsia" w:hAnsiTheme="minorEastAsia" w:eastAsiaTheme="minorEastAsia" w:cstheme="minorEastAsia"/>
          <w:color w:val="auto"/>
          <w:sz w:val="24"/>
        </w:rPr>
      </w:pPr>
    </w:p>
    <w:p w14:paraId="2A7C12BD">
      <w:pPr>
        <w:spacing w:line="360" w:lineRule="auto"/>
        <w:ind w:firstLine="482" w:firstLineChars="200"/>
        <w:contextualSpacing/>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以上情形一经核查属实，我方愿意承担一切后果，并不再寻求任何旨在减轻或者免除法律责任的辩解。</w:t>
      </w:r>
    </w:p>
    <w:p w14:paraId="75897868">
      <w:pPr>
        <w:spacing w:line="360" w:lineRule="auto"/>
        <w:ind w:firstLine="480" w:firstLineChars="200"/>
        <w:contextualSpacing/>
        <w:rPr>
          <w:rFonts w:hint="eastAsia" w:asciiTheme="minorEastAsia" w:hAnsiTheme="minorEastAsia" w:eastAsiaTheme="minorEastAsia" w:cstheme="minorEastAsia"/>
          <w:color w:val="auto"/>
          <w:sz w:val="24"/>
        </w:rPr>
      </w:pPr>
    </w:p>
    <w:p w14:paraId="67BE0990">
      <w:pPr>
        <w:spacing w:line="360" w:lineRule="auto"/>
        <w:ind w:firstLine="3600" w:firstLineChars="1500"/>
        <w:contextualSpacing/>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 xml:space="preserve">供应商（公章 </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6A97B11D">
      <w:pPr>
        <w:spacing w:line="360" w:lineRule="auto"/>
        <w:ind w:firstLine="480" w:firstLineChars="200"/>
        <w:contextualSpacing/>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日期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年</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月</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日</w:t>
      </w:r>
    </w:p>
    <w:p w14:paraId="3FD9D9D1">
      <w:pPr>
        <w:rPr>
          <w:rFonts w:hint="eastAsia" w:asciiTheme="minorEastAsia" w:hAnsiTheme="minorEastAsia" w:eastAsiaTheme="minorEastAsia" w:cstheme="minorEastAsia"/>
          <w:b/>
          <w:bCs/>
          <w:color w:val="auto"/>
          <w:sz w:val="44"/>
          <w:szCs w:val="44"/>
        </w:rPr>
      </w:pPr>
      <w:r>
        <w:rPr>
          <w:rFonts w:hint="eastAsia" w:asciiTheme="minorEastAsia" w:hAnsiTheme="minorEastAsia" w:eastAsiaTheme="minorEastAsia" w:cstheme="minorEastAsia"/>
          <w:b/>
          <w:bCs/>
          <w:color w:val="auto"/>
          <w:sz w:val="44"/>
          <w:szCs w:val="44"/>
        </w:rPr>
        <w:br w:type="page"/>
      </w:r>
    </w:p>
    <w:p w14:paraId="4E636596">
      <w:pPr>
        <w:tabs>
          <w:tab w:val="left" w:pos="3479"/>
        </w:tabs>
        <w:spacing w:line="360" w:lineRule="auto"/>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44"/>
          <w:szCs w:val="44"/>
        </w:rPr>
        <w:t>竞争性谈判报价表</w:t>
      </w:r>
    </w:p>
    <w:p w14:paraId="4E39EC44">
      <w:pPr>
        <w:spacing w:line="360" w:lineRule="auto"/>
        <w:jc w:val="center"/>
        <w:rPr>
          <w:rFonts w:hint="eastAsia" w:asciiTheme="minorEastAsia" w:hAnsiTheme="minorEastAsia" w:eastAsiaTheme="minorEastAsia" w:cstheme="minorEastAsia"/>
          <w:bCs/>
          <w:color w:val="auto"/>
          <w:sz w:val="24"/>
        </w:rPr>
      </w:pPr>
    </w:p>
    <w:p w14:paraId="158DEFC7">
      <w:pPr>
        <w:snapToGrid w:val="0"/>
        <w:spacing w:line="360"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项目名称</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项目编号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 分标（如有</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082CC049">
      <w:pPr>
        <w:snapToGrid w:val="0"/>
        <w:spacing w:line="360"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供应商名称</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                      </w:t>
      </w:r>
    </w:p>
    <w:p w14:paraId="5FFD3043">
      <w:pPr>
        <w:snapToGrid w:val="0"/>
        <w:spacing w:line="360" w:lineRule="auto"/>
        <w:ind w:firstLine="5520" w:firstLineChars="23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货币单位：人民币元</w:t>
      </w:r>
    </w:p>
    <w:tbl>
      <w:tblPr>
        <w:tblStyle w:val="26"/>
        <w:tblW w:w="10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34"/>
        <w:gridCol w:w="1134"/>
        <w:gridCol w:w="1276"/>
        <w:gridCol w:w="1134"/>
        <w:gridCol w:w="992"/>
        <w:gridCol w:w="709"/>
        <w:gridCol w:w="830"/>
        <w:gridCol w:w="1722"/>
        <w:gridCol w:w="1276"/>
      </w:tblGrid>
      <w:tr w14:paraId="2AFA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709" w:type="dxa"/>
            <w:vAlign w:val="center"/>
          </w:tcPr>
          <w:p w14:paraId="29E112FF">
            <w:pPr>
              <w:snapToGrid w:val="0"/>
              <w:spacing w:line="460" w:lineRule="exact"/>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序号</w:t>
            </w:r>
          </w:p>
        </w:tc>
        <w:tc>
          <w:tcPr>
            <w:tcW w:w="1034" w:type="dxa"/>
            <w:vAlign w:val="center"/>
          </w:tcPr>
          <w:p w14:paraId="2708777D">
            <w:pPr>
              <w:snapToGrid w:val="0"/>
              <w:spacing w:line="460" w:lineRule="exact"/>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货物名称</w:t>
            </w:r>
          </w:p>
        </w:tc>
        <w:tc>
          <w:tcPr>
            <w:tcW w:w="1134" w:type="dxa"/>
            <w:vAlign w:val="center"/>
          </w:tcPr>
          <w:p w14:paraId="4A52D88F">
            <w:pPr>
              <w:snapToGrid w:val="0"/>
              <w:spacing w:line="460" w:lineRule="exact"/>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品牌</w:t>
            </w:r>
          </w:p>
        </w:tc>
        <w:tc>
          <w:tcPr>
            <w:tcW w:w="1276" w:type="dxa"/>
            <w:vAlign w:val="center"/>
          </w:tcPr>
          <w:p w14:paraId="3C956BB3">
            <w:pPr>
              <w:snapToGrid w:val="0"/>
              <w:spacing w:line="460" w:lineRule="exact"/>
              <w:jc w:val="center"/>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rPr>
              <w:t>型号（与铭牌一致</w:t>
            </w:r>
            <w:r>
              <w:rPr>
                <w:rFonts w:hint="eastAsia" w:asciiTheme="minorEastAsia" w:hAnsiTheme="minorEastAsia" w:eastAsiaTheme="minorEastAsia" w:cstheme="minorEastAsia"/>
                <w:color w:val="auto"/>
                <w:sz w:val="24"/>
                <w:lang w:eastAsia="zh-CN"/>
              </w:rPr>
              <w:t>）</w:t>
            </w:r>
          </w:p>
        </w:tc>
        <w:tc>
          <w:tcPr>
            <w:tcW w:w="1134" w:type="dxa"/>
            <w:vAlign w:val="center"/>
          </w:tcPr>
          <w:p w14:paraId="494B18D9">
            <w:pPr>
              <w:snapToGrid w:val="0"/>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生产厂家</w:t>
            </w:r>
          </w:p>
        </w:tc>
        <w:tc>
          <w:tcPr>
            <w:tcW w:w="992" w:type="dxa"/>
            <w:vAlign w:val="center"/>
          </w:tcPr>
          <w:p w14:paraId="05E07898">
            <w:pPr>
              <w:snapToGrid w:val="0"/>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产地</w:t>
            </w:r>
          </w:p>
        </w:tc>
        <w:tc>
          <w:tcPr>
            <w:tcW w:w="709" w:type="dxa"/>
            <w:vAlign w:val="center"/>
          </w:tcPr>
          <w:p w14:paraId="47B0A1EE">
            <w:pPr>
              <w:snapToGrid w:val="0"/>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数  量①</w:t>
            </w:r>
          </w:p>
        </w:tc>
        <w:tc>
          <w:tcPr>
            <w:tcW w:w="830" w:type="dxa"/>
            <w:vAlign w:val="center"/>
          </w:tcPr>
          <w:p w14:paraId="157E8D9F">
            <w:pPr>
              <w:snapToGrid w:val="0"/>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单位</w:t>
            </w:r>
          </w:p>
        </w:tc>
        <w:tc>
          <w:tcPr>
            <w:tcW w:w="1722" w:type="dxa"/>
            <w:vAlign w:val="center"/>
          </w:tcPr>
          <w:p w14:paraId="0C3F02ED">
            <w:pPr>
              <w:snapToGrid w:val="0"/>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单  价</w:t>
            </w:r>
          </w:p>
          <w:p w14:paraId="1F98003F">
            <w:pPr>
              <w:snapToGrid w:val="0"/>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②</w:t>
            </w:r>
          </w:p>
        </w:tc>
        <w:tc>
          <w:tcPr>
            <w:tcW w:w="1276" w:type="dxa"/>
            <w:vAlign w:val="center"/>
          </w:tcPr>
          <w:p w14:paraId="79803C70">
            <w:pPr>
              <w:snapToGrid w:val="0"/>
              <w:spacing w:before="50" w:after="50" w:line="360" w:lineRule="auto"/>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报价</w:t>
            </w:r>
          </w:p>
          <w:p w14:paraId="733193C3">
            <w:pPr>
              <w:snapToGrid w:val="0"/>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③=①×②</w:t>
            </w:r>
          </w:p>
        </w:tc>
      </w:tr>
      <w:tr w14:paraId="007D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709" w:type="dxa"/>
            <w:vAlign w:val="center"/>
          </w:tcPr>
          <w:p w14:paraId="0643691B">
            <w:pPr>
              <w:snapToGrid w:val="0"/>
              <w:spacing w:line="460" w:lineRule="exact"/>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p>
        </w:tc>
        <w:tc>
          <w:tcPr>
            <w:tcW w:w="1034" w:type="dxa"/>
            <w:vAlign w:val="center"/>
          </w:tcPr>
          <w:p w14:paraId="777F2233">
            <w:pPr>
              <w:snapToGrid w:val="0"/>
              <w:spacing w:line="460" w:lineRule="exact"/>
              <w:jc w:val="center"/>
              <w:rPr>
                <w:rFonts w:hint="eastAsia" w:asciiTheme="minorEastAsia" w:hAnsiTheme="minorEastAsia" w:eastAsiaTheme="minorEastAsia" w:cstheme="minorEastAsia"/>
                <w:color w:val="auto"/>
                <w:sz w:val="24"/>
              </w:rPr>
            </w:pPr>
          </w:p>
        </w:tc>
        <w:tc>
          <w:tcPr>
            <w:tcW w:w="1134" w:type="dxa"/>
            <w:vAlign w:val="center"/>
          </w:tcPr>
          <w:p w14:paraId="7DD612A4">
            <w:pPr>
              <w:snapToGrid w:val="0"/>
              <w:spacing w:line="460" w:lineRule="exact"/>
              <w:jc w:val="center"/>
              <w:rPr>
                <w:rFonts w:hint="eastAsia" w:asciiTheme="minorEastAsia" w:hAnsiTheme="minorEastAsia" w:eastAsiaTheme="minorEastAsia" w:cstheme="minorEastAsia"/>
                <w:color w:val="auto"/>
                <w:sz w:val="24"/>
              </w:rPr>
            </w:pPr>
          </w:p>
        </w:tc>
        <w:tc>
          <w:tcPr>
            <w:tcW w:w="1276" w:type="dxa"/>
            <w:vAlign w:val="center"/>
          </w:tcPr>
          <w:p w14:paraId="1B936489">
            <w:pPr>
              <w:snapToGrid w:val="0"/>
              <w:spacing w:line="460" w:lineRule="exact"/>
              <w:jc w:val="center"/>
              <w:rPr>
                <w:rFonts w:hint="eastAsia" w:asciiTheme="minorEastAsia" w:hAnsiTheme="minorEastAsia" w:eastAsiaTheme="minorEastAsia" w:cstheme="minorEastAsia"/>
                <w:color w:val="auto"/>
                <w:sz w:val="24"/>
              </w:rPr>
            </w:pPr>
          </w:p>
        </w:tc>
        <w:tc>
          <w:tcPr>
            <w:tcW w:w="1134" w:type="dxa"/>
          </w:tcPr>
          <w:p w14:paraId="1F7E91F7">
            <w:pPr>
              <w:snapToGrid w:val="0"/>
              <w:spacing w:line="460" w:lineRule="exact"/>
              <w:jc w:val="center"/>
              <w:rPr>
                <w:rFonts w:hint="eastAsia" w:asciiTheme="minorEastAsia" w:hAnsiTheme="minorEastAsia" w:eastAsiaTheme="minorEastAsia" w:cstheme="minorEastAsia"/>
                <w:color w:val="auto"/>
                <w:sz w:val="24"/>
              </w:rPr>
            </w:pPr>
          </w:p>
        </w:tc>
        <w:tc>
          <w:tcPr>
            <w:tcW w:w="992" w:type="dxa"/>
            <w:vAlign w:val="center"/>
          </w:tcPr>
          <w:p w14:paraId="5CF656FC">
            <w:pPr>
              <w:snapToGrid w:val="0"/>
              <w:spacing w:line="460" w:lineRule="exact"/>
              <w:jc w:val="center"/>
              <w:rPr>
                <w:rFonts w:hint="eastAsia" w:asciiTheme="minorEastAsia" w:hAnsiTheme="minorEastAsia" w:eastAsiaTheme="minorEastAsia" w:cstheme="minorEastAsia"/>
                <w:color w:val="auto"/>
                <w:sz w:val="24"/>
              </w:rPr>
            </w:pPr>
          </w:p>
        </w:tc>
        <w:tc>
          <w:tcPr>
            <w:tcW w:w="709" w:type="dxa"/>
            <w:vAlign w:val="center"/>
          </w:tcPr>
          <w:p w14:paraId="29F375C9">
            <w:pPr>
              <w:pStyle w:val="78"/>
              <w:snapToGrid w:val="0"/>
              <w:spacing w:line="460" w:lineRule="exact"/>
              <w:ind w:left="360" w:firstLine="0" w:firstLineChars="0"/>
              <w:rPr>
                <w:rFonts w:hint="eastAsia" w:asciiTheme="minorEastAsia" w:hAnsiTheme="minorEastAsia" w:eastAsiaTheme="minorEastAsia" w:cstheme="minorEastAsia"/>
                <w:color w:val="auto"/>
                <w:sz w:val="24"/>
              </w:rPr>
            </w:pPr>
          </w:p>
        </w:tc>
        <w:tc>
          <w:tcPr>
            <w:tcW w:w="830" w:type="dxa"/>
          </w:tcPr>
          <w:p w14:paraId="3006243B">
            <w:pPr>
              <w:snapToGrid w:val="0"/>
              <w:spacing w:line="460" w:lineRule="exact"/>
              <w:jc w:val="center"/>
              <w:rPr>
                <w:rFonts w:hint="eastAsia" w:asciiTheme="minorEastAsia" w:hAnsiTheme="minorEastAsia" w:eastAsiaTheme="minorEastAsia" w:cstheme="minorEastAsia"/>
                <w:color w:val="auto"/>
                <w:sz w:val="24"/>
              </w:rPr>
            </w:pPr>
          </w:p>
        </w:tc>
        <w:tc>
          <w:tcPr>
            <w:tcW w:w="1722" w:type="dxa"/>
            <w:vAlign w:val="center"/>
          </w:tcPr>
          <w:p w14:paraId="2A3B9CC9">
            <w:pPr>
              <w:pStyle w:val="78"/>
              <w:snapToGrid w:val="0"/>
              <w:spacing w:line="460" w:lineRule="exact"/>
              <w:ind w:left="360" w:firstLine="0" w:firstLineChars="0"/>
              <w:rPr>
                <w:rFonts w:hint="eastAsia" w:asciiTheme="minorEastAsia" w:hAnsiTheme="minorEastAsia" w:eastAsiaTheme="minorEastAsia" w:cstheme="minorEastAsia"/>
                <w:color w:val="auto"/>
                <w:sz w:val="24"/>
              </w:rPr>
            </w:pPr>
          </w:p>
        </w:tc>
        <w:tc>
          <w:tcPr>
            <w:tcW w:w="1276" w:type="dxa"/>
          </w:tcPr>
          <w:p w14:paraId="1446BF3A">
            <w:pPr>
              <w:snapToGrid w:val="0"/>
              <w:spacing w:line="460" w:lineRule="exact"/>
              <w:jc w:val="center"/>
              <w:rPr>
                <w:rFonts w:hint="eastAsia" w:asciiTheme="minorEastAsia" w:hAnsiTheme="minorEastAsia" w:eastAsiaTheme="minorEastAsia" w:cstheme="minorEastAsia"/>
                <w:color w:val="auto"/>
                <w:sz w:val="24"/>
              </w:rPr>
            </w:pPr>
          </w:p>
        </w:tc>
      </w:tr>
      <w:tr w14:paraId="30D4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10816" w:type="dxa"/>
            <w:gridSpan w:val="10"/>
          </w:tcPr>
          <w:p w14:paraId="66471BAA">
            <w:pPr>
              <w:snapToGrid w:val="0"/>
              <w:spacing w:line="460" w:lineRule="exact"/>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4"/>
              </w:rPr>
              <w:t>合计金额（人民币大写</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b/>
                <w:bCs/>
                <w:color w:val="auto"/>
                <w:sz w:val="24"/>
                <w:u w:val="single"/>
              </w:rPr>
              <w:t xml:space="preserve">               </w:t>
            </w:r>
            <w:r>
              <w:rPr>
                <w:rFonts w:hint="eastAsia" w:asciiTheme="minorEastAsia" w:hAnsiTheme="minorEastAsia" w:eastAsiaTheme="minorEastAsia" w:cstheme="minorEastAsia"/>
                <w:bCs/>
                <w:color w:val="auto"/>
                <w:sz w:val="24"/>
                <w:u w:val="single"/>
              </w:rPr>
              <w:t>元整</w:t>
            </w:r>
            <w:r>
              <w:rPr>
                <w:rFonts w:hint="eastAsia" w:asciiTheme="minorEastAsia" w:hAnsiTheme="minorEastAsia" w:eastAsiaTheme="minorEastAsia" w:cstheme="minorEastAsia"/>
                <w:bCs/>
                <w:color w:val="auto"/>
                <w:sz w:val="24"/>
              </w:rPr>
              <w:t>（小写</w:t>
            </w:r>
            <w:r>
              <w:rPr>
                <w:rFonts w:hint="eastAsia" w:asciiTheme="minorEastAsia" w:hAnsiTheme="minorEastAsia" w:eastAsiaTheme="minorEastAsia" w:cstheme="minorEastAsia"/>
                <w:bCs/>
                <w:color w:val="auto"/>
                <w:sz w:val="24"/>
                <w:lang w:eastAsia="zh-CN"/>
              </w:rPr>
              <w:t>）</w:t>
            </w:r>
            <w:r>
              <w:rPr>
                <w:rFonts w:hint="eastAsia" w:asciiTheme="minorEastAsia" w:hAnsiTheme="minorEastAsia" w:eastAsiaTheme="minorEastAsia" w:cstheme="minorEastAsia"/>
                <w:bCs/>
                <w:color w:val="auto"/>
                <w:sz w:val="24"/>
                <w:u w:val="single"/>
              </w:rPr>
              <w:t xml:space="preserve">¥          </w:t>
            </w:r>
          </w:p>
        </w:tc>
      </w:tr>
      <w:tr w14:paraId="1A04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10816" w:type="dxa"/>
            <w:gridSpan w:val="10"/>
          </w:tcPr>
          <w:p w14:paraId="3A1E641A">
            <w:pPr>
              <w:snapToGrid w:val="0"/>
              <w:spacing w:line="460" w:lineRule="exact"/>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交付时间：国产设备自签订合同之日起</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日历天内到货安装调试完成并通过验收。</w:t>
            </w:r>
          </w:p>
        </w:tc>
      </w:tr>
    </w:tbl>
    <w:p w14:paraId="4252026C">
      <w:pPr>
        <w:pStyle w:val="39"/>
        <w:rPr>
          <w:rFonts w:hint="eastAsia" w:asciiTheme="minorEastAsia" w:hAnsiTheme="minorEastAsia" w:eastAsiaTheme="minorEastAsia" w:cstheme="minorEastAsia"/>
          <w:color w:val="auto"/>
        </w:rPr>
      </w:pPr>
    </w:p>
    <w:p w14:paraId="554DE377">
      <w:pPr>
        <w:spacing w:line="300" w:lineRule="exact"/>
        <w:contextualSpacing/>
        <w:jc w:val="left"/>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w:t>
      </w:r>
      <w:r>
        <w:rPr>
          <w:rFonts w:hint="eastAsia" w:asciiTheme="minorEastAsia" w:hAnsiTheme="minorEastAsia" w:eastAsiaTheme="minorEastAsia" w:cstheme="minorEastAsia"/>
          <w:b/>
          <w:color w:val="auto"/>
          <w:sz w:val="24"/>
          <w:lang w:eastAsia="zh-CN"/>
        </w:rPr>
        <w:t>：</w:t>
      </w:r>
    </w:p>
    <w:p w14:paraId="7DC08A63">
      <w:pPr>
        <w:spacing w:line="300" w:lineRule="exact"/>
        <w:ind w:firstLine="480" w:firstLineChars="200"/>
        <w:contextualSpacing/>
        <w:jc w:val="left"/>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color w:val="auto"/>
          <w:sz w:val="24"/>
        </w:rPr>
        <w:t>1.竞争性谈判报价表中“货物名称、数量、单位、品牌、型号、生产厂家、产地”必须如实填写完整，定制产品在型号栏中填写“定制”。</w:t>
      </w:r>
      <w:r>
        <w:rPr>
          <w:rFonts w:hint="eastAsia" w:asciiTheme="minorEastAsia" w:hAnsiTheme="minorEastAsia" w:eastAsiaTheme="minorEastAsia" w:cstheme="minorEastAsia"/>
          <w:b/>
          <w:color w:val="auto"/>
          <w:sz w:val="24"/>
        </w:rPr>
        <w:t>填写有缺漏</w:t>
      </w:r>
      <w:r>
        <w:rPr>
          <w:rFonts w:hint="eastAsia" w:asciiTheme="minorEastAsia" w:hAnsiTheme="minorEastAsia" w:eastAsiaTheme="minorEastAsia" w:cstheme="minorEastAsia"/>
          <w:b/>
          <w:bCs/>
          <w:color w:val="auto"/>
          <w:sz w:val="24"/>
        </w:rPr>
        <w:t>的，</w:t>
      </w:r>
      <w:r>
        <w:rPr>
          <w:rFonts w:hint="eastAsia" w:asciiTheme="minorEastAsia" w:hAnsiTheme="minorEastAsia" w:eastAsiaTheme="minorEastAsia" w:cstheme="minorEastAsia"/>
          <w:b/>
          <w:color w:val="auto"/>
          <w:sz w:val="24"/>
        </w:rPr>
        <w:t>其响应文件按无效响应处理。</w:t>
      </w:r>
    </w:p>
    <w:p w14:paraId="2FC2BB7A">
      <w:pPr>
        <w:snapToGrid w:val="0"/>
        <w:spacing w:before="50" w:after="50" w:line="300" w:lineRule="exact"/>
        <w:ind w:firstLine="482" w:firstLineChars="20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color w:val="auto"/>
          <w:sz w:val="24"/>
        </w:rPr>
        <w:t>2.所填写的型号与货物铭牌一致。</w:t>
      </w:r>
    </w:p>
    <w:p w14:paraId="6067A456">
      <w:pPr>
        <w:spacing w:line="300" w:lineRule="exact"/>
        <w:ind w:firstLine="480" w:firstLineChars="200"/>
        <w:contextualSpacing/>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3.供应商的报价表必须加盖供应商公章并由法定代表人或者委托代理人签字，</w:t>
      </w:r>
      <w:r>
        <w:rPr>
          <w:rFonts w:hint="eastAsia" w:asciiTheme="minorEastAsia" w:hAnsiTheme="minorEastAsia" w:eastAsiaTheme="minorEastAsia" w:cstheme="minorEastAsia"/>
          <w:b/>
          <w:color w:val="auto"/>
          <w:sz w:val="24"/>
        </w:rPr>
        <w:t>否则其响应文件按无效响应处理</w:t>
      </w:r>
      <w:r>
        <w:rPr>
          <w:rFonts w:hint="eastAsia" w:asciiTheme="minorEastAsia" w:hAnsiTheme="minorEastAsia" w:eastAsiaTheme="minorEastAsia" w:cstheme="minorEastAsia"/>
          <w:color w:val="auto"/>
          <w:sz w:val="24"/>
        </w:rPr>
        <w:t>。</w:t>
      </w:r>
    </w:p>
    <w:p w14:paraId="6B7D894E">
      <w:pPr>
        <w:spacing w:line="300" w:lineRule="exact"/>
        <w:ind w:firstLine="480" w:firstLineChars="200"/>
        <w:contextualSpacing/>
        <w:jc w:val="left"/>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Cs/>
          <w:color w:val="auto"/>
          <w:sz w:val="24"/>
        </w:rPr>
        <w:t>4.</w:t>
      </w:r>
      <w:r>
        <w:rPr>
          <w:rFonts w:hint="eastAsia" w:asciiTheme="minorEastAsia" w:hAnsiTheme="minorEastAsia" w:eastAsiaTheme="minorEastAsia" w:cstheme="minorEastAsia"/>
          <w:color w:val="auto"/>
          <w:sz w:val="24"/>
        </w:rPr>
        <w:t>报价一经涂改，应在涂改处加盖供应商公章或者由法定代表人或者授权委托人签字或者盖章</w:t>
      </w:r>
      <w:r>
        <w:rPr>
          <w:rFonts w:hint="eastAsia" w:asciiTheme="minorEastAsia" w:hAnsiTheme="minorEastAsia" w:eastAsiaTheme="minorEastAsia" w:cstheme="minorEastAsia"/>
          <w:b/>
          <w:color w:val="auto"/>
          <w:sz w:val="24"/>
        </w:rPr>
        <w:t>，否则其响应文件按无效响应处理。</w:t>
      </w:r>
    </w:p>
    <w:p w14:paraId="5C41E3E3">
      <w:pPr>
        <w:spacing w:line="300" w:lineRule="exact"/>
        <w:ind w:firstLine="480" w:firstLineChars="200"/>
        <w:contextualSpacing/>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5.谈判文件中列明采购专用耗材的，应按谈判文件规定的耗材量或者按耗材的常规使用量提供报价。</w:t>
      </w:r>
    </w:p>
    <w:p w14:paraId="7648CD05">
      <w:pPr>
        <w:spacing w:line="300" w:lineRule="exact"/>
        <w:ind w:firstLine="480" w:firstLineChars="200"/>
        <w:contextualSpacing/>
        <w:jc w:val="left"/>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rPr>
        <w:t>6.如为联合体参与竞争性谈判</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“供应商名称”处必须列明联合体各方名称，标注联合体牵头人名称，</w:t>
      </w:r>
      <w:r>
        <w:rPr>
          <w:rFonts w:hint="eastAsia" w:asciiTheme="minorEastAsia" w:hAnsiTheme="minorEastAsia" w:eastAsiaTheme="minorEastAsia" w:cstheme="minorEastAsia"/>
          <w:b/>
          <w:color w:val="auto"/>
          <w:sz w:val="24"/>
        </w:rPr>
        <w:t>否则其响应文件按无效响应处理。（采购人可根据项目情况自行修改是否需要联合体各方签字盖章</w:t>
      </w:r>
      <w:r>
        <w:rPr>
          <w:rFonts w:hint="eastAsia" w:asciiTheme="minorEastAsia" w:hAnsiTheme="minorEastAsia" w:eastAsiaTheme="minorEastAsia" w:cstheme="minorEastAsia"/>
          <w:b/>
          <w:color w:val="auto"/>
          <w:sz w:val="24"/>
          <w:lang w:eastAsia="zh-CN"/>
        </w:rPr>
        <w:t>）</w:t>
      </w:r>
    </w:p>
    <w:p w14:paraId="6D33E16A">
      <w:pPr>
        <w:spacing w:line="300" w:lineRule="exact"/>
        <w:ind w:firstLine="480" w:firstLineChars="200"/>
        <w:contextualSpacing/>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7.如为联合体参与竞争性谈判</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盖章处须加盖联合体各方公章，</w:t>
      </w:r>
      <w:r>
        <w:rPr>
          <w:rFonts w:hint="eastAsia" w:asciiTheme="minorEastAsia" w:hAnsiTheme="minorEastAsia" w:eastAsiaTheme="minorEastAsia" w:cstheme="minorEastAsia"/>
          <w:b/>
          <w:color w:val="auto"/>
          <w:sz w:val="24"/>
        </w:rPr>
        <w:t>否则其响应文件按无效响应处理。</w:t>
      </w:r>
    </w:p>
    <w:p w14:paraId="0B5C93A6">
      <w:pPr>
        <w:spacing w:line="300" w:lineRule="exact"/>
        <w:ind w:firstLine="480" w:firstLineChars="200"/>
        <w:contextualSpacing/>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sz w:val="24"/>
        </w:rPr>
        <w:t>8.</w:t>
      </w:r>
      <w:r>
        <w:rPr>
          <w:rFonts w:hint="eastAsia" w:asciiTheme="minorEastAsia" w:hAnsiTheme="minorEastAsia" w:eastAsiaTheme="minorEastAsia" w:cstheme="minorEastAsia"/>
          <w:color w:val="auto"/>
          <w:spacing w:val="-6"/>
          <w:sz w:val="24"/>
        </w:rPr>
        <w:t>如有多分标，分别列明各分标的报价表，</w:t>
      </w:r>
      <w:r>
        <w:rPr>
          <w:rFonts w:hint="eastAsia" w:asciiTheme="minorEastAsia" w:hAnsiTheme="minorEastAsia" w:eastAsiaTheme="minorEastAsia" w:cstheme="minorEastAsia"/>
          <w:b/>
          <w:color w:val="auto"/>
          <w:spacing w:val="-6"/>
          <w:sz w:val="24"/>
        </w:rPr>
        <w:t>否则其响应文件按无效响应处理。</w:t>
      </w:r>
      <w:r>
        <w:rPr>
          <w:rFonts w:hint="eastAsia" w:asciiTheme="minorEastAsia" w:hAnsiTheme="minorEastAsia" w:eastAsiaTheme="minorEastAsia" w:cstheme="minorEastAsia"/>
          <w:b/>
          <w:color w:val="auto"/>
          <w:sz w:val="24"/>
        </w:rPr>
        <w:t>（采购人可根据项目情况自行修改是否需要联合体各方签字盖章</w:t>
      </w:r>
      <w:r>
        <w:rPr>
          <w:rFonts w:hint="eastAsia" w:asciiTheme="minorEastAsia" w:hAnsiTheme="minorEastAsia" w:eastAsiaTheme="minorEastAsia" w:cstheme="minorEastAsia"/>
          <w:b/>
          <w:color w:val="auto"/>
          <w:sz w:val="24"/>
          <w:lang w:eastAsia="zh-CN"/>
        </w:rPr>
        <w:t>）</w:t>
      </w:r>
    </w:p>
    <w:p w14:paraId="17999294">
      <w:pPr>
        <w:pStyle w:val="39"/>
        <w:rPr>
          <w:rFonts w:hint="eastAsia" w:asciiTheme="minorEastAsia" w:hAnsiTheme="minorEastAsia" w:eastAsiaTheme="minorEastAsia" w:cstheme="minorEastAsia"/>
          <w:color w:val="auto"/>
        </w:rPr>
      </w:pPr>
    </w:p>
    <w:p w14:paraId="78C0BBD7">
      <w:pPr>
        <w:spacing w:line="360" w:lineRule="auto"/>
        <w:ind w:firstLine="2640" w:firstLineChars="11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法定代表人或者委托代理人（签字</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                    </w:t>
      </w:r>
    </w:p>
    <w:p w14:paraId="32C55026">
      <w:pPr>
        <w:spacing w:line="360" w:lineRule="auto"/>
        <w:ind w:firstLine="2640" w:firstLineChars="11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供应商（公章</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 </w:t>
      </w:r>
    </w:p>
    <w:p w14:paraId="46921047">
      <w:pPr>
        <w:spacing w:line="360" w:lineRule="auto"/>
        <w:ind w:firstLine="2640" w:firstLineChars="1100"/>
        <w:contextualSpacing/>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color w:val="auto"/>
          <w:sz w:val="24"/>
        </w:rPr>
        <w:t>日期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年</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月</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日</w:t>
      </w:r>
    </w:p>
    <w:p w14:paraId="1F52F551">
      <w:pPr>
        <w:spacing w:line="360" w:lineRule="auto"/>
        <w:jc w:val="center"/>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br w:type="page"/>
      </w:r>
      <w:r>
        <w:rPr>
          <w:rFonts w:hint="eastAsia" w:asciiTheme="minorEastAsia" w:hAnsiTheme="minorEastAsia" w:eastAsiaTheme="minorEastAsia" w:cstheme="minorEastAsia"/>
          <w:b/>
          <w:bCs/>
          <w:color w:val="auto"/>
          <w:sz w:val="44"/>
          <w:szCs w:val="44"/>
        </w:rPr>
        <w:t>法定代表人身份证明</w:t>
      </w:r>
    </w:p>
    <w:p w14:paraId="7EA06F2F">
      <w:pPr>
        <w:spacing w:line="360" w:lineRule="auto"/>
        <w:contextualSpacing/>
        <w:rPr>
          <w:rFonts w:hint="eastAsia" w:asciiTheme="minorEastAsia" w:hAnsiTheme="minorEastAsia" w:eastAsiaTheme="minorEastAsia" w:cstheme="minorEastAsia"/>
          <w:color w:val="auto"/>
          <w:sz w:val="32"/>
          <w:szCs w:val="32"/>
        </w:rPr>
      </w:pPr>
    </w:p>
    <w:p w14:paraId="1BA601A0">
      <w:pPr>
        <w:spacing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供应商名称</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3A2223FC">
      <w:pPr>
        <w:spacing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地    址</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713A6C0B">
      <w:pPr>
        <w:spacing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姓    名</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性      别</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1341FB7F">
      <w:pPr>
        <w:spacing w:line="360" w:lineRule="auto"/>
        <w:contextualSpacing/>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年    龄</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职      务</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0C804C2E">
      <w:pPr>
        <w:spacing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身份证号码</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003A2F0A">
      <w:pPr>
        <w:spacing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系</w:t>
      </w:r>
      <w:r>
        <w:rPr>
          <w:rFonts w:hint="eastAsia" w:asciiTheme="minorEastAsia" w:hAnsiTheme="minorEastAsia" w:eastAsiaTheme="minorEastAsia" w:cstheme="minorEastAsia"/>
          <w:color w:val="auto"/>
          <w:sz w:val="24"/>
          <w:u w:val="single"/>
        </w:rPr>
        <w:t xml:space="preserve">    （供应商名称</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的法定代表人。</w:t>
      </w:r>
    </w:p>
    <w:p w14:paraId="4FD747DA">
      <w:pPr>
        <w:spacing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特此证明。</w:t>
      </w:r>
    </w:p>
    <w:p w14:paraId="13BC63F0">
      <w:pPr>
        <w:spacing w:line="360" w:lineRule="auto"/>
        <w:contextualSpacing/>
        <w:rPr>
          <w:rFonts w:hint="eastAsia" w:asciiTheme="minorEastAsia" w:hAnsiTheme="minorEastAsia" w:eastAsiaTheme="minorEastAsia" w:cstheme="minorEastAsia"/>
          <w:color w:val="auto"/>
          <w:sz w:val="24"/>
        </w:rPr>
      </w:pPr>
    </w:p>
    <w:p w14:paraId="33BEFAD5">
      <w:pPr>
        <w:spacing w:line="360" w:lineRule="auto"/>
        <w:contextualSpacing/>
        <w:rPr>
          <w:rFonts w:hint="eastAsia" w:asciiTheme="minorEastAsia" w:hAnsiTheme="minorEastAsia" w:eastAsiaTheme="minorEastAsia" w:cstheme="minorEastAsia"/>
          <w:color w:val="auto"/>
          <w:sz w:val="24"/>
        </w:rPr>
      </w:pPr>
    </w:p>
    <w:p w14:paraId="48D2F008">
      <w:pPr>
        <w:spacing w:line="360" w:lineRule="auto"/>
        <w:contextualSpacing/>
        <w:rPr>
          <w:rFonts w:hint="eastAsia" w:asciiTheme="minorEastAsia" w:hAnsiTheme="minorEastAsia" w:eastAsiaTheme="minorEastAsia" w:cstheme="minorEastAsia"/>
          <w:color w:val="auto"/>
          <w:sz w:val="24"/>
        </w:rPr>
      </w:pPr>
    </w:p>
    <w:p w14:paraId="3F145492">
      <w:pPr>
        <w:spacing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附件：法定代表人有效身份证正反面复印件</w:t>
      </w:r>
    </w:p>
    <w:p w14:paraId="61D3F2D3">
      <w:pPr>
        <w:spacing w:line="360" w:lineRule="auto"/>
        <w:contextualSpacing/>
        <w:rPr>
          <w:rFonts w:hint="eastAsia" w:asciiTheme="minorEastAsia" w:hAnsiTheme="minorEastAsia" w:eastAsiaTheme="minorEastAsia" w:cstheme="minorEastAsia"/>
          <w:color w:val="auto"/>
          <w:sz w:val="24"/>
        </w:rPr>
      </w:pPr>
    </w:p>
    <w:p w14:paraId="09DC1277">
      <w:pPr>
        <w:spacing w:line="360" w:lineRule="auto"/>
        <w:ind w:right="960" w:firstLine="5040" w:firstLineChars="21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供应商（公章</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647897FA">
      <w:pPr>
        <w:spacing w:line="360" w:lineRule="auto"/>
        <w:ind w:firstLine="5040" w:firstLineChars="21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日期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年</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月</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日</w:t>
      </w:r>
    </w:p>
    <w:p w14:paraId="1FDFD8D3">
      <w:pPr>
        <w:spacing w:line="360" w:lineRule="auto"/>
        <w:contextualSpacing/>
        <w:jc w:val="center"/>
        <w:rPr>
          <w:rFonts w:hint="eastAsia" w:asciiTheme="minorEastAsia" w:hAnsiTheme="minorEastAsia" w:eastAsiaTheme="minorEastAsia" w:cstheme="minorEastAsia"/>
          <w:b/>
          <w:color w:val="auto"/>
          <w:sz w:val="24"/>
        </w:rPr>
      </w:pPr>
    </w:p>
    <w:p w14:paraId="0DA5087D">
      <w:pPr>
        <w:spacing w:line="360" w:lineRule="auto"/>
        <w:contextualSpacing/>
        <w:jc w:val="left"/>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w:t>
      </w:r>
    </w:p>
    <w:p w14:paraId="3F7E400C">
      <w:pPr>
        <w:spacing w:line="360" w:lineRule="auto"/>
        <w:ind w:firstLine="480" w:firstLineChars="200"/>
        <w:contextualSpacing/>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自然人参与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的无需提供，联合体参与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的只需牵头人出具。</w:t>
      </w:r>
    </w:p>
    <w:p w14:paraId="6B4798A9">
      <w:pPr>
        <w:adjustRightInd w:val="0"/>
        <w:snapToGrid w:val="0"/>
        <w:spacing w:line="360" w:lineRule="auto"/>
        <w:jc w:val="left"/>
        <w:rPr>
          <w:rFonts w:hint="eastAsia" w:asciiTheme="minorEastAsia" w:hAnsiTheme="minorEastAsia" w:eastAsiaTheme="minorEastAsia" w:cstheme="minorEastAsia"/>
          <w:b/>
          <w:color w:val="auto"/>
          <w:szCs w:val="21"/>
        </w:rPr>
      </w:pPr>
    </w:p>
    <w:p w14:paraId="3A201CB4">
      <w:pPr>
        <w:spacing w:line="360" w:lineRule="auto"/>
        <w:jc w:val="center"/>
        <w:rPr>
          <w:rFonts w:hint="eastAsia" w:asciiTheme="minorEastAsia" w:hAnsiTheme="minorEastAsia" w:eastAsiaTheme="minorEastAsia" w:cstheme="minorEastAsia"/>
          <w:b/>
          <w:color w:val="auto"/>
          <w:sz w:val="44"/>
          <w:szCs w:val="44"/>
        </w:rPr>
      </w:pPr>
      <w:r>
        <w:rPr>
          <w:rFonts w:hint="eastAsia" w:asciiTheme="minorEastAsia" w:hAnsiTheme="minorEastAsia" w:eastAsiaTheme="minorEastAsia" w:cstheme="minorEastAsia"/>
          <w:color w:val="auto"/>
          <w:sz w:val="44"/>
          <w:szCs w:val="44"/>
        </w:rPr>
        <w:br w:type="page"/>
      </w:r>
      <w:r>
        <w:rPr>
          <w:rFonts w:hint="eastAsia" w:asciiTheme="minorEastAsia" w:hAnsiTheme="minorEastAsia" w:eastAsiaTheme="minorEastAsia" w:cstheme="minorEastAsia"/>
          <w:b/>
          <w:color w:val="auto"/>
          <w:sz w:val="44"/>
          <w:szCs w:val="44"/>
        </w:rPr>
        <w:t>授权委托书</w:t>
      </w:r>
    </w:p>
    <w:p w14:paraId="48FA3B83">
      <w:pPr>
        <w:spacing w:line="360" w:lineRule="auto"/>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（非联合体参与竞争性谈判格式</w:t>
      </w:r>
      <w:r>
        <w:rPr>
          <w:rFonts w:hint="eastAsia" w:asciiTheme="minorEastAsia" w:hAnsiTheme="minorEastAsia" w:eastAsiaTheme="minorEastAsia" w:cstheme="minorEastAsia"/>
          <w:color w:val="auto"/>
          <w:sz w:val="28"/>
          <w:szCs w:val="28"/>
          <w:lang w:eastAsia="zh-CN"/>
        </w:rPr>
        <w:t>）</w:t>
      </w:r>
    </w:p>
    <w:p w14:paraId="11DCD0E1">
      <w:pPr>
        <w:spacing w:line="360" w:lineRule="auto"/>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（如有委托时</w:t>
      </w:r>
      <w:r>
        <w:rPr>
          <w:rFonts w:hint="eastAsia" w:asciiTheme="minorEastAsia" w:hAnsiTheme="minorEastAsia" w:eastAsiaTheme="minorEastAsia" w:cstheme="minorEastAsia"/>
          <w:color w:val="auto"/>
          <w:sz w:val="28"/>
          <w:szCs w:val="28"/>
          <w:lang w:eastAsia="zh-CN"/>
        </w:rPr>
        <w:t>）</w:t>
      </w:r>
    </w:p>
    <w:p w14:paraId="0E705355">
      <w:pPr>
        <w:spacing w:line="360" w:lineRule="auto"/>
        <w:contextualSpacing/>
        <w:rPr>
          <w:rFonts w:hint="eastAsia" w:asciiTheme="minorEastAsia" w:hAnsiTheme="minorEastAsia" w:eastAsiaTheme="minorEastAsia" w:cstheme="minorEastAsia"/>
          <w:color w:val="auto"/>
          <w:sz w:val="32"/>
          <w:szCs w:val="32"/>
        </w:rPr>
      </w:pPr>
    </w:p>
    <w:p w14:paraId="344CEA42">
      <w:pPr>
        <w:spacing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致：</w:t>
      </w:r>
      <w:r>
        <w:rPr>
          <w:rFonts w:hint="eastAsia" w:asciiTheme="minorEastAsia" w:hAnsiTheme="minorEastAsia" w:eastAsiaTheme="minorEastAsia" w:cstheme="minorEastAsia"/>
          <w:color w:val="auto"/>
          <w:sz w:val="24"/>
          <w:u w:val="single"/>
        </w:rPr>
        <w:t>（采购人名称</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rPr>
        <w:t>：</w:t>
      </w:r>
    </w:p>
    <w:p w14:paraId="7D11C563">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我</w:t>
      </w:r>
      <w:r>
        <w:rPr>
          <w:rFonts w:hint="eastAsia" w:asciiTheme="minorEastAsia" w:hAnsiTheme="minorEastAsia" w:eastAsiaTheme="minorEastAsia" w:cstheme="minorEastAsia"/>
          <w:color w:val="auto"/>
          <w:sz w:val="24"/>
          <w:u w:val="single"/>
        </w:rPr>
        <w:t xml:space="preserve">  （姓名</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系</w:t>
      </w:r>
      <w:r>
        <w:rPr>
          <w:rFonts w:hint="eastAsia" w:asciiTheme="minorEastAsia" w:hAnsiTheme="minorEastAsia" w:eastAsiaTheme="minorEastAsia" w:cstheme="minorEastAsia"/>
          <w:color w:val="auto"/>
          <w:sz w:val="24"/>
          <w:u w:val="single"/>
        </w:rPr>
        <w:t xml:space="preserve">  （供应商名称</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的（</w:t>
      </w:r>
      <w:r>
        <w:rPr>
          <w:rFonts w:hint="eastAsia" w:asciiTheme="minorEastAsia" w:hAnsiTheme="minorEastAsia" w:eastAsiaTheme="minorEastAsia" w:cstheme="minorEastAsia"/>
          <w:color w:val="auto"/>
          <w:sz w:val="24"/>
          <w:u w:val="single"/>
        </w:rPr>
        <w:t>□法定代表人/□负责人/□自然人本人</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，现授权</w:t>
      </w:r>
      <w:r>
        <w:rPr>
          <w:rFonts w:hint="eastAsia" w:asciiTheme="minorEastAsia" w:hAnsiTheme="minorEastAsia" w:eastAsiaTheme="minorEastAsia" w:cstheme="minorEastAsia"/>
          <w:color w:val="auto"/>
          <w:sz w:val="24"/>
          <w:u w:val="single"/>
        </w:rPr>
        <w:t xml:space="preserve"> （姓名</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以我方的名义参加</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项目的</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活动，并代表我方全权办理针对上述项目的所有采购程序和环节的具体事务和签署相关文件。</w:t>
      </w:r>
    </w:p>
    <w:p w14:paraId="24BBCEA7">
      <w:pPr>
        <w:spacing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我方对委托代理人的签字事项负全部责任。</w:t>
      </w:r>
    </w:p>
    <w:p w14:paraId="4EDD335D">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本授权书自签署之日起生效，在撤销授权的书面通知以前，本授权书一直有效。委托代理人在授权书有效期内签署的所有文件不因授权的撤销而失效。</w:t>
      </w:r>
    </w:p>
    <w:p w14:paraId="15858BCA">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委托代理人无转委托权，特此委托。</w:t>
      </w:r>
    </w:p>
    <w:p w14:paraId="30A08D0C">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附：法定代表人身份证明及委托代理人有效身份证正反面复印件</w:t>
      </w:r>
    </w:p>
    <w:p w14:paraId="1B4A0CB7">
      <w:pPr>
        <w:spacing w:line="360" w:lineRule="auto"/>
        <w:contextualSpacing/>
        <w:rPr>
          <w:rFonts w:hint="eastAsia" w:asciiTheme="minorEastAsia" w:hAnsiTheme="minorEastAsia" w:eastAsiaTheme="minorEastAsia" w:cstheme="minorEastAsia"/>
          <w:color w:val="auto"/>
          <w:sz w:val="24"/>
        </w:rPr>
      </w:pPr>
    </w:p>
    <w:p w14:paraId="601D4B92">
      <w:pPr>
        <w:spacing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委托代理人（签字</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         法定代表人（签字</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                    </w:t>
      </w:r>
    </w:p>
    <w:p w14:paraId="23505A64">
      <w:pPr>
        <w:spacing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委托代理人身份证号码</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                              </w:t>
      </w:r>
    </w:p>
    <w:p w14:paraId="23F2A87E">
      <w:pPr>
        <w:spacing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w:t>
      </w:r>
    </w:p>
    <w:p w14:paraId="0A379BBE">
      <w:pPr>
        <w:spacing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供应商（公章</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                      </w:t>
      </w:r>
    </w:p>
    <w:p w14:paraId="6B637A93">
      <w:pPr>
        <w:spacing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日期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年</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月</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日</w:t>
      </w:r>
    </w:p>
    <w:p w14:paraId="7D028EBB">
      <w:pPr>
        <w:spacing w:line="360" w:lineRule="auto"/>
        <w:contextualSpacing/>
        <w:rPr>
          <w:rFonts w:hint="eastAsia" w:asciiTheme="minorEastAsia" w:hAnsiTheme="minorEastAsia" w:eastAsiaTheme="minorEastAsia" w:cstheme="minorEastAsia"/>
          <w:color w:val="auto"/>
          <w:sz w:val="24"/>
        </w:rPr>
      </w:pPr>
    </w:p>
    <w:p w14:paraId="4F897C21">
      <w:pPr>
        <w:spacing w:line="360" w:lineRule="auto"/>
        <w:contextualSpacing/>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w:t>
      </w:r>
    </w:p>
    <w:p w14:paraId="4F0C40EE">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1.法定代表人必须在授权委托书上亲笔签字或者盖章，委托代理人必须在授权委托书上亲笔签字，</w:t>
      </w:r>
      <w:r>
        <w:rPr>
          <w:rFonts w:hint="eastAsia" w:asciiTheme="minorEastAsia" w:hAnsiTheme="minorEastAsia" w:eastAsiaTheme="minorEastAsia" w:cstheme="minorEastAsia"/>
          <w:b/>
          <w:color w:val="auto"/>
          <w:sz w:val="24"/>
        </w:rPr>
        <w:t>否则其响应文件按无效响应处理。</w:t>
      </w:r>
    </w:p>
    <w:p w14:paraId="393684D1">
      <w:pPr>
        <w:spacing w:line="360" w:lineRule="auto"/>
        <w:ind w:firstLine="480" w:firstLineChars="200"/>
        <w:contextualSpacing/>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2.法人、其他组织参与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时“我方”是指“我单位”，自然人参与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时“我方”是指“本人”。</w:t>
      </w:r>
    </w:p>
    <w:p w14:paraId="7F0C9C46">
      <w:pPr>
        <w:spacing w:line="360" w:lineRule="auto"/>
        <w:ind w:firstLine="420" w:firstLineChars="200"/>
        <w:contextualSpacing/>
        <w:jc w:val="left"/>
        <w:rPr>
          <w:rFonts w:hint="eastAsia" w:asciiTheme="minorEastAsia" w:hAnsiTheme="minorEastAsia" w:eastAsiaTheme="minorEastAsia" w:cstheme="minorEastAsia"/>
          <w:color w:val="auto"/>
          <w:szCs w:val="21"/>
        </w:rPr>
      </w:pPr>
    </w:p>
    <w:p w14:paraId="496DD6E8">
      <w:pPr>
        <w:spacing w:line="360" w:lineRule="auto"/>
        <w:contextualSpacing/>
        <w:jc w:val="center"/>
        <w:rPr>
          <w:rFonts w:hint="eastAsia" w:asciiTheme="minorEastAsia" w:hAnsiTheme="minorEastAsia" w:eastAsiaTheme="minorEastAsia" w:cstheme="minorEastAsia"/>
          <w:b/>
          <w:color w:val="auto"/>
          <w:sz w:val="44"/>
          <w:szCs w:val="44"/>
        </w:rPr>
      </w:pPr>
      <w:r>
        <w:rPr>
          <w:rFonts w:hint="eastAsia" w:asciiTheme="minorEastAsia" w:hAnsiTheme="minorEastAsia" w:eastAsiaTheme="minorEastAsia" w:cstheme="minorEastAsia"/>
          <w:color w:val="auto"/>
          <w:szCs w:val="21"/>
        </w:rPr>
        <w:br w:type="page"/>
      </w:r>
      <w:r>
        <w:rPr>
          <w:rFonts w:hint="eastAsia" w:asciiTheme="minorEastAsia" w:hAnsiTheme="minorEastAsia" w:eastAsiaTheme="minorEastAsia" w:cstheme="minorEastAsia"/>
          <w:b/>
          <w:color w:val="auto"/>
          <w:sz w:val="44"/>
          <w:szCs w:val="44"/>
        </w:rPr>
        <w:t>授权委托书</w:t>
      </w:r>
    </w:p>
    <w:p w14:paraId="4F515794">
      <w:pPr>
        <w:spacing w:line="360" w:lineRule="auto"/>
        <w:contextualSpacing/>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（联合体参与竞争性谈判格式</w:t>
      </w:r>
      <w:r>
        <w:rPr>
          <w:rFonts w:hint="eastAsia" w:asciiTheme="minorEastAsia" w:hAnsiTheme="minorEastAsia" w:eastAsiaTheme="minorEastAsia" w:cstheme="minorEastAsia"/>
          <w:color w:val="auto"/>
          <w:sz w:val="28"/>
          <w:szCs w:val="28"/>
          <w:lang w:eastAsia="zh-CN"/>
        </w:rPr>
        <w:t>）</w:t>
      </w:r>
    </w:p>
    <w:p w14:paraId="22ABDEE6">
      <w:pPr>
        <w:spacing w:line="360" w:lineRule="auto"/>
        <w:contextualSpacing/>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（如有委托时</w:t>
      </w:r>
      <w:r>
        <w:rPr>
          <w:rFonts w:hint="eastAsia" w:asciiTheme="minorEastAsia" w:hAnsiTheme="minorEastAsia" w:eastAsiaTheme="minorEastAsia" w:cstheme="minorEastAsia"/>
          <w:color w:val="auto"/>
          <w:sz w:val="28"/>
          <w:szCs w:val="28"/>
          <w:lang w:eastAsia="zh-CN"/>
        </w:rPr>
        <w:t>）</w:t>
      </w:r>
    </w:p>
    <w:p w14:paraId="6F2320B0">
      <w:pPr>
        <w:spacing w:line="360" w:lineRule="auto"/>
        <w:contextualSpacing/>
        <w:rPr>
          <w:rFonts w:hint="eastAsia" w:asciiTheme="minorEastAsia" w:hAnsiTheme="minorEastAsia" w:eastAsiaTheme="minorEastAsia" w:cstheme="minorEastAsia"/>
          <w:color w:val="auto"/>
          <w:sz w:val="32"/>
          <w:szCs w:val="32"/>
        </w:rPr>
      </w:pPr>
    </w:p>
    <w:p w14:paraId="4A4E2E9B">
      <w:pPr>
        <w:spacing w:line="360" w:lineRule="auto"/>
        <w:ind w:firstLine="480" w:firstLineChars="200"/>
        <w:contextualSpacing/>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本授权委托书声明：根据</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（牵头人名称</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与</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（联合体其他成员名称</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签订的《联合体参与竞争性谈判协议书》的内容，</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（牵头人名称</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的法定代表人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（姓名</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现授权</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（姓名</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为联合委托代理人，并代表我方全权办理针对上述项目的所有采购程序和环节的具体事务和签署相关文件。</w:t>
      </w:r>
    </w:p>
    <w:p w14:paraId="6460AC9F">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我方对委托代理人的签字事项负全部责任。</w:t>
      </w:r>
    </w:p>
    <w:p w14:paraId="39293756">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本授权书自签署之日起生效，在撤销授权的书面通知以前，本授权书一直有效。委托代理人在授权书有效期内签署的所有文件不因授权的撤销而失效。</w:t>
      </w:r>
    </w:p>
    <w:p w14:paraId="2A18E9E8">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委托代理人无转委托权，特此委托。</w:t>
      </w:r>
    </w:p>
    <w:p w14:paraId="656E8DAE">
      <w:pPr>
        <w:spacing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附：法定代表人身份证明及委托代理人有效身份证正反面复印件</w:t>
      </w:r>
    </w:p>
    <w:p w14:paraId="2B534E46">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牵头人法定代表人（签字</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w:t>
      </w:r>
    </w:p>
    <w:p w14:paraId="167C451D">
      <w:pPr>
        <w:spacing w:line="360" w:lineRule="auto"/>
        <w:ind w:firstLine="3120" w:firstLineChars="1300"/>
        <w:contextualSpacing/>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牵头人（公章</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553F4248">
      <w:pPr>
        <w:spacing w:line="360" w:lineRule="auto"/>
        <w:ind w:firstLine="3840" w:firstLineChars="16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日期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年</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月</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日</w:t>
      </w:r>
    </w:p>
    <w:p w14:paraId="69DFD7D9">
      <w:pPr>
        <w:spacing w:line="360" w:lineRule="auto"/>
        <w:contextualSpacing/>
        <w:rPr>
          <w:rFonts w:hint="eastAsia" w:asciiTheme="minorEastAsia" w:hAnsiTheme="minorEastAsia" w:eastAsiaTheme="minorEastAsia" w:cstheme="minorEastAsia"/>
          <w:color w:val="auto"/>
          <w:sz w:val="24"/>
        </w:rPr>
      </w:pPr>
    </w:p>
    <w:p w14:paraId="202DCC5A">
      <w:pPr>
        <w:spacing w:line="360" w:lineRule="auto"/>
        <w:ind w:firstLine="3120" w:firstLineChars="1300"/>
        <w:contextualSpacing/>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被授权人（签字</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33A16258">
      <w:pPr>
        <w:spacing w:line="360" w:lineRule="auto"/>
        <w:ind w:firstLine="3840" w:firstLineChars="16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日期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年</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月</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日</w:t>
      </w:r>
    </w:p>
    <w:p w14:paraId="5E09AECE">
      <w:pPr>
        <w:spacing w:line="360" w:lineRule="auto"/>
        <w:contextualSpacing/>
        <w:rPr>
          <w:rFonts w:hint="eastAsia" w:asciiTheme="minorEastAsia" w:hAnsiTheme="minorEastAsia" w:eastAsiaTheme="minorEastAsia" w:cstheme="minorEastAsia"/>
          <w:color w:val="auto"/>
          <w:sz w:val="24"/>
        </w:rPr>
      </w:pPr>
    </w:p>
    <w:p w14:paraId="78F0DBA2">
      <w:pPr>
        <w:spacing w:line="360" w:lineRule="auto"/>
        <w:contextualSpacing/>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w:t>
      </w:r>
    </w:p>
    <w:p w14:paraId="052FECFE">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1.法定代表人必须在授权委托书上亲笔签字或者盖章，委托代理人必须在授权委托书上亲笔签字，</w:t>
      </w:r>
      <w:r>
        <w:rPr>
          <w:rFonts w:hint="eastAsia" w:asciiTheme="minorEastAsia" w:hAnsiTheme="minorEastAsia" w:eastAsiaTheme="minorEastAsia" w:cstheme="minorEastAsia"/>
          <w:b/>
          <w:bCs/>
          <w:color w:val="auto"/>
          <w:sz w:val="24"/>
        </w:rPr>
        <w:t>否</w:t>
      </w:r>
      <w:r>
        <w:rPr>
          <w:rFonts w:hint="eastAsia" w:asciiTheme="minorEastAsia" w:hAnsiTheme="minorEastAsia" w:eastAsiaTheme="minorEastAsia" w:cstheme="minorEastAsia"/>
          <w:b/>
          <w:color w:val="auto"/>
          <w:sz w:val="24"/>
        </w:rPr>
        <w:t>则其响应文件按无效响应处理。</w:t>
      </w:r>
    </w:p>
    <w:p w14:paraId="573261E1">
      <w:pPr>
        <w:spacing w:line="360" w:lineRule="auto"/>
        <w:ind w:firstLine="480" w:firstLineChars="200"/>
        <w:contextualSpacing/>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2.本授权委托书应由联合体牵头人的法定代表人按上述规定签署。</w:t>
      </w:r>
    </w:p>
    <w:p w14:paraId="42DF61F2">
      <w:pPr>
        <w:spacing w:line="360" w:lineRule="auto"/>
        <w:ind w:firstLine="480" w:firstLineChars="200"/>
        <w:contextualSpacing/>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 w:val="24"/>
        </w:rPr>
        <w:t>3.法人、其他组织参与竞争性谈判时“我方”是指“我单位”，自然人参与竞争性谈判时“我方”是指“本人”。</w:t>
      </w:r>
    </w:p>
    <w:p w14:paraId="45897D3B">
      <w:pPr>
        <w:spacing w:line="360" w:lineRule="auto"/>
        <w:jc w:val="center"/>
        <w:rPr>
          <w:rFonts w:hint="eastAsia" w:asciiTheme="minorEastAsia" w:hAnsiTheme="minorEastAsia" w:eastAsiaTheme="minorEastAsia" w:cstheme="minorEastAsia"/>
          <w:b/>
          <w:bCs/>
          <w:color w:val="auto"/>
          <w:sz w:val="44"/>
          <w:szCs w:val="44"/>
        </w:rPr>
      </w:pPr>
      <w:r>
        <w:rPr>
          <w:rFonts w:hint="eastAsia" w:asciiTheme="minorEastAsia" w:hAnsiTheme="minorEastAsia" w:eastAsiaTheme="minorEastAsia" w:cstheme="minorEastAsia"/>
          <w:color w:val="auto"/>
          <w:sz w:val="32"/>
          <w:szCs w:val="32"/>
        </w:rPr>
        <w:br w:type="page"/>
      </w:r>
      <w:r>
        <w:rPr>
          <w:rFonts w:hint="eastAsia" w:asciiTheme="minorEastAsia" w:hAnsiTheme="minorEastAsia" w:eastAsiaTheme="minorEastAsia" w:cstheme="minorEastAsia"/>
          <w:b/>
          <w:bCs/>
          <w:color w:val="auto"/>
          <w:sz w:val="44"/>
          <w:szCs w:val="44"/>
        </w:rPr>
        <w:t>商务要求偏离表格式</w:t>
      </w:r>
    </w:p>
    <w:p w14:paraId="1557BB08">
      <w:pPr>
        <w:spacing w:line="360" w:lineRule="auto"/>
        <w:jc w:val="center"/>
        <w:rPr>
          <w:rFonts w:hint="eastAsia" w:asciiTheme="minorEastAsia" w:hAnsiTheme="minorEastAsia" w:eastAsiaTheme="minorEastAsia" w:cstheme="minorEastAsia"/>
          <w:b/>
          <w:color w:val="auto"/>
          <w:sz w:val="28"/>
          <w:szCs w:val="28"/>
          <w:lang w:eastAsia="zh-CN"/>
        </w:rPr>
      </w:pPr>
      <w:r>
        <w:rPr>
          <w:rFonts w:hint="eastAsia" w:asciiTheme="minorEastAsia" w:hAnsiTheme="minorEastAsia" w:eastAsiaTheme="minorEastAsia" w:cstheme="minorEastAsia"/>
          <w:bCs/>
          <w:color w:val="auto"/>
          <w:sz w:val="28"/>
          <w:szCs w:val="28"/>
        </w:rPr>
        <w:t>（注：按采购需求具体条款修改</w:t>
      </w:r>
      <w:r>
        <w:rPr>
          <w:rFonts w:hint="eastAsia" w:asciiTheme="minorEastAsia" w:hAnsiTheme="minorEastAsia" w:eastAsiaTheme="minorEastAsia" w:cstheme="minorEastAsia"/>
          <w:bCs/>
          <w:color w:val="auto"/>
          <w:sz w:val="28"/>
          <w:szCs w:val="28"/>
          <w:lang w:eastAsia="zh-CN"/>
        </w:rPr>
        <w:t>）</w:t>
      </w:r>
    </w:p>
    <w:p w14:paraId="59FC42E4">
      <w:pPr>
        <w:snapToGrid w:val="0"/>
        <w:spacing w:line="360" w:lineRule="auto"/>
        <w:jc w:val="left"/>
        <w:rPr>
          <w:rFonts w:hint="eastAsia" w:asciiTheme="minorEastAsia" w:hAnsiTheme="minorEastAsia" w:eastAsiaTheme="minorEastAsia" w:cstheme="minorEastAsia"/>
          <w:color w:val="auto"/>
          <w:sz w:val="24"/>
        </w:rPr>
      </w:pPr>
    </w:p>
    <w:p w14:paraId="1264A926">
      <w:pPr>
        <w:spacing w:line="360" w:lineRule="auto"/>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采购项目编号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2E69820B">
      <w:pPr>
        <w:spacing w:line="360"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采购项目名称</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60E6D65F">
      <w:pPr>
        <w:spacing w:line="360" w:lineRule="auto"/>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分标号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tbl>
      <w:tblPr>
        <w:tblStyle w:val="26"/>
        <w:tblpPr w:leftFromText="180" w:rightFromText="180" w:vertAnchor="text" w:horzAnchor="margin" w:tblpY="311"/>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633"/>
        <w:gridCol w:w="1829"/>
      </w:tblGrid>
      <w:tr w14:paraId="5FB4E1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2" w:hRule="atLeast"/>
        </w:trPr>
        <w:tc>
          <w:tcPr>
            <w:tcW w:w="2178" w:type="dxa"/>
            <w:tcBorders>
              <w:top w:val="single" w:color="auto" w:sz="4" w:space="0"/>
              <w:left w:val="single" w:color="auto" w:sz="4" w:space="0"/>
              <w:bottom w:val="single" w:color="auto" w:sz="4" w:space="0"/>
              <w:right w:val="single" w:color="auto" w:sz="4" w:space="0"/>
            </w:tcBorders>
            <w:vAlign w:val="center"/>
          </w:tcPr>
          <w:p w14:paraId="6442B820">
            <w:pPr>
              <w:snapToGrid w:val="0"/>
              <w:spacing w:line="500" w:lineRule="exact"/>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项目</w:t>
            </w:r>
          </w:p>
        </w:tc>
        <w:tc>
          <w:tcPr>
            <w:tcW w:w="2668" w:type="dxa"/>
            <w:tcBorders>
              <w:top w:val="single" w:color="auto" w:sz="4" w:space="0"/>
              <w:left w:val="single" w:color="auto" w:sz="4" w:space="0"/>
              <w:bottom w:val="single" w:color="auto" w:sz="4" w:space="0"/>
              <w:right w:val="single" w:color="auto" w:sz="4" w:space="0"/>
            </w:tcBorders>
            <w:vAlign w:val="center"/>
          </w:tcPr>
          <w:p w14:paraId="4250D38D">
            <w:pPr>
              <w:snapToGrid w:val="0"/>
              <w:spacing w:line="500" w:lineRule="exact"/>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谈判文件商务要求</w:t>
            </w:r>
          </w:p>
        </w:tc>
        <w:tc>
          <w:tcPr>
            <w:tcW w:w="2633" w:type="dxa"/>
            <w:tcBorders>
              <w:top w:val="single" w:color="auto" w:sz="4" w:space="0"/>
              <w:left w:val="single" w:color="auto" w:sz="4" w:space="0"/>
              <w:bottom w:val="single" w:color="auto" w:sz="4" w:space="0"/>
              <w:right w:val="single" w:color="auto" w:sz="4" w:space="0"/>
            </w:tcBorders>
            <w:vAlign w:val="center"/>
          </w:tcPr>
          <w:p w14:paraId="5424BED6">
            <w:pPr>
              <w:snapToGrid w:val="0"/>
              <w:spacing w:line="500" w:lineRule="exact"/>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供应商的响应</w:t>
            </w:r>
          </w:p>
        </w:tc>
        <w:tc>
          <w:tcPr>
            <w:tcW w:w="1829" w:type="dxa"/>
            <w:tcBorders>
              <w:top w:val="single" w:color="auto" w:sz="4" w:space="0"/>
              <w:left w:val="single" w:color="auto" w:sz="4" w:space="0"/>
              <w:bottom w:val="single" w:color="auto" w:sz="4" w:space="0"/>
              <w:right w:val="single" w:color="auto" w:sz="4" w:space="0"/>
            </w:tcBorders>
            <w:vAlign w:val="center"/>
          </w:tcPr>
          <w:p w14:paraId="6F08B477">
            <w:pPr>
              <w:snapToGrid w:val="0"/>
              <w:spacing w:line="500" w:lineRule="exact"/>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偏离说明</w:t>
            </w:r>
          </w:p>
        </w:tc>
      </w:tr>
      <w:tr w14:paraId="482354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2178" w:type="dxa"/>
            <w:tcBorders>
              <w:top w:val="single" w:color="auto" w:sz="4" w:space="0"/>
              <w:left w:val="single" w:color="auto" w:sz="4" w:space="0"/>
              <w:bottom w:val="single" w:color="auto" w:sz="4" w:space="0"/>
              <w:right w:val="single" w:color="auto" w:sz="4" w:space="0"/>
            </w:tcBorders>
            <w:vAlign w:val="center"/>
          </w:tcPr>
          <w:p w14:paraId="5F495323">
            <w:pPr>
              <w:spacing w:line="500" w:lineRule="exact"/>
              <w:jc w:val="center"/>
              <w:rPr>
                <w:rFonts w:hint="eastAsia" w:asciiTheme="minorEastAsia" w:hAnsiTheme="minorEastAsia" w:eastAsiaTheme="minorEastAsia" w:cstheme="minorEastAsia"/>
                <w:color w:val="auto"/>
                <w:sz w:val="24"/>
              </w:rPr>
            </w:pPr>
          </w:p>
        </w:tc>
        <w:tc>
          <w:tcPr>
            <w:tcW w:w="2668" w:type="dxa"/>
            <w:tcBorders>
              <w:top w:val="single" w:color="auto" w:sz="4" w:space="0"/>
              <w:left w:val="single" w:color="auto" w:sz="4" w:space="0"/>
              <w:bottom w:val="single" w:color="auto" w:sz="4" w:space="0"/>
              <w:right w:val="single" w:color="auto" w:sz="4" w:space="0"/>
            </w:tcBorders>
            <w:vAlign w:val="center"/>
          </w:tcPr>
          <w:p w14:paraId="6AF71C62">
            <w:pPr>
              <w:spacing w:line="500" w:lineRule="exact"/>
              <w:jc w:val="center"/>
              <w:rPr>
                <w:rFonts w:hint="eastAsia" w:asciiTheme="minorEastAsia" w:hAnsiTheme="minorEastAsia" w:eastAsiaTheme="minorEastAsia" w:cstheme="minorEastAsia"/>
                <w:color w:val="auto"/>
                <w:sz w:val="24"/>
              </w:rPr>
            </w:pPr>
          </w:p>
        </w:tc>
        <w:tc>
          <w:tcPr>
            <w:tcW w:w="2633" w:type="dxa"/>
            <w:tcBorders>
              <w:top w:val="single" w:color="auto" w:sz="4" w:space="0"/>
              <w:left w:val="single" w:color="auto" w:sz="4" w:space="0"/>
              <w:bottom w:val="single" w:color="auto" w:sz="4" w:space="0"/>
              <w:right w:val="single" w:color="auto" w:sz="4" w:space="0"/>
            </w:tcBorders>
            <w:vAlign w:val="center"/>
          </w:tcPr>
          <w:p w14:paraId="1F2441CF">
            <w:pPr>
              <w:snapToGrid w:val="0"/>
              <w:spacing w:line="500" w:lineRule="exact"/>
              <w:jc w:val="center"/>
              <w:rPr>
                <w:rFonts w:hint="eastAsia" w:asciiTheme="minorEastAsia" w:hAnsiTheme="minorEastAsia" w:eastAsiaTheme="minorEastAsia" w:cstheme="minorEastAsia"/>
                <w:color w:val="auto"/>
                <w:sz w:val="24"/>
              </w:rPr>
            </w:pPr>
          </w:p>
        </w:tc>
        <w:tc>
          <w:tcPr>
            <w:tcW w:w="1829" w:type="dxa"/>
            <w:tcBorders>
              <w:top w:val="single" w:color="auto" w:sz="4" w:space="0"/>
              <w:left w:val="single" w:color="auto" w:sz="4" w:space="0"/>
              <w:bottom w:val="single" w:color="auto" w:sz="4" w:space="0"/>
              <w:right w:val="single" w:color="auto" w:sz="4" w:space="0"/>
            </w:tcBorders>
            <w:vAlign w:val="center"/>
          </w:tcPr>
          <w:p w14:paraId="2D9B8E9A">
            <w:pPr>
              <w:snapToGrid w:val="0"/>
              <w:spacing w:line="500" w:lineRule="exact"/>
              <w:jc w:val="center"/>
              <w:rPr>
                <w:rFonts w:hint="eastAsia" w:asciiTheme="minorEastAsia" w:hAnsiTheme="minorEastAsia" w:eastAsiaTheme="minorEastAsia" w:cstheme="minorEastAsia"/>
                <w:color w:val="auto"/>
                <w:sz w:val="24"/>
              </w:rPr>
            </w:pPr>
          </w:p>
        </w:tc>
      </w:tr>
      <w:tr w14:paraId="5C5FD8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vAlign w:val="center"/>
          </w:tcPr>
          <w:p w14:paraId="1CB16294">
            <w:pPr>
              <w:spacing w:line="500" w:lineRule="exact"/>
              <w:jc w:val="center"/>
              <w:rPr>
                <w:rFonts w:hint="eastAsia" w:asciiTheme="minorEastAsia" w:hAnsiTheme="minorEastAsia" w:eastAsiaTheme="minorEastAsia" w:cstheme="minorEastAsia"/>
                <w:color w:val="auto"/>
                <w:sz w:val="24"/>
              </w:rPr>
            </w:pPr>
          </w:p>
        </w:tc>
        <w:tc>
          <w:tcPr>
            <w:tcW w:w="2668" w:type="dxa"/>
            <w:tcBorders>
              <w:top w:val="single" w:color="auto" w:sz="4" w:space="0"/>
              <w:left w:val="single" w:color="auto" w:sz="4" w:space="0"/>
              <w:bottom w:val="single" w:color="auto" w:sz="4" w:space="0"/>
              <w:right w:val="single" w:color="auto" w:sz="4" w:space="0"/>
            </w:tcBorders>
            <w:vAlign w:val="center"/>
          </w:tcPr>
          <w:p w14:paraId="63F75C5F">
            <w:pPr>
              <w:spacing w:line="500" w:lineRule="exact"/>
              <w:jc w:val="center"/>
              <w:rPr>
                <w:rFonts w:hint="eastAsia" w:asciiTheme="minorEastAsia" w:hAnsiTheme="minorEastAsia" w:eastAsiaTheme="minorEastAsia" w:cstheme="minorEastAsia"/>
                <w:color w:val="auto"/>
                <w:sz w:val="24"/>
              </w:rPr>
            </w:pPr>
          </w:p>
        </w:tc>
        <w:tc>
          <w:tcPr>
            <w:tcW w:w="2633" w:type="dxa"/>
            <w:tcBorders>
              <w:top w:val="single" w:color="auto" w:sz="4" w:space="0"/>
              <w:left w:val="single" w:color="auto" w:sz="4" w:space="0"/>
              <w:bottom w:val="single" w:color="auto" w:sz="4" w:space="0"/>
              <w:right w:val="single" w:color="auto" w:sz="4" w:space="0"/>
            </w:tcBorders>
            <w:vAlign w:val="center"/>
          </w:tcPr>
          <w:p w14:paraId="7F302060">
            <w:pPr>
              <w:snapToGrid w:val="0"/>
              <w:spacing w:line="500" w:lineRule="exact"/>
              <w:jc w:val="center"/>
              <w:rPr>
                <w:rFonts w:hint="eastAsia" w:asciiTheme="minorEastAsia" w:hAnsiTheme="minorEastAsia" w:eastAsiaTheme="minorEastAsia" w:cstheme="minorEastAsia"/>
                <w:color w:val="auto"/>
                <w:sz w:val="24"/>
              </w:rPr>
            </w:pPr>
          </w:p>
        </w:tc>
        <w:tc>
          <w:tcPr>
            <w:tcW w:w="1829" w:type="dxa"/>
            <w:tcBorders>
              <w:top w:val="single" w:color="auto" w:sz="4" w:space="0"/>
              <w:left w:val="single" w:color="auto" w:sz="4" w:space="0"/>
              <w:bottom w:val="single" w:color="auto" w:sz="4" w:space="0"/>
              <w:right w:val="single" w:color="auto" w:sz="4" w:space="0"/>
            </w:tcBorders>
            <w:vAlign w:val="center"/>
          </w:tcPr>
          <w:p w14:paraId="4E0A4EC7">
            <w:pPr>
              <w:snapToGrid w:val="0"/>
              <w:spacing w:line="500" w:lineRule="exact"/>
              <w:jc w:val="center"/>
              <w:rPr>
                <w:rFonts w:hint="eastAsia" w:asciiTheme="minorEastAsia" w:hAnsiTheme="minorEastAsia" w:eastAsiaTheme="minorEastAsia" w:cstheme="minorEastAsia"/>
                <w:color w:val="auto"/>
                <w:sz w:val="24"/>
              </w:rPr>
            </w:pPr>
          </w:p>
        </w:tc>
      </w:tr>
      <w:tr w14:paraId="17619E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vAlign w:val="center"/>
          </w:tcPr>
          <w:p w14:paraId="481654B5">
            <w:pPr>
              <w:snapToGrid w:val="0"/>
              <w:spacing w:line="500" w:lineRule="exact"/>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w:t>
            </w:r>
          </w:p>
        </w:tc>
        <w:tc>
          <w:tcPr>
            <w:tcW w:w="2668" w:type="dxa"/>
            <w:tcBorders>
              <w:top w:val="single" w:color="auto" w:sz="4" w:space="0"/>
              <w:left w:val="single" w:color="auto" w:sz="4" w:space="0"/>
              <w:bottom w:val="single" w:color="auto" w:sz="4" w:space="0"/>
              <w:right w:val="single" w:color="auto" w:sz="4" w:space="0"/>
            </w:tcBorders>
            <w:vAlign w:val="center"/>
          </w:tcPr>
          <w:p w14:paraId="089DF29D">
            <w:pPr>
              <w:snapToGrid w:val="0"/>
              <w:spacing w:line="500" w:lineRule="exact"/>
              <w:jc w:val="center"/>
              <w:rPr>
                <w:rFonts w:hint="eastAsia" w:asciiTheme="minorEastAsia" w:hAnsiTheme="minorEastAsia" w:eastAsiaTheme="minorEastAsia" w:cstheme="minorEastAsia"/>
                <w:color w:val="auto"/>
                <w:sz w:val="24"/>
              </w:rPr>
            </w:pPr>
          </w:p>
        </w:tc>
        <w:tc>
          <w:tcPr>
            <w:tcW w:w="2633" w:type="dxa"/>
            <w:tcBorders>
              <w:top w:val="single" w:color="auto" w:sz="4" w:space="0"/>
              <w:left w:val="single" w:color="auto" w:sz="4" w:space="0"/>
              <w:bottom w:val="single" w:color="auto" w:sz="4" w:space="0"/>
              <w:right w:val="single" w:color="auto" w:sz="4" w:space="0"/>
            </w:tcBorders>
            <w:vAlign w:val="center"/>
          </w:tcPr>
          <w:p w14:paraId="6131D82B">
            <w:pPr>
              <w:snapToGrid w:val="0"/>
              <w:spacing w:line="500" w:lineRule="exact"/>
              <w:jc w:val="center"/>
              <w:rPr>
                <w:rFonts w:hint="eastAsia" w:asciiTheme="minorEastAsia" w:hAnsiTheme="minorEastAsia" w:eastAsiaTheme="minorEastAsia" w:cstheme="minorEastAsia"/>
                <w:color w:val="auto"/>
                <w:sz w:val="24"/>
              </w:rPr>
            </w:pPr>
          </w:p>
        </w:tc>
        <w:tc>
          <w:tcPr>
            <w:tcW w:w="1829" w:type="dxa"/>
            <w:tcBorders>
              <w:top w:val="single" w:color="auto" w:sz="4" w:space="0"/>
              <w:left w:val="single" w:color="auto" w:sz="4" w:space="0"/>
              <w:bottom w:val="single" w:color="auto" w:sz="4" w:space="0"/>
              <w:right w:val="single" w:color="auto" w:sz="4" w:space="0"/>
            </w:tcBorders>
            <w:vAlign w:val="center"/>
          </w:tcPr>
          <w:p w14:paraId="6001ED26">
            <w:pPr>
              <w:snapToGrid w:val="0"/>
              <w:spacing w:line="500" w:lineRule="exact"/>
              <w:jc w:val="center"/>
              <w:rPr>
                <w:rFonts w:hint="eastAsia" w:asciiTheme="minorEastAsia" w:hAnsiTheme="minorEastAsia" w:eastAsiaTheme="minorEastAsia" w:cstheme="minorEastAsia"/>
                <w:color w:val="auto"/>
                <w:sz w:val="24"/>
              </w:rPr>
            </w:pPr>
          </w:p>
        </w:tc>
      </w:tr>
    </w:tbl>
    <w:p w14:paraId="18E660B0">
      <w:pPr>
        <w:pStyle w:val="9"/>
        <w:spacing w:after="0" w:line="360" w:lineRule="auto"/>
        <w:contextualSpacing/>
        <w:rPr>
          <w:rFonts w:hint="eastAsia" w:asciiTheme="minorEastAsia" w:hAnsiTheme="minorEastAsia" w:eastAsiaTheme="minorEastAsia" w:cstheme="minorEastAsia"/>
          <w:b/>
          <w:color w:val="auto"/>
          <w:kern w:val="0"/>
          <w:sz w:val="24"/>
          <w:szCs w:val="24"/>
        </w:rPr>
      </w:pPr>
      <w:r>
        <w:rPr>
          <w:rFonts w:hint="eastAsia" w:asciiTheme="minorEastAsia" w:hAnsiTheme="minorEastAsia" w:eastAsiaTheme="minorEastAsia" w:cstheme="minorEastAsia"/>
          <w:b/>
          <w:color w:val="auto"/>
          <w:kern w:val="0"/>
          <w:sz w:val="24"/>
          <w:szCs w:val="24"/>
        </w:rPr>
        <w:t>注：</w:t>
      </w:r>
    </w:p>
    <w:p w14:paraId="59485D7F">
      <w:pPr>
        <w:pStyle w:val="9"/>
        <w:spacing w:after="0" w:line="360" w:lineRule="auto"/>
        <w:ind w:firstLine="480" w:firstLineChars="200"/>
        <w:contextualSpacing/>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1.说明：应对照谈判文件“第三章 采购需求”中的商务要求逐条明确响应，并作出偏离说明。</w:t>
      </w:r>
    </w:p>
    <w:p w14:paraId="244B4A10">
      <w:pPr>
        <w:pStyle w:val="9"/>
        <w:spacing w:after="0" w:line="360" w:lineRule="auto"/>
        <w:ind w:firstLine="480" w:firstLineChars="200"/>
        <w:contextualSpacing/>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2.供应商应根据自身的承诺，对照谈判文件要求在“偏离说明”中注明“正偏离”、“负偏离”或者“无偏离”。既不属于“正偏离”也不属于“负偏离”即为“无偏离”。</w:t>
      </w:r>
    </w:p>
    <w:p w14:paraId="6E11C785">
      <w:pPr>
        <w:spacing w:line="360" w:lineRule="auto"/>
        <w:contextualSpacing/>
        <w:jc w:val="left"/>
        <w:rPr>
          <w:rFonts w:hint="eastAsia" w:asciiTheme="minorEastAsia" w:hAnsiTheme="minorEastAsia" w:eastAsiaTheme="minorEastAsia" w:cstheme="minorEastAsia"/>
          <w:color w:val="auto"/>
          <w:sz w:val="24"/>
          <w:u w:val="single"/>
        </w:rPr>
      </w:pPr>
    </w:p>
    <w:p w14:paraId="69B08E66">
      <w:pPr>
        <w:spacing w:line="360" w:lineRule="auto"/>
        <w:contextualSpacing/>
        <w:jc w:val="left"/>
        <w:rPr>
          <w:rFonts w:hint="eastAsia" w:asciiTheme="minorEastAsia" w:hAnsiTheme="minorEastAsia" w:eastAsiaTheme="minorEastAsia" w:cstheme="minorEastAsia"/>
          <w:color w:val="auto"/>
          <w:sz w:val="24"/>
          <w:u w:val="single"/>
        </w:rPr>
      </w:pPr>
    </w:p>
    <w:p w14:paraId="4CFA6F1E">
      <w:pPr>
        <w:spacing w:line="360" w:lineRule="auto"/>
        <w:contextualSpacing/>
        <w:rPr>
          <w:rFonts w:hint="eastAsia" w:asciiTheme="minorEastAsia" w:hAnsiTheme="minorEastAsia" w:eastAsiaTheme="minorEastAsia" w:cstheme="minorEastAsia"/>
          <w:color w:val="auto"/>
          <w:sz w:val="24"/>
        </w:rPr>
      </w:pPr>
    </w:p>
    <w:p w14:paraId="5CA6BB57">
      <w:pPr>
        <w:spacing w:line="360" w:lineRule="auto"/>
        <w:contextualSpacing/>
        <w:jc w:val="center"/>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法定代表人或者委托代理人（签字</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6BE6FA27">
      <w:pPr>
        <w:spacing w:line="360" w:lineRule="auto"/>
        <w:ind w:firstLine="3240" w:firstLineChars="135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供应商（公章</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      </w:t>
      </w:r>
    </w:p>
    <w:p w14:paraId="1C08C477">
      <w:pPr>
        <w:spacing w:line="360" w:lineRule="auto"/>
        <w:ind w:firstLine="3240" w:firstLineChars="135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日期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年</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月</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日</w:t>
      </w:r>
    </w:p>
    <w:p w14:paraId="417956EA">
      <w:pPr>
        <w:adjustRightInd w:val="0"/>
        <w:snapToGrid w:val="0"/>
        <w:spacing w:line="360" w:lineRule="auto"/>
        <w:ind w:firstLine="7040" w:firstLineChars="1600"/>
        <w:jc w:val="center"/>
        <w:rPr>
          <w:rFonts w:hint="eastAsia" w:asciiTheme="minorEastAsia" w:hAnsiTheme="minorEastAsia" w:eastAsiaTheme="minorEastAsia" w:cstheme="minorEastAsia"/>
          <w:bCs/>
          <w:color w:val="auto"/>
          <w:sz w:val="44"/>
          <w:szCs w:val="44"/>
        </w:rPr>
      </w:pPr>
    </w:p>
    <w:p w14:paraId="794ADFD1">
      <w:pPr>
        <w:adjustRightInd w:val="0"/>
        <w:snapToGrid w:val="0"/>
        <w:spacing w:line="360" w:lineRule="auto"/>
        <w:jc w:val="center"/>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Cs/>
          <w:color w:val="auto"/>
          <w:sz w:val="44"/>
          <w:szCs w:val="44"/>
        </w:rPr>
        <w:br w:type="page"/>
      </w:r>
      <w:r>
        <w:rPr>
          <w:rFonts w:hint="eastAsia" w:asciiTheme="minorEastAsia" w:hAnsiTheme="minorEastAsia" w:eastAsiaTheme="minorEastAsia" w:cstheme="minorEastAsia"/>
          <w:b/>
          <w:bCs/>
          <w:color w:val="auto"/>
          <w:sz w:val="44"/>
          <w:szCs w:val="44"/>
        </w:rPr>
        <w:t>货物配置清单</w:t>
      </w:r>
    </w:p>
    <w:p w14:paraId="7E85939F">
      <w:pPr>
        <w:spacing w:line="360"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项目名称</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 </w:t>
      </w:r>
    </w:p>
    <w:p w14:paraId="4222FD28">
      <w:pPr>
        <w:spacing w:line="360"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项目编号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 </w:t>
      </w:r>
    </w:p>
    <w:p w14:paraId="28AAD949">
      <w:pPr>
        <w:spacing w:line="360" w:lineRule="auto"/>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所竞分标（如有</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tbl>
      <w:tblPr>
        <w:tblStyle w:val="26"/>
        <w:tblW w:w="1081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7"/>
        <w:gridCol w:w="1077"/>
        <w:gridCol w:w="1845"/>
        <w:gridCol w:w="915"/>
        <w:gridCol w:w="915"/>
        <w:gridCol w:w="1875"/>
        <w:gridCol w:w="855"/>
        <w:gridCol w:w="855"/>
        <w:gridCol w:w="855"/>
        <w:gridCol w:w="857"/>
      </w:tblGrid>
      <w:tr w14:paraId="2384DE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7" w:type="dxa"/>
            <w:tcBorders>
              <w:top w:val="single" w:color="auto" w:sz="4" w:space="0"/>
              <w:left w:val="single" w:color="auto" w:sz="4" w:space="0"/>
              <w:bottom w:val="single" w:color="auto" w:sz="4" w:space="0"/>
              <w:right w:val="single" w:color="auto" w:sz="4" w:space="0"/>
            </w:tcBorders>
            <w:vAlign w:val="center"/>
          </w:tcPr>
          <w:p w14:paraId="402192DB">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序号</w:t>
            </w:r>
          </w:p>
        </w:tc>
        <w:tc>
          <w:tcPr>
            <w:tcW w:w="2922" w:type="dxa"/>
            <w:gridSpan w:val="2"/>
            <w:tcBorders>
              <w:top w:val="single" w:color="auto" w:sz="4" w:space="0"/>
              <w:left w:val="single" w:color="auto" w:sz="4" w:space="0"/>
              <w:bottom w:val="single" w:color="auto" w:sz="4" w:space="0"/>
              <w:right w:val="single" w:color="auto" w:sz="4" w:space="0"/>
            </w:tcBorders>
            <w:vAlign w:val="center"/>
          </w:tcPr>
          <w:p w14:paraId="5897CFC7">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货物名称</w:t>
            </w:r>
          </w:p>
        </w:tc>
        <w:tc>
          <w:tcPr>
            <w:tcW w:w="915" w:type="dxa"/>
            <w:tcBorders>
              <w:top w:val="single" w:color="auto" w:sz="4" w:space="0"/>
              <w:left w:val="single" w:color="auto" w:sz="4" w:space="0"/>
              <w:bottom w:val="single" w:color="auto" w:sz="4" w:space="0"/>
              <w:right w:val="single" w:color="auto" w:sz="4" w:space="0"/>
            </w:tcBorders>
            <w:vAlign w:val="center"/>
          </w:tcPr>
          <w:p w14:paraId="60001D5F">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品牌</w:t>
            </w:r>
          </w:p>
        </w:tc>
        <w:tc>
          <w:tcPr>
            <w:tcW w:w="915" w:type="dxa"/>
            <w:tcBorders>
              <w:top w:val="single" w:color="auto" w:sz="4" w:space="0"/>
              <w:left w:val="single" w:color="auto" w:sz="4" w:space="0"/>
              <w:bottom w:val="single" w:color="auto" w:sz="4" w:space="0"/>
              <w:right w:val="single" w:color="auto" w:sz="4" w:space="0"/>
            </w:tcBorders>
            <w:vAlign w:val="center"/>
          </w:tcPr>
          <w:p w14:paraId="405CDC57">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型号</w:t>
            </w:r>
          </w:p>
        </w:tc>
        <w:tc>
          <w:tcPr>
            <w:tcW w:w="1875" w:type="dxa"/>
            <w:tcBorders>
              <w:top w:val="single" w:color="auto" w:sz="4" w:space="0"/>
              <w:left w:val="single" w:color="auto" w:sz="4" w:space="0"/>
              <w:bottom w:val="single" w:color="auto" w:sz="4" w:space="0"/>
              <w:right w:val="single" w:color="auto" w:sz="4" w:space="0"/>
            </w:tcBorders>
            <w:vAlign w:val="center"/>
          </w:tcPr>
          <w:p w14:paraId="45ED182A">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生产制造商</w:t>
            </w:r>
          </w:p>
        </w:tc>
        <w:tc>
          <w:tcPr>
            <w:tcW w:w="855" w:type="dxa"/>
            <w:tcBorders>
              <w:top w:val="single" w:color="auto" w:sz="4" w:space="0"/>
              <w:left w:val="single" w:color="auto" w:sz="4" w:space="0"/>
              <w:bottom w:val="single" w:color="auto" w:sz="4" w:space="0"/>
              <w:right w:val="single" w:color="auto" w:sz="4" w:space="0"/>
            </w:tcBorders>
            <w:vAlign w:val="center"/>
          </w:tcPr>
          <w:p w14:paraId="5192C9F6">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产地</w:t>
            </w:r>
          </w:p>
        </w:tc>
        <w:tc>
          <w:tcPr>
            <w:tcW w:w="855" w:type="dxa"/>
            <w:tcBorders>
              <w:top w:val="single" w:color="auto" w:sz="4" w:space="0"/>
              <w:left w:val="single" w:color="auto" w:sz="4" w:space="0"/>
              <w:bottom w:val="single" w:color="auto" w:sz="4" w:space="0"/>
              <w:right w:val="single" w:color="auto" w:sz="4" w:space="0"/>
            </w:tcBorders>
            <w:vAlign w:val="center"/>
          </w:tcPr>
          <w:p w14:paraId="27E37271">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数量</w:t>
            </w:r>
          </w:p>
        </w:tc>
        <w:tc>
          <w:tcPr>
            <w:tcW w:w="855" w:type="dxa"/>
            <w:tcBorders>
              <w:top w:val="single" w:color="auto" w:sz="4" w:space="0"/>
              <w:left w:val="single" w:color="auto" w:sz="4" w:space="0"/>
              <w:bottom w:val="single" w:color="auto" w:sz="4" w:space="0"/>
              <w:right w:val="single" w:color="auto" w:sz="4" w:space="0"/>
            </w:tcBorders>
            <w:vAlign w:val="center"/>
          </w:tcPr>
          <w:p w14:paraId="71125252">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单位</w:t>
            </w:r>
          </w:p>
        </w:tc>
        <w:tc>
          <w:tcPr>
            <w:tcW w:w="857" w:type="dxa"/>
            <w:tcBorders>
              <w:top w:val="single" w:color="auto" w:sz="4" w:space="0"/>
              <w:left w:val="single" w:color="auto" w:sz="4" w:space="0"/>
              <w:bottom w:val="single" w:color="auto" w:sz="4" w:space="0"/>
              <w:right w:val="single" w:color="auto" w:sz="4" w:space="0"/>
            </w:tcBorders>
            <w:vAlign w:val="center"/>
          </w:tcPr>
          <w:p w14:paraId="539E04DB">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lang w:eastAsia="zh-CN"/>
              </w:rPr>
              <w:t>备注</w:t>
            </w:r>
          </w:p>
        </w:tc>
      </w:tr>
      <w:tr w14:paraId="369A02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7" w:type="dxa"/>
            <w:vMerge w:val="restart"/>
            <w:tcBorders>
              <w:top w:val="single" w:color="auto" w:sz="4" w:space="0"/>
              <w:left w:val="single" w:color="auto" w:sz="4" w:space="0"/>
              <w:right w:val="single" w:color="auto" w:sz="4" w:space="0"/>
            </w:tcBorders>
            <w:vAlign w:val="center"/>
          </w:tcPr>
          <w:p w14:paraId="3EF0F3F2">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1</w:t>
            </w:r>
          </w:p>
        </w:tc>
        <w:tc>
          <w:tcPr>
            <w:tcW w:w="1077" w:type="dxa"/>
            <w:vMerge w:val="restart"/>
            <w:tcBorders>
              <w:top w:val="single" w:color="auto" w:sz="4" w:space="0"/>
              <w:left w:val="single" w:color="auto" w:sz="4" w:space="0"/>
              <w:right w:val="single" w:color="auto" w:sz="4" w:space="0"/>
            </w:tcBorders>
            <w:vAlign w:val="center"/>
          </w:tcPr>
          <w:p w14:paraId="0EA18151">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定制型柴油发电机组</w:t>
            </w:r>
          </w:p>
        </w:tc>
        <w:tc>
          <w:tcPr>
            <w:tcW w:w="1845" w:type="dxa"/>
            <w:tcBorders>
              <w:top w:val="single" w:color="auto" w:sz="4" w:space="0"/>
              <w:left w:val="single" w:color="auto" w:sz="4" w:space="0"/>
              <w:bottom w:val="single" w:color="auto" w:sz="4" w:space="0"/>
              <w:right w:val="single" w:color="auto" w:sz="4" w:space="0"/>
            </w:tcBorders>
            <w:vAlign w:val="center"/>
          </w:tcPr>
          <w:p w14:paraId="06767DC7">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柴油发动机</w:t>
            </w:r>
          </w:p>
        </w:tc>
        <w:tc>
          <w:tcPr>
            <w:tcW w:w="915" w:type="dxa"/>
            <w:tcBorders>
              <w:top w:val="single" w:color="auto" w:sz="4" w:space="0"/>
              <w:left w:val="single" w:color="auto" w:sz="4" w:space="0"/>
              <w:bottom w:val="single" w:color="auto" w:sz="4" w:space="0"/>
              <w:right w:val="single" w:color="auto" w:sz="4" w:space="0"/>
            </w:tcBorders>
            <w:vAlign w:val="center"/>
          </w:tcPr>
          <w:p w14:paraId="036767D8">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915" w:type="dxa"/>
            <w:tcBorders>
              <w:top w:val="single" w:color="auto" w:sz="4" w:space="0"/>
              <w:left w:val="single" w:color="auto" w:sz="4" w:space="0"/>
              <w:bottom w:val="single" w:color="auto" w:sz="4" w:space="0"/>
              <w:right w:val="single" w:color="auto" w:sz="4" w:space="0"/>
            </w:tcBorders>
          </w:tcPr>
          <w:p w14:paraId="202924C2">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1875" w:type="dxa"/>
            <w:tcBorders>
              <w:top w:val="single" w:color="auto" w:sz="4" w:space="0"/>
              <w:left w:val="single" w:color="auto" w:sz="4" w:space="0"/>
              <w:bottom w:val="single" w:color="auto" w:sz="4" w:space="0"/>
              <w:right w:val="single" w:color="auto" w:sz="4" w:space="0"/>
            </w:tcBorders>
            <w:vAlign w:val="center"/>
          </w:tcPr>
          <w:p w14:paraId="5940934F">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855" w:type="dxa"/>
            <w:tcBorders>
              <w:top w:val="single" w:color="auto" w:sz="4" w:space="0"/>
              <w:left w:val="single" w:color="auto" w:sz="4" w:space="0"/>
              <w:bottom w:val="single" w:color="auto" w:sz="4" w:space="0"/>
              <w:right w:val="single" w:color="auto" w:sz="4" w:space="0"/>
            </w:tcBorders>
            <w:vAlign w:val="center"/>
          </w:tcPr>
          <w:p w14:paraId="2AAD1B9C">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855" w:type="dxa"/>
            <w:tcBorders>
              <w:top w:val="single" w:color="auto" w:sz="4" w:space="0"/>
              <w:left w:val="single" w:color="auto" w:sz="4" w:space="0"/>
              <w:bottom w:val="single" w:color="auto" w:sz="4" w:space="0"/>
              <w:right w:val="single" w:color="auto" w:sz="4" w:space="0"/>
            </w:tcBorders>
          </w:tcPr>
          <w:p w14:paraId="35673EF7">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855" w:type="dxa"/>
            <w:tcBorders>
              <w:top w:val="single" w:color="auto" w:sz="4" w:space="0"/>
              <w:left w:val="single" w:color="auto" w:sz="4" w:space="0"/>
              <w:bottom w:val="single" w:color="auto" w:sz="4" w:space="0"/>
              <w:right w:val="single" w:color="auto" w:sz="4" w:space="0"/>
            </w:tcBorders>
          </w:tcPr>
          <w:p w14:paraId="73F05D49">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857" w:type="dxa"/>
            <w:tcBorders>
              <w:top w:val="single" w:color="auto" w:sz="4" w:space="0"/>
              <w:left w:val="single" w:color="auto" w:sz="4" w:space="0"/>
              <w:bottom w:val="single" w:color="auto" w:sz="4" w:space="0"/>
              <w:right w:val="single" w:color="auto" w:sz="4" w:space="0"/>
            </w:tcBorders>
            <w:vAlign w:val="center"/>
          </w:tcPr>
          <w:p w14:paraId="73BF846A">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r>
      <w:tr w14:paraId="085319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7" w:type="dxa"/>
            <w:vMerge w:val="continue"/>
            <w:tcBorders>
              <w:left w:val="single" w:color="auto" w:sz="4" w:space="0"/>
              <w:right w:val="single" w:color="auto" w:sz="4" w:space="0"/>
            </w:tcBorders>
            <w:vAlign w:val="center"/>
          </w:tcPr>
          <w:p w14:paraId="7C9C4DF6">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lang w:val="en-US" w:eastAsia="zh-CN"/>
              </w:rPr>
            </w:pPr>
          </w:p>
        </w:tc>
        <w:tc>
          <w:tcPr>
            <w:tcW w:w="1077" w:type="dxa"/>
            <w:vMerge w:val="continue"/>
            <w:tcBorders>
              <w:left w:val="single" w:color="auto" w:sz="4" w:space="0"/>
              <w:right w:val="single" w:color="auto" w:sz="4" w:space="0"/>
            </w:tcBorders>
            <w:vAlign w:val="center"/>
          </w:tcPr>
          <w:p w14:paraId="0DC76A37">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1845" w:type="dxa"/>
            <w:tcBorders>
              <w:top w:val="single" w:color="auto" w:sz="4" w:space="0"/>
              <w:left w:val="single" w:color="auto" w:sz="4" w:space="0"/>
              <w:bottom w:val="single" w:color="auto" w:sz="4" w:space="0"/>
              <w:right w:val="single" w:color="auto" w:sz="4" w:space="0"/>
            </w:tcBorders>
            <w:vAlign w:val="center"/>
          </w:tcPr>
          <w:p w14:paraId="5E05CA8D">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发电机</w:t>
            </w:r>
          </w:p>
        </w:tc>
        <w:tc>
          <w:tcPr>
            <w:tcW w:w="915" w:type="dxa"/>
            <w:tcBorders>
              <w:top w:val="single" w:color="auto" w:sz="4" w:space="0"/>
              <w:left w:val="single" w:color="auto" w:sz="4" w:space="0"/>
              <w:bottom w:val="single" w:color="auto" w:sz="4" w:space="0"/>
              <w:right w:val="single" w:color="auto" w:sz="4" w:space="0"/>
            </w:tcBorders>
            <w:vAlign w:val="center"/>
          </w:tcPr>
          <w:p w14:paraId="0602D529">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915" w:type="dxa"/>
            <w:tcBorders>
              <w:top w:val="single" w:color="auto" w:sz="4" w:space="0"/>
              <w:left w:val="single" w:color="auto" w:sz="4" w:space="0"/>
              <w:bottom w:val="single" w:color="auto" w:sz="4" w:space="0"/>
              <w:right w:val="single" w:color="auto" w:sz="4" w:space="0"/>
            </w:tcBorders>
          </w:tcPr>
          <w:p w14:paraId="288017CA">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1875" w:type="dxa"/>
            <w:tcBorders>
              <w:top w:val="single" w:color="auto" w:sz="4" w:space="0"/>
              <w:left w:val="single" w:color="auto" w:sz="4" w:space="0"/>
              <w:bottom w:val="single" w:color="auto" w:sz="4" w:space="0"/>
              <w:right w:val="single" w:color="auto" w:sz="4" w:space="0"/>
            </w:tcBorders>
            <w:vAlign w:val="center"/>
          </w:tcPr>
          <w:p w14:paraId="2C27433D">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855" w:type="dxa"/>
            <w:tcBorders>
              <w:top w:val="single" w:color="auto" w:sz="4" w:space="0"/>
              <w:left w:val="single" w:color="auto" w:sz="4" w:space="0"/>
              <w:bottom w:val="single" w:color="auto" w:sz="4" w:space="0"/>
              <w:right w:val="single" w:color="auto" w:sz="4" w:space="0"/>
            </w:tcBorders>
            <w:vAlign w:val="center"/>
          </w:tcPr>
          <w:p w14:paraId="095A4B5A">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855" w:type="dxa"/>
            <w:tcBorders>
              <w:top w:val="single" w:color="auto" w:sz="4" w:space="0"/>
              <w:left w:val="single" w:color="auto" w:sz="4" w:space="0"/>
              <w:bottom w:val="single" w:color="auto" w:sz="4" w:space="0"/>
              <w:right w:val="single" w:color="auto" w:sz="4" w:space="0"/>
            </w:tcBorders>
          </w:tcPr>
          <w:p w14:paraId="199B927F">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855" w:type="dxa"/>
            <w:tcBorders>
              <w:top w:val="single" w:color="auto" w:sz="4" w:space="0"/>
              <w:left w:val="single" w:color="auto" w:sz="4" w:space="0"/>
              <w:bottom w:val="single" w:color="auto" w:sz="4" w:space="0"/>
              <w:right w:val="single" w:color="auto" w:sz="4" w:space="0"/>
            </w:tcBorders>
          </w:tcPr>
          <w:p w14:paraId="7F838BA1">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857" w:type="dxa"/>
            <w:tcBorders>
              <w:top w:val="single" w:color="auto" w:sz="4" w:space="0"/>
              <w:left w:val="single" w:color="auto" w:sz="4" w:space="0"/>
              <w:bottom w:val="single" w:color="auto" w:sz="4" w:space="0"/>
              <w:right w:val="single" w:color="auto" w:sz="4" w:space="0"/>
            </w:tcBorders>
            <w:vAlign w:val="center"/>
          </w:tcPr>
          <w:p w14:paraId="60ABFBDB">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r>
      <w:tr w14:paraId="23F668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7" w:type="dxa"/>
            <w:vMerge w:val="continue"/>
            <w:tcBorders>
              <w:left w:val="single" w:color="auto" w:sz="4" w:space="0"/>
              <w:right w:val="single" w:color="auto" w:sz="4" w:space="0"/>
            </w:tcBorders>
            <w:vAlign w:val="center"/>
          </w:tcPr>
          <w:p w14:paraId="7288FA1A">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lang w:val="en-US" w:eastAsia="zh-CN"/>
              </w:rPr>
            </w:pPr>
          </w:p>
        </w:tc>
        <w:tc>
          <w:tcPr>
            <w:tcW w:w="1077" w:type="dxa"/>
            <w:vMerge w:val="continue"/>
            <w:tcBorders>
              <w:left w:val="single" w:color="auto" w:sz="4" w:space="0"/>
              <w:right w:val="single" w:color="auto" w:sz="4" w:space="0"/>
            </w:tcBorders>
            <w:vAlign w:val="center"/>
          </w:tcPr>
          <w:p w14:paraId="487E7FC3">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1845" w:type="dxa"/>
            <w:tcBorders>
              <w:top w:val="single" w:color="auto" w:sz="4" w:space="0"/>
              <w:left w:val="single" w:color="auto" w:sz="4" w:space="0"/>
              <w:bottom w:val="single" w:color="auto" w:sz="4" w:space="0"/>
              <w:right w:val="single" w:color="auto" w:sz="4" w:space="0"/>
            </w:tcBorders>
            <w:vAlign w:val="center"/>
          </w:tcPr>
          <w:p w14:paraId="3BEF0BFB">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控制系统</w:t>
            </w:r>
          </w:p>
        </w:tc>
        <w:tc>
          <w:tcPr>
            <w:tcW w:w="915" w:type="dxa"/>
            <w:tcBorders>
              <w:top w:val="single" w:color="auto" w:sz="4" w:space="0"/>
              <w:left w:val="single" w:color="auto" w:sz="4" w:space="0"/>
              <w:bottom w:val="single" w:color="auto" w:sz="4" w:space="0"/>
              <w:right w:val="single" w:color="auto" w:sz="4" w:space="0"/>
            </w:tcBorders>
            <w:vAlign w:val="center"/>
          </w:tcPr>
          <w:p w14:paraId="4AB234EE">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915" w:type="dxa"/>
            <w:tcBorders>
              <w:top w:val="single" w:color="auto" w:sz="4" w:space="0"/>
              <w:left w:val="single" w:color="auto" w:sz="4" w:space="0"/>
              <w:bottom w:val="single" w:color="auto" w:sz="4" w:space="0"/>
              <w:right w:val="single" w:color="auto" w:sz="4" w:space="0"/>
            </w:tcBorders>
          </w:tcPr>
          <w:p w14:paraId="5AF9FB11">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1875" w:type="dxa"/>
            <w:tcBorders>
              <w:top w:val="single" w:color="auto" w:sz="4" w:space="0"/>
              <w:left w:val="single" w:color="auto" w:sz="4" w:space="0"/>
              <w:bottom w:val="single" w:color="auto" w:sz="4" w:space="0"/>
              <w:right w:val="single" w:color="auto" w:sz="4" w:space="0"/>
            </w:tcBorders>
            <w:vAlign w:val="center"/>
          </w:tcPr>
          <w:p w14:paraId="1D0F45EE">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855" w:type="dxa"/>
            <w:tcBorders>
              <w:top w:val="single" w:color="auto" w:sz="4" w:space="0"/>
              <w:left w:val="single" w:color="auto" w:sz="4" w:space="0"/>
              <w:bottom w:val="single" w:color="auto" w:sz="4" w:space="0"/>
              <w:right w:val="single" w:color="auto" w:sz="4" w:space="0"/>
            </w:tcBorders>
            <w:vAlign w:val="center"/>
          </w:tcPr>
          <w:p w14:paraId="158B6408">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855" w:type="dxa"/>
            <w:tcBorders>
              <w:top w:val="single" w:color="auto" w:sz="4" w:space="0"/>
              <w:left w:val="single" w:color="auto" w:sz="4" w:space="0"/>
              <w:bottom w:val="single" w:color="auto" w:sz="4" w:space="0"/>
              <w:right w:val="single" w:color="auto" w:sz="4" w:space="0"/>
            </w:tcBorders>
          </w:tcPr>
          <w:p w14:paraId="1A30C183">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855" w:type="dxa"/>
            <w:tcBorders>
              <w:top w:val="single" w:color="auto" w:sz="4" w:space="0"/>
              <w:left w:val="single" w:color="auto" w:sz="4" w:space="0"/>
              <w:bottom w:val="single" w:color="auto" w:sz="4" w:space="0"/>
              <w:right w:val="single" w:color="auto" w:sz="4" w:space="0"/>
            </w:tcBorders>
          </w:tcPr>
          <w:p w14:paraId="1D1DA31C">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857" w:type="dxa"/>
            <w:tcBorders>
              <w:top w:val="single" w:color="auto" w:sz="4" w:space="0"/>
              <w:left w:val="single" w:color="auto" w:sz="4" w:space="0"/>
              <w:bottom w:val="single" w:color="auto" w:sz="4" w:space="0"/>
              <w:right w:val="single" w:color="auto" w:sz="4" w:space="0"/>
            </w:tcBorders>
            <w:vAlign w:val="center"/>
          </w:tcPr>
          <w:p w14:paraId="172477C0">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r>
      <w:tr w14:paraId="525F5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7" w:type="dxa"/>
            <w:vMerge w:val="continue"/>
            <w:tcBorders>
              <w:left w:val="single" w:color="auto" w:sz="4" w:space="0"/>
              <w:bottom w:val="single" w:color="auto" w:sz="4" w:space="0"/>
              <w:right w:val="single" w:color="auto" w:sz="4" w:space="0"/>
            </w:tcBorders>
            <w:vAlign w:val="center"/>
          </w:tcPr>
          <w:p w14:paraId="41796541">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lang w:val="en-US" w:eastAsia="zh-CN"/>
              </w:rPr>
            </w:pPr>
          </w:p>
        </w:tc>
        <w:tc>
          <w:tcPr>
            <w:tcW w:w="1077" w:type="dxa"/>
            <w:vMerge w:val="continue"/>
            <w:tcBorders>
              <w:left w:val="single" w:color="auto" w:sz="4" w:space="0"/>
              <w:bottom w:val="single" w:color="auto" w:sz="4" w:space="0"/>
              <w:right w:val="single" w:color="auto" w:sz="4" w:space="0"/>
            </w:tcBorders>
            <w:vAlign w:val="center"/>
          </w:tcPr>
          <w:p w14:paraId="6BC6E5B3">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1845" w:type="dxa"/>
            <w:tcBorders>
              <w:top w:val="single" w:color="auto" w:sz="4" w:space="0"/>
              <w:left w:val="single" w:color="auto" w:sz="4" w:space="0"/>
              <w:bottom w:val="single" w:color="auto" w:sz="4" w:space="0"/>
              <w:right w:val="single" w:color="auto" w:sz="4" w:space="0"/>
            </w:tcBorders>
            <w:vAlign w:val="center"/>
          </w:tcPr>
          <w:p w14:paraId="776A8875">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智能低压出线开关独立柜</w:t>
            </w:r>
          </w:p>
        </w:tc>
        <w:tc>
          <w:tcPr>
            <w:tcW w:w="915" w:type="dxa"/>
            <w:tcBorders>
              <w:top w:val="single" w:color="auto" w:sz="4" w:space="0"/>
              <w:left w:val="single" w:color="auto" w:sz="4" w:space="0"/>
              <w:bottom w:val="single" w:color="auto" w:sz="4" w:space="0"/>
              <w:right w:val="single" w:color="auto" w:sz="4" w:space="0"/>
            </w:tcBorders>
            <w:vAlign w:val="center"/>
          </w:tcPr>
          <w:p w14:paraId="0798A35C">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915" w:type="dxa"/>
            <w:tcBorders>
              <w:top w:val="single" w:color="auto" w:sz="4" w:space="0"/>
              <w:left w:val="single" w:color="auto" w:sz="4" w:space="0"/>
              <w:bottom w:val="single" w:color="auto" w:sz="4" w:space="0"/>
              <w:right w:val="single" w:color="auto" w:sz="4" w:space="0"/>
            </w:tcBorders>
          </w:tcPr>
          <w:p w14:paraId="734B94FC">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1875" w:type="dxa"/>
            <w:tcBorders>
              <w:top w:val="single" w:color="auto" w:sz="4" w:space="0"/>
              <w:left w:val="single" w:color="auto" w:sz="4" w:space="0"/>
              <w:bottom w:val="single" w:color="auto" w:sz="4" w:space="0"/>
              <w:right w:val="single" w:color="auto" w:sz="4" w:space="0"/>
            </w:tcBorders>
            <w:vAlign w:val="center"/>
          </w:tcPr>
          <w:p w14:paraId="38B0D7A7">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855" w:type="dxa"/>
            <w:tcBorders>
              <w:top w:val="single" w:color="auto" w:sz="4" w:space="0"/>
              <w:left w:val="single" w:color="auto" w:sz="4" w:space="0"/>
              <w:bottom w:val="single" w:color="auto" w:sz="4" w:space="0"/>
              <w:right w:val="single" w:color="auto" w:sz="4" w:space="0"/>
            </w:tcBorders>
            <w:vAlign w:val="center"/>
          </w:tcPr>
          <w:p w14:paraId="51A83271">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855" w:type="dxa"/>
            <w:tcBorders>
              <w:top w:val="single" w:color="auto" w:sz="4" w:space="0"/>
              <w:left w:val="single" w:color="auto" w:sz="4" w:space="0"/>
              <w:bottom w:val="single" w:color="auto" w:sz="4" w:space="0"/>
              <w:right w:val="single" w:color="auto" w:sz="4" w:space="0"/>
            </w:tcBorders>
          </w:tcPr>
          <w:p w14:paraId="0BA79615">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855" w:type="dxa"/>
            <w:tcBorders>
              <w:top w:val="single" w:color="auto" w:sz="4" w:space="0"/>
              <w:left w:val="single" w:color="auto" w:sz="4" w:space="0"/>
              <w:bottom w:val="single" w:color="auto" w:sz="4" w:space="0"/>
              <w:right w:val="single" w:color="auto" w:sz="4" w:space="0"/>
            </w:tcBorders>
          </w:tcPr>
          <w:p w14:paraId="4F7B5529">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c>
          <w:tcPr>
            <w:tcW w:w="857" w:type="dxa"/>
            <w:tcBorders>
              <w:top w:val="single" w:color="auto" w:sz="4" w:space="0"/>
              <w:left w:val="single" w:color="auto" w:sz="4" w:space="0"/>
              <w:bottom w:val="single" w:color="auto" w:sz="4" w:space="0"/>
              <w:right w:val="single" w:color="auto" w:sz="4" w:space="0"/>
            </w:tcBorders>
            <w:vAlign w:val="center"/>
          </w:tcPr>
          <w:p w14:paraId="35399C7A">
            <w:pPr>
              <w:keepNext w:val="0"/>
              <w:keepLines w:val="0"/>
              <w:pageBreakBefore w:val="0"/>
              <w:widowControl w:val="0"/>
              <w:kinsoku/>
              <w:wordWrap/>
              <w:overflowPunct/>
              <w:topLinePunct w:val="0"/>
              <w:autoSpaceDE/>
              <w:autoSpaceDN/>
              <w:bidi w:val="0"/>
              <w:adjustRightInd/>
              <w:snapToGrid w:val="0"/>
              <w:spacing w:before="50" w:after="50" w:line="400" w:lineRule="exact"/>
              <w:jc w:val="center"/>
              <w:textAlignment w:val="auto"/>
              <w:rPr>
                <w:rFonts w:hint="eastAsia" w:asciiTheme="minorEastAsia" w:hAnsiTheme="minorEastAsia" w:eastAsiaTheme="minorEastAsia" w:cstheme="minorEastAsia"/>
                <w:color w:val="auto"/>
                <w:sz w:val="24"/>
              </w:rPr>
            </w:pPr>
          </w:p>
        </w:tc>
      </w:tr>
    </w:tbl>
    <w:p w14:paraId="3A91B31B">
      <w:pPr>
        <w:spacing w:line="360" w:lineRule="auto"/>
        <w:contextualSpacing/>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备注：</w:t>
      </w:r>
    </w:p>
    <w:p w14:paraId="598BFE77">
      <w:pPr>
        <w:tabs>
          <w:tab w:val="left" w:pos="1065"/>
        </w:tabs>
        <w:adjustRightInd w:val="0"/>
        <w:spacing w:line="360" w:lineRule="auto"/>
        <w:ind w:firstLine="482"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rPr>
        <w:t>以上货物配置清单中“货物名称、数量、单位、品牌、型号、生产厂家、产地、参数性能、指标及配置”必须如实填写完整，定制产品在型号栏中填写“定制”。填写有缺漏的，响应文件按无效响应处理</w:t>
      </w:r>
      <w:r>
        <w:rPr>
          <w:rFonts w:hint="eastAsia" w:asciiTheme="minorEastAsia" w:hAnsiTheme="minorEastAsia" w:eastAsiaTheme="minorEastAsia" w:cstheme="minorEastAsia"/>
          <w:b/>
          <w:color w:val="auto"/>
          <w:sz w:val="24"/>
        </w:rPr>
        <w:t>。</w:t>
      </w:r>
      <w:r>
        <w:rPr>
          <w:rFonts w:hint="eastAsia" w:asciiTheme="minorEastAsia" w:hAnsiTheme="minorEastAsia" w:eastAsiaTheme="minorEastAsia" w:cstheme="minorEastAsia"/>
          <w:color w:val="auto"/>
          <w:sz w:val="24"/>
        </w:rPr>
        <w:t>货物名称、数量、单位、品牌等必须与“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rPr>
        <w:t>报价表”一致，</w:t>
      </w:r>
      <w:r>
        <w:rPr>
          <w:rFonts w:hint="eastAsia" w:asciiTheme="minorEastAsia" w:hAnsiTheme="minorEastAsia" w:eastAsiaTheme="minorEastAsia" w:cstheme="minorEastAsia"/>
          <w:bCs/>
          <w:color w:val="auto"/>
          <w:sz w:val="24"/>
        </w:rPr>
        <w:t>否则响应文件按无效响应处理</w:t>
      </w:r>
      <w:r>
        <w:rPr>
          <w:rFonts w:hint="eastAsia" w:asciiTheme="minorEastAsia" w:hAnsiTheme="minorEastAsia" w:eastAsiaTheme="minorEastAsia" w:cstheme="minorEastAsia"/>
          <w:b/>
          <w:color w:val="auto"/>
          <w:sz w:val="24"/>
        </w:rPr>
        <w:t>。</w:t>
      </w:r>
      <w:r>
        <w:rPr>
          <w:rFonts w:hint="eastAsia" w:asciiTheme="minorEastAsia" w:hAnsiTheme="minorEastAsia" w:eastAsiaTheme="minorEastAsia" w:cstheme="minorEastAsia"/>
          <w:color w:val="auto"/>
          <w:sz w:val="24"/>
        </w:rPr>
        <w:tab/>
      </w:r>
    </w:p>
    <w:p w14:paraId="691BE9FC">
      <w:pPr>
        <w:adjustRightInd w:val="0"/>
        <w:spacing w:line="360" w:lineRule="auto"/>
        <w:contextualSpacing/>
        <w:jc w:val="left"/>
        <w:rPr>
          <w:rFonts w:hint="eastAsia" w:asciiTheme="minorEastAsia" w:hAnsiTheme="minorEastAsia" w:eastAsiaTheme="minorEastAsia" w:cstheme="minorEastAsia"/>
          <w:color w:val="auto"/>
          <w:sz w:val="24"/>
        </w:rPr>
      </w:pPr>
    </w:p>
    <w:p w14:paraId="36E840D7">
      <w:pPr>
        <w:adjustRightInd w:val="0"/>
        <w:spacing w:line="360" w:lineRule="auto"/>
        <w:contextualSpacing/>
        <w:jc w:val="left"/>
        <w:rPr>
          <w:rFonts w:hint="eastAsia" w:asciiTheme="minorEastAsia" w:hAnsiTheme="minorEastAsia" w:eastAsiaTheme="minorEastAsia" w:cstheme="minorEastAsia"/>
          <w:color w:val="auto"/>
          <w:sz w:val="24"/>
        </w:rPr>
      </w:pPr>
    </w:p>
    <w:p w14:paraId="30668717">
      <w:pPr>
        <w:adjustRightInd w:val="0"/>
        <w:spacing w:line="360" w:lineRule="auto"/>
        <w:contextualSpacing/>
        <w:jc w:val="left"/>
        <w:rPr>
          <w:rFonts w:hint="eastAsia" w:asciiTheme="minorEastAsia" w:hAnsiTheme="minorEastAsia" w:eastAsiaTheme="minorEastAsia" w:cstheme="minorEastAsia"/>
          <w:color w:val="auto"/>
          <w:sz w:val="24"/>
        </w:rPr>
      </w:pPr>
    </w:p>
    <w:p w14:paraId="30350FB1">
      <w:pPr>
        <w:spacing w:line="360" w:lineRule="auto"/>
        <w:contextualSpacing/>
        <w:jc w:val="center"/>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 xml:space="preserve">             法定代表人或者委托代理人（签字</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376EFD95">
      <w:pPr>
        <w:spacing w:line="360" w:lineRule="auto"/>
        <w:ind w:firstLine="3240" w:firstLineChars="135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供应商（公章</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      </w:t>
      </w:r>
    </w:p>
    <w:p w14:paraId="018B169F">
      <w:pPr>
        <w:spacing w:line="360" w:lineRule="auto"/>
        <w:ind w:firstLine="3240" w:firstLineChars="1350"/>
        <w:contextualSpacing/>
        <w:rPr>
          <w:rFonts w:hint="eastAsia" w:asciiTheme="minorEastAsia" w:hAnsiTheme="minorEastAsia" w:eastAsiaTheme="minorEastAsia" w:cstheme="minorEastAsia"/>
          <w:color w:val="auto"/>
          <w:szCs w:val="21"/>
          <w:u w:val="single"/>
        </w:rPr>
      </w:pPr>
      <w:r>
        <w:rPr>
          <w:rFonts w:hint="eastAsia" w:asciiTheme="minorEastAsia" w:hAnsiTheme="minorEastAsia" w:eastAsiaTheme="minorEastAsia" w:cstheme="minorEastAsia"/>
          <w:color w:val="auto"/>
          <w:sz w:val="24"/>
        </w:rPr>
        <w:t>日期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年</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月</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日</w:t>
      </w:r>
    </w:p>
    <w:p w14:paraId="55EA3C8A">
      <w:pPr>
        <w:adjustRightInd w:val="0"/>
        <w:snapToGrid w:val="0"/>
        <w:spacing w:line="360" w:lineRule="auto"/>
        <w:rPr>
          <w:rFonts w:hint="eastAsia" w:asciiTheme="minorEastAsia" w:hAnsiTheme="minorEastAsia" w:eastAsiaTheme="minorEastAsia" w:cstheme="minorEastAsia"/>
          <w:color w:val="auto"/>
          <w:szCs w:val="21"/>
          <w:u w:val="single"/>
        </w:rPr>
      </w:pPr>
    </w:p>
    <w:p w14:paraId="4988245B">
      <w:pPr>
        <w:adjustRightInd w:val="0"/>
        <w:snapToGrid w:val="0"/>
        <w:spacing w:line="360" w:lineRule="auto"/>
        <w:rPr>
          <w:rFonts w:hint="eastAsia" w:asciiTheme="minorEastAsia" w:hAnsiTheme="minorEastAsia" w:eastAsiaTheme="minorEastAsia" w:cstheme="minorEastAsia"/>
          <w:color w:val="auto"/>
          <w:szCs w:val="21"/>
          <w:u w:val="single"/>
        </w:rPr>
      </w:pPr>
    </w:p>
    <w:p w14:paraId="61CB934B">
      <w:pPr>
        <w:adjustRightInd w:val="0"/>
        <w:snapToGrid w:val="0"/>
        <w:spacing w:line="360" w:lineRule="auto"/>
        <w:rPr>
          <w:rFonts w:hint="eastAsia" w:asciiTheme="minorEastAsia" w:hAnsiTheme="minorEastAsia" w:eastAsiaTheme="minorEastAsia" w:cstheme="minorEastAsia"/>
          <w:color w:val="auto"/>
          <w:szCs w:val="21"/>
          <w:u w:val="single"/>
        </w:rPr>
      </w:pPr>
    </w:p>
    <w:p w14:paraId="72B447FB">
      <w:pPr>
        <w:adjustRightInd w:val="0"/>
        <w:snapToGrid w:val="0"/>
        <w:spacing w:line="360" w:lineRule="auto"/>
        <w:rPr>
          <w:rFonts w:hint="eastAsia" w:asciiTheme="minorEastAsia" w:hAnsiTheme="minorEastAsia" w:eastAsiaTheme="minorEastAsia" w:cstheme="minorEastAsia"/>
          <w:color w:val="auto"/>
          <w:szCs w:val="21"/>
          <w:u w:val="single"/>
        </w:rPr>
      </w:pPr>
    </w:p>
    <w:p w14:paraId="5812641E">
      <w:pPr>
        <w:adjustRightInd w:val="0"/>
        <w:snapToGrid w:val="0"/>
        <w:spacing w:line="360" w:lineRule="auto"/>
        <w:rPr>
          <w:rFonts w:hint="eastAsia" w:asciiTheme="minorEastAsia" w:hAnsiTheme="minorEastAsia" w:eastAsiaTheme="minorEastAsia" w:cstheme="minorEastAsia"/>
          <w:color w:val="auto"/>
          <w:szCs w:val="21"/>
          <w:u w:val="single"/>
        </w:rPr>
      </w:pPr>
    </w:p>
    <w:p w14:paraId="0A703C2B">
      <w:pPr>
        <w:adjustRightInd w:val="0"/>
        <w:snapToGrid w:val="0"/>
        <w:spacing w:line="360" w:lineRule="auto"/>
        <w:jc w:val="center"/>
        <w:rPr>
          <w:rFonts w:hint="eastAsia" w:asciiTheme="minorEastAsia" w:hAnsiTheme="minorEastAsia" w:eastAsiaTheme="minorEastAsia" w:cstheme="minorEastAsia"/>
          <w:b/>
          <w:bCs/>
          <w:color w:val="auto"/>
          <w:sz w:val="44"/>
          <w:szCs w:val="44"/>
        </w:rPr>
      </w:pPr>
      <w:r>
        <w:rPr>
          <w:rFonts w:hint="eastAsia" w:asciiTheme="minorEastAsia" w:hAnsiTheme="minorEastAsia" w:eastAsiaTheme="minorEastAsia" w:cstheme="minorEastAsia"/>
          <w:bCs/>
          <w:color w:val="auto"/>
          <w:sz w:val="44"/>
          <w:szCs w:val="44"/>
        </w:rPr>
        <w:br w:type="page"/>
      </w:r>
      <w:r>
        <w:rPr>
          <w:rFonts w:hint="eastAsia" w:asciiTheme="minorEastAsia" w:hAnsiTheme="minorEastAsia" w:eastAsiaTheme="minorEastAsia" w:cstheme="minorEastAsia"/>
          <w:b/>
          <w:bCs/>
          <w:color w:val="auto"/>
          <w:sz w:val="44"/>
          <w:szCs w:val="44"/>
        </w:rPr>
        <w:t>技术要求偏离表</w:t>
      </w:r>
    </w:p>
    <w:p w14:paraId="3E937E60">
      <w:pPr>
        <w:spacing w:line="360" w:lineRule="auto"/>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24"/>
        </w:rPr>
        <w:t>采购项目名称</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7793E2C8">
      <w:pPr>
        <w:spacing w:line="360" w:lineRule="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采购项目编号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5DD0AEE7">
      <w:pPr>
        <w:spacing w:line="360" w:lineRule="auto"/>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分标号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89"/>
        <w:gridCol w:w="990"/>
        <w:gridCol w:w="3293"/>
        <w:gridCol w:w="2964"/>
        <w:gridCol w:w="1617"/>
      </w:tblGrid>
      <w:tr w14:paraId="42F51A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2" w:type="pct"/>
            <w:vAlign w:val="center"/>
          </w:tcPr>
          <w:p w14:paraId="639BD2CE">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序号</w:t>
            </w:r>
          </w:p>
        </w:tc>
        <w:tc>
          <w:tcPr>
            <w:tcW w:w="502" w:type="pct"/>
            <w:tcBorders>
              <w:right w:val="single" w:color="auto" w:sz="4" w:space="0"/>
            </w:tcBorders>
            <w:vAlign w:val="center"/>
          </w:tcPr>
          <w:p w14:paraId="4C19CCED">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货物名称</w:t>
            </w:r>
          </w:p>
        </w:tc>
        <w:tc>
          <w:tcPr>
            <w:tcW w:w="1670" w:type="pct"/>
            <w:tcBorders>
              <w:left w:val="single" w:color="auto" w:sz="4" w:space="0"/>
            </w:tcBorders>
            <w:vAlign w:val="center"/>
          </w:tcPr>
          <w:p w14:paraId="5D870BBB">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技术要求</w:t>
            </w:r>
          </w:p>
        </w:tc>
        <w:tc>
          <w:tcPr>
            <w:tcW w:w="1503" w:type="pct"/>
            <w:vAlign w:val="center"/>
          </w:tcPr>
          <w:p w14:paraId="4B3A4ED3">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竞争性谈判响应</w:t>
            </w:r>
          </w:p>
        </w:tc>
        <w:tc>
          <w:tcPr>
            <w:tcW w:w="820" w:type="pct"/>
            <w:vAlign w:val="center"/>
          </w:tcPr>
          <w:p w14:paraId="105E71BA">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偏离说明</w:t>
            </w:r>
          </w:p>
        </w:tc>
      </w:tr>
      <w:tr w14:paraId="379E68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2" w:type="pct"/>
            <w:vAlign w:val="center"/>
          </w:tcPr>
          <w:p w14:paraId="6B8E06E0">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1</w:t>
            </w:r>
          </w:p>
        </w:tc>
        <w:tc>
          <w:tcPr>
            <w:tcW w:w="502" w:type="pct"/>
            <w:tcBorders>
              <w:right w:val="single" w:color="auto" w:sz="4" w:space="0"/>
            </w:tcBorders>
            <w:vAlign w:val="center"/>
          </w:tcPr>
          <w:p w14:paraId="453B673F">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p>
        </w:tc>
        <w:tc>
          <w:tcPr>
            <w:tcW w:w="1670" w:type="pct"/>
            <w:tcBorders>
              <w:left w:val="single" w:color="auto" w:sz="4" w:space="0"/>
            </w:tcBorders>
            <w:vAlign w:val="center"/>
          </w:tcPr>
          <w:p w14:paraId="2BCCCD8C">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p>
        </w:tc>
        <w:tc>
          <w:tcPr>
            <w:tcW w:w="1503" w:type="pct"/>
            <w:vAlign w:val="center"/>
          </w:tcPr>
          <w:p w14:paraId="65217FD0">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p>
        </w:tc>
        <w:tc>
          <w:tcPr>
            <w:tcW w:w="820" w:type="pct"/>
            <w:vAlign w:val="center"/>
          </w:tcPr>
          <w:p w14:paraId="69C6C239">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p>
        </w:tc>
      </w:tr>
      <w:tr w14:paraId="1140DC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2" w:type="pct"/>
            <w:vAlign w:val="center"/>
          </w:tcPr>
          <w:p w14:paraId="5FF43878">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2</w:t>
            </w:r>
          </w:p>
        </w:tc>
        <w:tc>
          <w:tcPr>
            <w:tcW w:w="502" w:type="pct"/>
            <w:tcBorders>
              <w:right w:val="single" w:color="auto" w:sz="4" w:space="0"/>
            </w:tcBorders>
            <w:vAlign w:val="center"/>
          </w:tcPr>
          <w:p w14:paraId="097ACCCB">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p>
        </w:tc>
        <w:tc>
          <w:tcPr>
            <w:tcW w:w="1670" w:type="pct"/>
            <w:tcBorders>
              <w:left w:val="single" w:color="auto" w:sz="4" w:space="0"/>
            </w:tcBorders>
            <w:vAlign w:val="center"/>
          </w:tcPr>
          <w:p w14:paraId="61334014">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p>
        </w:tc>
        <w:tc>
          <w:tcPr>
            <w:tcW w:w="1503" w:type="pct"/>
            <w:vAlign w:val="center"/>
          </w:tcPr>
          <w:p w14:paraId="3312516F">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p>
        </w:tc>
        <w:tc>
          <w:tcPr>
            <w:tcW w:w="820" w:type="pct"/>
            <w:vAlign w:val="center"/>
          </w:tcPr>
          <w:p w14:paraId="75F694E8">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p>
        </w:tc>
      </w:tr>
      <w:tr w14:paraId="249CB7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2" w:type="pct"/>
            <w:vAlign w:val="center"/>
          </w:tcPr>
          <w:p w14:paraId="6C7E38C6">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3</w:t>
            </w:r>
          </w:p>
        </w:tc>
        <w:tc>
          <w:tcPr>
            <w:tcW w:w="502" w:type="pct"/>
            <w:tcBorders>
              <w:right w:val="single" w:color="auto" w:sz="4" w:space="0"/>
            </w:tcBorders>
            <w:vAlign w:val="center"/>
          </w:tcPr>
          <w:p w14:paraId="4808554C">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p>
        </w:tc>
        <w:tc>
          <w:tcPr>
            <w:tcW w:w="1670" w:type="pct"/>
            <w:tcBorders>
              <w:left w:val="single" w:color="auto" w:sz="4" w:space="0"/>
            </w:tcBorders>
            <w:vAlign w:val="center"/>
          </w:tcPr>
          <w:p w14:paraId="6B0C0620">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p>
        </w:tc>
        <w:tc>
          <w:tcPr>
            <w:tcW w:w="1503" w:type="pct"/>
            <w:vAlign w:val="center"/>
          </w:tcPr>
          <w:p w14:paraId="771747EE">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p>
        </w:tc>
        <w:tc>
          <w:tcPr>
            <w:tcW w:w="820" w:type="pct"/>
            <w:vAlign w:val="center"/>
          </w:tcPr>
          <w:p w14:paraId="7C047B0E">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p>
        </w:tc>
      </w:tr>
      <w:tr w14:paraId="6028FF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502" w:type="pct"/>
            <w:vAlign w:val="center"/>
          </w:tcPr>
          <w:p w14:paraId="7D44FFBE">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w:t>
            </w:r>
          </w:p>
        </w:tc>
        <w:tc>
          <w:tcPr>
            <w:tcW w:w="502" w:type="pct"/>
            <w:tcBorders>
              <w:right w:val="single" w:color="auto" w:sz="4" w:space="0"/>
            </w:tcBorders>
            <w:vAlign w:val="center"/>
          </w:tcPr>
          <w:p w14:paraId="16A2AC90">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p>
        </w:tc>
        <w:tc>
          <w:tcPr>
            <w:tcW w:w="1670" w:type="pct"/>
            <w:tcBorders>
              <w:left w:val="single" w:color="auto" w:sz="4" w:space="0"/>
            </w:tcBorders>
            <w:vAlign w:val="center"/>
          </w:tcPr>
          <w:p w14:paraId="4D22F77F">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p>
        </w:tc>
        <w:tc>
          <w:tcPr>
            <w:tcW w:w="1503" w:type="pct"/>
            <w:vAlign w:val="center"/>
          </w:tcPr>
          <w:p w14:paraId="771580FC">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p>
        </w:tc>
        <w:tc>
          <w:tcPr>
            <w:tcW w:w="820" w:type="pct"/>
            <w:tcBorders>
              <w:right w:val="single" w:color="auto" w:sz="4" w:space="0"/>
            </w:tcBorders>
            <w:vAlign w:val="center"/>
          </w:tcPr>
          <w:p w14:paraId="7BECC65F">
            <w:pPr>
              <w:pStyle w:val="11"/>
              <w:spacing w:line="500" w:lineRule="exact"/>
              <w:ind w:firstLine="0" w:firstLineChars="0"/>
              <w:jc w:val="center"/>
              <w:rPr>
                <w:rFonts w:hint="eastAsia" w:asciiTheme="minorEastAsia" w:hAnsiTheme="minorEastAsia" w:eastAsiaTheme="minorEastAsia" w:cstheme="minorEastAsia"/>
                <w:color w:val="auto"/>
                <w:kern w:val="2"/>
                <w:sz w:val="24"/>
                <w:szCs w:val="24"/>
              </w:rPr>
            </w:pPr>
          </w:p>
        </w:tc>
      </w:tr>
    </w:tbl>
    <w:p w14:paraId="64F16343">
      <w:pPr>
        <w:pStyle w:val="11"/>
        <w:spacing w:line="360" w:lineRule="auto"/>
        <w:ind w:firstLine="0" w:firstLineChars="0"/>
        <w:contextualSpacing/>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注：</w:t>
      </w:r>
    </w:p>
    <w:p w14:paraId="0C67413E">
      <w:pPr>
        <w:pStyle w:val="11"/>
        <w:spacing w:line="360" w:lineRule="auto"/>
        <w:ind w:firstLine="480" w:firstLineChars="200"/>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1.说明：应对照谈判文件“第三章 采购需求”中的技术要求逐条实质性响应，并作出偏离说明。</w:t>
      </w:r>
    </w:p>
    <w:p w14:paraId="3396C4C0">
      <w:pPr>
        <w:pStyle w:val="11"/>
        <w:spacing w:line="360" w:lineRule="auto"/>
        <w:ind w:firstLine="480" w:firstLineChars="200"/>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2.供应商应根据其参与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szCs w:val="24"/>
        </w:rPr>
        <w:t>设备的性能指标，对照谈判文件要求，在“偏离说明”中注明“正偏离”、“负偏离”或者“无偏离”。既不属于“正偏离”也不属于“负偏离”即为“无偏离”。</w:t>
      </w:r>
    </w:p>
    <w:p w14:paraId="5552D0F0">
      <w:pPr>
        <w:pStyle w:val="11"/>
        <w:spacing w:line="360" w:lineRule="auto"/>
        <w:ind w:firstLine="480" w:firstLineChars="200"/>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3.供应商认为其</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szCs w:val="24"/>
        </w:rPr>
        <w:t>响应有正偏离的，请在技术偏离表中列明，且在响应文件中提供参与</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szCs w:val="24"/>
        </w:rPr>
        <w:t>产品的彩页或国家认可有资质的第三方检测机构出具的检测报告复印件或产品生产厂家出具的技术参数说明证明作为佐证，以上佐证材料均需加盖生产厂家或代理商（附生产厂家授权资料</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公章。</w:t>
      </w:r>
    </w:p>
    <w:p w14:paraId="28184B05">
      <w:pPr>
        <w:pStyle w:val="11"/>
        <w:spacing w:line="360" w:lineRule="auto"/>
        <w:ind w:firstLine="480" w:firstLineChars="200"/>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4.如技术偏离表中的</w:t>
      </w:r>
      <w:r>
        <w:rPr>
          <w:rFonts w:hint="eastAsia" w:asciiTheme="minorEastAsia" w:hAnsiTheme="minorEastAsia" w:eastAsiaTheme="minorEastAsia" w:cstheme="minorEastAsia"/>
          <w:color w:val="auto"/>
          <w:sz w:val="24"/>
          <w:lang w:bidi="ar"/>
        </w:rPr>
        <w:t>竞争性谈判</w:t>
      </w:r>
      <w:r>
        <w:rPr>
          <w:rFonts w:hint="eastAsia" w:asciiTheme="minorEastAsia" w:hAnsiTheme="minorEastAsia" w:eastAsiaTheme="minorEastAsia" w:cstheme="minorEastAsia"/>
          <w:color w:val="auto"/>
          <w:sz w:val="24"/>
          <w:szCs w:val="24"/>
        </w:rPr>
        <w:t>响应与佐证材料不一致的，以佐证材料为准。</w:t>
      </w:r>
    </w:p>
    <w:p w14:paraId="19DF0EBA">
      <w:pPr>
        <w:pStyle w:val="11"/>
        <w:spacing w:line="360" w:lineRule="auto"/>
        <w:ind w:firstLine="0" w:firstLineChars="0"/>
        <w:contextualSpacing/>
        <w:rPr>
          <w:rFonts w:hint="eastAsia" w:asciiTheme="minorEastAsia" w:hAnsiTheme="minorEastAsia" w:eastAsiaTheme="minorEastAsia" w:cstheme="minorEastAsia"/>
          <w:color w:val="auto"/>
          <w:sz w:val="24"/>
          <w:szCs w:val="24"/>
        </w:rPr>
      </w:pPr>
    </w:p>
    <w:p w14:paraId="3BB2C972">
      <w:pPr>
        <w:spacing w:line="360" w:lineRule="auto"/>
        <w:contextualSpacing/>
        <w:rPr>
          <w:rFonts w:hint="eastAsia" w:asciiTheme="minorEastAsia" w:hAnsiTheme="minorEastAsia" w:eastAsiaTheme="minorEastAsia" w:cstheme="minorEastAsia"/>
          <w:color w:val="auto"/>
          <w:sz w:val="24"/>
        </w:rPr>
      </w:pPr>
    </w:p>
    <w:p w14:paraId="35ED5EB2">
      <w:pPr>
        <w:spacing w:line="360" w:lineRule="auto"/>
        <w:contextualSpacing/>
        <w:jc w:val="center"/>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 xml:space="preserve">      法定代表人或者委托代理人（签字</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146382B6">
      <w:pPr>
        <w:spacing w:line="360" w:lineRule="auto"/>
        <w:ind w:firstLine="2880" w:firstLineChars="1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供应商（公章</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 xml:space="preserve">      </w:t>
      </w:r>
    </w:p>
    <w:p w14:paraId="3965C93E">
      <w:pPr>
        <w:spacing w:line="360" w:lineRule="auto"/>
        <w:ind w:firstLine="2880" w:firstLineChars="1200"/>
        <w:contextualSpacing/>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24"/>
        </w:rPr>
        <w:t>日期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年</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月</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日</w:t>
      </w:r>
    </w:p>
    <w:p w14:paraId="29BBF01F">
      <w:pPr>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 w:val="24"/>
        </w:rPr>
        <w:br w:type="page"/>
      </w:r>
      <w:r>
        <w:rPr>
          <w:rFonts w:hint="eastAsia" w:asciiTheme="minorEastAsia" w:hAnsiTheme="minorEastAsia" w:eastAsiaTheme="minorEastAsia" w:cstheme="minorEastAsia"/>
          <w:b/>
          <w:bCs/>
          <w:color w:val="auto"/>
          <w:sz w:val="24"/>
        </w:rPr>
        <w:t>其他文书、文件格式</w:t>
      </w:r>
    </w:p>
    <w:p w14:paraId="382FF661">
      <w:pPr>
        <w:adjustRightInd w:val="0"/>
        <w:snapToGrid w:val="0"/>
        <w:spacing w:line="360" w:lineRule="auto"/>
        <w:jc w:val="center"/>
        <w:rPr>
          <w:rFonts w:hint="eastAsia" w:asciiTheme="minorEastAsia" w:hAnsiTheme="minorEastAsia" w:eastAsiaTheme="minorEastAsia" w:cstheme="minorEastAsia"/>
          <w:b/>
          <w:bCs/>
          <w:color w:val="auto"/>
          <w:sz w:val="44"/>
          <w:szCs w:val="44"/>
          <w:lang w:eastAsia="zh-CN"/>
        </w:rPr>
      </w:pPr>
      <w:bookmarkStart w:id="33" w:name="_Toc71365383"/>
      <w:bookmarkStart w:id="34" w:name="_Toc71366061"/>
      <w:r>
        <w:rPr>
          <w:rFonts w:hint="eastAsia" w:asciiTheme="minorEastAsia" w:hAnsiTheme="minorEastAsia" w:eastAsiaTheme="minorEastAsia" w:cstheme="minorEastAsia"/>
          <w:b/>
          <w:bCs/>
          <w:color w:val="auto"/>
          <w:sz w:val="44"/>
          <w:szCs w:val="44"/>
        </w:rPr>
        <w:t>中小企业声明函（货物</w:t>
      </w:r>
      <w:bookmarkEnd w:id="33"/>
      <w:bookmarkEnd w:id="34"/>
      <w:r>
        <w:rPr>
          <w:rFonts w:hint="eastAsia" w:asciiTheme="minorEastAsia" w:hAnsiTheme="minorEastAsia" w:eastAsiaTheme="minorEastAsia" w:cstheme="minorEastAsia"/>
          <w:b/>
          <w:bCs/>
          <w:color w:val="auto"/>
          <w:sz w:val="44"/>
          <w:szCs w:val="44"/>
          <w:lang w:eastAsia="zh-CN"/>
        </w:rPr>
        <w:t>）</w:t>
      </w:r>
    </w:p>
    <w:p w14:paraId="11FCF329">
      <w:pPr>
        <w:spacing w:line="360" w:lineRule="auto"/>
        <w:rPr>
          <w:rFonts w:hint="eastAsia" w:asciiTheme="minorEastAsia" w:hAnsiTheme="minorEastAsia" w:eastAsiaTheme="minorEastAsia" w:cstheme="minorEastAsia"/>
          <w:color w:val="auto"/>
        </w:rPr>
      </w:pPr>
    </w:p>
    <w:p w14:paraId="59C72298">
      <w:pPr>
        <w:pStyle w:val="10"/>
        <w:spacing w:after="0" w:line="360" w:lineRule="auto"/>
        <w:ind w:firstLine="64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本公司（联合体</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郑重声明，根据《政府采购促进中小企业发展管理办法》（财库﹝2020﹞46号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的规定，本公司（联合体</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参加</w:t>
      </w:r>
      <w:r>
        <w:rPr>
          <w:rFonts w:hint="eastAsia" w:asciiTheme="minorEastAsia" w:hAnsiTheme="minorEastAsia" w:eastAsiaTheme="minorEastAsia" w:cstheme="minorEastAsia"/>
          <w:color w:val="auto"/>
          <w:sz w:val="24"/>
          <w:u w:val="single"/>
        </w:rPr>
        <w:t>（单位名称</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rPr>
        <w:t>的</w:t>
      </w:r>
      <w:r>
        <w:rPr>
          <w:rFonts w:hint="eastAsia" w:asciiTheme="minorEastAsia" w:hAnsiTheme="minorEastAsia" w:eastAsiaTheme="minorEastAsia" w:cstheme="minorEastAsia"/>
          <w:color w:val="auto"/>
          <w:sz w:val="24"/>
          <w:u w:val="single"/>
        </w:rPr>
        <w:t>（项目名称</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rPr>
        <w:t>采购活动，提供的货物全部由符合政策要求的中小企业制造。相关企业（含联合体中的中小企业、签订分包意向协议的中小企业</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的具体情况如下：</w:t>
      </w:r>
    </w:p>
    <w:p w14:paraId="45B92512">
      <w:pPr>
        <w:tabs>
          <w:tab w:val="left" w:pos="1384"/>
          <w:tab w:val="left" w:pos="4562"/>
          <w:tab w:val="left" w:pos="6803"/>
        </w:tabs>
        <w:spacing w:line="360" w:lineRule="auto"/>
        <w:ind w:firstLine="655"/>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r>
        <w:rPr>
          <w:rFonts w:hint="eastAsia" w:asciiTheme="minorEastAsia" w:hAnsiTheme="minorEastAsia" w:eastAsiaTheme="minorEastAsia" w:cstheme="minorEastAsia"/>
          <w:color w:val="auto"/>
          <w:sz w:val="24"/>
          <w:u w:val="single"/>
        </w:rPr>
        <w:t>（标的名称</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rPr>
        <w:t>，属于</w:t>
      </w:r>
      <w:r>
        <w:rPr>
          <w:rFonts w:hint="eastAsia" w:asciiTheme="minorEastAsia" w:hAnsiTheme="minorEastAsia" w:eastAsiaTheme="minorEastAsia" w:cstheme="minorEastAsia"/>
          <w:color w:val="auto"/>
          <w:sz w:val="24"/>
          <w:u w:val="single"/>
        </w:rPr>
        <w:t>（采购文件中明确的所属行业</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rPr>
        <w:t>行业；制造商为</w:t>
      </w:r>
      <w:r>
        <w:rPr>
          <w:rFonts w:hint="eastAsia" w:asciiTheme="minorEastAsia" w:hAnsiTheme="minorEastAsia" w:eastAsiaTheme="minorEastAsia" w:cstheme="minorEastAsia"/>
          <w:color w:val="auto"/>
          <w:sz w:val="24"/>
          <w:u w:val="single"/>
        </w:rPr>
        <w:t>（企业名称</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rPr>
        <w:t>，从业人员</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人，营业收入为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万元，资产总额为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万元，属于</w:t>
      </w:r>
      <w:r>
        <w:rPr>
          <w:rFonts w:hint="eastAsia" w:asciiTheme="minorEastAsia" w:hAnsiTheme="minorEastAsia" w:eastAsiaTheme="minorEastAsia" w:cstheme="minorEastAsia"/>
          <w:color w:val="auto"/>
          <w:sz w:val="24"/>
          <w:u w:val="single"/>
        </w:rPr>
        <w:t>（中型企业、小型企业、微型企业</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rPr>
        <w:t>；</w:t>
      </w:r>
    </w:p>
    <w:p w14:paraId="57F38EFD">
      <w:pPr>
        <w:tabs>
          <w:tab w:val="left" w:pos="1065"/>
          <w:tab w:val="left" w:pos="6477"/>
        </w:tabs>
        <w:spacing w:line="360" w:lineRule="auto"/>
        <w:ind w:firstLine="655"/>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u w:val="single"/>
        </w:rPr>
        <w:t>（标的名称</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rPr>
        <w:t>，属于</w:t>
      </w:r>
      <w:r>
        <w:rPr>
          <w:rFonts w:hint="eastAsia" w:asciiTheme="minorEastAsia" w:hAnsiTheme="minorEastAsia" w:eastAsiaTheme="minorEastAsia" w:cstheme="minorEastAsia"/>
          <w:color w:val="auto"/>
          <w:sz w:val="24"/>
          <w:u w:val="single"/>
        </w:rPr>
        <w:t>（采购文件中明确的所属行业</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rPr>
        <w:t>行业；制造商为</w:t>
      </w:r>
      <w:r>
        <w:rPr>
          <w:rFonts w:hint="eastAsia" w:asciiTheme="minorEastAsia" w:hAnsiTheme="minorEastAsia" w:eastAsiaTheme="minorEastAsia" w:cstheme="minorEastAsia"/>
          <w:color w:val="auto"/>
          <w:sz w:val="24"/>
          <w:u w:val="single"/>
        </w:rPr>
        <w:t>（企业名称</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rPr>
        <w:t>，从业人员</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人，营业收入为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万元，资产总额为</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万元，属于</w:t>
      </w:r>
      <w:r>
        <w:rPr>
          <w:rFonts w:hint="eastAsia" w:asciiTheme="minorEastAsia" w:hAnsiTheme="minorEastAsia" w:eastAsiaTheme="minorEastAsia" w:cstheme="minorEastAsia"/>
          <w:color w:val="auto"/>
          <w:sz w:val="24"/>
          <w:u w:val="single"/>
        </w:rPr>
        <w:t>（中型企业、小型企业、微型企业</w:t>
      </w:r>
      <w:r>
        <w:rPr>
          <w:rFonts w:hint="eastAsia" w:asciiTheme="minorEastAsia" w:hAnsiTheme="minorEastAsia" w:eastAsiaTheme="minorEastAsia" w:cstheme="minorEastAsia"/>
          <w:color w:val="auto"/>
          <w:sz w:val="24"/>
          <w:u w:val="single"/>
          <w:lang w:eastAsia="zh-CN"/>
        </w:rPr>
        <w:t>）</w:t>
      </w:r>
      <w:r>
        <w:rPr>
          <w:rFonts w:hint="eastAsia" w:asciiTheme="minorEastAsia" w:hAnsiTheme="minorEastAsia" w:eastAsiaTheme="minorEastAsia" w:cstheme="minorEastAsia"/>
          <w:color w:val="auto"/>
          <w:sz w:val="24"/>
        </w:rPr>
        <w:t>；</w:t>
      </w:r>
    </w:p>
    <w:p w14:paraId="068BAAC9">
      <w:pPr>
        <w:pStyle w:val="10"/>
        <w:spacing w:after="0" w:line="360" w:lineRule="auto"/>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w:t>
      </w:r>
    </w:p>
    <w:p w14:paraId="5690E169">
      <w:pPr>
        <w:pStyle w:val="10"/>
        <w:spacing w:after="0" w:line="360" w:lineRule="auto"/>
        <w:ind w:firstLine="453" w:firstLineChars="189"/>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以上企业，不属于大企业的分支机构，不存在控股股东为大企业的情形，也不存在与大企业的负责人为同一人的情形。</w:t>
      </w:r>
    </w:p>
    <w:p w14:paraId="37931C5C">
      <w:pPr>
        <w:pStyle w:val="10"/>
        <w:spacing w:after="0" w:line="360" w:lineRule="auto"/>
        <w:ind w:firstLine="567"/>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本企业对上述声明内容的真实性负责。如有虚假，将依法承担相应责任。</w:t>
      </w:r>
    </w:p>
    <w:p w14:paraId="5D0E0924">
      <w:pPr>
        <w:pStyle w:val="10"/>
        <w:spacing w:after="0" w:line="360" w:lineRule="auto"/>
        <w:contextualSpacing/>
        <w:rPr>
          <w:rFonts w:hint="eastAsia" w:asciiTheme="minorEastAsia" w:hAnsiTheme="minorEastAsia" w:eastAsiaTheme="minorEastAsia" w:cstheme="minorEastAsia"/>
          <w:color w:val="auto"/>
          <w:sz w:val="24"/>
        </w:rPr>
      </w:pPr>
    </w:p>
    <w:p w14:paraId="7DF563B8">
      <w:pPr>
        <w:pStyle w:val="10"/>
        <w:spacing w:after="0" w:line="360" w:lineRule="auto"/>
        <w:ind w:firstLine="3360" w:firstLineChars="1400"/>
        <w:contextualSpacing/>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企业名称（公章</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4DFFCC47">
      <w:pPr>
        <w:pStyle w:val="10"/>
        <w:spacing w:after="0" w:line="360" w:lineRule="auto"/>
        <w:ind w:firstLine="3360" w:firstLineChars="14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日 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年</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月</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日</w:t>
      </w:r>
    </w:p>
    <w:p w14:paraId="0F76CA35">
      <w:pPr>
        <w:pStyle w:val="10"/>
        <w:spacing w:after="0" w:line="360" w:lineRule="auto"/>
        <w:contextualSpacing/>
        <w:rPr>
          <w:rFonts w:hint="eastAsia" w:asciiTheme="minorEastAsia" w:hAnsiTheme="minorEastAsia" w:eastAsiaTheme="minorEastAsia" w:cstheme="minorEastAsia"/>
          <w:color w:val="auto"/>
        </w:rPr>
      </w:pPr>
    </w:p>
    <w:p w14:paraId="0A18A2CE">
      <w:pPr>
        <w:spacing w:line="360" w:lineRule="auto"/>
        <w:contextualSpacing/>
        <w:jc w:val="left"/>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w:t>
      </w:r>
    </w:p>
    <w:p w14:paraId="44E34E70">
      <w:pPr>
        <w:spacing w:line="360" w:lineRule="auto"/>
        <w:ind w:firstLine="480" w:firstLineChars="200"/>
        <w:contextualSpacing/>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享受《政府采购促进中小企业发展管理办法》（财库〔2020〕46号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规定的中小企业扶持政策的，采购人、采购代理机构应当随成交结果公开成交供应商的《中小企业声明函》。从业人员、营业收入、资产总额填报上一年度数据，无上一年度数据的新成立企业可不填报。</w:t>
      </w:r>
    </w:p>
    <w:p w14:paraId="4F0A18FF">
      <w:pPr>
        <w:spacing w:line="360" w:lineRule="auto"/>
        <w:contextualSpacing/>
        <w:jc w:val="center"/>
        <w:rPr>
          <w:rFonts w:hint="eastAsia" w:asciiTheme="minorEastAsia" w:hAnsiTheme="minorEastAsia" w:eastAsiaTheme="minorEastAsia" w:cstheme="minorEastAsia"/>
          <w:color w:val="auto"/>
          <w:sz w:val="24"/>
        </w:rPr>
      </w:pPr>
    </w:p>
    <w:p w14:paraId="24342A76">
      <w:pPr>
        <w:spacing w:line="360" w:lineRule="auto"/>
        <w:contextualSpacing/>
        <w:jc w:val="center"/>
        <w:rPr>
          <w:rFonts w:hint="eastAsia" w:asciiTheme="minorEastAsia" w:hAnsiTheme="minorEastAsia" w:eastAsiaTheme="minorEastAsia" w:cstheme="minorEastAsia"/>
          <w:color w:val="auto"/>
          <w:sz w:val="24"/>
        </w:rPr>
      </w:pPr>
    </w:p>
    <w:p w14:paraId="64BCD7A8">
      <w:pPr>
        <w:spacing w:line="360" w:lineRule="auto"/>
        <w:ind w:left="0" w:leftChars="0" w:right="0" w:rightChars="0" w:firstLine="0" w:firstLineChars="0"/>
        <w:jc w:val="center"/>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color w:val="auto"/>
          <w:sz w:val="32"/>
          <w:szCs w:val="32"/>
        </w:rPr>
        <w:br w:type="page"/>
      </w:r>
      <w:r>
        <w:rPr>
          <w:rFonts w:hint="eastAsia" w:asciiTheme="minorEastAsia" w:hAnsiTheme="minorEastAsia" w:eastAsiaTheme="minorEastAsia" w:cstheme="minorEastAsia"/>
          <w:b/>
          <w:color w:val="auto"/>
          <w:sz w:val="44"/>
          <w:szCs w:val="44"/>
        </w:rPr>
        <w:t>残疾人福利性单位声明函</w:t>
      </w:r>
    </w:p>
    <w:p w14:paraId="1632EBB3">
      <w:pPr>
        <w:spacing w:line="360" w:lineRule="auto"/>
        <w:rPr>
          <w:rFonts w:hint="eastAsia" w:asciiTheme="minorEastAsia" w:hAnsiTheme="minorEastAsia" w:eastAsiaTheme="minorEastAsia" w:cstheme="minorEastAsia"/>
          <w:color w:val="auto"/>
          <w:sz w:val="32"/>
          <w:szCs w:val="32"/>
        </w:rPr>
      </w:pPr>
    </w:p>
    <w:p w14:paraId="17832A69">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本单位郑重声明，根据《财政部 民政部 中国残疾人联合会关于促进残疾人就业政府采购政策的通知》（财库〔2017〕141号</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的规定，本单位为符合条件的残疾人福利性单位，且本单位参加</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单位的</w:t>
      </w:r>
      <w:r>
        <w:rPr>
          <w:rFonts w:hint="eastAsia" w:asciiTheme="minorEastAsia" w:hAnsiTheme="minorEastAsia" w:eastAsiaTheme="minorEastAsia" w:cstheme="minorEastAsia"/>
          <w:color w:val="auto"/>
          <w:sz w:val="24"/>
          <w:u w:val="single"/>
        </w:rPr>
        <w:t xml:space="preserve">        </w:t>
      </w:r>
      <w:r>
        <w:rPr>
          <w:rFonts w:hint="eastAsia" w:asciiTheme="minorEastAsia" w:hAnsiTheme="minorEastAsia" w:eastAsiaTheme="minorEastAsia" w:cstheme="minorEastAsia"/>
          <w:color w:val="auto"/>
          <w:sz w:val="24"/>
        </w:rPr>
        <w:t>项目采购活动提供本单位制造的货物（由本单位承担工程/提供服务</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，或者提供其他残疾人福利性单位制造的货物（不包括使用非残疾人福利性单位注册商标的货物</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w:t>
      </w:r>
    </w:p>
    <w:p w14:paraId="34F60704">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本单位对上述声明的真实性负责。如有虚假，将依法承担相应责任。</w:t>
      </w:r>
    </w:p>
    <w:p w14:paraId="1C5A13BA">
      <w:pPr>
        <w:spacing w:line="360" w:lineRule="auto"/>
        <w:contextualSpacing/>
        <w:rPr>
          <w:rFonts w:hint="eastAsia" w:asciiTheme="minorEastAsia" w:hAnsiTheme="minorEastAsia" w:eastAsiaTheme="minorEastAsia" w:cstheme="minorEastAsia"/>
          <w:color w:val="auto"/>
          <w:sz w:val="24"/>
        </w:rPr>
      </w:pPr>
    </w:p>
    <w:p w14:paraId="050F491E">
      <w:pPr>
        <w:spacing w:line="360" w:lineRule="auto"/>
        <w:contextualSpacing/>
        <w:rPr>
          <w:rFonts w:hint="eastAsia" w:asciiTheme="minorEastAsia" w:hAnsiTheme="minorEastAsia" w:eastAsiaTheme="minorEastAsia" w:cstheme="minorEastAsia"/>
          <w:color w:val="auto"/>
          <w:sz w:val="24"/>
        </w:rPr>
      </w:pPr>
    </w:p>
    <w:p w14:paraId="7CE6B564">
      <w:pPr>
        <w:spacing w:line="360" w:lineRule="auto"/>
        <w:contextualSpacing/>
        <w:rPr>
          <w:rFonts w:hint="eastAsia" w:asciiTheme="minorEastAsia" w:hAnsiTheme="minorEastAsia" w:eastAsiaTheme="minorEastAsia" w:cstheme="minorEastAsia"/>
          <w:color w:val="auto"/>
          <w:sz w:val="24"/>
        </w:rPr>
      </w:pPr>
    </w:p>
    <w:p w14:paraId="66B21B02">
      <w:pPr>
        <w:spacing w:line="360" w:lineRule="auto"/>
        <w:ind w:firstLine="3600" w:firstLineChars="1500"/>
        <w:contextualSpacing/>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auto"/>
          <w:sz w:val="24"/>
        </w:rPr>
        <w:t>单位名称（公章</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u w:val="single"/>
        </w:rPr>
        <w:t xml:space="preserve">                   </w:t>
      </w:r>
    </w:p>
    <w:p w14:paraId="3C1408BC">
      <w:pPr>
        <w:spacing w:line="360" w:lineRule="auto"/>
        <w:ind w:firstLine="3600" w:firstLineChars="15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日  期</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年</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月</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日</w:t>
      </w:r>
    </w:p>
    <w:p w14:paraId="33228BFF">
      <w:pPr>
        <w:spacing w:line="360" w:lineRule="auto"/>
        <w:contextualSpacing/>
        <w:rPr>
          <w:rFonts w:hint="eastAsia" w:asciiTheme="minorEastAsia" w:hAnsiTheme="minorEastAsia" w:eastAsiaTheme="minorEastAsia" w:cstheme="minorEastAsia"/>
          <w:color w:val="auto"/>
          <w:sz w:val="24"/>
        </w:rPr>
      </w:pPr>
    </w:p>
    <w:p w14:paraId="24B8F10E">
      <w:pPr>
        <w:spacing w:line="360" w:lineRule="auto"/>
        <w:contextualSpacing/>
        <w:rPr>
          <w:rFonts w:hint="eastAsia" w:asciiTheme="minorEastAsia" w:hAnsiTheme="minorEastAsia" w:eastAsiaTheme="minorEastAsia" w:cstheme="minorEastAsia"/>
          <w:color w:val="auto"/>
          <w:sz w:val="24"/>
        </w:rPr>
      </w:pPr>
    </w:p>
    <w:p w14:paraId="7372F913">
      <w:pPr>
        <w:spacing w:line="360" w:lineRule="auto"/>
        <w:contextualSpacing/>
        <w:rPr>
          <w:rFonts w:hint="eastAsia" w:asciiTheme="minorEastAsia" w:hAnsiTheme="minorEastAsia" w:eastAsiaTheme="minorEastAsia" w:cstheme="minorEastAsia"/>
          <w:color w:val="auto"/>
          <w:sz w:val="24"/>
        </w:rPr>
      </w:pPr>
    </w:p>
    <w:p w14:paraId="043F0591">
      <w:pPr>
        <w:spacing w:line="360" w:lineRule="auto"/>
        <w:contextualSpacing/>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注：</w:t>
      </w:r>
    </w:p>
    <w:p w14:paraId="7BD5463C">
      <w:pPr>
        <w:spacing w:line="360" w:lineRule="auto"/>
        <w:ind w:firstLine="480" w:firstLineChars="200"/>
        <w:contextualSpacing/>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请根据自己的真实情况出具《残疾人福利性单位声明函》。依法享受中小企业优惠政策的，采购人或者采购代理机构在公告中标结果时，同时公告其《残疾人福利性单位声明函》，接受社会监督。</w:t>
      </w:r>
    </w:p>
    <w:p w14:paraId="523CD6C3">
      <w:pPr>
        <w:spacing w:line="360" w:lineRule="auto"/>
        <w:jc w:val="center"/>
        <w:rPr>
          <w:rFonts w:hint="eastAsia" w:asciiTheme="minorEastAsia" w:hAnsiTheme="minorEastAsia" w:eastAsiaTheme="minorEastAsia" w:cstheme="minorEastAsia"/>
          <w:color w:val="auto"/>
          <w:sz w:val="24"/>
        </w:rPr>
        <w:sectPr>
          <w:footerReference r:id="rId6" w:type="first"/>
          <w:pgSz w:w="11905" w:h="16838"/>
          <w:pgMar w:top="1134" w:right="1134" w:bottom="1134" w:left="1134" w:header="850" w:footer="992" w:gutter="0"/>
          <w:cols w:space="720" w:num="1"/>
          <w:titlePg/>
          <w:docGrid w:type="lines" w:linePitch="318" w:charSpace="0"/>
        </w:sectPr>
      </w:pPr>
    </w:p>
    <w:p w14:paraId="1595EDDB">
      <w:pPr>
        <w:bidi w:val="0"/>
        <w:rPr>
          <w:rFonts w:hint="eastAsia" w:asciiTheme="minorEastAsia" w:hAnsiTheme="minorEastAsia" w:eastAsiaTheme="minorEastAsia" w:cstheme="minorEastAsia"/>
          <w:color w:val="auto"/>
          <w:sz w:val="21"/>
          <w:szCs w:val="24"/>
          <w:lang w:val="en-US" w:eastAsia="zh-CN"/>
        </w:rPr>
      </w:pPr>
      <w:r>
        <w:rPr>
          <w:rFonts w:hint="eastAsia" w:asciiTheme="minorEastAsia" w:hAnsiTheme="minorEastAsia" w:eastAsiaTheme="minorEastAsia" w:cstheme="minorEastAsia"/>
          <w:color w:val="auto"/>
          <w:sz w:val="21"/>
          <w:szCs w:val="24"/>
          <w:lang w:val="en-US" w:eastAsia="zh-CN"/>
        </w:rPr>
        <w:t>如供应商提供的产品属于本国产品，按以下格式提供关于符合本国产品标准的声明函</w:t>
      </w:r>
    </w:p>
    <w:p w14:paraId="51CAF9A3">
      <w:pPr>
        <w:bidi w:val="0"/>
        <w:rPr>
          <w:rFonts w:hint="eastAsia" w:asciiTheme="minorEastAsia" w:hAnsiTheme="minorEastAsia" w:eastAsiaTheme="minorEastAsia" w:cstheme="minorEastAsia"/>
          <w:color w:val="auto"/>
        </w:rPr>
      </w:pPr>
    </w:p>
    <w:p w14:paraId="4BDEC069">
      <w:pPr>
        <w:spacing w:line="360" w:lineRule="auto"/>
        <w:ind w:left="0" w:leftChars="0" w:right="0" w:rightChars="0" w:firstLine="0" w:firstLineChars="0"/>
        <w:jc w:val="center"/>
        <w:rPr>
          <w:rFonts w:hint="eastAsia" w:asciiTheme="minorEastAsia" w:hAnsiTheme="minorEastAsia" w:eastAsiaTheme="minorEastAsia" w:cstheme="minorEastAsia"/>
          <w:b/>
          <w:color w:val="auto"/>
          <w:sz w:val="44"/>
          <w:szCs w:val="44"/>
        </w:rPr>
      </w:pPr>
      <w:r>
        <w:rPr>
          <w:rFonts w:hint="eastAsia" w:asciiTheme="minorEastAsia" w:hAnsiTheme="minorEastAsia" w:eastAsiaTheme="minorEastAsia" w:cstheme="minorEastAsia"/>
          <w:b/>
          <w:color w:val="auto"/>
          <w:sz w:val="44"/>
          <w:szCs w:val="44"/>
        </w:rPr>
        <w:t>关于符合本国产品标准的声明函</w:t>
      </w:r>
    </w:p>
    <w:p w14:paraId="25BDF02D">
      <w:pPr>
        <w:bidi w:val="0"/>
        <w:rPr>
          <w:rFonts w:hint="eastAsia" w:asciiTheme="minorEastAsia" w:hAnsiTheme="minorEastAsia" w:eastAsiaTheme="minorEastAsia" w:cstheme="minorEastAsia"/>
          <w:color w:val="auto"/>
        </w:rPr>
      </w:pPr>
    </w:p>
    <w:p w14:paraId="205A8E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本公司（单位）郑重声明，根据《国务院办公厅关于在政府采购中实施本国产品标准及相关政策的通知》（国办发〔2025〕34号）的规定，本公司（单位）提供的以下产品属于本国产品。具体情况如下：</w:t>
      </w:r>
    </w:p>
    <w:p w14:paraId="685E0D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u w:val="single"/>
        </w:rPr>
        <w:t>（产品名称1）1</w:t>
      </w:r>
      <w:r>
        <w:rPr>
          <w:rFonts w:hint="eastAsia" w:asciiTheme="minorEastAsia" w:hAnsiTheme="minorEastAsia" w:eastAsiaTheme="minorEastAsia" w:cstheme="minorEastAsia"/>
          <w:color w:val="auto"/>
          <w:sz w:val="24"/>
          <w:szCs w:val="24"/>
        </w:rPr>
        <w:t>，生产厂为</w:t>
      </w:r>
      <w:r>
        <w:rPr>
          <w:rFonts w:hint="eastAsia" w:asciiTheme="minorEastAsia" w:hAnsiTheme="minorEastAsia" w:eastAsiaTheme="minorEastAsia" w:cstheme="minorEastAsia"/>
          <w:color w:val="auto"/>
          <w:sz w:val="24"/>
          <w:szCs w:val="24"/>
          <w:u w:val="single"/>
        </w:rPr>
        <w:t>（厂名）2</w:t>
      </w:r>
      <w:r>
        <w:rPr>
          <w:rFonts w:hint="eastAsia" w:asciiTheme="minorEastAsia" w:hAnsiTheme="minorEastAsia" w:eastAsiaTheme="minorEastAsia" w:cstheme="minorEastAsia"/>
          <w:color w:val="auto"/>
          <w:sz w:val="24"/>
          <w:szCs w:val="24"/>
        </w:rPr>
        <w:t>，厂址为</w:t>
      </w:r>
      <w:r>
        <w:rPr>
          <w:rFonts w:hint="eastAsia" w:asciiTheme="minorEastAsia" w:hAnsiTheme="minorEastAsia" w:eastAsiaTheme="minorEastAsia" w:cstheme="minorEastAsia"/>
          <w:color w:val="auto"/>
          <w:sz w:val="24"/>
          <w:szCs w:val="24"/>
          <w:u w:val="single"/>
        </w:rPr>
        <w:t>（生产厂址）</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u w:val="single"/>
        </w:rPr>
        <w:t>（产品名称1）</w:t>
      </w:r>
      <w:r>
        <w:rPr>
          <w:rFonts w:hint="eastAsia" w:asciiTheme="minorEastAsia" w:hAnsiTheme="minorEastAsia" w:eastAsiaTheme="minorEastAsia" w:cstheme="minorEastAsia"/>
          <w:color w:val="auto"/>
          <w:sz w:val="24"/>
          <w:szCs w:val="24"/>
        </w:rPr>
        <w:t>的中国境内生产的组件成本占比≥</w:t>
      </w:r>
      <w:r>
        <w:rPr>
          <w:rFonts w:hint="eastAsia" w:asciiTheme="minorEastAsia" w:hAnsiTheme="minorEastAsia" w:eastAsiaTheme="minorEastAsia" w:cstheme="minorEastAsia"/>
          <w:color w:val="auto"/>
          <w:sz w:val="24"/>
          <w:szCs w:val="24"/>
          <w:u w:val="single"/>
        </w:rPr>
        <w:t>（规定比例）3</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u w:val="single"/>
        </w:rPr>
        <w:t>（产品名称1）</w:t>
      </w:r>
      <w:r>
        <w:rPr>
          <w:rFonts w:hint="eastAsia" w:asciiTheme="minorEastAsia" w:hAnsiTheme="minorEastAsia" w:eastAsiaTheme="minorEastAsia" w:cstheme="minorEastAsia"/>
          <w:color w:val="auto"/>
          <w:sz w:val="24"/>
          <w:szCs w:val="24"/>
        </w:rPr>
        <w:t>的</w:t>
      </w:r>
      <w:r>
        <w:rPr>
          <w:rFonts w:hint="eastAsia" w:asciiTheme="minorEastAsia" w:hAnsiTheme="minorEastAsia" w:eastAsiaTheme="minorEastAsia" w:cstheme="minorEastAsia"/>
          <w:color w:val="auto"/>
          <w:sz w:val="24"/>
          <w:szCs w:val="24"/>
          <w:u w:val="single"/>
        </w:rPr>
        <w:t>（关键组件）4</w:t>
      </w:r>
      <w:r>
        <w:rPr>
          <w:rFonts w:hint="eastAsia" w:asciiTheme="minorEastAsia" w:hAnsiTheme="minorEastAsia" w:eastAsiaTheme="minorEastAsia" w:cstheme="minorEastAsia"/>
          <w:color w:val="auto"/>
          <w:sz w:val="24"/>
          <w:szCs w:val="24"/>
        </w:rPr>
        <w:t>在中国境内生产。（产品名称1）的（关键工序）5在中国境内完成。</w:t>
      </w:r>
    </w:p>
    <w:p w14:paraId="7940A0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u w:val="single"/>
        </w:rPr>
        <w:t>（产品名称2）</w:t>
      </w:r>
      <w:r>
        <w:rPr>
          <w:rFonts w:hint="eastAsia" w:asciiTheme="minorEastAsia" w:hAnsiTheme="minorEastAsia" w:eastAsiaTheme="minorEastAsia" w:cstheme="minorEastAsia"/>
          <w:color w:val="auto"/>
          <w:sz w:val="24"/>
          <w:szCs w:val="24"/>
        </w:rPr>
        <w:t>，生产厂为</w:t>
      </w:r>
      <w:r>
        <w:rPr>
          <w:rFonts w:hint="eastAsia" w:asciiTheme="minorEastAsia" w:hAnsiTheme="minorEastAsia" w:eastAsiaTheme="minorEastAsia" w:cstheme="minorEastAsia"/>
          <w:color w:val="auto"/>
          <w:sz w:val="24"/>
          <w:szCs w:val="24"/>
          <w:u w:val="single"/>
        </w:rPr>
        <w:t>（厂名）</w:t>
      </w:r>
      <w:r>
        <w:rPr>
          <w:rFonts w:hint="eastAsia" w:asciiTheme="minorEastAsia" w:hAnsiTheme="minorEastAsia" w:eastAsiaTheme="minorEastAsia" w:cstheme="minorEastAsia"/>
          <w:color w:val="auto"/>
          <w:sz w:val="24"/>
          <w:szCs w:val="24"/>
        </w:rPr>
        <w:t>，厂址为</w:t>
      </w:r>
      <w:r>
        <w:rPr>
          <w:rFonts w:hint="eastAsia" w:asciiTheme="minorEastAsia" w:hAnsiTheme="minorEastAsia" w:eastAsiaTheme="minorEastAsia" w:cstheme="minorEastAsia"/>
          <w:color w:val="auto"/>
          <w:sz w:val="24"/>
          <w:szCs w:val="24"/>
          <w:u w:val="single"/>
        </w:rPr>
        <w:t>（生产厂址）</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u w:val="single"/>
        </w:rPr>
        <w:t>（产品名称2）</w:t>
      </w:r>
      <w:r>
        <w:rPr>
          <w:rFonts w:hint="eastAsia" w:asciiTheme="minorEastAsia" w:hAnsiTheme="minorEastAsia" w:eastAsiaTheme="minorEastAsia" w:cstheme="minorEastAsia"/>
          <w:color w:val="auto"/>
          <w:sz w:val="24"/>
          <w:szCs w:val="24"/>
        </w:rPr>
        <w:t>的中国境内生产的组件成本占比≥</w:t>
      </w:r>
      <w:r>
        <w:rPr>
          <w:rFonts w:hint="eastAsia" w:asciiTheme="minorEastAsia" w:hAnsiTheme="minorEastAsia" w:eastAsiaTheme="minorEastAsia" w:cstheme="minorEastAsia"/>
          <w:color w:val="auto"/>
          <w:sz w:val="24"/>
          <w:szCs w:val="24"/>
          <w:u w:val="single"/>
        </w:rPr>
        <w:t>（规定比例）</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u w:val="single"/>
        </w:rPr>
        <w:t>（产品名称2）</w:t>
      </w:r>
      <w:r>
        <w:rPr>
          <w:rFonts w:hint="eastAsia" w:asciiTheme="minorEastAsia" w:hAnsiTheme="minorEastAsia" w:eastAsiaTheme="minorEastAsia" w:cstheme="minorEastAsia"/>
          <w:color w:val="auto"/>
          <w:sz w:val="24"/>
          <w:szCs w:val="24"/>
        </w:rPr>
        <w:t>的</w:t>
      </w:r>
      <w:r>
        <w:rPr>
          <w:rFonts w:hint="eastAsia" w:asciiTheme="minorEastAsia" w:hAnsiTheme="minorEastAsia" w:eastAsiaTheme="minorEastAsia" w:cstheme="minorEastAsia"/>
          <w:color w:val="auto"/>
          <w:sz w:val="24"/>
          <w:szCs w:val="24"/>
          <w:u w:val="single"/>
        </w:rPr>
        <w:t>（关键组件）</w:t>
      </w:r>
      <w:r>
        <w:rPr>
          <w:rFonts w:hint="eastAsia" w:asciiTheme="minorEastAsia" w:hAnsiTheme="minorEastAsia" w:eastAsiaTheme="minorEastAsia" w:cstheme="minorEastAsia"/>
          <w:color w:val="auto"/>
          <w:sz w:val="24"/>
          <w:szCs w:val="24"/>
        </w:rPr>
        <w:t>在中国境内生产。</w:t>
      </w:r>
      <w:r>
        <w:rPr>
          <w:rFonts w:hint="eastAsia" w:asciiTheme="minorEastAsia" w:hAnsiTheme="minorEastAsia" w:eastAsiaTheme="minorEastAsia" w:cstheme="minorEastAsia"/>
          <w:color w:val="auto"/>
          <w:sz w:val="24"/>
          <w:szCs w:val="24"/>
          <w:u w:val="single"/>
        </w:rPr>
        <w:t>（产品名称2）</w:t>
      </w:r>
      <w:r>
        <w:rPr>
          <w:rFonts w:hint="eastAsia" w:asciiTheme="minorEastAsia" w:hAnsiTheme="minorEastAsia" w:eastAsiaTheme="minorEastAsia" w:cstheme="minorEastAsia"/>
          <w:color w:val="auto"/>
          <w:sz w:val="24"/>
          <w:szCs w:val="24"/>
        </w:rPr>
        <w:t>的</w:t>
      </w:r>
      <w:r>
        <w:rPr>
          <w:rFonts w:hint="eastAsia" w:asciiTheme="minorEastAsia" w:hAnsiTheme="minorEastAsia" w:eastAsiaTheme="minorEastAsia" w:cstheme="minorEastAsia"/>
          <w:color w:val="auto"/>
          <w:sz w:val="24"/>
          <w:szCs w:val="24"/>
          <w:u w:val="single"/>
        </w:rPr>
        <w:t>（关键工序）</w:t>
      </w:r>
      <w:r>
        <w:rPr>
          <w:rFonts w:hint="eastAsia" w:asciiTheme="minorEastAsia" w:hAnsiTheme="minorEastAsia" w:eastAsiaTheme="minorEastAsia" w:cstheme="minorEastAsia"/>
          <w:color w:val="auto"/>
          <w:sz w:val="24"/>
          <w:szCs w:val="24"/>
        </w:rPr>
        <w:t>在中国境内完成。</w:t>
      </w:r>
    </w:p>
    <w:p w14:paraId="62EF3B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p w14:paraId="31C103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本公司（单位）对上述声明内容的真实性负责。如有虚假，愿承担相应法律责任。</w:t>
      </w:r>
    </w:p>
    <w:p w14:paraId="1E1842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3E06267E">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单位名称（公章</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                   </w:t>
      </w:r>
    </w:p>
    <w:p w14:paraId="26922D71">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日  期</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 xml:space="preserve"> 年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 xml:space="preserve">月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 xml:space="preserve"> 日</w:t>
      </w:r>
    </w:p>
    <w:p w14:paraId="7844DE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4E31695C">
      <w:pPr>
        <w:spacing w:line="360" w:lineRule="auto"/>
        <w:contextualSpacing/>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
          <w:color w:val="auto"/>
          <w:sz w:val="24"/>
        </w:rPr>
        <w:t>注：</w:t>
      </w:r>
    </w:p>
    <w:p w14:paraId="1B1841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1.产品如有型号，请在“产品名称”栏一并填写。</w:t>
      </w:r>
    </w:p>
    <w:p w14:paraId="6BA8BD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2.生产厂名与厂址应与生产厂营业执照载明的相关信息保持一致。</w:t>
      </w:r>
    </w:p>
    <w:p w14:paraId="2DB186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3.该产品的中国境内生产的组件成本占比相关要求实施前，“规定比例”栏可不填，下同。</w:t>
      </w:r>
    </w:p>
    <w:p w14:paraId="17E89B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4.该产品的关键组件要求实施前，“关键组件”栏可不填，下同。</w:t>
      </w:r>
    </w:p>
    <w:p w14:paraId="6E863D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1"/>
          <w:szCs w:val="21"/>
        </w:rPr>
        <w:sectPr>
          <w:pgSz w:w="11905" w:h="16838"/>
          <w:pgMar w:top="1134" w:right="1134" w:bottom="1134" w:left="1134" w:header="850" w:footer="992" w:gutter="0"/>
          <w:cols w:space="720" w:num="1"/>
          <w:titlePg/>
          <w:docGrid w:type="lines" w:linePitch="318" w:charSpace="0"/>
        </w:sectPr>
      </w:pPr>
      <w:r>
        <w:rPr>
          <w:rFonts w:hint="eastAsia" w:asciiTheme="minorEastAsia" w:hAnsiTheme="minorEastAsia" w:eastAsiaTheme="minorEastAsia" w:cstheme="minorEastAsia"/>
          <w:color w:val="auto"/>
          <w:sz w:val="21"/>
          <w:szCs w:val="21"/>
        </w:rPr>
        <w:t>5.该产品的关键工序要求实施前，“关键工序”栏可不填，下同</w:t>
      </w:r>
    </w:p>
    <w:p w14:paraId="45D19CD1">
      <w:pPr>
        <w:spacing w:line="360" w:lineRule="auto"/>
        <w:jc w:val="center"/>
        <w:rPr>
          <w:rFonts w:hint="eastAsia" w:asciiTheme="minorEastAsia" w:hAnsiTheme="minorEastAsia" w:eastAsiaTheme="minorEastAsia" w:cstheme="minorEastAsia"/>
          <w:b/>
          <w:bCs/>
          <w:color w:val="auto"/>
          <w:sz w:val="32"/>
          <w:szCs w:val="32"/>
          <w:lang w:eastAsia="zh-CN"/>
        </w:rPr>
      </w:pPr>
      <w:r>
        <w:rPr>
          <w:rFonts w:hint="eastAsia" w:asciiTheme="minorEastAsia" w:hAnsiTheme="minorEastAsia" w:eastAsiaTheme="minorEastAsia" w:cstheme="minorEastAsia"/>
          <w:b/>
          <w:color w:val="auto"/>
          <w:sz w:val="44"/>
          <w:szCs w:val="44"/>
        </w:rPr>
        <w:t>质疑函</w:t>
      </w:r>
      <w:r>
        <w:rPr>
          <w:rFonts w:hint="eastAsia" w:asciiTheme="minorEastAsia" w:hAnsiTheme="minorEastAsia" w:eastAsiaTheme="minorEastAsia" w:cstheme="minorEastAsia"/>
          <w:color w:val="auto"/>
          <w:sz w:val="28"/>
          <w:szCs w:val="28"/>
        </w:rPr>
        <w:t>（格式</w:t>
      </w:r>
      <w:r>
        <w:rPr>
          <w:rFonts w:hint="eastAsia" w:asciiTheme="minorEastAsia" w:hAnsiTheme="minorEastAsia" w:eastAsiaTheme="minorEastAsia" w:cstheme="minorEastAsia"/>
          <w:color w:val="auto"/>
          <w:sz w:val="28"/>
          <w:szCs w:val="28"/>
          <w:lang w:eastAsia="zh-CN"/>
        </w:rPr>
        <w:t>）</w:t>
      </w:r>
    </w:p>
    <w:p w14:paraId="46D57C0D">
      <w:pPr>
        <w:spacing w:line="360" w:lineRule="auto"/>
        <w:jc w:val="center"/>
        <w:rPr>
          <w:rFonts w:hint="eastAsia" w:asciiTheme="minorEastAsia" w:hAnsiTheme="minorEastAsia" w:eastAsiaTheme="minorEastAsia" w:cstheme="minorEastAsia"/>
          <w:b/>
          <w:bCs/>
          <w:color w:val="auto"/>
          <w:sz w:val="32"/>
          <w:szCs w:val="32"/>
        </w:rPr>
      </w:pPr>
    </w:p>
    <w:p w14:paraId="029C9EC4">
      <w:pPr>
        <w:pStyle w:val="14"/>
        <w:spacing w:line="360" w:lineRule="auto"/>
        <w:ind w:firstLine="482" w:firstLineChars="200"/>
        <w:contextualSpacing/>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一、质疑供应商基本信息：</w:t>
      </w:r>
    </w:p>
    <w:p w14:paraId="11BE8867">
      <w:pPr>
        <w:pStyle w:val="14"/>
        <w:spacing w:line="360" w:lineRule="auto"/>
        <w:ind w:firstLine="480" w:firstLineChars="200"/>
        <w:contextualSpacing/>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质疑供应商</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 xml:space="preserve">                 </w:t>
      </w:r>
    </w:p>
    <w:p w14:paraId="1E59FD2D">
      <w:pPr>
        <w:pStyle w:val="14"/>
        <w:spacing w:line="360" w:lineRule="auto"/>
        <w:ind w:firstLine="480" w:firstLineChars="200"/>
        <w:contextualSpacing/>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地址</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邮编</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 xml:space="preserve">                 </w:t>
      </w:r>
    </w:p>
    <w:p w14:paraId="239B59CA">
      <w:pPr>
        <w:pStyle w:val="14"/>
        <w:spacing w:line="360" w:lineRule="auto"/>
        <w:ind w:firstLine="480" w:firstLineChars="200"/>
        <w:contextualSpacing/>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联系人</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联系电话</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2114FDDE">
      <w:pPr>
        <w:pStyle w:val="14"/>
        <w:spacing w:line="360" w:lineRule="auto"/>
        <w:ind w:firstLine="480" w:firstLineChars="200"/>
        <w:contextualSpacing/>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授权代表</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340CF2B1">
      <w:pPr>
        <w:pStyle w:val="14"/>
        <w:spacing w:line="360" w:lineRule="auto"/>
        <w:ind w:firstLine="480" w:firstLineChars="200"/>
        <w:contextualSpacing/>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联系电话</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001AB05D">
      <w:pPr>
        <w:pStyle w:val="14"/>
        <w:spacing w:line="360" w:lineRule="auto"/>
        <w:ind w:firstLine="480" w:firstLineChars="200"/>
        <w:contextualSpacing/>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地址</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邮编</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 xml:space="preserve">     </w:t>
      </w:r>
    </w:p>
    <w:p w14:paraId="7CF6D816">
      <w:pPr>
        <w:pStyle w:val="14"/>
        <w:spacing w:line="360" w:lineRule="auto"/>
        <w:ind w:firstLine="482" w:firstLineChars="200"/>
        <w:contextualSpacing/>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二、质疑项目基本情况：</w:t>
      </w:r>
    </w:p>
    <w:p w14:paraId="7A6D76F2">
      <w:pPr>
        <w:pStyle w:val="14"/>
        <w:spacing w:line="360" w:lineRule="auto"/>
        <w:ind w:firstLine="472" w:firstLineChars="197"/>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质疑</w:t>
      </w:r>
      <w:r>
        <w:rPr>
          <w:rFonts w:hint="eastAsia" w:asciiTheme="minorEastAsia" w:hAnsiTheme="minorEastAsia" w:eastAsiaTheme="minorEastAsia" w:cstheme="minorEastAsia"/>
          <w:color w:val="auto"/>
          <w:sz w:val="24"/>
          <w:szCs w:val="24"/>
        </w:rPr>
        <w:t>项目的名称</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0E4D932C">
      <w:pPr>
        <w:pStyle w:val="14"/>
        <w:spacing w:line="360" w:lineRule="auto"/>
        <w:ind w:firstLine="472" w:firstLineChars="197"/>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质疑</w:t>
      </w:r>
      <w:r>
        <w:rPr>
          <w:rFonts w:hint="eastAsia" w:asciiTheme="minorEastAsia" w:hAnsiTheme="minorEastAsia" w:eastAsiaTheme="minorEastAsia" w:cstheme="minorEastAsia"/>
          <w:color w:val="auto"/>
          <w:sz w:val="24"/>
          <w:szCs w:val="24"/>
        </w:rPr>
        <w:t>项目的编号</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1D0F284C">
      <w:pPr>
        <w:pStyle w:val="14"/>
        <w:spacing w:line="360" w:lineRule="auto"/>
        <w:ind w:firstLine="472" w:firstLineChars="197"/>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采购人名称</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63973A34">
      <w:pPr>
        <w:pStyle w:val="14"/>
        <w:spacing w:line="360" w:lineRule="auto"/>
        <w:ind w:firstLine="472" w:firstLineChars="197"/>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质疑事项：</w:t>
      </w:r>
    </w:p>
    <w:p w14:paraId="54264CE9">
      <w:pPr>
        <w:pStyle w:val="14"/>
        <w:spacing w:line="360" w:lineRule="auto"/>
        <w:ind w:firstLine="352" w:firstLineChars="147"/>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□采购文件   采购文件获取日期</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4BFB54E3">
      <w:pPr>
        <w:pStyle w:val="14"/>
        <w:spacing w:line="360" w:lineRule="auto"/>
        <w:ind w:firstLine="352" w:firstLineChars="147"/>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□采购过程   </w:t>
      </w:r>
    </w:p>
    <w:p w14:paraId="4E6D25C9">
      <w:pPr>
        <w:pStyle w:val="14"/>
        <w:spacing w:line="360" w:lineRule="auto"/>
        <w:ind w:firstLine="352" w:firstLineChars="147"/>
        <w:contextualSpacing/>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color w:val="auto"/>
          <w:sz w:val="24"/>
          <w:szCs w:val="24"/>
        </w:rPr>
        <w:t xml:space="preserve">□成交结果   </w:t>
      </w:r>
    </w:p>
    <w:p w14:paraId="3F1F17DD">
      <w:pPr>
        <w:pStyle w:val="14"/>
        <w:spacing w:line="360" w:lineRule="auto"/>
        <w:ind w:firstLine="472" w:firstLineChars="196"/>
        <w:contextualSpacing/>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三、质疑事项具体内容</w:t>
      </w:r>
    </w:p>
    <w:p w14:paraId="278EDFD7">
      <w:pPr>
        <w:pStyle w:val="14"/>
        <w:spacing w:line="360" w:lineRule="auto"/>
        <w:ind w:firstLine="472" w:firstLineChars="197"/>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质疑事项1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4FF1C46C">
      <w:pPr>
        <w:pStyle w:val="14"/>
        <w:spacing w:line="360" w:lineRule="auto"/>
        <w:ind w:firstLine="472" w:firstLineChars="197"/>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事实依据</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4D639D71">
      <w:pPr>
        <w:pStyle w:val="14"/>
        <w:spacing w:line="360" w:lineRule="auto"/>
        <w:ind w:firstLine="472" w:firstLineChars="197"/>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法律依据</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bCs/>
          <w:color w:val="auto"/>
          <w:sz w:val="24"/>
          <w:szCs w:val="24"/>
          <w:u w:val="single"/>
        </w:rPr>
        <w:t xml:space="preserve">               </w:t>
      </w:r>
    </w:p>
    <w:p w14:paraId="3331E66E">
      <w:pPr>
        <w:pStyle w:val="14"/>
        <w:spacing w:line="360" w:lineRule="auto"/>
        <w:ind w:firstLine="472" w:firstLineChars="197"/>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质疑事项2</w:t>
      </w:r>
    </w:p>
    <w:p w14:paraId="3CF8EC3E">
      <w:pPr>
        <w:pStyle w:val="14"/>
        <w:spacing w:line="360" w:lineRule="auto"/>
        <w:ind w:firstLine="472" w:firstLineChars="197"/>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p w14:paraId="632174DA">
      <w:pPr>
        <w:pStyle w:val="14"/>
        <w:spacing w:line="360" w:lineRule="auto"/>
        <w:ind w:firstLine="472" w:firstLineChars="197"/>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四、与质疑事项相关的质疑请求：</w:t>
      </w:r>
    </w:p>
    <w:p w14:paraId="4BE1B340">
      <w:pPr>
        <w:pStyle w:val="14"/>
        <w:spacing w:line="360" w:lineRule="auto"/>
        <w:ind w:firstLine="472" w:firstLineChars="197"/>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请求</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682CBE77">
      <w:pPr>
        <w:pStyle w:val="14"/>
        <w:spacing w:line="360" w:lineRule="auto"/>
        <w:ind w:firstLine="352" w:firstLineChars="147"/>
        <w:contextualSpacing/>
        <w:rPr>
          <w:rFonts w:hint="eastAsia" w:asciiTheme="minorEastAsia" w:hAnsiTheme="minorEastAsia" w:eastAsiaTheme="minorEastAsia" w:cstheme="minorEastAsia"/>
          <w:color w:val="auto"/>
          <w:sz w:val="24"/>
          <w:szCs w:val="24"/>
        </w:rPr>
      </w:pPr>
    </w:p>
    <w:p w14:paraId="27651888">
      <w:pPr>
        <w:pStyle w:val="14"/>
        <w:spacing w:line="360" w:lineRule="auto"/>
        <w:ind w:firstLine="472" w:firstLineChars="197"/>
        <w:contextualSpacing/>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签字（签章</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公章</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p>
    <w:p w14:paraId="4B1FAD1F">
      <w:pPr>
        <w:pStyle w:val="14"/>
        <w:spacing w:line="360" w:lineRule="auto"/>
        <w:ind w:firstLine="472" w:firstLineChars="197"/>
        <w:contextualSpacing/>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日期</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年</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月</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日</w:t>
      </w:r>
    </w:p>
    <w:p w14:paraId="6339B1E2">
      <w:pPr>
        <w:pStyle w:val="14"/>
        <w:spacing w:line="360" w:lineRule="auto"/>
        <w:contextualSpacing/>
        <w:rPr>
          <w:rFonts w:hint="eastAsia" w:asciiTheme="minorEastAsia" w:hAnsiTheme="minorEastAsia" w:eastAsiaTheme="minorEastAsia" w:cstheme="minorEastAsia"/>
          <w:b/>
          <w:color w:val="auto"/>
          <w:sz w:val="24"/>
          <w:szCs w:val="24"/>
        </w:rPr>
      </w:pPr>
    </w:p>
    <w:p w14:paraId="61F61DE3">
      <w:pPr>
        <w:pStyle w:val="14"/>
        <w:spacing w:line="360" w:lineRule="auto"/>
        <w:contextualSpacing/>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说明：</w:t>
      </w:r>
    </w:p>
    <w:p w14:paraId="50CC88C1">
      <w:pPr>
        <w:pStyle w:val="14"/>
        <w:spacing w:line="360" w:lineRule="auto"/>
        <w:ind w:firstLine="354" w:firstLineChars="147"/>
        <w:contextualSpacing/>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color w:val="auto"/>
          <w:sz w:val="24"/>
          <w:szCs w:val="24"/>
        </w:rPr>
        <w:t>1.供应商提出质疑时，应提交质疑函和必要的证明材料</w:t>
      </w:r>
      <w:r>
        <w:rPr>
          <w:rFonts w:hint="eastAsia" w:asciiTheme="minorEastAsia" w:hAnsiTheme="minorEastAsia" w:eastAsiaTheme="minorEastAsia" w:cstheme="minorEastAsia"/>
          <w:b/>
          <w:bCs/>
          <w:color w:val="auto"/>
          <w:sz w:val="24"/>
          <w:szCs w:val="24"/>
        </w:rPr>
        <w:t>。</w:t>
      </w:r>
    </w:p>
    <w:p w14:paraId="043E3EDD">
      <w:pPr>
        <w:pStyle w:val="14"/>
        <w:spacing w:line="360" w:lineRule="auto"/>
        <w:ind w:firstLine="354" w:firstLineChars="147"/>
        <w:contextualSpacing/>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A4BB612">
      <w:pPr>
        <w:pStyle w:val="14"/>
        <w:spacing w:line="360" w:lineRule="auto"/>
        <w:ind w:firstLine="354" w:firstLineChars="147"/>
        <w:contextualSpacing/>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3.质疑函的质疑事项应具体、明确，并有必要的事实依据和法律依据。</w:t>
      </w:r>
    </w:p>
    <w:p w14:paraId="10B7096B">
      <w:pPr>
        <w:pStyle w:val="14"/>
        <w:spacing w:line="360" w:lineRule="auto"/>
        <w:ind w:firstLine="354" w:firstLineChars="147"/>
        <w:contextualSpacing/>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4.质疑函的质疑请求应与质疑事项相关。</w:t>
      </w:r>
    </w:p>
    <w:p w14:paraId="06BC20B5">
      <w:pPr>
        <w:pStyle w:val="14"/>
        <w:spacing w:line="360" w:lineRule="auto"/>
        <w:ind w:firstLine="354" w:firstLineChars="147"/>
        <w:contextualSpacing/>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sz w:val="24"/>
          <w:szCs w:val="24"/>
        </w:rPr>
        <w:t>5.质疑供应商为法人或者其他组织的，质疑函应由法定代表人、主要负责人，或者其授权代表签字或者盖章，并加盖公章。</w:t>
      </w:r>
    </w:p>
    <w:p w14:paraId="096D51C4">
      <w:pPr>
        <w:pStyle w:val="14"/>
        <w:snapToGrid w:val="0"/>
        <w:spacing w:line="360" w:lineRule="auto"/>
        <w:rPr>
          <w:rFonts w:hint="eastAsia" w:asciiTheme="minorEastAsia" w:hAnsiTheme="minorEastAsia" w:eastAsiaTheme="minorEastAsia" w:cstheme="minorEastAsia"/>
          <w:b/>
          <w:color w:val="auto"/>
          <w:sz w:val="24"/>
          <w:szCs w:val="24"/>
        </w:rPr>
      </w:pPr>
    </w:p>
    <w:p w14:paraId="2093D601">
      <w:pPr>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br w:type="page"/>
      </w:r>
    </w:p>
    <w:p w14:paraId="127F1250">
      <w:pPr>
        <w:spacing w:line="360" w:lineRule="auto"/>
        <w:jc w:val="center"/>
        <w:rPr>
          <w:rFonts w:hint="eastAsia" w:asciiTheme="minorEastAsia" w:hAnsiTheme="minorEastAsia" w:eastAsiaTheme="minorEastAsia" w:cstheme="minorEastAsia"/>
          <w:color w:val="auto"/>
          <w:sz w:val="44"/>
          <w:szCs w:val="44"/>
          <w:lang w:eastAsia="zh-CN"/>
        </w:rPr>
      </w:pPr>
      <w:r>
        <w:rPr>
          <w:rFonts w:hint="eastAsia" w:asciiTheme="minorEastAsia" w:hAnsiTheme="minorEastAsia" w:eastAsiaTheme="minorEastAsia" w:cstheme="minorEastAsia"/>
          <w:b/>
          <w:color w:val="auto"/>
          <w:sz w:val="44"/>
          <w:szCs w:val="44"/>
        </w:rPr>
        <w:t>投诉书</w:t>
      </w:r>
      <w:r>
        <w:rPr>
          <w:rFonts w:hint="eastAsia" w:asciiTheme="minorEastAsia" w:hAnsiTheme="minorEastAsia" w:eastAsiaTheme="minorEastAsia" w:cstheme="minorEastAsia"/>
          <w:color w:val="auto"/>
          <w:sz w:val="28"/>
          <w:szCs w:val="28"/>
        </w:rPr>
        <w:t>（格式</w:t>
      </w:r>
      <w:r>
        <w:rPr>
          <w:rFonts w:hint="eastAsia" w:asciiTheme="minorEastAsia" w:hAnsiTheme="minorEastAsia" w:eastAsiaTheme="minorEastAsia" w:cstheme="minorEastAsia"/>
          <w:color w:val="auto"/>
          <w:sz w:val="28"/>
          <w:szCs w:val="28"/>
          <w:lang w:eastAsia="zh-CN"/>
        </w:rPr>
        <w:t>）</w:t>
      </w:r>
    </w:p>
    <w:p w14:paraId="3CA460DB">
      <w:pPr>
        <w:pStyle w:val="14"/>
        <w:snapToGrid w:val="0"/>
        <w:spacing w:line="360" w:lineRule="auto"/>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一、投诉相关主体基本情况：</w:t>
      </w:r>
    </w:p>
    <w:p w14:paraId="283B0C81">
      <w:pPr>
        <w:pStyle w:val="14"/>
        <w:snapToGrid w:val="0"/>
        <w:spacing w:line="360" w:lineRule="auto"/>
        <w:ind w:firstLine="480" w:firstLineChars="200"/>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供应商</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 xml:space="preserve">                 </w:t>
      </w:r>
    </w:p>
    <w:p w14:paraId="54E5C465">
      <w:pPr>
        <w:pStyle w:val="14"/>
        <w:snapToGrid w:val="0"/>
        <w:spacing w:line="360" w:lineRule="auto"/>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地址</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邮编</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 xml:space="preserve">                 </w:t>
      </w:r>
    </w:p>
    <w:p w14:paraId="69A373F2">
      <w:pPr>
        <w:pStyle w:val="14"/>
        <w:snapToGrid w:val="0"/>
        <w:spacing w:line="360" w:lineRule="auto"/>
        <w:ind w:firstLine="480" w:firstLineChars="200"/>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法定代表人/主要负责人</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35147EB4">
      <w:pPr>
        <w:pStyle w:val="14"/>
        <w:snapToGrid w:val="0"/>
        <w:spacing w:line="360" w:lineRule="auto"/>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联系电话</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2B08DEB0">
      <w:pPr>
        <w:pStyle w:val="14"/>
        <w:snapToGrid w:val="0"/>
        <w:spacing w:line="360" w:lineRule="auto"/>
        <w:ind w:firstLine="480" w:firstLineChars="200"/>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授权代表</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联系电话</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777318D9">
      <w:pPr>
        <w:pStyle w:val="14"/>
        <w:snapToGrid w:val="0"/>
        <w:spacing w:line="360" w:lineRule="auto"/>
        <w:ind w:firstLine="480" w:firstLineChars="200"/>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地址</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2F7A8FCC">
      <w:pPr>
        <w:pStyle w:val="14"/>
        <w:snapToGrid w:val="0"/>
        <w:spacing w:line="360" w:lineRule="auto"/>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邮编</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 xml:space="preserve">   </w:t>
      </w:r>
    </w:p>
    <w:p w14:paraId="0A6379E3">
      <w:pPr>
        <w:pStyle w:val="14"/>
        <w:snapToGrid w:val="0"/>
        <w:spacing w:line="360" w:lineRule="auto"/>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被投诉人1：</w:t>
      </w:r>
    </w:p>
    <w:p w14:paraId="24276266">
      <w:pPr>
        <w:pStyle w:val="14"/>
        <w:snapToGrid w:val="0"/>
        <w:spacing w:line="360" w:lineRule="auto"/>
        <w:ind w:firstLine="480" w:firstLineChars="200"/>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地址</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75E3D08D">
      <w:pPr>
        <w:pStyle w:val="14"/>
        <w:snapToGrid w:val="0"/>
        <w:spacing w:line="360" w:lineRule="auto"/>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邮编</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 xml:space="preserve">  </w:t>
      </w:r>
    </w:p>
    <w:p w14:paraId="73F3C99A">
      <w:pPr>
        <w:pStyle w:val="14"/>
        <w:snapToGrid w:val="0"/>
        <w:spacing w:line="360" w:lineRule="auto"/>
        <w:ind w:firstLine="480" w:firstLineChars="200"/>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联系人</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联系电话</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1AD994E6">
      <w:pPr>
        <w:pStyle w:val="14"/>
        <w:snapToGrid w:val="0"/>
        <w:spacing w:line="360" w:lineRule="auto"/>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被投诉人2：</w:t>
      </w:r>
    </w:p>
    <w:p w14:paraId="7B390DD2">
      <w:pPr>
        <w:pStyle w:val="14"/>
        <w:snapToGrid w:val="0"/>
        <w:spacing w:line="360" w:lineRule="auto"/>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w:t>
      </w:r>
    </w:p>
    <w:p w14:paraId="2CB21B50">
      <w:pPr>
        <w:pStyle w:val="14"/>
        <w:snapToGrid w:val="0"/>
        <w:spacing w:line="360" w:lineRule="auto"/>
        <w:ind w:firstLine="480" w:firstLineChars="200"/>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相关供应商</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78AE9C66">
      <w:pPr>
        <w:pStyle w:val="14"/>
        <w:snapToGrid w:val="0"/>
        <w:spacing w:line="360" w:lineRule="auto"/>
        <w:ind w:firstLine="480" w:firstLineChars="200"/>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地址</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邮编</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25E957BF">
      <w:pPr>
        <w:pStyle w:val="14"/>
        <w:snapToGrid w:val="0"/>
        <w:spacing w:line="360" w:lineRule="auto"/>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联系人</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联系电话</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 xml:space="preserve">                </w:t>
      </w:r>
    </w:p>
    <w:p w14:paraId="275CA8D0">
      <w:pPr>
        <w:pStyle w:val="14"/>
        <w:snapToGrid w:val="0"/>
        <w:spacing w:line="360" w:lineRule="auto"/>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二、投诉项目基本情况：</w:t>
      </w:r>
    </w:p>
    <w:p w14:paraId="642364F2">
      <w:pPr>
        <w:pStyle w:val="14"/>
        <w:spacing w:line="360" w:lineRule="auto"/>
        <w:ind w:firstLine="472" w:firstLineChars="197"/>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采购</w:t>
      </w:r>
      <w:r>
        <w:rPr>
          <w:rFonts w:hint="eastAsia" w:asciiTheme="minorEastAsia" w:hAnsiTheme="minorEastAsia" w:eastAsiaTheme="minorEastAsia" w:cstheme="minorEastAsia"/>
          <w:color w:val="auto"/>
          <w:sz w:val="24"/>
          <w:szCs w:val="24"/>
        </w:rPr>
        <w:t>项目的名称</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2E7048D2">
      <w:pPr>
        <w:pStyle w:val="14"/>
        <w:spacing w:line="360" w:lineRule="auto"/>
        <w:ind w:firstLine="472" w:firstLineChars="197"/>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采购</w:t>
      </w:r>
      <w:r>
        <w:rPr>
          <w:rFonts w:hint="eastAsia" w:asciiTheme="minorEastAsia" w:hAnsiTheme="minorEastAsia" w:eastAsiaTheme="minorEastAsia" w:cstheme="minorEastAsia"/>
          <w:color w:val="auto"/>
          <w:sz w:val="24"/>
          <w:szCs w:val="24"/>
        </w:rPr>
        <w:t>项目的编号</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0D7BD411">
      <w:pPr>
        <w:pStyle w:val="14"/>
        <w:spacing w:line="360" w:lineRule="auto"/>
        <w:ind w:firstLine="472" w:firstLineChars="197"/>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color w:val="auto"/>
          <w:sz w:val="24"/>
          <w:szCs w:val="24"/>
        </w:rPr>
        <w:t>采购人名称</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29D354C1">
      <w:pPr>
        <w:pStyle w:val="14"/>
        <w:spacing w:line="360" w:lineRule="auto"/>
        <w:ind w:firstLine="472" w:firstLineChars="197"/>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color w:val="auto"/>
          <w:sz w:val="24"/>
          <w:szCs w:val="24"/>
        </w:rPr>
        <w:t>代理机构名称</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074BE8B1">
      <w:pPr>
        <w:pStyle w:val="14"/>
        <w:spacing w:line="360" w:lineRule="auto"/>
        <w:ind w:firstLine="472" w:firstLineChars="197"/>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采购文件公告：</w:t>
      </w:r>
      <w:r>
        <w:rPr>
          <w:rFonts w:hint="eastAsia" w:asciiTheme="minorEastAsia" w:hAnsiTheme="minorEastAsia" w:eastAsiaTheme="minorEastAsia" w:cstheme="minorEastAsia"/>
          <w:bCs/>
          <w:color w:val="auto"/>
          <w:sz w:val="24"/>
          <w:szCs w:val="24"/>
          <w:u w:val="single"/>
        </w:rPr>
        <w:t>是/否</w:t>
      </w:r>
      <w:r>
        <w:rPr>
          <w:rFonts w:hint="eastAsia" w:asciiTheme="minorEastAsia" w:hAnsiTheme="minorEastAsia" w:eastAsiaTheme="minorEastAsia" w:cstheme="minorEastAsia"/>
          <w:bCs/>
          <w:color w:val="auto"/>
          <w:sz w:val="24"/>
          <w:szCs w:val="24"/>
        </w:rPr>
        <w:t>公告期限</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6046943A">
      <w:pPr>
        <w:pStyle w:val="14"/>
        <w:spacing w:line="360" w:lineRule="auto"/>
        <w:ind w:firstLine="472" w:firstLineChars="197"/>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Cs/>
          <w:color w:val="auto"/>
          <w:sz w:val="24"/>
          <w:szCs w:val="24"/>
        </w:rPr>
        <w:t>采购结果公告：</w:t>
      </w:r>
      <w:r>
        <w:rPr>
          <w:rFonts w:hint="eastAsia" w:asciiTheme="minorEastAsia" w:hAnsiTheme="minorEastAsia" w:eastAsiaTheme="minorEastAsia" w:cstheme="minorEastAsia"/>
          <w:bCs/>
          <w:color w:val="auto"/>
          <w:sz w:val="24"/>
          <w:szCs w:val="24"/>
          <w:u w:val="single"/>
        </w:rPr>
        <w:t>是/否</w:t>
      </w:r>
      <w:r>
        <w:rPr>
          <w:rFonts w:hint="eastAsia" w:asciiTheme="minorEastAsia" w:hAnsiTheme="minorEastAsia" w:eastAsiaTheme="minorEastAsia" w:cstheme="minorEastAsia"/>
          <w:bCs/>
          <w:color w:val="auto"/>
          <w:sz w:val="24"/>
          <w:szCs w:val="24"/>
        </w:rPr>
        <w:t>公告期限</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6C2FC09E">
      <w:pPr>
        <w:pStyle w:val="14"/>
        <w:spacing w:line="360" w:lineRule="auto"/>
        <w:ind w:firstLine="472" w:firstLineChars="196"/>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三、质疑基本情况</w:t>
      </w:r>
    </w:p>
    <w:p w14:paraId="5A8F6B9D">
      <w:pPr>
        <w:pStyle w:val="14"/>
        <w:spacing w:line="360" w:lineRule="auto"/>
        <w:ind w:left="479" w:leftChars="228" w:firstLine="60" w:firstLineChars="25"/>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投诉人于</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日，向</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提出质疑，质疑事项为：</w:t>
      </w:r>
    </w:p>
    <w:p w14:paraId="60B8CEEF">
      <w:pPr>
        <w:pStyle w:val="14"/>
        <w:spacing w:line="360" w:lineRule="auto"/>
        <w:ind w:firstLine="540" w:firstLineChars="225"/>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bCs/>
          <w:color w:val="auto"/>
          <w:sz w:val="24"/>
          <w:szCs w:val="24"/>
          <w:u w:val="single"/>
        </w:rPr>
        <w:t xml:space="preserve">                                                                                      </w:t>
      </w:r>
    </w:p>
    <w:p w14:paraId="4722FA31">
      <w:pPr>
        <w:pStyle w:val="14"/>
        <w:spacing w:line="360" w:lineRule="auto"/>
        <w:ind w:firstLine="540" w:firstLineChars="225"/>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 xml:space="preserve">    </w:t>
      </w:r>
      <w:r>
        <w:rPr>
          <w:rFonts w:hint="eastAsia" w:asciiTheme="minorEastAsia" w:hAnsiTheme="minorEastAsia" w:eastAsiaTheme="minorEastAsia" w:cstheme="minorEastAsia"/>
          <w:bCs/>
          <w:color w:val="auto"/>
          <w:sz w:val="24"/>
          <w:szCs w:val="24"/>
          <w:u w:val="single"/>
        </w:rPr>
        <w:t xml:space="preserve">                                                                                      </w:t>
      </w:r>
    </w:p>
    <w:p w14:paraId="4F64E292">
      <w:pPr>
        <w:pStyle w:val="14"/>
        <w:spacing w:line="360" w:lineRule="auto"/>
        <w:ind w:firstLine="540" w:firstLineChars="225"/>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u w:val="single"/>
        </w:rPr>
        <w:t>采购人/代理机构</w:t>
      </w:r>
      <w:r>
        <w:rPr>
          <w:rFonts w:hint="eastAsia" w:asciiTheme="minorEastAsia" w:hAnsiTheme="minorEastAsia" w:eastAsiaTheme="minorEastAsia" w:cstheme="minorEastAsia"/>
          <w:bCs/>
          <w:color w:val="auto"/>
          <w:sz w:val="24"/>
          <w:szCs w:val="24"/>
        </w:rPr>
        <w:t>于</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w:t>
      </w:r>
      <w:r>
        <w:rPr>
          <w:rFonts w:hint="eastAsia" w:asciiTheme="minorEastAsia" w:hAnsiTheme="minorEastAsia" w:eastAsiaTheme="minorEastAsia" w:cstheme="minorEastAsia"/>
          <w:bCs/>
          <w:color w:val="auto"/>
          <w:sz w:val="24"/>
          <w:szCs w:val="24"/>
        </w:rPr>
        <w:t xml:space="preserve">就质疑事项作出了答复/没有在法定期限内作出答复。                                                                                             </w:t>
      </w:r>
    </w:p>
    <w:p w14:paraId="5ABCD67E">
      <w:pPr>
        <w:pStyle w:val="14"/>
        <w:spacing w:line="360" w:lineRule="auto"/>
        <w:ind w:firstLine="472" w:firstLineChars="196"/>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四、投诉事项具体内容</w:t>
      </w:r>
    </w:p>
    <w:p w14:paraId="3ECE29DC">
      <w:pPr>
        <w:pStyle w:val="14"/>
        <w:spacing w:line="360" w:lineRule="auto"/>
        <w:ind w:firstLine="472" w:firstLineChars="197"/>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color w:val="auto"/>
          <w:sz w:val="24"/>
          <w:szCs w:val="24"/>
        </w:rPr>
        <w:t>投诉事项1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7364B0EA">
      <w:pPr>
        <w:pStyle w:val="14"/>
        <w:spacing w:line="360" w:lineRule="auto"/>
        <w:ind w:firstLine="480" w:firstLineChars="200"/>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事实依据</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339EE321">
      <w:pPr>
        <w:pStyle w:val="14"/>
        <w:spacing w:line="360" w:lineRule="auto"/>
        <w:ind w:firstLine="472" w:firstLineChars="197"/>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u w:val="single"/>
        </w:rPr>
        <w:t xml:space="preserve">                                                                                        </w:t>
      </w:r>
    </w:p>
    <w:p w14:paraId="7E1836FB">
      <w:pPr>
        <w:pStyle w:val="14"/>
        <w:spacing w:line="360" w:lineRule="auto"/>
        <w:ind w:firstLine="480" w:firstLineChars="200"/>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法律依据</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44EFD2A1">
      <w:pPr>
        <w:pStyle w:val="14"/>
        <w:spacing w:line="360" w:lineRule="auto"/>
        <w:ind w:firstLine="352" w:firstLineChars="147"/>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 xml:space="preserve"> </w:t>
      </w:r>
      <w:r>
        <w:rPr>
          <w:rFonts w:hint="eastAsia" w:asciiTheme="minorEastAsia" w:hAnsiTheme="minorEastAsia" w:eastAsiaTheme="minorEastAsia" w:cstheme="minorEastAsia"/>
          <w:bCs/>
          <w:color w:val="auto"/>
          <w:sz w:val="24"/>
          <w:szCs w:val="24"/>
          <w:u w:val="single"/>
        </w:rPr>
        <w:t xml:space="preserve">                                                                                        </w:t>
      </w:r>
    </w:p>
    <w:p w14:paraId="382F6F2A">
      <w:pPr>
        <w:pStyle w:val="14"/>
        <w:spacing w:line="360" w:lineRule="auto"/>
        <w:ind w:firstLine="472" w:firstLineChars="197"/>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rPr>
        <w:t xml:space="preserve">投诉事项2  </w:t>
      </w:r>
      <w:r>
        <w:rPr>
          <w:rFonts w:hint="eastAsia" w:asciiTheme="minorEastAsia" w:hAnsiTheme="minorEastAsia" w:eastAsiaTheme="minorEastAsia" w:cstheme="minorEastAsia"/>
          <w:bCs/>
          <w:color w:val="auto"/>
          <w:sz w:val="24"/>
          <w:szCs w:val="24"/>
        </w:rPr>
        <w:t xml:space="preserve">   </w:t>
      </w:r>
    </w:p>
    <w:p w14:paraId="28517F89">
      <w:pPr>
        <w:pStyle w:val="14"/>
        <w:spacing w:line="360" w:lineRule="auto"/>
        <w:ind w:firstLine="472" w:firstLineChars="197"/>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w:t>
      </w:r>
    </w:p>
    <w:p w14:paraId="72EF9AAF">
      <w:pPr>
        <w:pStyle w:val="14"/>
        <w:spacing w:line="360" w:lineRule="auto"/>
        <w:ind w:firstLine="472" w:firstLineChars="196"/>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五、与投诉事项相关的投诉请求：</w:t>
      </w:r>
    </w:p>
    <w:p w14:paraId="3755B60A">
      <w:pPr>
        <w:pStyle w:val="14"/>
        <w:spacing w:line="360" w:lineRule="auto"/>
        <w:ind w:firstLine="472" w:firstLineChars="197"/>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请求</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p w14:paraId="521A2286">
      <w:pPr>
        <w:pStyle w:val="14"/>
        <w:spacing w:line="360" w:lineRule="auto"/>
        <w:ind w:firstLine="352" w:firstLineChars="147"/>
        <w:rPr>
          <w:rFonts w:hint="eastAsia" w:asciiTheme="minorEastAsia" w:hAnsiTheme="minorEastAsia" w:eastAsiaTheme="minorEastAsia" w:cstheme="minorEastAsia"/>
          <w:color w:val="auto"/>
          <w:sz w:val="24"/>
          <w:szCs w:val="24"/>
        </w:rPr>
      </w:pPr>
    </w:p>
    <w:p w14:paraId="716FF34A">
      <w:pPr>
        <w:pStyle w:val="14"/>
        <w:spacing w:line="360" w:lineRule="auto"/>
        <w:ind w:firstLine="472" w:firstLineChars="197"/>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签字（签章</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公章</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p>
    <w:p w14:paraId="798E87E2">
      <w:pPr>
        <w:pStyle w:val="14"/>
        <w:spacing w:line="360" w:lineRule="auto"/>
        <w:ind w:firstLine="352" w:firstLineChars="147"/>
        <w:rPr>
          <w:rFonts w:hint="eastAsia" w:asciiTheme="minorEastAsia" w:hAnsiTheme="minorEastAsia" w:eastAsiaTheme="minorEastAsia" w:cstheme="minorEastAsia"/>
          <w:color w:val="auto"/>
          <w:sz w:val="24"/>
          <w:szCs w:val="24"/>
        </w:rPr>
      </w:pPr>
    </w:p>
    <w:p w14:paraId="3D86F348">
      <w:pPr>
        <w:pStyle w:val="14"/>
        <w:spacing w:line="360" w:lineRule="auto"/>
        <w:ind w:firstLine="472" w:firstLineChars="197"/>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日期</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bCs/>
          <w:color w:val="auto"/>
          <w:sz w:val="24"/>
          <w:szCs w:val="24"/>
        </w:rPr>
        <w:t xml:space="preserve">   </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年</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月</w:t>
      </w:r>
      <w:r>
        <w:rPr>
          <w:rFonts w:hint="eastAsia" w:asciiTheme="minorEastAsia" w:hAnsiTheme="minorEastAsia" w:eastAsiaTheme="minorEastAsia" w:cstheme="minorEastAsia"/>
          <w:color w:val="auto"/>
          <w:spacing w:val="20"/>
          <w:sz w:val="24"/>
          <w:u w:val="single"/>
        </w:rPr>
        <w:t xml:space="preserve">  </w:t>
      </w:r>
      <w:r>
        <w:rPr>
          <w:rFonts w:hint="eastAsia" w:asciiTheme="minorEastAsia" w:hAnsiTheme="minorEastAsia" w:eastAsiaTheme="minorEastAsia" w:cstheme="minorEastAsia"/>
          <w:color w:val="auto"/>
          <w:spacing w:val="20"/>
          <w:sz w:val="24"/>
        </w:rPr>
        <w:t>日</w:t>
      </w:r>
      <w:r>
        <w:rPr>
          <w:rFonts w:hint="eastAsia" w:asciiTheme="minorEastAsia" w:hAnsiTheme="minorEastAsia" w:eastAsiaTheme="minorEastAsia" w:cstheme="minorEastAsia"/>
          <w:bCs/>
          <w:color w:val="auto"/>
          <w:sz w:val="24"/>
          <w:szCs w:val="24"/>
        </w:rPr>
        <w:t xml:space="preserve">                                                         </w:t>
      </w:r>
    </w:p>
    <w:p w14:paraId="4FBB5314">
      <w:pPr>
        <w:pStyle w:val="14"/>
        <w:snapToGrid w:val="0"/>
        <w:spacing w:line="360" w:lineRule="auto"/>
        <w:rPr>
          <w:rFonts w:hint="eastAsia" w:asciiTheme="minorEastAsia" w:hAnsiTheme="minorEastAsia" w:eastAsiaTheme="minorEastAsia" w:cstheme="minorEastAsia"/>
          <w:b/>
          <w:color w:val="auto"/>
          <w:sz w:val="24"/>
          <w:szCs w:val="24"/>
        </w:rPr>
      </w:pPr>
    </w:p>
    <w:p w14:paraId="76153733">
      <w:pPr>
        <w:pStyle w:val="14"/>
        <w:snapToGrid w:val="0"/>
        <w:spacing w:line="360" w:lineRule="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说明：</w:t>
      </w:r>
    </w:p>
    <w:p w14:paraId="40B79372">
      <w:pPr>
        <w:pStyle w:val="14"/>
        <w:spacing w:line="360" w:lineRule="auto"/>
        <w:ind w:firstLine="354" w:firstLineChars="147"/>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color w:val="auto"/>
          <w:sz w:val="24"/>
          <w:szCs w:val="24"/>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sz w:val="24"/>
          <w:szCs w:val="24"/>
        </w:rPr>
        <w:t>。</w:t>
      </w:r>
    </w:p>
    <w:p w14:paraId="336DF6E3">
      <w:pPr>
        <w:pStyle w:val="14"/>
        <w:spacing w:line="360" w:lineRule="auto"/>
        <w:ind w:firstLine="354" w:firstLineChars="147"/>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1A26CC2">
      <w:pPr>
        <w:pStyle w:val="14"/>
        <w:spacing w:line="360" w:lineRule="auto"/>
        <w:ind w:firstLine="354" w:firstLineChars="147"/>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3.投诉书应简要列明质疑事项，质疑函、质疑答复等作为附件材料提供。</w:t>
      </w:r>
    </w:p>
    <w:p w14:paraId="47FA1D15">
      <w:pPr>
        <w:pStyle w:val="14"/>
        <w:spacing w:line="360" w:lineRule="auto"/>
        <w:ind w:firstLine="354" w:firstLineChars="147"/>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4.投诉书的投诉事项应具体、明确，并有必要的事实依据和法律依据。</w:t>
      </w:r>
    </w:p>
    <w:p w14:paraId="4C109DC3">
      <w:pPr>
        <w:pStyle w:val="14"/>
        <w:spacing w:line="360" w:lineRule="auto"/>
        <w:ind w:firstLine="354" w:firstLineChars="147"/>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5.投诉书的投诉请求应与投诉事项相关。</w:t>
      </w:r>
    </w:p>
    <w:p w14:paraId="789475A9">
      <w:pPr>
        <w:pStyle w:val="14"/>
        <w:spacing w:line="360" w:lineRule="auto"/>
        <w:ind w:firstLine="354" w:firstLineChars="147"/>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6.投诉人为法人或者其他组织的，投诉书应由法定代表人、主要负责人，或者其授权代表签字或者盖章，并加盖公章。</w:t>
      </w:r>
    </w:p>
    <w:p w14:paraId="6D9B0CE3">
      <w:pPr>
        <w:pStyle w:val="2"/>
        <w:keepNext/>
        <w:keepLines/>
        <w:pageBreakBefore w:val="0"/>
        <w:widowControl w:val="0"/>
        <w:kinsoku/>
        <w:wordWrap/>
        <w:overflowPunct/>
        <w:topLinePunct w:val="0"/>
        <w:autoSpaceDE/>
        <w:autoSpaceDN/>
        <w:bidi w:val="0"/>
        <w:adjustRightInd/>
        <w:snapToGrid/>
        <w:spacing w:before="200" w:after="200"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lang w:val="en-US" w:eastAsia="zh-CN"/>
        </w:rPr>
      </w:pPr>
      <w:bookmarkStart w:id="35" w:name="_Toc14435"/>
      <w:r>
        <w:rPr>
          <w:rFonts w:hint="eastAsia" w:asciiTheme="minorEastAsia" w:hAnsiTheme="minorEastAsia" w:eastAsiaTheme="minorEastAsia" w:cstheme="minorEastAsia"/>
          <w:color w:val="auto"/>
          <w:lang w:val="en-US" w:eastAsia="zh-CN"/>
        </w:rPr>
        <w:t>第六章 合同文本</w:t>
      </w:r>
      <w:bookmarkEnd w:id="35"/>
    </w:p>
    <w:p w14:paraId="13FF37DC">
      <w:pPr>
        <w:spacing w:line="360" w:lineRule="auto"/>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一般货物类</w:t>
      </w:r>
    </w:p>
    <w:p w14:paraId="1B383909">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项目名称：</w:t>
      </w:r>
    </w:p>
    <w:p w14:paraId="2D8E52E6">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合同编号：</w:t>
      </w:r>
      <w:r>
        <w:rPr>
          <w:rFonts w:hint="eastAsia" w:asciiTheme="minorEastAsia" w:hAnsiTheme="minorEastAsia" w:eastAsiaTheme="minorEastAsia" w:cstheme="minorEastAsia"/>
          <w:color w:val="auto"/>
          <w:sz w:val="24"/>
          <w:szCs w:val="24"/>
          <w:lang w:eastAsia="zh-CN"/>
        </w:rPr>
        <w:t>QZZC2026-J1-210040-JGJD</w:t>
      </w:r>
    </w:p>
    <w:p w14:paraId="19E83581">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采购人（甲方</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灵山县人民医院</w:t>
      </w:r>
    </w:p>
    <w:p w14:paraId="0EC6A191">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供应商（乙方</w:t>
      </w:r>
      <w:r>
        <w:rPr>
          <w:rFonts w:hint="eastAsia" w:asciiTheme="minorEastAsia" w:hAnsiTheme="minorEastAsia" w:eastAsiaTheme="minorEastAsia" w:cstheme="minorEastAsia"/>
          <w:color w:val="auto"/>
          <w:sz w:val="24"/>
          <w:szCs w:val="24"/>
          <w:lang w:eastAsia="zh-CN"/>
        </w:rPr>
        <w:t>）：</w:t>
      </w:r>
    </w:p>
    <w:p w14:paraId="56B32D74">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4"/>
          <w:szCs w:val="24"/>
          <w:u w:val="none"/>
          <w:lang w:eastAsia="zh-CN"/>
        </w:rPr>
      </w:pPr>
      <w:r>
        <w:rPr>
          <w:rFonts w:hint="eastAsia" w:asciiTheme="minorEastAsia" w:hAnsiTheme="minorEastAsia" w:eastAsiaTheme="minorEastAsia" w:cstheme="minorEastAsia"/>
          <w:color w:val="auto"/>
          <w:sz w:val="24"/>
          <w:szCs w:val="24"/>
          <w:u w:val="none"/>
        </w:rPr>
        <w:t>项目编号：</w:t>
      </w:r>
      <w:r>
        <w:rPr>
          <w:rFonts w:hint="eastAsia" w:asciiTheme="minorEastAsia" w:hAnsiTheme="minorEastAsia" w:eastAsiaTheme="minorEastAsia" w:cstheme="minorEastAsia"/>
          <w:color w:val="auto"/>
          <w:sz w:val="24"/>
          <w:szCs w:val="24"/>
          <w:u w:val="none"/>
          <w:lang w:eastAsia="zh-CN"/>
        </w:rPr>
        <w:t>QZZC2026-J1-210040-JGJD</w:t>
      </w:r>
    </w:p>
    <w:p w14:paraId="6F3DFD05">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4"/>
          <w:szCs w:val="24"/>
          <w:u w:val="none"/>
        </w:rPr>
      </w:pPr>
      <w:r>
        <w:rPr>
          <w:rFonts w:hint="eastAsia" w:asciiTheme="minorEastAsia" w:hAnsiTheme="minorEastAsia" w:eastAsiaTheme="minorEastAsia" w:cstheme="minorEastAsia"/>
          <w:color w:val="auto"/>
          <w:sz w:val="24"/>
          <w:szCs w:val="24"/>
          <w:u w:val="none"/>
        </w:rPr>
        <w:t>签订地点：灵山县人民医院</w:t>
      </w:r>
    </w:p>
    <w:p w14:paraId="587B9F67">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4"/>
          <w:szCs w:val="24"/>
          <w:u w:val="none"/>
          <w:lang w:eastAsia="zh-CN"/>
        </w:rPr>
      </w:pPr>
      <w:r>
        <w:rPr>
          <w:rFonts w:hint="eastAsia" w:asciiTheme="minorEastAsia" w:hAnsiTheme="minorEastAsia" w:eastAsiaTheme="minorEastAsia" w:cstheme="minorEastAsia"/>
          <w:color w:val="auto"/>
          <w:sz w:val="24"/>
          <w:szCs w:val="24"/>
          <w:u w:val="none"/>
        </w:rPr>
        <w:t>本合同为中小企业预留合同：（是□/否□</w:t>
      </w:r>
      <w:r>
        <w:rPr>
          <w:rFonts w:hint="eastAsia" w:asciiTheme="minorEastAsia" w:hAnsiTheme="minorEastAsia" w:eastAsiaTheme="minorEastAsia" w:cstheme="minorEastAsia"/>
          <w:color w:val="auto"/>
          <w:sz w:val="24"/>
          <w:szCs w:val="24"/>
          <w:u w:val="none"/>
          <w:lang w:eastAsia="zh-CN"/>
        </w:rPr>
        <w:t>）</w:t>
      </w:r>
    </w:p>
    <w:p w14:paraId="35D6EF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u w:val="none"/>
        </w:rPr>
      </w:pPr>
      <w:bookmarkStart w:id="36" w:name="_Hlk55381736"/>
      <w:r>
        <w:rPr>
          <w:rFonts w:hint="eastAsia" w:asciiTheme="minorEastAsia" w:hAnsiTheme="minorEastAsia" w:eastAsiaTheme="minorEastAsia" w:cstheme="minorEastAsia"/>
          <w:color w:val="auto"/>
          <w:sz w:val="24"/>
          <w:szCs w:val="24"/>
          <w:u w:val="none"/>
        </w:rPr>
        <w:t>根据《中华人民共和国政府采购法》《中华人民共和国民法典》等法律、法规规定，按照竞争性谈判采购文件规定条款和成交供应商承诺，甲乙双方签订本合同。</w:t>
      </w:r>
    </w:p>
    <w:p w14:paraId="17584C04">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第一条</w:t>
      </w:r>
      <w:r>
        <w:rPr>
          <w:rFonts w:hint="eastAsia" w:asciiTheme="minorEastAsia" w:hAnsiTheme="minorEastAsia" w:eastAsiaTheme="minorEastAsia" w:cstheme="minorEastAsia"/>
          <w:b/>
          <w:color w:val="auto"/>
          <w:sz w:val="24"/>
          <w:szCs w:val="24"/>
          <w:lang w:val="en-US" w:eastAsia="zh-CN"/>
        </w:rPr>
        <w:t xml:space="preserve">  </w:t>
      </w:r>
      <w:r>
        <w:rPr>
          <w:rFonts w:hint="eastAsia" w:asciiTheme="minorEastAsia" w:hAnsiTheme="minorEastAsia" w:eastAsiaTheme="minorEastAsia" w:cstheme="minorEastAsia"/>
          <w:b/>
          <w:color w:val="auto"/>
          <w:sz w:val="24"/>
          <w:szCs w:val="24"/>
        </w:rPr>
        <w:t>合同标的</w:t>
      </w:r>
    </w:p>
    <w:p w14:paraId="0039D2D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1.供货一览表</w:t>
      </w:r>
    </w:p>
    <w:tbl>
      <w:tblPr>
        <w:tblStyle w:val="26"/>
        <w:tblW w:w="10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34"/>
        <w:gridCol w:w="1134"/>
        <w:gridCol w:w="1276"/>
        <w:gridCol w:w="1134"/>
        <w:gridCol w:w="992"/>
        <w:gridCol w:w="709"/>
        <w:gridCol w:w="830"/>
        <w:gridCol w:w="1722"/>
        <w:gridCol w:w="1276"/>
      </w:tblGrid>
      <w:tr w14:paraId="7129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9" w:type="dxa"/>
            <w:vAlign w:val="center"/>
          </w:tcPr>
          <w:p w14:paraId="233E8E4B">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序号</w:t>
            </w:r>
          </w:p>
        </w:tc>
        <w:tc>
          <w:tcPr>
            <w:tcW w:w="1034" w:type="dxa"/>
            <w:vAlign w:val="center"/>
          </w:tcPr>
          <w:p w14:paraId="35DD975D">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标的名称</w:t>
            </w:r>
          </w:p>
        </w:tc>
        <w:tc>
          <w:tcPr>
            <w:tcW w:w="1134" w:type="dxa"/>
            <w:vAlign w:val="center"/>
          </w:tcPr>
          <w:p w14:paraId="696B8D4A">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商标品牌</w:t>
            </w:r>
          </w:p>
        </w:tc>
        <w:tc>
          <w:tcPr>
            <w:tcW w:w="1276" w:type="dxa"/>
            <w:vAlign w:val="center"/>
          </w:tcPr>
          <w:p w14:paraId="114654BC">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规格型号</w:t>
            </w:r>
          </w:p>
        </w:tc>
        <w:tc>
          <w:tcPr>
            <w:tcW w:w="1134" w:type="dxa"/>
            <w:vAlign w:val="center"/>
          </w:tcPr>
          <w:p w14:paraId="05EA30AB">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生产厂家</w:t>
            </w:r>
          </w:p>
        </w:tc>
        <w:tc>
          <w:tcPr>
            <w:tcW w:w="992" w:type="dxa"/>
            <w:vAlign w:val="center"/>
          </w:tcPr>
          <w:p w14:paraId="0D73C48D">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产地</w:t>
            </w:r>
          </w:p>
        </w:tc>
        <w:tc>
          <w:tcPr>
            <w:tcW w:w="709" w:type="dxa"/>
            <w:vAlign w:val="center"/>
          </w:tcPr>
          <w:p w14:paraId="59545D53">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数  量</w:t>
            </w:r>
          </w:p>
        </w:tc>
        <w:tc>
          <w:tcPr>
            <w:tcW w:w="830" w:type="dxa"/>
            <w:vAlign w:val="center"/>
          </w:tcPr>
          <w:p w14:paraId="0797D703">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单位</w:t>
            </w:r>
          </w:p>
        </w:tc>
        <w:tc>
          <w:tcPr>
            <w:tcW w:w="1722" w:type="dxa"/>
            <w:vAlign w:val="center"/>
          </w:tcPr>
          <w:p w14:paraId="0C44DEDC">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单  价</w:t>
            </w:r>
          </w:p>
          <w:p w14:paraId="02A7F9E6">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rPr>
              <w:t>（元/人民币</w:t>
            </w:r>
            <w:r>
              <w:rPr>
                <w:rFonts w:hint="eastAsia" w:asciiTheme="minorEastAsia" w:hAnsiTheme="minorEastAsia" w:eastAsiaTheme="minorEastAsia" w:cstheme="minorEastAsia"/>
                <w:b/>
                <w:color w:val="auto"/>
                <w:sz w:val="24"/>
                <w:szCs w:val="24"/>
                <w:lang w:eastAsia="zh-CN"/>
              </w:rPr>
              <w:t>）</w:t>
            </w:r>
          </w:p>
        </w:tc>
        <w:tc>
          <w:tcPr>
            <w:tcW w:w="1276" w:type="dxa"/>
            <w:vAlign w:val="center"/>
          </w:tcPr>
          <w:p w14:paraId="154223D6">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rPr>
              <w:t>单项合计（元/人民币</w:t>
            </w:r>
            <w:r>
              <w:rPr>
                <w:rFonts w:hint="eastAsia" w:asciiTheme="minorEastAsia" w:hAnsiTheme="minorEastAsia" w:eastAsiaTheme="minorEastAsia" w:cstheme="minorEastAsia"/>
                <w:b/>
                <w:color w:val="auto"/>
                <w:sz w:val="24"/>
                <w:szCs w:val="24"/>
                <w:lang w:eastAsia="zh-CN"/>
              </w:rPr>
              <w:t>）</w:t>
            </w:r>
          </w:p>
        </w:tc>
      </w:tr>
      <w:tr w14:paraId="0834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9" w:type="dxa"/>
            <w:vAlign w:val="center"/>
          </w:tcPr>
          <w:p w14:paraId="4BE3C27A">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c>
          <w:tcPr>
            <w:tcW w:w="1034" w:type="dxa"/>
            <w:vAlign w:val="center"/>
          </w:tcPr>
          <w:p w14:paraId="0200A30B">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1134" w:type="dxa"/>
            <w:vAlign w:val="center"/>
          </w:tcPr>
          <w:p w14:paraId="686D621E">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1276" w:type="dxa"/>
            <w:vAlign w:val="center"/>
          </w:tcPr>
          <w:p w14:paraId="4BEA342C">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1134" w:type="dxa"/>
          </w:tcPr>
          <w:p w14:paraId="440F8197">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992" w:type="dxa"/>
            <w:vAlign w:val="center"/>
          </w:tcPr>
          <w:p w14:paraId="18424E86">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709" w:type="dxa"/>
            <w:vAlign w:val="center"/>
          </w:tcPr>
          <w:p w14:paraId="33025CCD">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830" w:type="dxa"/>
          </w:tcPr>
          <w:p w14:paraId="3FD146B4">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1722" w:type="dxa"/>
            <w:vAlign w:val="center"/>
          </w:tcPr>
          <w:p w14:paraId="73FB7455">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1276" w:type="dxa"/>
          </w:tcPr>
          <w:p w14:paraId="61C4E2C6">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r>
      <w:tr w14:paraId="7A85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9" w:type="dxa"/>
            <w:vAlign w:val="center"/>
          </w:tcPr>
          <w:p w14:paraId="7B5F741C">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1034" w:type="dxa"/>
            <w:vAlign w:val="center"/>
          </w:tcPr>
          <w:p w14:paraId="52325F96">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1134" w:type="dxa"/>
            <w:vAlign w:val="center"/>
          </w:tcPr>
          <w:p w14:paraId="17F37342">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1276" w:type="dxa"/>
            <w:vAlign w:val="center"/>
          </w:tcPr>
          <w:p w14:paraId="1E6EF855">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1134" w:type="dxa"/>
          </w:tcPr>
          <w:p w14:paraId="2FBCE6A9">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992" w:type="dxa"/>
            <w:vAlign w:val="center"/>
          </w:tcPr>
          <w:p w14:paraId="3811B5D0">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709" w:type="dxa"/>
            <w:vAlign w:val="center"/>
          </w:tcPr>
          <w:p w14:paraId="2A86113B">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830" w:type="dxa"/>
          </w:tcPr>
          <w:p w14:paraId="55491C2B">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1722" w:type="dxa"/>
            <w:vAlign w:val="center"/>
          </w:tcPr>
          <w:p w14:paraId="30D4F539">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c>
          <w:tcPr>
            <w:tcW w:w="1276" w:type="dxa"/>
          </w:tcPr>
          <w:p w14:paraId="344B7246">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Theme="minorEastAsia" w:hAnsiTheme="minorEastAsia" w:eastAsiaTheme="minorEastAsia" w:cstheme="minorEastAsia"/>
                <w:color w:val="auto"/>
                <w:sz w:val="24"/>
                <w:szCs w:val="24"/>
              </w:rPr>
            </w:pPr>
          </w:p>
        </w:tc>
      </w:tr>
      <w:tr w14:paraId="1980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0816" w:type="dxa"/>
            <w:gridSpan w:val="10"/>
          </w:tcPr>
          <w:p w14:paraId="4BEED90C">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合计金额（人民币大写</w:t>
            </w:r>
            <w:r>
              <w:rPr>
                <w:rFonts w:hint="eastAsia" w:asciiTheme="minorEastAsia" w:hAnsiTheme="minorEastAsia" w:eastAsiaTheme="minorEastAsia" w:cstheme="minorEastAsia"/>
                <w:color w:val="auto"/>
                <w:sz w:val="24"/>
                <w:szCs w:val="24"/>
                <w:u w:val="single"/>
                <w:lang w:eastAsia="zh-CN"/>
              </w:rPr>
              <w:t>）</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b/>
                <w:bCs/>
                <w:color w:val="auto"/>
                <w:sz w:val="24"/>
                <w:szCs w:val="24"/>
                <w:u w:val="single"/>
              </w:rPr>
              <w:t xml:space="preserve">             </w:t>
            </w:r>
            <w:r>
              <w:rPr>
                <w:rFonts w:hint="eastAsia" w:asciiTheme="minorEastAsia" w:hAnsiTheme="minorEastAsia" w:eastAsiaTheme="minorEastAsia" w:cstheme="minorEastAsia"/>
                <w:bCs/>
                <w:color w:val="auto"/>
                <w:sz w:val="24"/>
                <w:szCs w:val="24"/>
                <w:u w:val="single"/>
              </w:rPr>
              <w:t xml:space="preserve"> </w:t>
            </w:r>
            <w:r>
              <w:rPr>
                <w:rFonts w:hint="eastAsia" w:asciiTheme="minorEastAsia" w:hAnsiTheme="minorEastAsia" w:eastAsiaTheme="minorEastAsia" w:cstheme="minorEastAsia"/>
                <w:bCs/>
                <w:color w:val="auto"/>
                <w:sz w:val="24"/>
                <w:szCs w:val="24"/>
              </w:rPr>
              <w:t>（小写</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u w:val="single"/>
              </w:rPr>
              <w:t xml:space="preserve">¥          </w:t>
            </w:r>
          </w:p>
        </w:tc>
      </w:tr>
    </w:tbl>
    <w:p w14:paraId="75C519D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合同合计金额包括货物价款、配套软件、标准附件、随配附件、备品备件、辅助材料、专用工具、包装、运抵指定交货地点、运输、装卸、完工清场清洁、货到就位、安装、调试、检验、技术培训、技术资料、售后服务、保险、投标费用、预验收及履约验收及售后服务、人工费、一切税费等全部费用。甲方不再支付合同合计金额以外的其他费用。</w:t>
      </w:r>
    </w:p>
    <w:p w14:paraId="1268A48B">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第二条</w:t>
      </w:r>
      <w:r>
        <w:rPr>
          <w:rFonts w:hint="eastAsia" w:asciiTheme="minorEastAsia" w:hAnsiTheme="minorEastAsia" w:eastAsiaTheme="minorEastAsia" w:cstheme="minorEastAsia"/>
          <w:b/>
          <w:color w:val="auto"/>
          <w:sz w:val="24"/>
          <w:szCs w:val="24"/>
          <w:lang w:val="en-US" w:eastAsia="zh-CN"/>
        </w:rPr>
        <w:t xml:space="preserve">  </w:t>
      </w:r>
      <w:r>
        <w:rPr>
          <w:rFonts w:hint="eastAsia" w:asciiTheme="minorEastAsia" w:hAnsiTheme="minorEastAsia" w:eastAsiaTheme="minorEastAsia" w:cstheme="minorEastAsia"/>
          <w:b/>
          <w:color w:val="auto"/>
          <w:sz w:val="24"/>
          <w:szCs w:val="24"/>
        </w:rPr>
        <w:t>质量要求</w:t>
      </w:r>
    </w:p>
    <w:p w14:paraId="60F22B4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1.乙方所提供的产品名称、商标品牌、生产厂家、规格型号、技术参数等质量必须与采购文件规定及响应文件承诺相一致。乙方提供的节能和环保产品必须是列入政府采购品目清单的产品。</w:t>
      </w:r>
    </w:p>
    <w:p w14:paraId="54D2303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2.乙方所提供的货物必须是全新、未使用的原装产品，且在正常安装、使用和保养条件下，其使用寿命期内各项指标均达到采购文件规定或者响应文件承诺的质量要求。</w:t>
      </w:r>
    </w:p>
    <w:p w14:paraId="541D0A37">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第三条</w:t>
      </w:r>
      <w:r>
        <w:rPr>
          <w:rFonts w:hint="eastAsia" w:asciiTheme="minorEastAsia" w:hAnsiTheme="minorEastAsia" w:eastAsiaTheme="minorEastAsia" w:cstheme="minorEastAsia"/>
          <w:b/>
          <w:color w:val="auto"/>
          <w:sz w:val="24"/>
          <w:szCs w:val="24"/>
          <w:lang w:val="en-US" w:eastAsia="zh-CN"/>
        </w:rPr>
        <w:t xml:space="preserve">  </w:t>
      </w:r>
      <w:r>
        <w:rPr>
          <w:rFonts w:hint="eastAsia" w:asciiTheme="minorEastAsia" w:hAnsiTheme="minorEastAsia" w:eastAsiaTheme="minorEastAsia" w:cstheme="minorEastAsia"/>
          <w:b/>
          <w:color w:val="auto"/>
          <w:sz w:val="24"/>
          <w:szCs w:val="24"/>
        </w:rPr>
        <w:t>权利保证</w:t>
      </w:r>
    </w:p>
    <w:p w14:paraId="5B74798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1.乙方应保证所提供货物在使用时不会侵犯任何第三方的专利权、商标权、工业设计权或者其他权利。</w:t>
      </w:r>
    </w:p>
    <w:p w14:paraId="1C27E73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2.乙方应按采购文件规定或者响应文件承诺的时间向甲方提供使用货物的有关技术资料。</w:t>
      </w:r>
    </w:p>
    <w:p w14:paraId="4CB923B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w:t>
      </w:r>
    </w:p>
    <w:p w14:paraId="20EB4E0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4.乙方保证将要交付的货物的所有权完全属于乙方且无任何抵押、质押、查封等产权瑕疵。</w:t>
      </w:r>
    </w:p>
    <w:p w14:paraId="06084151">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第四条</w:t>
      </w:r>
      <w:r>
        <w:rPr>
          <w:rFonts w:hint="eastAsia" w:asciiTheme="minorEastAsia" w:hAnsiTheme="minorEastAsia" w:eastAsiaTheme="minorEastAsia" w:cstheme="minorEastAsia"/>
          <w:b/>
          <w:color w:val="auto"/>
          <w:sz w:val="24"/>
          <w:szCs w:val="24"/>
          <w:lang w:val="en-US" w:eastAsia="zh-CN"/>
        </w:rPr>
        <w:t xml:space="preserve">  </w:t>
      </w:r>
      <w:r>
        <w:rPr>
          <w:rFonts w:hint="eastAsia" w:asciiTheme="minorEastAsia" w:hAnsiTheme="minorEastAsia" w:eastAsiaTheme="minorEastAsia" w:cstheme="minorEastAsia"/>
          <w:b/>
          <w:color w:val="auto"/>
          <w:sz w:val="24"/>
          <w:szCs w:val="24"/>
        </w:rPr>
        <w:t>包装、运输和签收</w:t>
      </w:r>
    </w:p>
    <w:p w14:paraId="27C2458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1.乙方提供的货物均应包装完整，每一包装单元内应附详细的装箱单和质量合格证。</w:t>
      </w:r>
    </w:p>
    <w:p w14:paraId="616A86EC">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2.货物的运输</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u w:val="single"/>
        </w:rPr>
        <w:t xml:space="preserve">      。</w:t>
      </w:r>
    </w:p>
    <w:p w14:paraId="06330CCE">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3.乙方负责货物运输，货物运输合理损耗及计算方法：</w:t>
      </w:r>
      <w:r>
        <w:rPr>
          <w:rFonts w:hint="eastAsia" w:asciiTheme="minorEastAsia" w:hAnsiTheme="minorEastAsia" w:eastAsiaTheme="minorEastAsia" w:cstheme="minorEastAsia"/>
          <w:color w:val="auto"/>
          <w:sz w:val="24"/>
          <w:szCs w:val="24"/>
          <w:u w:val="single"/>
        </w:rPr>
        <w:t>甲方不接受损耗。</w:t>
      </w:r>
    </w:p>
    <w:p w14:paraId="3EBCCFA0">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4.乙方应在货物发运前对其进行满足运输距离、防潮、防震、防锈和防破损装卸等要求包装，以保证货物安全运达甲方指定地点。</w:t>
      </w:r>
    </w:p>
    <w:p w14:paraId="17AF43F8">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 使用说明书（货物属于进口产品的，供货时应同时附上中文使用说明书</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、质量检验证明书、随配附件和工具以及清单一并附于货物内。</w:t>
      </w:r>
    </w:p>
    <w:p w14:paraId="65B63C77">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6.乙方在货物发运手续办理完毕后24小时内或者货到甲方48小时前通知甲方，以准备接货。</w:t>
      </w:r>
    </w:p>
    <w:p w14:paraId="66AE5E76">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7.货物在规定的交付期限内由乙方送达甲方指定的地点，乙方同时需通知甲方货物已送达，甲方清点货物后签收，货物签收不作为最终验收合格的依据。</w:t>
      </w:r>
    </w:p>
    <w:p w14:paraId="2CA84B0C">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第五条</w:t>
      </w:r>
      <w:r>
        <w:rPr>
          <w:rFonts w:hint="eastAsia" w:asciiTheme="minorEastAsia" w:hAnsiTheme="minorEastAsia" w:eastAsiaTheme="minorEastAsia" w:cstheme="minorEastAsia"/>
          <w:b/>
          <w:color w:val="auto"/>
          <w:sz w:val="24"/>
          <w:szCs w:val="24"/>
          <w:lang w:val="en-US" w:eastAsia="zh-CN"/>
        </w:rPr>
        <w:t xml:space="preserve">  </w:t>
      </w:r>
      <w:r>
        <w:rPr>
          <w:rFonts w:hint="eastAsia" w:asciiTheme="minorEastAsia" w:hAnsiTheme="minorEastAsia" w:eastAsiaTheme="minorEastAsia" w:cstheme="minorEastAsia"/>
          <w:b/>
          <w:color w:val="auto"/>
          <w:sz w:val="24"/>
          <w:szCs w:val="24"/>
        </w:rPr>
        <w:t>安装和培训</w:t>
      </w:r>
    </w:p>
    <w:p w14:paraId="2812C03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1.甲方应提供必要安装条件（如场地、电源、水源等</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p>
    <w:p w14:paraId="458F715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2.乙方响应文件承诺负责甲方有关人员的培训：</w:t>
      </w:r>
      <w:r>
        <w:rPr>
          <w:rFonts w:hint="eastAsia" w:asciiTheme="minorEastAsia" w:hAnsiTheme="minorEastAsia" w:eastAsiaTheme="minorEastAsia" w:cstheme="minorEastAsia"/>
          <w:color w:val="auto"/>
          <w:sz w:val="24"/>
          <w:szCs w:val="24"/>
          <w:u w:val="single"/>
        </w:rPr>
        <w:t>根据甲方要求开展。</w:t>
      </w:r>
    </w:p>
    <w:p w14:paraId="05B008A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3.培训时间、地点：</w:t>
      </w:r>
      <w:r>
        <w:rPr>
          <w:rFonts w:hint="eastAsia" w:asciiTheme="minorEastAsia" w:hAnsiTheme="minorEastAsia" w:eastAsiaTheme="minorEastAsia" w:cstheme="minorEastAsia"/>
          <w:color w:val="auto"/>
          <w:sz w:val="24"/>
          <w:szCs w:val="24"/>
          <w:u w:val="single"/>
        </w:rPr>
        <w:t>甲方指定。</w:t>
      </w:r>
    </w:p>
    <w:p w14:paraId="2AD84A9A">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第六条</w:t>
      </w:r>
      <w:r>
        <w:rPr>
          <w:rFonts w:hint="eastAsia" w:asciiTheme="minorEastAsia" w:hAnsiTheme="minorEastAsia" w:eastAsiaTheme="minorEastAsia" w:cstheme="minorEastAsia"/>
          <w:b/>
          <w:color w:val="auto"/>
          <w:sz w:val="24"/>
          <w:szCs w:val="24"/>
          <w:lang w:val="en-US" w:eastAsia="zh-CN"/>
        </w:rPr>
        <w:t xml:space="preserve">  </w:t>
      </w:r>
      <w:r>
        <w:rPr>
          <w:rFonts w:hint="eastAsia" w:asciiTheme="minorEastAsia" w:hAnsiTheme="minorEastAsia" w:eastAsiaTheme="minorEastAsia" w:cstheme="minorEastAsia"/>
          <w:b/>
          <w:color w:val="auto"/>
          <w:sz w:val="24"/>
          <w:szCs w:val="24"/>
        </w:rPr>
        <w:t>调试、交付和验收</w:t>
      </w:r>
    </w:p>
    <w:p w14:paraId="0355792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交货</w:t>
      </w:r>
      <w:r>
        <w:rPr>
          <w:rFonts w:hint="eastAsia" w:asciiTheme="minorEastAsia" w:hAnsiTheme="minorEastAsia" w:eastAsiaTheme="minorEastAsia" w:cstheme="minorEastAsia"/>
          <w:color w:val="auto"/>
          <w:sz w:val="24"/>
          <w:szCs w:val="24"/>
        </w:rPr>
        <w:t>时间：自签订合同之日起</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日历天内到货安装调试完成并通过验收。</w:t>
      </w:r>
    </w:p>
    <w:p w14:paraId="10755FC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交付地点：</w:t>
      </w:r>
      <w:r>
        <w:rPr>
          <w:rFonts w:hint="eastAsia" w:asciiTheme="minorEastAsia" w:hAnsiTheme="minorEastAsia" w:eastAsiaTheme="minorEastAsia" w:cstheme="minorEastAsia"/>
          <w:color w:val="auto"/>
          <w:sz w:val="24"/>
          <w:szCs w:val="24"/>
          <w:u w:val="single"/>
        </w:rPr>
        <w:t>甲方指定地点。</w:t>
      </w:r>
    </w:p>
    <w:p w14:paraId="0328739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2.乙方提供不符合采购文件规定或者响应文件承诺的和本合同规定的货物，甲方有权拒绝接受。</w:t>
      </w:r>
    </w:p>
    <w:p w14:paraId="2526FF8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3.乙方提供不符合招标文件要求或提供虚假承诺、虚假检测报告等虚假材料的，甲方有权拒绝验收并认定乙方违约，甲方有权单方面解除合同，乙方承担所有责任和费用，甲方保留进一步追究责任的权利。</w:t>
      </w:r>
    </w:p>
    <w:p w14:paraId="180EC3B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乙方应将所提供货物的装箱清单、用户手册、原厂保修卡、随机资料、工具和备品、备件等交付给甲方，货物属于进口产品的，供货时应同时附上中文使用说明书，如有缺失应在5个工作日内补齐，否则视为逾期交货。</w:t>
      </w:r>
    </w:p>
    <w:p w14:paraId="7A3189C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5.乙方应对产品作出全面检查和对验收文件进行整理，并列出清单，作为甲方验收和使用的技术条件依据，检验的结果应随货物交甲方。</w:t>
      </w:r>
    </w:p>
    <w:p w14:paraId="1189A332">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6.甲方对乙方提供的货物在使用前进行调试时，乙方需负责安装并培训甲方的使用操作人员，并协助甲方一起调试，直到符合技术要求，甲方才做最终验收。</w:t>
      </w:r>
    </w:p>
    <w:p w14:paraId="354AC3C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7.乙方应当在到货并安装、调试完毕后，达到验收条件时以书面形式提请甲方进行验收，甲方应在收到乙方书面验收请求后7个工作日内组织开展履约验收（预验收</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。验收合格后由甲乙双方签署货物验收单并加盖甲方公章，甲乙双方各执壹份。甲方预验收及履约验收过程中所产生的一切费用均由乙方承担。</w:t>
      </w:r>
    </w:p>
    <w:p w14:paraId="39BDDBB9">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8.对技术复杂的货物，甲方可请国家认可的专业检测机构参与初步验收及最终验收，并由其出具质量检测报告。</w:t>
      </w:r>
    </w:p>
    <w:p w14:paraId="248D3C3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9.预验收未通过或者履约验收未通过的，应限期整改或进行退换货处理，整改完成后重新组织履约验收。整改后仍不能通过验收的，甲方将有权解除合同，并依法追究相关责任。详细预验收及验收程序按《</w:t>
      </w:r>
      <w:r>
        <w:rPr>
          <w:rFonts w:hint="eastAsia" w:asciiTheme="minorEastAsia" w:hAnsiTheme="minorEastAsia" w:eastAsiaTheme="minorEastAsia" w:cstheme="minorEastAsia"/>
          <w:color w:val="auto"/>
          <w:sz w:val="24"/>
          <w:szCs w:val="24"/>
          <w:lang w:eastAsia="zh-CN"/>
        </w:rPr>
        <w:t>灵山县人民医院</w:t>
      </w:r>
      <w:r>
        <w:rPr>
          <w:rFonts w:hint="eastAsia" w:asciiTheme="minorEastAsia" w:hAnsiTheme="minorEastAsia" w:eastAsiaTheme="minorEastAsia" w:cstheme="minorEastAsia"/>
          <w:color w:val="auto"/>
          <w:sz w:val="24"/>
          <w:szCs w:val="24"/>
        </w:rPr>
        <w:t>采购合同履约验收管理办法（试行</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》执行。</w:t>
      </w:r>
    </w:p>
    <w:p w14:paraId="5E22B46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甲方委托采购代理机构组织的验收项目，其验收时间以该项目验收方案确定的验收时间为准，验收结果以该项目验收报告结论为准。在验收过程中发现乙方有违约情形，可暂缓资金结算，待乙方违约情形整改后，方可办理资金结算事宜。</w:t>
      </w:r>
    </w:p>
    <w:p w14:paraId="0226CC3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11.甲方对验收有异议的，在验收后5个工作日内以书面形式向乙方提出，乙方应自收到甲方书面异议后7日内及时予以解决。</w:t>
      </w:r>
    </w:p>
    <w:p w14:paraId="37AEE748">
      <w:pPr>
        <w:keepNext w:val="0"/>
        <w:keepLines w:val="0"/>
        <w:pageBreakBefore w:val="0"/>
        <w:widowControl w:val="0"/>
        <w:kinsoku/>
        <w:wordWrap/>
        <w:overflowPunct/>
        <w:topLinePunct w:val="0"/>
        <w:autoSpaceDE/>
        <w:autoSpaceDN/>
        <w:bidi w:val="0"/>
        <w:adjustRightInd/>
        <w:snapToGrid w:val="0"/>
        <w:spacing w:line="360" w:lineRule="auto"/>
        <w:ind w:left="-61" w:firstLine="514"/>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12.验收时乙方必须在现场，验收完毕后作出验收结果报告；验收过程所产生的一切费用均由乙方承担。</w:t>
      </w:r>
    </w:p>
    <w:p w14:paraId="0D03983D">
      <w:pPr>
        <w:keepNext w:val="0"/>
        <w:keepLines w:val="0"/>
        <w:pageBreakBefore w:val="0"/>
        <w:widowControl w:val="0"/>
        <w:kinsoku/>
        <w:wordWrap/>
        <w:overflowPunct/>
        <w:topLinePunct w:val="0"/>
        <w:autoSpaceDE/>
        <w:autoSpaceDN/>
        <w:bidi w:val="0"/>
        <w:adjustRightInd/>
        <w:snapToGrid w:val="0"/>
        <w:spacing w:line="360" w:lineRule="auto"/>
        <w:ind w:left="-61" w:firstLine="514"/>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13.货物在验收合格交付甲方前发生的风险均由乙方负责。</w:t>
      </w:r>
    </w:p>
    <w:p w14:paraId="30BDDD49">
      <w:pPr>
        <w:pStyle w:val="10"/>
        <w:keepNext w:val="0"/>
        <w:keepLines w:val="0"/>
        <w:pageBreakBefore w:val="0"/>
        <w:widowControl w:val="0"/>
        <w:kinsoku/>
        <w:wordWrap/>
        <w:overflowPunct/>
        <w:topLinePunct w:val="0"/>
        <w:autoSpaceDE/>
        <w:autoSpaceDN/>
        <w:bidi w:val="0"/>
        <w:adjustRightInd/>
        <w:spacing w:after="0"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14.本合同的验收条款与采购需求商务条款中的货物验收条款互为补充。</w:t>
      </w:r>
    </w:p>
    <w:p w14:paraId="0E473656">
      <w:pPr>
        <w:keepNext w:val="0"/>
        <w:keepLines w:val="0"/>
        <w:pageBreakBefore w:val="0"/>
        <w:widowControl w:val="0"/>
        <w:kinsoku/>
        <w:wordWrap/>
        <w:overflowPunct/>
        <w:topLinePunct w:val="0"/>
        <w:autoSpaceDE/>
        <w:autoSpaceDN/>
        <w:bidi w:val="0"/>
        <w:adjustRightInd/>
        <w:snapToGrid w:val="0"/>
        <w:spacing w:line="360" w:lineRule="auto"/>
        <w:ind w:left="-61" w:firstLine="514"/>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第七条</w:t>
      </w:r>
      <w:r>
        <w:rPr>
          <w:rFonts w:hint="eastAsia" w:asciiTheme="minorEastAsia" w:hAnsiTheme="minorEastAsia" w:eastAsiaTheme="minorEastAsia" w:cstheme="minorEastAsia"/>
          <w:b/>
          <w:color w:val="auto"/>
          <w:sz w:val="24"/>
          <w:szCs w:val="24"/>
          <w:lang w:val="en-US" w:eastAsia="zh-CN"/>
        </w:rPr>
        <w:t xml:space="preserve">  </w:t>
      </w:r>
      <w:r>
        <w:rPr>
          <w:rFonts w:hint="eastAsia" w:asciiTheme="minorEastAsia" w:hAnsiTheme="minorEastAsia" w:eastAsiaTheme="minorEastAsia" w:cstheme="minorEastAsia"/>
          <w:b/>
          <w:color w:val="auto"/>
          <w:sz w:val="24"/>
          <w:szCs w:val="24"/>
        </w:rPr>
        <w:t>付款方式</w:t>
      </w:r>
    </w:p>
    <w:p w14:paraId="2FFADDDA">
      <w:pPr>
        <w:keepNext w:val="0"/>
        <w:keepLines w:val="0"/>
        <w:pageBreakBefore w:val="0"/>
        <w:widowControl w:val="0"/>
        <w:kinsoku/>
        <w:wordWrap/>
        <w:overflowPunct/>
        <w:topLinePunct w:val="0"/>
        <w:autoSpaceDE/>
        <w:autoSpaceDN/>
        <w:bidi w:val="0"/>
        <w:adjustRightInd/>
        <w:snapToGrid w:val="0"/>
        <w:spacing w:line="360" w:lineRule="auto"/>
        <w:ind w:left="-61" w:firstLine="514"/>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本项目无预付款，全部货物安装调试完毕并经验收合格后，</w:t>
      </w:r>
      <w:r>
        <w:rPr>
          <w:rFonts w:hint="eastAsia" w:asciiTheme="minorEastAsia" w:hAnsiTheme="minorEastAsia" w:eastAsiaTheme="minorEastAsia" w:cstheme="minorEastAsia"/>
          <w:color w:val="auto"/>
          <w:sz w:val="24"/>
          <w:szCs w:val="24"/>
          <w:lang w:eastAsia="zh-CN"/>
        </w:rPr>
        <w:t>甲方</w:t>
      </w:r>
      <w:r>
        <w:rPr>
          <w:rFonts w:hint="eastAsia" w:asciiTheme="minorEastAsia" w:hAnsiTheme="minorEastAsia" w:eastAsiaTheme="minorEastAsia" w:cstheme="minorEastAsia"/>
          <w:color w:val="auto"/>
          <w:sz w:val="24"/>
          <w:szCs w:val="24"/>
        </w:rPr>
        <w:t>12个月内向</w:t>
      </w:r>
      <w:r>
        <w:rPr>
          <w:rFonts w:hint="eastAsia" w:asciiTheme="minorEastAsia" w:hAnsiTheme="minorEastAsia" w:eastAsiaTheme="minorEastAsia" w:cstheme="minorEastAsia"/>
          <w:color w:val="auto"/>
          <w:sz w:val="24"/>
          <w:szCs w:val="24"/>
          <w:lang w:eastAsia="zh-CN"/>
        </w:rPr>
        <w:t>乙方</w:t>
      </w:r>
      <w:r>
        <w:rPr>
          <w:rFonts w:hint="eastAsia" w:asciiTheme="minorEastAsia" w:hAnsiTheme="minorEastAsia" w:eastAsiaTheme="minorEastAsia" w:cstheme="minorEastAsia"/>
          <w:color w:val="auto"/>
          <w:sz w:val="24"/>
          <w:szCs w:val="24"/>
        </w:rPr>
        <w:t>支付全部合同款（无息）；付款前，</w:t>
      </w:r>
      <w:r>
        <w:rPr>
          <w:rFonts w:hint="eastAsia" w:asciiTheme="minorEastAsia" w:hAnsiTheme="minorEastAsia" w:eastAsiaTheme="minorEastAsia" w:cstheme="minorEastAsia"/>
          <w:color w:val="auto"/>
          <w:sz w:val="24"/>
          <w:szCs w:val="24"/>
          <w:lang w:eastAsia="zh-CN"/>
        </w:rPr>
        <w:t>乙方</w:t>
      </w:r>
      <w:r>
        <w:rPr>
          <w:rFonts w:hint="eastAsia" w:asciiTheme="minorEastAsia" w:hAnsiTheme="minorEastAsia" w:eastAsiaTheme="minorEastAsia" w:cstheme="minorEastAsia"/>
          <w:color w:val="auto"/>
          <w:sz w:val="24"/>
          <w:szCs w:val="24"/>
        </w:rPr>
        <w:t>开具等额增值税专用发票给</w:t>
      </w:r>
      <w:r>
        <w:rPr>
          <w:rFonts w:hint="eastAsia" w:asciiTheme="minorEastAsia" w:hAnsiTheme="minorEastAsia" w:eastAsiaTheme="minorEastAsia" w:cstheme="minorEastAsia"/>
          <w:color w:val="auto"/>
          <w:sz w:val="24"/>
          <w:szCs w:val="24"/>
          <w:lang w:eastAsia="zh-CN"/>
        </w:rPr>
        <w:t>甲方</w:t>
      </w:r>
      <w:r>
        <w:rPr>
          <w:rFonts w:hint="eastAsia" w:asciiTheme="minorEastAsia" w:hAnsiTheme="minorEastAsia" w:eastAsiaTheme="minorEastAsia" w:cstheme="minorEastAsia"/>
          <w:color w:val="auto"/>
          <w:sz w:val="24"/>
          <w:szCs w:val="24"/>
        </w:rPr>
        <w:t>。</w:t>
      </w:r>
    </w:p>
    <w:p w14:paraId="311D9DF4">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第八条</w:t>
      </w:r>
      <w:r>
        <w:rPr>
          <w:rFonts w:hint="eastAsia" w:asciiTheme="minorEastAsia" w:hAnsiTheme="minorEastAsia" w:eastAsiaTheme="minorEastAsia" w:cstheme="minorEastAsia"/>
          <w:b/>
          <w:color w:val="auto"/>
          <w:sz w:val="24"/>
          <w:szCs w:val="24"/>
          <w:lang w:val="en-US" w:eastAsia="zh-CN"/>
        </w:rPr>
        <w:t xml:space="preserve">  </w:t>
      </w:r>
      <w:r>
        <w:rPr>
          <w:rFonts w:hint="eastAsia" w:asciiTheme="minorEastAsia" w:hAnsiTheme="minorEastAsia" w:eastAsiaTheme="minorEastAsia" w:cstheme="minorEastAsia"/>
          <w:b/>
          <w:color w:val="auto"/>
          <w:sz w:val="24"/>
          <w:szCs w:val="24"/>
        </w:rPr>
        <w:t>履约保证金</w:t>
      </w:r>
    </w:p>
    <w:p w14:paraId="716195C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none"/>
          <w:lang w:eastAsia="zh-CN"/>
        </w:rPr>
        <w:t>无</w:t>
      </w:r>
      <w:r>
        <w:rPr>
          <w:rFonts w:hint="eastAsia" w:asciiTheme="minorEastAsia" w:hAnsiTheme="minorEastAsia" w:eastAsiaTheme="minorEastAsia" w:cstheme="minorEastAsia"/>
          <w:color w:val="auto"/>
          <w:sz w:val="24"/>
          <w:szCs w:val="24"/>
        </w:rPr>
        <w:t>。</w:t>
      </w:r>
    </w:p>
    <w:p w14:paraId="4F07164D">
      <w:pPr>
        <w:keepNext w:val="0"/>
        <w:keepLines w:val="0"/>
        <w:pageBreakBefore w:val="0"/>
        <w:widowControl w:val="0"/>
        <w:kinsoku/>
        <w:wordWrap/>
        <w:overflowPunct/>
        <w:topLinePunct w:val="0"/>
        <w:autoSpaceDE/>
        <w:autoSpaceDN/>
        <w:bidi w:val="0"/>
        <w:adjustRightInd/>
        <w:snapToGrid w:val="0"/>
        <w:spacing w:line="360" w:lineRule="auto"/>
        <w:ind w:firstLine="514"/>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第九条  税费</w:t>
      </w:r>
    </w:p>
    <w:p w14:paraId="43B365D4">
      <w:pPr>
        <w:keepNext w:val="0"/>
        <w:keepLines w:val="0"/>
        <w:pageBreakBefore w:val="0"/>
        <w:widowControl w:val="0"/>
        <w:kinsoku/>
        <w:wordWrap/>
        <w:overflowPunct/>
        <w:topLinePunct w:val="0"/>
        <w:autoSpaceDE/>
        <w:autoSpaceDN/>
        <w:bidi w:val="0"/>
        <w:adjustRightInd/>
        <w:snapToGrid w:val="0"/>
        <w:spacing w:line="360" w:lineRule="auto"/>
        <w:ind w:firstLine="514"/>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本合同执行中相关的一切税费均由乙方负担，合同另有约定的除外。</w:t>
      </w:r>
    </w:p>
    <w:p w14:paraId="485A4899">
      <w:pPr>
        <w:keepNext w:val="0"/>
        <w:keepLines w:val="0"/>
        <w:pageBreakBefore w:val="0"/>
        <w:widowControl w:val="0"/>
        <w:kinsoku/>
        <w:wordWrap/>
        <w:overflowPunct/>
        <w:topLinePunct w:val="0"/>
        <w:autoSpaceDE/>
        <w:autoSpaceDN/>
        <w:bidi w:val="0"/>
        <w:adjustRightInd/>
        <w:snapToGrid w:val="0"/>
        <w:spacing w:line="360" w:lineRule="auto"/>
        <w:ind w:firstLine="514"/>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第十条  质量保证、售后服务</w:t>
      </w:r>
    </w:p>
    <w:p w14:paraId="55DCCAD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bCs/>
          <w:color w:val="auto"/>
          <w:kern w:val="0"/>
          <w:sz w:val="24"/>
          <w:szCs w:val="24"/>
        </w:rPr>
        <w:t>.乙方应按照国家有关法律法规和“三包”规定以及采购文件要求、响应文件承诺和本合同所附的《售后服务承诺》，为甲方提供售后服务。</w:t>
      </w:r>
    </w:p>
    <w:p w14:paraId="6A96298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2.乙方应按采购文件规定的设备和软件性能、技术要求、质量标准向甲方提供未经使用的全新产品。对达不到要求者，根据实际情况，经双方协商，可按以下办法处理：</w:t>
      </w:r>
    </w:p>
    <w:p w14:paraId="735FA15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（1</w:t>
      </w:r>
      <w:r>
        <w:rPr>
          <w:rFonts w:hint="eastAsia" w:asciiTheme="minorEastAsia" w:hAnsiTheme="minorEastAsia" w:eastAsiaTheme="minorEastAsia" w:cstheme="minorEastAsia"/>
          <w:bCs/>
          <w:color w:val="auto"/>
          <w:kern w:val="0"/>
          <w:sz w:val="24"/>
          <w:szCs w:val="24"/>
          <w:lang w:eastAsia="zh-CN"/>
        </w:rPr>
        <w:t>）</w:t>
      </w:r>
      <w:r>
        <w:rPr>
          <w:rFonts w:hint="eastAsia" w:asciiTheme="minorEastAsia" w:hAnsiTheme="minorEastAsia" w:eastAsiaTheme="minorEastAsia" w:cstheme="minorEastAsia"/>
          <w:bCs/>
          <w:color w:val="auto"/>
          <w:kern w:val="0"/>
          <w:sz w:val="24"/>
          <w:szCs w:val="24"/>
        </w:rPr>
        <w:t>更换：由乙方承担所发生的全部费用。</w:t>
      </w:r>
    </w:p>
    <w:p w14:paraId="08FC266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（2</w:t>
      </w:r>
      <w:r>
        <w:rPr>
          <w:rFonts w:hint="eastAsia" w:asciiTheme="minorEastAsia" w:hAnsiTheme="minorEastAsia" w:eastAsiaTheme="minorEastAsia" w:cstheme="minorEastAsia"/>
          <w:bCs/>
          <w:color w:val="auto"/>
          <w:kern w:val="0"/>
          <w:sz w:val="24"/>
          <w:szCs w:val="24"/>
          <w:lang w:eastAsia="zh-CN"/>
        </w:rPr>
        <w:t>）</w:t>
      </w:r>
      <w:r>
        <w:rPr>
          <w:rFonts w:hint="eastAsia" w:asciiTheme="minorEastAsia" w:hAnsiTheme="minorEastAsia" w:eastAsiaTheme="minorEastAsia" w:cstheme="minorEastAsia"/>
          <w:bCs/>
          <w:color w:val="auto"/>
          <w:kern w:val="0"/>
          <w:sz w:val="24"/>
          <w:szCs w:val="24"/>
        </w:rPr>
        <w:t>贬值处理：由甲乙双方合议定价。</w:t>
      </w:r>
    </w:p>
    <w:p w14:paraId="079807E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（3</w:t>
      </w:r>
      <w:r>
        <w:rPr>
          <w:rFonts w:hint="eastAsia" w:asciiTheme="minorEastAsia" w:hAnsiTheme="minorEastAsia" w:eastAsiaTheme="minorEastAsia" w:cstheme="minorEastAsia"/>
          <w:bCs/>
          <w:color w:val="auto"/>
          <w:kern w:val="0"/>
          <w:sz w:val="24"/>
          <w:szCs w:val="24"/>
          <w:lang w:eastAsia="zh-CN"/>
        </w:rPr>
        <w:t>）</w:t>
      </w:r>
      <w:r>
        <w:rPr>
          <w:rFonts w:hint="eastAsia" w:asciiTheme="minorEastAsia" w:hAnsiTheme="minorEastAsia" w:eastAsiaTheme="minorEastAsia" w:cstheme="minorEastAsia"/>
          <w:bCs/>
          <w:color w:val="auto"/>
          <w:kern w:val="0"/>
          <w:sz w:val="24"/>
          <w:szCs w:val="24"/>
        </w:rPr>
        <w:t>退货处理：乙方应退还甲方支付的合同款，同时应承担该货物的直接费用（运输、保险、检验、货款利息及银行手续费等</w:t>
      </w:r>
      <w:r>
        <w:rPr>
          <w:rFonts w:hint="eastAsia" w:asciiTheme="minorEastAsia" w:hAnsiTheme="minorEastAsia" w:eastAsiaTheme="minorEastAsia" w:cstheme="minorEastAsia"/>
          <w:bCs/>
          <w:color w:val="auto"/>
          <w:kern w:val="0"/>
          <w:sz w:val="24"/>
          <w:szCs w:val="24"/>
          <w:lang w:eastAsia="zh-CN"/>
        </w:rPr>
        <w:t>）</w:t>
      </w:r>
      <w:r>
        <w:rPr>
          <w:rFonts w:hint="eastAsia" w:asciiTheme="minorEastAsia" w:hAnsiTheme="minorEastAsia" w:eastAsiaTheme="minorEastAsia" w:cstheme="minorEastAsia"/>
          <w:bCs/>
          <w:color w:val="auto"/>
          <w:kern w:val="0"/>
          <w:sz w:val="24"/>
          <w:szCs w:val="24"/>
        </w:rPr>
        <w:t>。</w:t>
      </w:r>
    </w:p>
    <w:p w14:paraId="395025F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如果双方不能就上述第（1</w:t>
      </w:r>
      <w:r>
        <w:rPr>
          <w:rFonts w:hint="eastAsia" w:asciiTheme="minorEastAsia" w:hAnsiTheme="minorEastAsia" w:eastAsiaTheme="minorEastAsia" w:cstheme="minorEastAsia"/>
          <w:bCs/>
          <w:color w:val="auto"/>
          <w:kern w:val="0"/>
          <w:sz w:val="24"/>
          <w:szCs w:val="24"/>
          <w:lang w:eastAsia="zh-CN"/>
        </w:rPr>
        <w:t>）</w:t>
      </w:r>
      <w:r>
        <w:rPr>
          <w:rFonts w:hint="eastAsia" w:asciiTheme="minorEastAsia" w:hAnsiTheme="minorEastAsia" w:eastAsiaTheme="minorEastAsia" w:cstheme="minorEastAsia"/>
          <w:bCs/>
          <w:color w:val="auto"/>
          <w:kern w:val="0"/>
          <w:sz w:val="24"/>
          <w:szCs w:val="24"/>
        </w:rPr>
        <w:t>、（2</w:t>
      </w:r>
      <w:r>
        <w:rPr>
          <w:rFonts w:hint="eastAsia" w:asciiTheme="minorEastAsia" w:hAnsiTheme="minorEastAsia" w:eastAsiaTheme="minorEastAsia" w:cstheme="minorEastAsia"/>
          <w:bCs/>
          <w:color w:val="auto"/>
          <w:kern w:val="0"/>
          <w:sz w:val="24"/>
          <w:szCs w:val="24"/>
          <w:lang w:eastAsia="zh-CN"/>
        </w:rPr>
        <w:t>）</w:t>
      </w:r>
      <w:r>
        <w:rPr>
          <w:rFonts w:hint="eastAsia" w:asciiTheme="minorEastAsia" w:hAnsiTheme="minorEastAsia" w:eastAsiaTheme="minorEastAsia" w:cstheme="minorEastAsia"/>
          <w:bCs/>
          <w:color w:val="auto"/>
          <w:kern w:val="0"/>
          <w:sz w:val="24"/>
          <w:szCs w:val="24"/>
        </w:rPr>
        <w:t>项达成协议，则甲方有权单方选择第（3</w:t>
      </w:r>
      <w:r>
        <w:rPr>
          <w:rFonts w:hint="eastAsia" w:asciiTheme="minorEastAsia" w:hAnsiTheme="minorEastAsia" w:eastAsiaTheme="minorEastAsia" w:cstheme="minorEastAsia"/>
          <w:bCs/>
          <w:color w:val="auto"/>
          <w:kern w:val="0"/>
          <w:sz w:val="24"/>
          <w:szCs w:val="24"/>
          <w:lang w:eastAsia="zh-CN"/>
        </w:rPr>
        <w:t>）</w:t>
      </w:r>
      <w:r>
        <w:rPr>
          <w:rFonts w:hint="eastAsia" w:asciiTheme="minorEastAsia" w:hAnsiTheme="minorEastAsia" w:eastAsiaTheme="minorEastAsia" w:cstheme="minorEastAsia"/>
          <w:bCs/>
          <w:color w:val="auto"/>
          <w:kern w:val="0"/>
          <w:sz w:val="24"/>
          <w:szCs w:val="24"/>
        </w:rPr>
        <w:t>项方式。</w:t>
      </w:r>
    </w:p>
    <w:p w14:paraId="4D99875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3.乙方提供的服务承诺和售后服务及质量保证期责任等其他具体约定事项（见合同附件</w:t>
      </w:r>
      <w:r>
        <w:rPr>
          <w:rFonts w:hint="eastAsia" w:asciiTheme="minorEastAsia" w:hAnsiTheme="minorEastAsia" w:eastAsiaTheme="minorEastAsia" w:cstheme="minorEastAsia"/>
          <w:bCs/>
          <w:color w:val="auto"/>
          <w:kern w:val="0"/>
          <w:sz w:val="24"/>
          <w:szCs w:val="24"/>
          <w:lang w:eastAsia="zh-CN"/>
        </w:rPr>
        <w:t>）</w:t>
      </w:r>
      <w:r>
        <w:rPr>
          <w:rFonts w:hint="eastAsia" w:asciiTheme="minorEastAsia" w:hAnsiTheme="minorEastAsia" w:eastAsiaTheme="minorEastAsia" w:cstheme="minorEastAsia"/>
          <w:bCs/>
          <w:color w:val="auto"/>
          <w:kern w:val="0"/>
          <w:sz w:val="24"/>
          <w:szCs w:val="24"/>
        </w:rPr>
        <w:t>。</w:t>
      </w:r>
    </w:p>
    <w:p w14:paraId="61EF91D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bCs/>
          <w:color w:val="auto"/>
          <w:kern w:val="0"/>
          <w:sz w:val="24"/>
          <w:szCs w:val="24"/>
        </w:rPr>
        <w:t>.乙方除承担运输、安装、调试、验收与培训等义务外，还将为甲方提供技术支持，包括质量保证期外的技术指导。</w:t>
      </w:r>
    </w:p>
    <w:p w14:paraId="1F86EFB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color w:val="auto"/>
          <w:sz w:val="24"/>
          <w:szCs w:val="24"/>
        </w:rPr>
        <w:t>5</w:t>
      </w:r>
      <w:r>
        <w:rPr>
          <w:rFonts w:hint="eastAsia" w:asciiTheme="minorEastAsia" w:hAnsiTheme="minorEastAsia" w:eastAsiaTheme="minorEastAsia" w:cstheme="minorEastAsia"/>
          <w:bCs/>
          <w:color w:val="auto"/>
          <w:kern w:val="0"/>
          <w:sz w:val="24"/>
          <w:szCs w:val="24"/>
        </w:rPr>
        <w:t>.在质保期内，乙方应对货物出现的质量及安全问题负责处理解决并承担一切费用。</w:t>
      </w:r>
    </w:p>
    <w:p w14:paraId="1506BAF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color w:val="auto"/>
          <w:sz w:val="24"/>
          <w:szCs w:val="24"/>
        </w:rPr>
        <w:t>6</w:t>
      </w:r>
      <w:r>
        <w:rPr>
          <w:rFonts w:hint="eastAsia" w:asciiTheme="minorEastAsia" w:hAnsiTheme="minorEastAsia" w:eastAsiaTheme="minorEastAsia" w:cstheme="minorEastAsia"/>
          <w:bCs/>
          <w:color w:val="auto"/>
          <w:kern w:val="0"/>
          <w:sz w:val="24"/>
          <w:szCs w:val="24"/>
        </w:rPr>
        <w:t>.超过质量保证期的机器设备，终身维修，维修时只收部件成本费。</w:t>
      </w:r>
    </w:p>
    <w:p w14:paraId="233CC57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w:t>
      </w:r>
      <w:r>
        <w:rPr>
          <w:rFonts w:hint="eastAsia" w:asciiTheme="minorEastAsia" w:hAnsiTheme="minorEastAsia" w:eastAsiaTheme="minorEastAsia" w:cstheme="minorEastAsia"/>
          <w:bCs/>
          <w:color w:val="auto"/>
          <w:kern w:val="0"/>
          <w:sz w:val="24"/>
          <w:szCs w:val="24"/>
        </w:rPr>
        <w:t>.货物质量保证期：</w:t>
      </w:r>
      <w:r>
        <w:rPr>
          <w:rFonts w:hint="eastAsia" w:asciiTheme="minorEastAsia" w:hAnsiTheme="minorEastAsia" w:eastAsiaTheme="minorEastAsia" w:cstheme="minorEastAsia"/>
          <w:color w:val="auto"/>
          <w:sz w:val="24"/>
          <w:szCs w:val="24"/>
          <w:u w:val="single"/>
        </w:rPr>
        <w:t>按国家有关产品“三包”规定执行“三包”，整机质量保证期不少于</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u w:val="single"/>
        </w:rPr>
        <w:t>年（质量保证期自货物验收合格之日起计。分项货物或配置有明确要求的按分项要求；生产厂家承诺的</w:t>
      </w:r>
      <w:r>
        <w:rPr>
          <w:rFonts w:hint="eastAsia" w:asciiTheme="minorEastAsia" w:hAnsiTheme="minorEastAsia" w:eastAsiaTheme="minorEastAsia" w:cstheme="minorEastAsia"/>
          <w:bCs/>
          <w:color w:val="auto"/>
          <w:kern w:val="0"/>
          <w:sz w:val="24"/>
          <w:szCs w:val="24"/>
          <w:u w:val="single"/>
        </w:rPr>
        <w:t>质量保证期</w:t>
      </w:r>
      <w:r>
        <w:rPr>
          <w:rFonts w:hint="eastAsia" w:asciiTheme="minorEastAsia" w:hAnsiTheme="minorEastAsia" w:eastAsiaTheme="minorEastAsia" w:cstheme="minorEastAsia"/>
          <w:color w:val="auto"/>
          <w:sz w:val="24"/>
          <w:szCs w:val="24"/>
          <w:u w:val="single"/>
        </w:rPr>
        <w:t>更长的按生产厂家的承诺；</w:t>
      </w:r>
      <w:r>
        <w:rPr>
          <w:rFonts w:hint="eastAsia" w:asciiTheme="minorEastAsia" w:hAnsiTheme="minorEastAsia" w:eastAsiaTheme="minorEastAsia" w:cstheme="minorEastAsia"/>
          <w:bCs/>
          <w:color w:val="auto"/>
          <w:kern w:val="0"/>
          <w:sz w:val="24"/>
          <w:szCs w:val="24"/>
          <w:u w:val="single"/>
        </w:rPr>
        <w:t>乙方响应文件承诺更优的，以乙方响应文件承诺为准</w:t>
      </w:r>
      <w:r>
        <w:rPr>
          <w:rFonts w:hint="eastAsia" w:asciiTheme="minorEastAsia" w:hAnsiTheme="minorEastAsia" w:eastAsiaTheme="minorEastAsia" w:cstheme="minorEastAsia"/>
          <w:color w:val="auto"/>
          <w:sz w:val="24"/>
          <w:szCs w:val="24"/>
          <w:u w:val="single"/>
          <w:lang w:eastAsia="zh-CN"/>
        </w:rPr>
        <w:t>）</w:t>
      </w:r>
      <w:r>
        <w:rPr>
          <w:rFonts w:hint="eastAsia" w:asciiTheme="minorEastAsia" w:hAnsiTheme="minorEastAsia" w:eastAsiaTheme="minorEastAsia" w:cstheme="minorEastAsia"/>
          <w:bCs/>
          <w:color w:val="auto"/>
          <w:kern w:val="0"/>
          <w:sz w:val="24"/>
          <w:szCs w:val="24"/>
          <w:u w:val="single"/>
        </w:rPr>
        <w:t>。</w:t>
      </w:r>
    </w:p>
    <w:p w14:paraId="4469AD65">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第十一条  违约责任</w:t>
      </w:r>
    </w:p>
    <w:p w14:paraId="1322971A">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乙方所提供的产品名称、商标品牌、生产厂家、规格型号、技术参数等质量不合格的，应及时更换，更换不及时的按逾期交货处理；因质量问题甲方不同意接收的或者特殊情况甲方同意接收的，乙方应按违约货款额5%向甲方支付违约金并赔偿甲方经济损失。</w:t>
      </w:r>
    </w:p>
    <w:p w14:paraId="4D7C78F2">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2.乙方提供的货物如侵犯了第三方合法权益而引发的任何纠纷或者诉讼，均由乙方负责交涉并承担全部责任。</w:t>
      </w:r>
    </w:p>
    <w:p w14:paraId="0923EB70">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3.因包装、运输引起的货物损坏，按质量不合格处理。</w:t>
      </w:r>
    </w:p>
    <w:p w14:paraId="2BBE8479">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4.合同一方不履行合同义务、履行合同义务不符合约定或者违反合同项下所作保证的，应向对方承担继续履行、采取修理、更换、退货等补救措施或者赔偿损失等违约责任。</w:t>
      </w:r>
    </w:p>
    <w:p w14:paraId="7AC69410">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5.乙方未能按时交付货物的，应向甲方支付迟延交付违约金。迟延交付违约金的计算方法如下：</w:t>
      </w:r>
    </w:p>
    <w:p w14:paraId="4F954EEC">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从迟交的第1日到第30日，每日迟延交付违约金为合同总价的1.5‰；</w:t>
      </w:r>
    </w:p>
    <w:p w14:paraId="10540216">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从迟交的第31到第60日，每日迟延交付违约金为合同总价的3‰；</w:t>
      </w:r>
    </w:p>
    <w:p w14:paraId="056D16F3">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从迟交的第61日起，每日迟延交付违约金为合同总价的5‰。</w:t>
      </w:r>
    </w:p>
    <w:p w14:paraId="0A5C1417">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迟延交付违约金的总额不得超过合同总价的30%。迟延交付违约金的支付不能免除乙方继续交付相关合同货物的义务，但如迟延交付必然导致合同货物安装、调试、验收等工作推迟的，相关工作应相应顺延。</w:t>
      </w:r>
    </w:p>
    <w:p w14:paraId="4A98D0C4">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6</w:t>
      </w:r>
      <w:r>
        <w:rPr>
          <w:rFonts w:hint="eastAsia" w:asciiTheme="minorEastAsia" w:hAnsiTheme="minorEastAsia" w:eastAsiaTheme="minorEastAsia" w:cstheme="minorEastAsia"/>
          <w:color w:val="auto"/>
          <w:sz w:val="24"/>
          <w:szCs w:val="24"/>
        </w:rPr>
        <w:t>.乙方未按本合同和响应文件承诺提供售后服务的，乙方应按本合同总价的5%向甲方支付违约金。</w:t>
      </w:r>
    </w:p>
    <w:p w14:paraId="54A21CF7">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7</w:t>
      </w:r>
      <w:r>
        <w:rPr>
          <w:rFonts w:hint="eastAsia" w:asciiTheme="minorEastAsia" w:hAnsiTheme="minorEastAsia" w:eastAsiaTheme="minorEastAsia" w:cstheme="minorEastAsia"/>
          <w:color w:val="auto"/>
          <w:sz w:val="24"/>
          <w:szCs w:val="24"/>
        </w:rPr>
        <w:t>.乙方违约，甲方对本合同享有单方解除权。</w:t>
      </w:r>
    </w:p>
    <w:p w14:paraId="26B26D94">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8</w:t>
      </w:r>
      <w:r>
        <w:rPr>
          <w:rFonts w:hint="eastAsia" w:asciiTheme="minorEastAsia" w:hAnsiTheme="minorEastAsia" w:eastAsiaTheme="minorEastAsia" w:cstheme="minorEastAsia"/>
          <w:color w:val="auto"/>
          <w:sz w:val="24"/>
          <w:szCs w:val="24"/>
        </w:rPr>
        <w:t>.因某一方</w:t>
      </w:r>
      <w:r>
        <w:rPr>
          <w:rFonts w:hint="eastAsia" w:asciiTheme="minorEastAsia" w:hAnsiTheme="minorEastAsia" w:eastAsiaTheme="minorEastAsia" w:cstheme="minorEastAsia"/>
          <w:bCs/>
          <w:color w:val="auto"/>
          <w:sz w:val="24"/>
          <w:szCs w:val="24"/>
          <w:shd w:val="clear" w:color="auto" w:fill="FFFFFF"/>
        </w:rPr>
        <w:t>单方面</w:t>
      </w:r>
      <w:r>
        <w:rPr>
          <w:rFonts w:hint="eastAsia" w:asciiTheme="minorEastAsia" w:hAnsiTheme="minorEastAsia" w:eastAsiaTheme="minorEastAsia" w:cstheme="minorEastAsia"/>
          <w:color w:val="auto"/>
          <w:sz w:val="24"/>
          <w:szCs w:val="24"/>
        </w:rPr>
        <w:t>原因导致变更、中止或者终止</w:t>
      </w:r>
      <w:bookmarkStart w:id="37" w:name="_Hlk123747227"/>
      <w:r>
        <w:rPr>
          <w:rFonts w:hint="eastAsia" w:asciiTheme="minorEastAsia" w:hAnsiTheme="minorEastAsia" w:eastAsiaTheme="minorEastAsia" w:cstheme="minorEastAsia"/>
          <w:bCs/>
          <w:color w:val="auto"/>
          <w:sz w:val="24"/>
          <w:szCs w:val="24"/>
          <w:shd w:val="clear" w:color="auto" w:fill="FFFFFF"/>
        </w:rPr>
        <w:t>本</w:t>
      </w:r>
      <w:bookmarkEnd w:id="37"/>
      <w:r>
        <w:rPr>
          <w:rFonts w:hint="eastAsia" w:asciiTheme="minorEastAsia" w:hAnsiTheme="minorEastAsia" w:eastAsiaTheme="minorEastAsia" w:cstheme="minorEastAsia"/>
          <w:color w:val="auto"/>
          <w:sz w:val="24"/>
          <w:szCs w:val="24"/>
        </w:rPr>
        <w:t>合同的，该方应当对另一方</w:t>
      </w:r>
      <w:r>
        <w:rPr>
          <w:rFonts w:hint="eastAsia" w:asciiTheme="minorEastAsia" w:hAnsiTheme="minorEastAsia" w:eastAsiaTheme="minorEastAsia" w:cstheme="minorEastAsia"/>
          <w:bCs/>
          <w:color w:val="auto"/>
          <w:sz w:val="24"/>
          <w:szCs w:val="24"/>
          <w:shd w:val="clear" w:color="auto" w:fill="FFFFFF"/>
        </w:rPr>
        <w:t>因此</w:t>
      </w:r>
      <w:r>
        <w:rPr>
          <w:rFonts w:hint="eastAsia" w:asciiTheme="minorEastAsia" w:hAnsiTheme="minorEastAsia" w:eastAsiaTheme="minorEastAsia" w:cstheme="minorEastAsia"/>
          <w:color w:val="auto"/>
          <w:sz w:val="24"/>
          <w:szCs w:val="24"/>
        </w:rPr>
        <w:t>受到的损失予以赔偿或者补偿。</w:t>
      </w:r>
    </w:p>
    <w:p w14:paraId="021CF401">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rPr>
        <w:t>.乙方提供的货物在质量保证期内，因设计、工艺或者材料的缺陷和其它质量原因造成的问题，由乙方负责，费用从余款或者履约保证金中扣除，不足另补。</w:t>
      </w:r>
    </w:p>
    <w:p w14:paraId="3362FD10">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10</w:t>
      </w:r>
      <w:r>
        <w:rPr>
          <w:rFonts w:hint="eastAsia" w:asciiTheme="minorEastAsia" w:hAnsiTheme="minorEastAsia" w:eastAsiaTheme="minorEastAsia" w:cstheme="minorEastAsia"/>
          <w:color w:val="auto"/>
          <w:sz w:val="24"/>
          <w:szCs w:val="24"/>
        </w:rPr>
        <w:t>.甲乙双方有其他违约行为的，由违约方向对方支付违约货款额的5%，违约货款额的5%不足以赔偿经济损失的，须按实际损失作出赔偿。若双方通过诉讼解决合同纠纷，败诉方还应承担胜诉方在诉讼期间支出的相关费用（包括但不限于诉讼费、律师费、诉讼期间差旅费、鉴定费、执行费、保全费、保全保险费等</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w:t>
      </w:r>
    </w:p>
    <w:p w14:paraId="5B2A1C06">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11</w:t>
      </w:r>
      <w:r>
        <w:rPr>
          <w:rFonts w:hint="eastAsia" w:asciiTheme="minorEastAsia" w:hAnsiTheme="minorEastAsia" w:eastAsiaTheme="minorEastAsia" w:cstheme="minorEastAsia"/>
          <w:color w:val="auto"/>
          <w:sz w:val="24"/>
          <w:szCs w:val="24"/>
        </w:rPr>
        <w:t>.其他违约责任按《中华人民共和国民法典》处理。</w:t>
      </w:r>
    </w:p>
    <w:p w14:paraId="603DB256">
      <w:pPr>
        <w:pStyle w:val="14"/>
        <w:keepNext w:val="0"/>
        <w:keepLines w:val="0"/>
        <w:pageBreakBefore w:val="0"/>
        <w:widowControl w:val="0"/>
        <w:kinsoku/>
        <w:wordWrap/>
        <w:overflowPunct/>
        <w:topLinePunct w:val="0"/>
        <w:autoSpaceDE/>
        <w:autoSpaceDN/>
        <w:bidi w:val="0"/>
        <w:adjustRightInd/>
        <w:snapToGrid w:val="0"/>
        <w:spacing w:line="360" w:lineRule="auto"/>
        <w:ind w:firstLine="472" w:firstLineChars="196"/>
        <w:textAlignment w:val="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第十二条  不可抗力事件处理</w:t>
      </w:r>
    </w:p>
    <w:p w14:paraId="5B157079">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1.在合同有效期内，任何一方因不可抗力事件导致不能履行合同，则合同履行期可延长，其延长期与不可抗力影响期相同。</w:t>
      </w:r>
    </w:p>
    <w:p w14:paraId="21B26413">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2.不可抗力事件发生后，应立即通知对方，并寄送有关权威机构出具的证明。</w:t>
      </w:r>
    </w:p>
    <w:p w14:paraId="4A2E57A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3.不可抗力事件延续60天以上，双方应通过友好协商，确定是否继续履行合同。</w:t>
      </w:r>
    </w:p>
    <w:p w14:paraId="16818BBF">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第十三条  合同争议解决</w:t>
      </w:r>
    </w:p>
    <w:p w14:paraId="1469BA7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1.因货物质量问题发生争议的，应邀请国家认可的质量检测机构对货物质量进行鉴定</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鉴定费由乙方承担。</w:t>
      </w:r>
    </w:p>
    <w:p w14:paraId="38F231B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2.因履行本合同引起的或者与本合同有关的争议，甲乙双方应首先通过友好协商解决，如果协商不能解决，任何一方可向甲方所在地有管辖权的人民法院提起诉讼。</w:t>
      </w:r>
    </w:p>
    <w:p w14:paraId="025A1BCD">
      <w:pPr>
        <w:keepNext w:val="0"/>
        <w:keepLines w:val="0"/>
        <w:pageBreakBefore w:val="0"/>
        <w:widowControl w:val="0"/>
        <w:kinsoku/>
        <w:wordWrap/>
        <w:overflowPunct/>
        <w:topLinePunct w:val="0"/>
        <w:autoSpaceDE/>
        <w:autoSpaceDN/>
        <w:bidi w:val="0"/>
        <w:adjustRightInd/>
        <w:snapToGrid w:val="0"/>
        <w:spacing w:line="360" w:lineRule="auto"/>
        <w:ind w:firstLine="514"/>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3.诉讼期间，本合同无争议部分须继续履行。</w:t>
      </w:r>
    </w:p>
    <w:p w14:paraId="7A655990">
      <w:pPr>
        <w:pStyle w:val="14"/>
        <w:keepNext w:val="0"/>
        <w:keepLines w:val="0"/>
        <w:pageBreakBefore w:val="0"/>
        <w:widowControl w:val="0"/>
        <w:kinsoku/>
        <w:wordWrap/>
        <w:overflowPunct/>
        <w:topLinePunct w:val="0"/>
        <w:autoSpaceDE/>
        <w:autoSpaceDN/>
        <w:bidi w:val="0"/>
        <w:adjustRightInd/>
        <w:snapToGrid w:val="0"/>
        <w:spacing w:line="360" w:lineRule="auto"/>
        <w:ind w:firstLine="472" w:firstLineChars="196"/>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第十四条  合同生效及其他</w:t>
      </w:r>
    </w:p>
    <w:p w14:paraId="729D2693">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1.合同自双方法定代表人或者委托代理人签字并加盖单位公章或合同专用章之日起生效（委托代理人签字的须后附授权委托书，格式自拟</w:t>
      </w:r>
      <w:r>
        <w:rPr>
          <w:rFonts w:hint="eastAsia" w:asciiTheme="minorEastAsia" w:hAnsiTheme="minorEastAsia" w:eastAsiaTheme="minorEastAsia" w:cstheme="minorEastAsia"/>
          <w:color w:val="auto"/>
          <w:kern w:val="2"/>
          <w:sz w:val="24"/>
          <w:szCs w:val="24"/>
          <w:lang w:eastAsia="zh-CN"/>
        </w:rPr>
        <w:t>）</w:t>
      </w:r>
      <w:r>
        <w:rPr>
          <w:rFonts w:hint="eastAsia" w:asciiTheme="minorEastAsia" w:hAnsiTheme="minorEastAsia" w:eastAsiaTheme="minorEastAsia" w:cstheme="minorEastAsia"/>
          <w:color w:val="auto"/>
          <w:kern w:val="2"/>
          <w:sz w:val="24"/>
          <w:szCs w:val="24"/>
        </w:rPr>
        <w:t>。</w:t>
      </w:r>
    </w:p>
    <w:p w14:paraId="0754471A">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2.本合同未尽事宜，遵照《中华人民共和国民法典》有关条文执行。</w:t>
      </w:r>
    </w:p>
    <w:p w14:paraId="044C5453">
      <w:pPr>
        <w:pStyle w:val="14"/>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3.双方确认本合同落款通讯地址作为文书送达地址，该通讯地址适用于包括双方合同履行过程中的各类通知、补充协议等文件，以及因履行合同发生争议进入民事诉讼程序后的一审、二审、再审和执行程序等阶段法律文书的送达。通讯地址需要变更时应当提前15个工作日书面通知对方。因提供或者确认的通讯地址不准确、通讯地址变更后未及时依程序告知对方或受送达方拒绝签收或拒绝接听快递员投递电话等原因，导致文书未能被实际接收的，邮寄文书被退回之日视为送达之日。</w:t>
      </w:r>
    </w:p>
    <w:p w14:paraId="2D37529C">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第十五条  合同的变更、终止与转让</w:t>
      </w:r>
    </w:p>
    <w:p w14:paraId="3C78F8E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1.除《中华人民共和国政府采购法》第五十条规定的情形外，本合同一经签订，甲乙双方不得擅自变更、中止或者终止。</w:t>
      </w:r>
    </w:p>
    <w:p w14:paraId="500DE3BF">
      <w:pPr>
        <w:keepNext w:val="0"/>
        <w:keepLines w:val="0"/>
        <w:pageBreakBefore w:val="0"/>
        <w:widowControl w:val="0"/>
        <w:kinsoku/>
        <w:wordWrap/>
        <w:overflowPunct/>
        <w:topLinePunct w:val="0"/>
        <w:autoSpaceDE/>
        <w:autoSpaceDN/>
        <w:bidi w:val="0"/>
        <w:adjustRightInd/>
        <w:snapToGrid w:val="0"/>
        <w:spacing w:line="360" w:lineRule="auto"/>
        <w:ind w:firstLine="514"/>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2.乙方不得擅自转让其应履行的合同义务。</w:t>
      </w:r>
    </w:p>
    <w:p w14:paraId="2755FB9B">
      <w:pPr>
        <w:pStyle w:val="14"/>
        <w:keepNext w:val="0"/>
        <w:keepLines w:val="0"/>
        <w:pageBreakBefore w:val="0"/>
        <w:widowControl w:val="0"/>
        <w:kinsoku/>
        <w:wordWrap/>
        <w:overflowPunct/>
        <w:topLinePunct w:val="0"/>
        <w:autoSpaceDE/>
        <w:autoSpaceDN/>
        <w:bidi w:val="0"/>
        <w:adjustRightInd/>
        <w:snapToGrid w:val="0"/>
        <w:spacing w:line="360" w:lineRule="auto"/>
        <w:ind w:firstLine="472"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 xml:space="preserve">第十六条  </w:t>
      </w:r>
      <w:r>
        <w:rPr>
          <w:rFonts w:hint="eastAsia" w:asciiTheme="minorEastAsia" w:hAnsiTheme="minorEastAsia" w:eastAsiaTheme="minorEastAsia" w:cstheme="minorEastAsia"/>
          <w:color w:val="auto"/>
          <w:spacing w:val="-2"/>
          <w:sz w:val="24"/>
          <w:szCs w:val="24"/>
        </w:rPr>
        <w:t>本</w:t>
      </w:r>
      <w:r>
        <w:rPr>
          <w:rFonts w:hint="eastAsia" w:asciiTheme="minorEastAsia" w:hAnsiTheme="minorEastAsia" w:eastAsiaTheme="minorEastAsia" w:cstheme="minorEastAsia"/>
          <w:color w:val="auto"/>
          <w:sz w:val="24"/>
          <w:szCs w:val="24"/>
        </w:rPr>
        <w:t>合同书</w:t>
      </w:r>
      <w:r>
        <w:rPr>
          <w:rFonts w:hint="eastAsia" w:asciiTheme="minorEastAsia" w:hAnsiTheme="minorEastAsia" w:eastAsiaTheme="minorEastAsia" w:cstheme="minorEastAsia"/>
          <w:color w:val="auto"/>
          <w:spacing w:val="-2"/>
          <w:sz w:val="24"/>
          <w:szCs w:val="24"/>
        </w:rPr>
        <w:t>与</w:t>
      </w:r>
      <w:r>
        <w:rPr>
          <w:rFonts w:hint="eastAsia" w:asciiTheme="minorEastAsia" w:hAnsiTheme="minorEastAsia" w:eastAsiaTheme="minorEastAsia" w:cstheme="minorEastAsia"/>
          <w:color w:val="auto"/>
          <w:sz w:val="24"/>
          <w:szCs w:val="24"/>
        </w:rPr>
        <w:t>下</w:t>
      </w:r>
      <w:r>
        <w:rPr>
          <w:rFonts w:hint="eastAsia" w:asciiTheme="minorEastAsia" w:hAnsiTheme="minorEastAsia" w:eastAsiaTheme="minorEastAsia" w:cstheme="minorEastAsia"/>
          <w:color w:val="auto"/>
          <w:spacing w:val="-2"/>
          <w:sz w:val="24"/>
          <w:szCs w:val="24"/>
        </w:rPr>
        <w:t>列</w:t>
      </w:r>
      <w:r>
        <w:rPr>
          <w:rFonts w:hint="eastAsia" w:asciiTheme="minorEastAsia" w:hAnsiTheme="minorEastAsia" w:eastAsiaTheme="minorEastAsia" w:cstheme="minorEastAsia"/>
          <w:color w:val="auto"/>
          <w:sz w:val="24"/>
          <w:szCs w:val="24"/>
        </w:rPr>
        <w:t>文</w:t>
      </w:r>
      <w:r>
        <w:rPr>
          <w:rFonts w:hint="eastAsia" w:asciiTheme="minorEastAsia" w:hAnsiTheme="minorEastAsia" w:eastAsiaTheme="minorEastAsia" w:cstheme="minorEastAsia"/>
          <w:color w:val="auto"/>
          <w:spacing w:val="-2"/>
          <w:sz w:val="24"/>
          <w:szCs w:val="24"/>
        </w:rPr>
        <w:t>件一</w:t>
      </w:r>
      <w:r>
        <w:rPr>
          <w:rFonts w:hint="eastAsia" w:asciiTheme="minorEastAsia" w:hAnsiTheme="minorEastAsia" w:eastAsiaTheme="minorEastAsia" w:cstheme="minorEastAsia"/>
          <w:color w:val="auto"/>
          <w:sz w:val="24"/>
          <w:szCs w:val="24"/>
        </w:rPr>
        <w:t>起构</w:t>
      </w:r>
      <w:r>
        <w:rPr>
          <w:rFonts w:hint="eastAsia" w:asciiTheme="minorEastAsia" w:hAnsiTheme="minorEastAsia" w:eastAsiaTheme="minorEastAsia" w:cstheme="minorEastAsia"/>
          <w:color w:val="auto"/>
          <w:spacing w:val="-2"/>
          <w:sz w:val="24"/>
          <w:szCs w:val="24"/>
        </w:rPr>
        <w:t>成</w:t>
      </w:r>
      <w:r>
        <w:rPr>
          <w:rFonts w:hint="eastAsia" w:asciiTheme="minorEastAsia" w:hAnsiTheme="minorEastAsia" w:eastAsiaTheme="minorEastAsia" w:cstheme="minorEastAsia"/>
          <w:color w:val="auto"/>
          <w:sz w:val="24"/>
          <w:szCs w:val="24"/>
        </w:rPr>
        <w:t>合</w:t>
      </w:r>
      <w:r>
        <w:rPr>
          <w:rFonts w:hint="eastAsia" w:asciiTheme="minorEastAsia" w:hAnsiTheme="minorEastAsia" w:eastAsiaTheme="minorEastAsia" w:cstheme="minorEastAsia"/>
          <w:color w:val="auto"/>
          <w:spacing w:val="-2"/>
          <w:sz w:val="24"/>
          <w:szCs w:val="24"/>
        </w:rPr>
        <w:t>同</w:t>
      </w:r>
      <w:r>
        <w:rPr>
          <w:rFonts w:hint="eastAsia" w:asciiTheme="minorEastAsia" w:hAnsiTheme="minorEastAsia" w:eastAsiaTheme="minorEastAsia" w:cstheme="minorEastAsia"/>
          <w:color w:val="auto"/>
          <w:sz w:val="24"/>
          <w:szCs w:val="24"/>
        </w:rPr>
        <w:t>文</w:t>
      </w:r>
      <w:r>
        <w:rPr>
          <w:rFonts w:hint="eastAsia" w:asciiTheme="minorEastAsia" w:hAnsiTheme="minorEastAsia" w:eastAsiaTheme="minorEastAsia" w:cstheme="minorEastAsia"/>
          <w:color w:val="auto"/>
          <w:spacing w:val="-2"/>
          <w:sz w:val="24"/>
          <w:szCs w:val="24"/>
        </w:rPr>
        <w:t>件</w:t>
      </w:r>
    </w:p>
    <w:p w14:paraId="460A684F">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1.成交通知书</w:t>
      </w:r>
    </w:p>
    <w:p w14:paraId="031E283F">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2.采购需求</w:t>
      </w:r>
    </w:p>
    <w:p w14:paraId="4DC3BA42">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3.参与竞争性谈判声明函</w:t>
      </w:r>
    </w:p>
    <w:p w14:paraId="294D1928">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4.竞争性谈判报价表及货物配置清单</w:t>
      </w:r>
    </w:p>
    <w:p w14:paraId="076F3445">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5.商务要求偏离表和技术要求偏离表</w:t>
      </w:r>
    </w:p>
    <w:p w14:paraId="489459BF">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6.售后服务承诺</w:t>
      </w:r>
    </w:p>
    <w:p w14:paraId="7943230A">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7.其他合同文件</w:t>
      </w:r>
    </w:p>
    <w:p w14:paraId="2D7313BE">
      <w:pPr>
        <w:pStyle w:val="14"/>
        <w:keepNext w:val="0"/>
        <w:keepLines w:val="0"/>
        <w:pageBreakBefore w:val="0"/>
        <w:widowControl w:val="0"/>
        <w:kinsoku/>
        <w:wordWrap/>
        <w:overflowPunct/>
        <w:topLinePunct w:val="0"/>
        <w:autoSpaceDE/>
        <w:autoSpaceDN/>
        <w:bidi w:val="0"/>
        <w:adjustRightInd/>
        <w:snapToGrid w:val="0"/>
        <w:spacing w:line="360" w:lineRule="auto"/>
        <w:ind w:firstLine="470"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上述合同文件互相补充和解释。如果合同文件之间存在矛盾或者不一致之处，以上述文件的排列顺序在先者为准。</w:t>
      </w:r>
    </w:p>
    <w:p w14:paraId="66F84A63">
      <w:pPr>
        <w:pStyle w:val="14"/>
        <w:keepNext w:val="0"/>
        <w:keepLines w:val="0"/>
        <w:pageBreakBefore w:val="0"/>
        <w:widowControl w:val="0"/>
        <w:kinsoku/>
        <w:wordWrap/>
        <w:overflowPunct/>
        <w:topLinePunct w:val="0"/>
        <w:autoSpaceDE/>
        <w:autoSpaceDN/>
        <w:bidi w:val="0"/>
        <w:adjustRightInd/>
        <w:snapToGrid w:val="0"/>
        <w:spacing w:line="360" w:lineRule="auto"/>
        <w:ind w:firstLine="472" w:firstLineChars="196"/>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t xml:space="preserve">第十七条  </w:t>
      </w:r>
      <w:r>
        <w:rPr>
          <w:rFonts w:hint="eastAsia" w:asciiTheme="minorEastAsia" w:hAnsiTheme="minorEastAsia" w:eastAsiaTheme="minorEastAsia" w:cstheme="minorEastAsia"/>
          <w:color w:val="auto"/>
          <w:sz w:val="24"/>
          <w:szCs w:val="24"/>
        </w:rPr>
        <w:t>本合同一式柒份，具有同等法律效力，甲方</w:t>
      </w:r>
      <w:r>
        <w:rPr>
          <w:rFonts w:hint="eastAsia" w:asciiTheme="minorEastAsia" w:hAnsiTheme="minorEastAsia" w:eastAsiaTheme="minorEastAsia" w:cstheme="minorEastAsia"/>
          <w:color w:val="auto"/>
          <w:sz w:val="24"/>
          <w:szCs w:val="24"/>
          <w:lang w:eastAsia="zh-CN"/>
        </w:rPr>
        <w:t>肆</w:t>
      </w:r>
      <w:r>
        <w:rPr>
          <w:rFonts w:hint="eastAsia" w:asciiTheme="minorEastAsia" w:hAnsiTheme="minorEastAsia" w:eastAsiaTheme="minorEastAsia" w:cstheme="minorEastAsia"/>
          <w:color w:val="auto"/>
          <w:sz w:val="24"/>
          <w:szCs w:val="24"/>
        </w:rPr>
        <w:t>份，乙方</w:t>
      </w:r>
      <w:r>
        <w:rPr>
          <w:rFonts w:hint="eastAsia" w:asciiTheme="minorEastAsia" w:hAnsiTheme="minorEastAsia" w:eastAsiaTheme="minorEastAsia" w:cstheme="minorEastAsia"/>
          <w:color w:val="auto"/>
          <w:sz w:val="24"/>
          <w:szCs w:val="24"/>
          <w:lang w:eastAsia="zh-CN"/>
        </w:rPr>
        <w:t>贰</w:t>
      </w:r>
      <w:r>
        <w:rPr>
          <w:rFonts w:hint="eastAsia" w:asciiTheme="minorEastAsia" w:hAnsiTheme="minorEastAsia" w:eastAsiaTheme="minorEastAsia" w:cstheme="minorEastAsia"/>
          <w:color w:val="auto"/>
          <w:sz w:val="24"/>
          <w:szCs w:val="24"/>
        </w:rPr>
        <w:t>份，采购代理机构壹份。</w:t>
      </w:r>
    </w:p>
    <w:bookmarkEnd w:id="36"/>
    <w:tbl>
      <w:tblPr>
        <w:tblStyle w:val="26"/>
        <w:tblW w:w="9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7"/>
        <w:gridCol w:w="4667"/>
      </w:tblGrid>
      <w:tr w14:paraId="0AC0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1" w:hRule="atLeast"/>
          <w:jc w:val="center"/>
        </w:trPr>
        <w:tc>
          <w:tcPr>
            <w:tcW w:w="4667" w:type="dxa"/>
            <w:vAlign w:val="center"/>
          </w:tcPr>
          <w:p w14:paraId="2CBDF562">
            <w:pPr>
              <w:snapToGrid w:val="0"/>
              <w:spacing w:line="46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甲方（章</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 xml:space="preserve">           </w:t>
            </w:r>
          </w:p>
          <w:p w14:paraId="06620AA0">
            <w:pPr>
              <w:snapToGrid w:val="0"/>
              <w:spacing w:line="460" w:lineRule="exact"/>
              <w:jc w:val="center"/>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lang w:eastAsia="zh-CN"/>
              </w:rPr>
              <w:t>灵山县人民医院</w:t>
            </w:r>
          </w:p>
          <w:p w14:paraId="3D0009E1">
            <w:pPr>
              <w:snapToGrid w:val="0"/>
              <w:spacing w:line="460" w:lineRule="exact"/>
              <w:ind w:firstLine="1080" w:firstLineChars="450"/>
              <w:jc w:val="righ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年   月   日</w:t>
            </w:r>
          </w:p>
        </w:tc>
        <w:tc>
          <w:tcPr>
            <w:tcW w:w="4667" w:type="dxa"/>
            <w:vAlign w:val="center"/>
          </w:tcPr>
          <w:p w14:paraId="7F6D2EAE">
            <w:pPr>
              <w:snapToGrid w:val="0"/>
              <w:spacing w:line="46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乙方（章</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 xml:space="preserve">              </w:t>
            </w:r>
          </w:p>
          <w:p w14:paraId="58266869">
            <w:pPr>
              <w:snapToGrid w:val="0"/>
              <w:spacing w:line="460" w:lineRule="exact"/>
              <w:jc w:val="righ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年   月   日</w:t>
            </w:r>
          </w:p>
        </w:tc>
      </w:tr>
      <w:tr w14:paraId="0FF6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5" w:hRule="atLeast"/>
          <w:jc w:val="center"/>
        </w:trPr>
        <w:tc>
          <w:tcPr>
            <w:tcW w:w="4667" w:type="dxa"/>
            <w:vAlign w:val="center"/>
          </w:tcPr>
          <w:p w14:paraId="5A759865">
            <w:pPr>
              <w:snapToGrid w:val="0"/>
              <w:spacing w:line="46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单位地址：广西灵山县灵城街道钟秀路1号</w:t>
            </w:r>
          </w:p>
        </w:tc>
        <w:tc>
          <w:tcPr>
            <w:tcW w:w="4667" w:type="dxa"/>
            <w:vAlign w:val="center"/>
          </w:tcPr>
          <w:p w14:paraId="09607920">
            <w:pPr>
              <w:pStyle w:val="22"/>
              <w:widowControl/>
              <w:spacing w:line="460" w:lineRule="exac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单位地址：</w:t>
            </w:r>
          </w:p>
        </w:tc>
      </w:tr>
      <w:tr w14:paraId="3D6C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jc w:val="center"/>
        </w:trPr>
        <w:tc>
          <w:tcPr>
            <w:tcW w:w="4667" w:type="dxa"/>
            <w:vAlign w:val="center"/>
          </w:tcPr>
          <w:p w14:paraId="37393CE3">
            <w:pPr>
              <w:snapToGrid w:val="0"/>
              <w:spacing w:line="46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法定代表人（签字</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w:t>
            </w:r>
          </w:p>
        </w:tc>
        <w:tc>
          <w:tcPr>
            <w:tcW w:w="4667" w:type="dxa"/>
            <w:vAlign w:val="center"/>
          </w:tcPr>
          <w:p w14:paraId="78CB68FA">
            <w:pPr>
              <w:snapToGrid w:val="0"/>
              <w:spacing w:line="46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法定代表人（签字</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w:t>
            </w:r>
          </w:p>
        </w:tc>
      </w:tr>
      <w:tr w14:paraId="20C4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jc w:val="center"/>
        </w:trPr>
        <w:tc>
          <w:tcPr>
            <w:tcW w:w="4667" w:type="dxa"/>
            <w:vAlign w:val="center"/>
          </w:tcPr>
          <w:p w14:paraId="667C7F6D">
            <w:pPr>
              <w:snapToGrid w:val="0"/>
              <w:spacing w:line="46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委托代理人（签字</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w:t>
            </w:r>
          </w:p>
        </w:tc>
        <w:tc>
          <w:tcPr>
            <w:tcW w:w="4667" w:type="dxa"/>
            <w:vAlign w:val="center"/>
          </w:tcPr>
          <w:p w14:paraId="640979D1">
            <w:pPr>
              <w:snapToGrid w:val="0"/>
              <w:spacing w:line="46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委托代理人（签字</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w:t>
            </w:r>
          </w:p>
        </w:tc>
      </w:tr>
      <w:tr w14:paraId="2644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667" w:type="dxa"/>
            <w:vAlign w:val="center"/>
          </w:tcPr>
          <w:p w14:paraId="0B4EC427">
            <w:pPr>
              <w:snapToGrid w:val="0"/>
              <w:spacing w:line="46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电话：0777-6218020</w:t>
            </w:r>
          </w:p>
        </w:tc>
        <w:tc>
          <w:tcPr>
            <w:tcW w:w="4667" w:type="dxa"/>
            <w:vAlign w:val="center"/>
          </w:tcPr>
          <w:p w14:paraId="185EE63B">
            <w:pPr>
              <w:widowControl/>
              <w:spacing w:line="460" w:lineRule="exact"/>
              <w:jc w:val="left"/>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rPr>
              <w:t>电话</w:t>
            </w:r>
            <w:r>
              <w:rPr>
                <w:rFonts w:hint="eastAsia" w:asciiTheme="minorEastAsia" w:hAnsiTheme="minorEastAsia" w:eastAsiaTheme="minorEastAsia" w:cstheme="minorEastAsia"/>
                <w:color w:val="auto"/>
                <w:kern w:val="0"/>
                <w:sz w:val="24"/>
                <w:lang w:eastAsia="zh-CN"/>
              </w:rPr>
              <w:t>：</w:t>
            </w:r>
          </w:p>
        </w:tc>
      </w:tr>
      <w:tr w14:paraId="2CA2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667" w:type="dxa"/>
            <w:vAlign w:val="center"/>
          </w:tcPr>
          <w:p w14:paraId="69AE7440">
            <w:pPr>
              <w:snapToGrid w:val="0"/>
              <w:spacing w:line="460" w:lineRule="exact"/>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电子邮箱：</w:t>
            </w:r>
          </w:p>
        </w:tc>
        <w:tc>
          <w:tcPr>
            <w:tcW w:w="4667" w:type="dxa"/>
            <w:vAlign w:val="center"/>
          </w:tcPr>
          <w:p w14:paraId="0B83C790">
            <w:pPr>
              <w:snapToGrid w:val="0"/>
              <w:spacing w:line="460" w:lineRule="exact"/>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电子邮箱：</w:t>
            </w:r>
          </w:p>
        </w:tc>
      </w:tr>
      <w:tr w14:paraId="79DE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5" w:hRule="atLeast"/>
          <w:jc w:val="center"/>
        </w:trPr>
        <w:tc>
          <w:tcPr>
            <w:tcW w:w="4667" w:type="dxa"/>
            <w:vAlign w:val="center"/>
          </w:tcPr>
          <w:p w14:paraId="538076AA">
            <w:pPr>
              <w:snapToGrid w:val="0"/>
              <w:spacing w:line="460" w:lineRule="exact"/>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开户银行：</w:t>
            </w:r>
          </w:p>
        </w:tc>
        <w:tc>
          <w:tcPr>
            <w:tcW w:w="4667" w:type="dxa"/>
            <w:vAlign w:val="center"/>
          </w:tcPr>
          <w:p w14:paraId="39F0E8E1">
            <w:pPr>
              <w:widowControl/>
              <w:spacing w:line="460" w:lineRule="exact"/>
              <w:jc w:val="left"/>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开户银行：</w:t>
            </w:r>
          </w:p>
        </w:tc>
      </w:tr>
      <w:tr w14:paraId="6121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4667" w:type="dxa"/>
            <w:vAlign w:val="center"/>
          </w:tcPr>
          <w:p w14:paraId="3F734BF3">
            <w:pPr>
              <w:pStyle w:val="22"/>
              <w:widowControl/>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账号：</w:t>
            </w:r>
          </w:p>
        </w:tc>
        <w:tc>
          <w:tcPr>
            <w:tcW w:w="4667" w:type="dxa"/>
            <w:vAlign w:val="center"/>
          </w:tcPr>
          <w:p w14:paraId="425B3F06">
            <w:pPr>
              <w:widowControl/>
              <w:spacing w:line="460" w:lineRule="exact"/>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账号：</w:t>
            </w:r>
          </w:p>
        </w:tc>
      </w:tr>
      <w:tr w14:paraId="5ADD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4667" w:type="dxa"/>
            <w:vAlign w:val="center"/>
          </w:tcPr>
          <w:p w14:paraId="3EE5276E">
            <w:pPr>
              <w:pStyle w:val="22"/>
              <w:widowControl/>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邮政编码：</w:t>
            </w:r>
          </w:p>
        </w:tc>
        <w:tc>
          <w:tcPr>
            <w:tcW w:w="4667" w:type="dxa"/>
            <w:vAlign w:val="center"/>
          </w:tcPr>
          <w:p w14:paraId="277E8B71">
            <w:pPr>
              <w:widowControl/>
              <w:spacing w:line="460" w:lineRule="exact"/>
              <w:jc w:val="left"/>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邮政编码：</w:t>
            </w:r>
          </w:p>
        </w:tc>
      </w:tr>
    </w:tbl>
    <w:p w14:paraId="3DF26F7D">
      <w:pPr>
        <w:spacing w:line="460" w:lineRule="exact"/>
        <w:rPr>
          <w:rFonts w:hint="eastAsia" w:asciiTheme="minorEastAsia" w:hAnsiTheme="minorEastAsia" w:eastAsiaTheme="minorEastAsia" w:cstheme="minorEastAsia"/>
          <w:color w:val="auto"/>
          <w:sz w:val="24"/>
        </w:rPr>
      </w:pPr>
    </w:p>
    <w:sectPr>
      <w:pgSz w:w="11905" w:h="16838"/>
      <w:pgMar w:top="1134" w:right="1134" w:bottom="1134" w:left="1134" w:header="850" w:footer="992" w:gutter="0"/>
      <w:cols w:space="720" w:num="1"/>
      <w:titlePg/>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BF74D9E-E5B1-4309-A44A-72FC4E3BE60A}"/>
  </w:font>
  <w:font w:name="Arial">
    <w:panose1 w:val="020B0604020202020204"/>
    <w:charset w:val="01"/>
    <w:family w:val="swiss"/>
    <w:pitch w:val="default"/>
    <w:sig w:usb0="E0002EFF" w:usb1="C000785B" w:usb2="00000009" w:usb3="00000000" w:csb0="400001FF" w:csb1="FFFF0000"/>
    <w:embedRegular r:id="rId2" w:fontKey="{2AD6ECA0-30C8-4F94-A2DB-CBC0CD70BFB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AA53986-FC5C-4F14-9D9D-E65A7792516E}"/>
  </w:font>
  <w:font w:name="Symbol">
    <w:panose1 w:val="05050102010706020507"/>
    <w:charset w:val="02"/>
    <w:family w:val="roman"/>
    <w:pitch w:val="default"/>
    <w:sig w:usb0="00000000" w:usb1="00000000" w:usb2="00000000" w:usb3="00000000" w:csb0="80000000" w:csb1="00000000"/>
    <w:embedRegular r:id="rId4" w:fontKey="{7C88F348-1582-4D93-AC3D-DEC20DA399BE}"/>
  </w:font>
  <w:font w:name="Calibri">
    <w:panose1 w:val="020F0502020204030204"/>
    <w:charset w:val="00"/>
    <w:family w:val="swiss"/>
    <w:pitch w:val="default"/>
    <w:sig w:usb0="E4002EFF" w:usb1="C000247B" w:usb2="00000009" w:usb3="00000000" w:csb0="200001FF" w:csb1="00000000"/>
    <w:embedRegular r:id="rId5" w:fontKey="{4625AD94-3D79-481B-AC13-8757D85C9B47}"/>
  </w:font>
  <w:font w:name="Cambria">
    <w:panose1 w:val="02040503050406030204"/>
    <w:charset w:val="00"/>
    <w:family w:val="roman"/>
    <w:pitch w:val="default"/>
    <w:sig w:usb0="E00006FF" w:usb1="420024FF" w:usb2="02000000" w:usb3="00000000" w:csb0="2000019F" w:csb1="00000000"/>
    <w:embedRegular r:id="rId6" w:fontKey="{B82F1F95-F8CD-4FE6-90C2-879C49CB9AA2}"/>
  </w:font>
  <w:font w:name="仿宋_GB2312">
    <w:panose1 w:val="02010609030101010101"/>
    <w:charset w:val="86"/>
    <w:family w:val="modern"/>
    <w:pitch w:val="default"/>
    <w:sig w:usb0="00000001" w:usb1="080E0000" w:usb2="00000000" w:usb3="00000000" w:csb0="00040000" w:csb1="00000000"/>
  </w:font>
  <w:font w:name="Consolas">
    <w:panose1 w:val="020B0609020204030204"/>
    <w:charset w:val="00"/>
    <w:family w:val="auto"/>
    <w:pitch w:val="default"/>
    <w:sig w:usb0="E00006FF" w:usb1="0000FCFF" w:usb2="00000001" w:usb3="00000000" w:csb0="6000019F" w:csb1="DFD70000"/>
    <w:embedRegular r:id="rId7" w:fontKey="{270F39B7-B9D2-41B7-A847-231C9D9AD2D3}"/>
  </w:font>
  <w:font w:name="Tahoma">
    <w:panose1 w:val="020B0604030504040204"/>
    <w:charset w:val="00"/>
    <w:family w:val="swiss"/>
    <w:pitch w:val="default"/>
    <w:sig w:usb0="E1002EFF" w:usb1="C000605B" w:usb2="00000029" w:usb3="00000000" w:csb0="200101FF" w:csb1="20280000"/>
    <w:embedRegular r:id="rId8" w:fontKey="{7CCADBFE-2CA6-4DC5-8539-F1FB5C504C5E}"/>
  </w:font>
  <w:font w:name="方正书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embedRegular r:id="rId9" w:fontKey="{C03D21FA-5CBB-459D-8548-E4F12A31026C}"/>
  </w:font>
  <w:font w:name="Arial Unicode MS">
    <w:altName w:val="宋体"/>
    <w:panose1 w:val="020B0604020202020204"/>
    <w:charset w:val="86"/>
    <w:family w:val="swiss"/>
    <w:pitch w:val="default"/>
    <w:sig w:usb0="00000000" w:usb1="00000000" w:usb2="0000007F" w:usb3="00000000" w:csb0="203F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003E8">
    <w:pPr>
      <w:pStyle w:val="17"/>
      <w:jc w:val="center"/>
    </w:pPr>
    <w:r>
      <w:fldChar w:fldCharType="begin"/>
    </w:r>
    <w:r>
      <w:instrText xml:space="preserve"> PAGE   \* MERGEFORMAT </w:instrText>
    </w:r>
    <w:r>
      <w:fldChar w:fldCharType="separate"/>
    </w:r>
    <w:r>
      <w:rPr>
        <w:lang w:val="zh-CN"/>
      </w:rPr>
      <w:t>1</w:t>
    </w:r>
    <w:r>
      <w:fldChar w:fldCharType="end"/>
    </w:r>
  </w:p>
  <w:p w14:paraId="204045AE">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644F8">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DC56A">
                          <w:pPr>
                            <w:pStyle w:val="17"/>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8CDC56A">
                    <w:pPr>
                      <w:pStyle w:val="17"/>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4E05B">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D7ED7F">
                          <w:pPr>
                            <w:pStyle w:val="17"/>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M7uMX7FAQAAkAMAAA4AAAAAAAAAAQAgAAAAHgEAAGRycy9lMm9Eb2MueG1s&#10;UEsFBgAAAAAGAAYAWQEAAFUFAAAAAA==&#10;">
              <v:fill on="f" focussize="0,0"/>
              <v:stroke on="f"/>
              <v:imagedata o:title=""/>
              <o:lock v:ext="edit" aspectratio="f"/>
              <v:textbox inset="0mm,0mm,0mm,0mm" style="mso-fit-shape-to-text:t;">
                <w:txbxContent>
                  <w:p w14:paraId="6BD7ED7F">
                    <w:pPr>
                      <w:pStyle w:val="17"/>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BCE95">
    <w:pPr>
      <w:pStyle w:val="1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0"/>
  <w:bordersDoNotSurroundFooter w:val="0"/>
  <w:hideSpellingErrors/>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NmYmNhODQxOWNkODc0ZjYxNTI4MThkY2UxMGM3NzYifQ=="/>
  </w:docVars>
  <w:rsids>
    <w:rsidRoot w:val="00F34B14"/>
    <w:rsid w:val="00000672"/>
    <w:rsid w:val="00001799"/>
    <w:rsid w:val="000022D9"/>
    <w:rsid w:val="00002D29"/>
    <w:rsid w:val="000040C5"/>
    <w:rsid w:val="000045C6"/>
    <w:rsid w:val="00004A8A"/>
    <w:rsid w:val="0000574C"/>
    <w:rsid w:val="00005B07"/>
    <w:rsid w:val="00005E55"/>
    <w:rsid w:val="00005FDF"/>
    <w:rsid w:val="00006586"/>
    <w:rsid w:val="000065BA"/>
    <w:rsid w:val="0001045D"/>
    <w:rsid w:val="00010D39"/>
    <w:rsid w:val="000112BB"/>
    <w:rsid w:val="0001149B"/>
    <w:rsid w:val="0001172C"/>
    <w:rsid w:val="00012854"/>
    <w:rsid w:val="00012E50"/>
    <w:rsid w:val="00012EA6"/>
    <w:rsid w:val="000139DC"/>
    <w:rsid w:val="00013D8C"/>
    <w:rsid w:val="00013DFE"/>
    <w:rsid w:val="00013F03"/>
    <w:rsid w:val="000141EA"/>
    <w:rsid w:val="00014385"/>
    <w:rsid w:val="00014D2F"/>
    <w:rsid w:val="000159F6"/>
    <w:rsid w:val="00016960"/>
    <w:rsid w:val="00017396"/>
    <w:rsid w:val="000177DB"/>
    <w:rsid w:val="00020227"/>
    <w:rsid w:val="000203E4"/>
    <w:rsid w:val="00020455"/>
    <w:rsid w:val="00020CCE"/>
    <w:rsid w:val="00022731"/>
    <w:rsid w:val="00022792"/>
    <w:rsid w:val="00022A07"/>
    <w:rsid w:val="000242CE"/>
    <w:rsid w:val="00025382"/>
    <w:rsid w:val="00025636"/>
    <w:rsid w:val="00025E36"/>
    <w:rsid w:val="00026627"/>
    <w:rsid w:val="00026886"/>
    <w:rsid w:val="0002793A"/>
    <w:rsid w:val="00030496"/>
    <w:rsid w:val="000329E0"/>
    <w:rsid w:val="000333A0"/>
    <w:rsid w:val="00034060"/>
    <w:rsid w:val="000352E9"/>
    <w:rsid w:val="00036A07"/>
    <w:rsid w:val="00036E33"/>
    <w:rsid w:val="00036FAD"/>
    <w:rsid w:val="00037363"/>
    <w:rsid w:val="00037E2D"/>
    <w:rsid w:val="00040571"/>
    <w:rsid w:val="0004156E"/>
    <w:rsid w:val="00041597"/>
    <w:rsid w:val="00041800"/>
    <w:rsid w:val="0004440C"/>
    <w:rsid w:val="00045880"/>
    <w:rsid w:val="000462CB"/>
    <w:rsid w:val="00046B5E"/>
    <w:rsid w:val="0004783A"/>
    <w:rsid w:val="000509D9"/>
    <w:rsid w:val="0005398D"/>
    <w:rsid w:val="000552A6"/>
    <w:rsid w:val="00055D41"/>
    <w:rsid w:val="000569C7"/>
    <w:rsid w:val="00057CEC"/>
    <w:rsid w:val="00060DCE"/>
    <w:rsid w:val="00061A5A"/>
    <w:rsid w:val="000623B4"/>
    <w:rsid w:val="000634A3"/>
    <w:rsid w:val="000634A7"/>
    <w:rsid w:val="00063E85"/>
    <w:rsid w:val="00063F81"/>
    <w:rsid w:val="00064847"/>
    <w:rsid w:val="0006484B"/>
    <w:rsid w:val="000673E2"/>
    <w:rsid w:val="000703B6"/>
    <w:rsid w:val="000711E4"/>
    <w:rsid w:val="000719F9"/>
    <w:rsid w:val="0007228C"/>
    <w:rsid w:val="000722D1"/>
    <w:rsid w:val="00072AED"/>
    <w:rsid w:val="00073F47"/>
    <w:rsid w:val="00075B7E"/>
    <w:rsid w:val="00077C70"/>
    <w:rsid w:val="00080B57"/>
    <w:rsid w:val="00081BA3"/>
    <w:rsid w:val="00081D2E"/>
    <w:rsid w:val="00081E30"/>
    <w:rsid w:val="0008267B"/>
    <w:rsid w:val="00082D02"/>
    <w:rsid w:val="000833E9"/>
    <w:rsid w:val="00083B91"/>
    <w:rsid w:val="0008520B"/>
    <w:rsid w:val="000871B8"/>
    <w:rsid w:val="00087DB6"/>
    <w:rsid w:val="000913BE"/>
    <w:rsid w:val="000918F8"/>
    <w:rsid w:val="00092442"/>
    <w:rsid w:val="00094183"/>
    <w:rsid w:val="00095233"/>
    <w:rsid w:val="0009588E"/>
    <w:rsid w:val="000959EE"/>
    <w:rsid w:val="00095B51"/>
    <w:rsid w:val="00097DA0"/>
    <w:rsid w:val="000A0D6B"/>
    <w:rsid w:val="000A1389"/>
    <w:rsid w:val="000A166E"/>
    <w:rsid w:val="000A2B0E"/>
    <w:rsid w:val="000A398F"/>
    <w:rsid w:val="000A509C"/>
    <w:rsid w:val="000A5516"/>
    <w:rsid w:val="000A6007"/>
    <w:rsid w:val="000A65A6"/>
    <w:rsid w:val="000A7275"/>
    <w:rsid w:val="000A7A12"/>
    <w:rsid w:val="000A7CA5"/>
    <w:rsid w:val="000B039A"/>
    <w:rsid w:val="000B1801"/>
    <w:rsid w:val="000B1D0C"/>
    <w:rsid w:val="000B2D03"/>
    <w:rsid w:val="000B3815"/>
    <w:rsid w:val="000B3C7B"/>
    <w:rsid w:val="000B5B24"/>
    <w:rsid w:val="000B6C95"/>
    <w:rsid w:val="000C06D3"/>
    <w:rsid w:val="000C0C58"/>
    <w:rsid w:val="000C112D"/>
    <w:rsid w:val="000C1679"/>
    <w:rsid w:val="000C2F89"/>
    <w:rsid w:val="000C30BB"/>
    <w:rsid w:val="000C366E"/>
    <w:rsid w:val="000C3B94"/>
    <w:rsid w:val="000C4635"/>
    <w:rsid w:val="000C548E"/>
    <w:rsid w:val="000C5698"/>
    <w:rsid w:val="000C5775"/>
    <w:rsid w:val="000C6DE4"/>
    <w:rsid w:val="000C716B"/>
    <w:rsid w:val="000C7C12"/>
    <w:rsid w:val="000D01EB"/>
    <w:rsid w:val="000D056E"/>
    <w:rsid w:val="000D0675"/>
    <w:rsid w:val="000D0A89"/>
    <w:rsid w:val="000D1389"/>
    <w:rsid w:val="000D1798"/>
    <w:rsid w:val="000D1A2A"/>
    <w:rsid w:val="000D1A53"/>
    <w:rsid w:val="000D2626"/>
    <w:rsid w:val="000D2B7D"/>
    <w:rsid w:val="000D4A06"/>
    <w:rsid w:val="000D6DCD"/>
    <w:rsid w:val="000D73DD"/>
    <w:rsid w:val="000D7D9B"/>
    <w:rsid w:val="000E18E2"/>
    <w:rsid w:val="000E28AB"/>
    <w:rsid w:val="000E28C1"/>
    <w:rsid w:val="000E2E3E"/>
    <w:rsid w:val="000E33C5"/>
    <w:rsid w:val="000E3583"/>
    <w:rsid w:val="000E3AF0"/>
    <w:rsid w:val="000E3D53"/>
    <w:rsid w:val="000E4E04"/>
    <w:rsid w:val="000E684C"/>
    <w:rsid w:val="000E6EC9"/>
    <w:rsid w:val="000E70B4"/>
    <w:rsid w:val="000F06FC"/>
    <w:rsid w:val="000F0742"/>
    <w:rsid w:val="000F3281"/>
    <w:rsid w:val="000F3733"/>
    <w:rsid w:val="000F4D88"/>
    <w:rsid w:val="000F4FC9"/>
    <w:rsid w:val="000F64AA"/>
    <w:rsid w:val="000F7AF4"/>
    <w:rsid w:val="000F7C33"/>
    <w:rsid w:val="000F7F0C"/>
    <w:rsid w:val="00100246"/>
    <w:rsid w:val="001004D6"/>
    <w:rsid w:val="00100D90"/>
    <w:rsid w:val="00102309"/>
    <w:rsid w:val="00102ECA"/>
    <w:rsid w:val="00103918"/>
    <w:rsid w:val="00104889"/>
    <w:rsid w:val="00104897"/>
    <w:rsid w:val="00104D7E"/>
    <w:rsid w:val="00104EDE"/>
    <w:rsid w:val="00105AA1"/>
    <w:rsid w:val="00105FAC"/>
    <w:rsid w:val="00106BEE"/>
    <w:rsid w:val="00110339"/>
    <w:rsid w:val="00110C92"/>
    <w:rsid w:val="00113134"/>
    <w:rsid w:val="00113AC0"/>
    <w:rsid w:val="00114851"/>
    <w:rsid w:val="00115E11"/>
    <w:rsid w:val="00115F56"/>
    <w:rsid w:val="00117CBD"/>
    <w:rsid w:val="0012006A"/>
    <w:rsid w:val="00120990"/>
    <w:rsid w:val="001217B5"/>
    <w:rsid w:val="00121979"/>
    <w:rsid w:val="00122064"/>
    <w:rsid w:val="0012378B"/>
    <w:rsid w:val="00123B26"/>
    <w:rsid w:val="00125004"/>
    <w:rsid w:val="001263B8"/>
    <w:rsid w:val="00126763"/>
    <w:rsid w:val="00130217"/>
    <w:rsid w:val="00130783"/>
    <w:rsid w:val="00130990"/>
    <w:rsid w:val="001312CB"/>
    <w:rsid w:val="00132B47"/>
    <w:rsid w:val="00132E64"/>
    <w:rsid w:val="00134816"/>
    <w:rsid w:val="001351CB"/>
    <w:rsid w:val="001359A2"/>
    <w:rsid w:val="00135E37"/>
    <w:rsid w:val="00136020"/>
    <w:rsid w:val="00136445"/>
    <w:rsid w:val="0013746E"/>
    <w:rsid w:val="001374F3"/>
    <w:rsid w:val="00140132"/>
    <w:rsid w:val="00141C9C"/>
    <w:rsid w:val="00142668"/>
    <w:rsid w:val="001434BE"/>
    <w:rsid w:val="00144275"/>
    <w:rsid w:val="0014479F"/>
    <w:rsid w:val="001452B4"/>
    <w:rsid w:val="00146EC6"/>
    <w:rsid w:val="001478D2"/>
    <w:rsid w:val="00151C48"/>
    <w:rsid w:val="00152A87"/>
    <w:rsid w:val="00154486"/>
    <w:rsid w:val="00154663"/>
    <w:rsid w:val="00156D0E"/>
    <w:rsid w:val="00156DD9"/>
    <w:rsid w:val="0016086E"/>
    <w:rsid w:val="00160D0C"/>
    <w:rsid w:val="00161172"/>
    <w:rsid w:val="0016139E"/>
    <w:rsid w:val="00161E65"/>
    <w:rsid w:val="00162597"/>
    <w:rsid w:val="001629AF"/>
    <w:rsid w:val="00162C1D"/>
    <w:rsid w:val="001633A3"/>
    <w:rsid w:val="0016428A"/>
    <w:rsid w:val="001647C9"/>
    <w:rsid w:val="00164837"/>
    <w:rsid w:val="001661A3"/>
    <w:rsid w:val="0016782B"/>
    <w:rsid w:val="001678FE"/>
    <w:rsid w:val="00170B05"/>
    <w:rsid w:val="00173256"/>
    <w:rsid w:val="001733E1"/>
    <w:rsid w:val="00173F74"/>
    <w:rsid w:val="00175086"/>
    <w:rsid w:val="00175BA6"/>
    <w:rsid w:val="0017617F"/>
    <w:rsid w:val="00176CA7"/>
    <w:rsid w:val="001778C5"/>
    <w:rsid w:val="00177E56"/>
    <w:rsid w:val="00177F0A"/>
    <w:rsid w:val="00183852"/>
    <w:rsid w:val="00185617"/>
    <w:rsid w:val="00186ADE"/>
    <w:rsid w:val="00187F35"/>
    <w:rsid w:val="0019171E"/>
    <w:rsid w:val="0019220F"/>
    <w:rsid w:val="001928B1"/>
    <w:rsid w:val="00194ED5"/>
    <w:rsid w:val="00195424"/>
    <w:rsid w:val="001955FF"/>
    <w:rsid w:val="0019692F"/>
    <w:rsid w:val="00197EDD"/>
    <w:rsid w:val="00197F70"/>
    <w:rsid w:val="001A02B3"/>
    <w:rsid w:val="001A0322"/>
    <w:rsid w:val="001A04BB"/>
    <w:rsid w:val="001A08D0"/>
    <w:rsid w:val="001A14B1"/>
    <w:rsid w:val="001A1B39"/>
    <w:rsid w:val="001A2492"/>
    <w:rsid w:val="001A2E69"/>
    <w:rsid w:val="001A3C34"/>
    <w:rsid w:val="001A3EDE"/>
    <w:rsid w:val="001A4222"/>
    <w:rsid w:val="001A50EA"/>
    <w:rsid w:val="001A5E24"/>
    <w:rsid w:val="001A6D8B"/>
    <w:rsid w:val="001B079E"/>
    <w:rsid w:val="001B0CDA"/>
    <w:rsid w:val="001B0E26"/>
    <w:rsid w:val="001B125A"/>
    <w:rsid w:val="001B1EBA"/>
    <w:rsid w:val="001B2142"/>
    <w:rsid w:val="001B26CF"/>
    <w:rsid w:val="001B2F2B"/>
    <w:rsid w:val="001B327A"/>
    <w:rsid w:val="001B35DE"/>
    <w:rsid w:val="001B3A13"/>
    <w:rsid w:val="001B59FF"/>
    <w:rsid w:val="001B636D"/>
    <w:rsid w:val="001B65D7"/>
    <w:rsid w:val="001B6752"/>
    <w:rsid w:val="001B6768"/>
    <w:rsid w:val="001B6F1F"/>
    <w:rsid w:val="001B7ECC"/>
    <w:rsid w:val="001C25A7"/>
    <w:rsid w:val="001C318C"/>
    <w:rsid w:val="001C38B0"/>
    <w:rsid w:val="001C4287"/>
    <w:rsid w:val="001C4479"/>
    <w:rsid w:val="001C76B7"/>
    <w:rsid w:val="001C76FB"/>
    <w:rsid w:val="001D0F22"/>
    <w:rsid w:val="001D1165"/>
    <w:rsid w:val="001D23B1"/>
    <w:rsid w:val="001D2764"/>
    <w:rsid w:val="001D324F"/>
    <w:rsid w:val="001D3697"/>
    <w:rsid w:val="001D3A9E"/>
    <w:rsid w:val="001D51DE"/>
    <w:rsid w:val="001D540E"/>
    <w:rsid w:val="001D58A1"/>
    <w:rsid w:val="001D5A8A"/>
    <w:rsid w:val="001D735E"/>
    <w:rsid w:val="001D73C8"/>
    <w:rsid w:val="001D74D4"/>
    <w:rsid w:val="001D756D"/>
    <w:rsid w:val="001D778C"/>
    <w:rsid w:val="001D7E1F"/>
    <w:rsid w:val="001E062B"/>
    <w:rsid w:val="001E0756"/>
    <w:rsid w:val="001E0A8D"/>
    <w:rsid w:val="001E0FFB"/>
    <w:rsid w:val="001E129E"/>
    <w:rsid w:val="001E1F33"/>
    <w:rsid w:val="001E2B9F"/>
    <w:rsid w:val="001E30C0"/>
    <w:rsid w:val="001E3221"/>
    <w:rsid w:val="001E33BA"/>
    <w:rsid w:val="001E49F2"/>
    <w:rsid w:val="001E4A8D"/>
    <w:rsid w:val="001E5A94"/>
    <w:rsid w:val="001E7648"/>
    <w:rsid w:val="001F127B"/>
    <w:rsid w:val="001F15A8"/>
    <w:rsid w:val="001F2A2E"/>
    <w:rsid w:val="001F3B72"/>
    <w:rsid w:val="001F3C63"/>
    <w:rsid w:val="001F4460"/>
    <w:rsid w:val="001F5DAF"/>
    <w:rsid w:val="001F637C"/>
    <w:rsid w:val="001F6B6C"/>
    <w:rsid w:val="001F711A"/>
    <w:rsid w:val="001F75B0"/>
    <w:rsid w:val="001F7686"/>
    <w:rsid w:val="0020035F"/>
    <w:rsid w:val="0020072B"/>
    <w:rsid w:val="00200CE5"/>
    <w:rsid w:val="002014DB"/>
    <w:rsid w:val="00201E12"/>
    <w:rsid w:val="00202AEC"/>
    <w:rsid w:val="002031E2"/>
    <w:rsid w:val="002033B5"/>
    <w:rsid w:val="0020382C"/>
    <w:rsid w:val="0020437A"/>
    <w:rsid w:val="00204B5F"/>
    <w:rsid w:val="0020532C"/>
    <w:rsid w:val="00205D23"/>
    <w:rsid w:val="0021064F"/>
    <w:rsid w:val="002114C7"/>
    <w:rsid w:val="00212756"/>
    <w:rsid w:val="0021302C"/>
    <w:rsid w:val="00213045"/>
    <w:rsid w:val="00213483"/>
    <w:rsid w:val="00213B1C"/>
    <w:rsid w:val="00214202"/>
    <w:rsid w:val="002146F3"/>
    <w:rsid w:val="002148E3"/>
    <w:rsid w:val="00215373"/>
    <w:rsid w:val="0021552D"/>
    <w:rsid w:val="002156AE"/>
    <w:rsid w:val="002177BD"/>
    <w:rsid w:val="00217861"/>
    <w:rsid w:val="0022054D"/>
    <w:rsid w:val="00220949"/>
    <w:rsid w:val="002225FA"/>
    <w:rsid w:val="0022413B"/>
    <w:rsid w:val="00224DE1"/>
    <w:rsid w:val="002255B2"/>
    <w:rsid w:val="00225664"/>
    <w:rsid w:val="00226463"/>
    <w:rsid w:val="002269DC"/>
    <w:rsid w:val="00227F2D"/>
    <w:rsid w:val="00231851"/>
    <w:rsid w:val="002319FB"/>
    <w:rsid w:val="00231B89"/>
    <w:rsid w:val="00231B8E"/>
    <w:rsid w:val="00233727"/>
    <w:rsid w:val="002355BE"/>
    <w:rsid w:val="00236D82"/>
    <w:rsid w:val="00236DE9"/>
    <w:rsid w:val="00237B73"/>
    <w:rsid w:val="00237D5A"/>
    <w:rsid w:val="00241300"/>
    <w:rsid w:val="00241D3C"/>
    <w:rsid w:val="002439AB"/>
    <w:rsid w:val="002442F6"/>
    <w:rsid w:val="002450D5"/>
    <w:rsid w:val="00245587"/>
    <w:rsid w:val="002458A7"/>
    <w:rsid w:val="00245F2B"/>
    <w:rsid w:val="00246781"/>
    <w:rsid w:val="00246F95"/>
    <w:rsid w:val="0024703E"/>
    <w:rsid w:val="00247676"/>
    <w:rsid w:val="00247F3A"/>
    <w:rsid w:val="00250122"/>
    <w:rsid w:val="00250755"/>
    <w:rsid w:val="00250AE3"/>
    <w:rsid w:val="00250E40"/>
    <w:rsid w:val="00251C4A"/>
    <w:rsid w:val="0025271C"/>
    <w:rsid w:val="00252A91"/>
    <w:rsid w:val="00252C5C"/>
    <w:rsid w:val="002533CD"/>
    <w:rsid w:val="002544C1"/>
    <w:rsid w:val="00254EAB"/>
    <w:rsid w:val="002557AF"/>
    <w:rsid w:val="00256474"/>
    <w:rsid w:val="002566B1"/>
    <w:rsid w:val="002575E3"/>
    <w:rsid w:val="002603C1"/>
    <w:rsid w:val="002609A1"/>
    <w:rsid w:val="002612B1"/>
    <w:rsid w:val="0026327C"/>
    <w:rsid w:val="00265600"/>
    <w:rsid w:val="00266165"/>
    <w:rsid w:val="0026782A"/>
    <w:rsid w:val="002708B3"/>
    <w:rsid w:val="0027125E"/>
    <w:rsid w:val="00271767"/>
    <w:rsid w:val="002719C1"/>
    <w:rsid w:val="00272293"/>
    <w:rsid w:val="002723C8"/>
    <w:rsid w:val="00273379"/>
    <w:rsid w:val="00273CBE"/>
    <w:rsid w:val="00277F24"/>
    <w:rsid w:val="00280240"/>
    <w:rsid w:val="002802D7"/>
    <w:rsid w:val="0028232C"/>
    <w:rsid w:val="002827F1"/>
    <w:rsid w:val="00282EC3"/>
    <w:rsid w:val="002835B0"/>
    <w:rsid w:val="0028407E"/>
    <w:rsid w:val="0028410F"/>
    <w:rsid w:val="002854BF"/>
    <w:rsid w:val="00286603"/>
    <w:rsid w:val="00286942"/>
    <w:rsid w:val="00286A98"/>
    <w:rsid w:val="00286FB5"/>
    <w:rsid w:val="00287763"/>
    <w:rsid w:val="00290606"/>
    <w:rsid w:val="00290F9D"/>
    <w:rsid w:val="002918A7"/>
    <w:rsid w:val="00291D6D"/>
    <w:rsid w:val="00291FF1"/>
    <w:rsid w:val="002923F6"/>
    <w:rsid w:val="00293361"/>
    <w:rsid w:val="00293BAA"/>
    <w:rsid w:val="00294AE8"/>
    <w:rsid w:val="00295137"/>
    <w:rsid w:val="00295287"/>
    <w:rsid w:val="002952B1"/>
    <w:rsid w:val="00295D11"/>
    <w:rsid w:val="00295FA0"/>
    <w:rsid w:val="00297626"/>
    <w:rsid w:val="00297A7A"/>
    <w:rsid w:val="002A0620"/>
    <w:rsid w:val="002A0C3A"/>
    <w:rsid w:val="002A1130"/>
    <w:rsid w:val="002A14D3"/>
    <w:rsid w:val="002A1880"/>
    <w:rsid w:val="002A1D47"/>
    <w:rsid w:val="002A23B7"/>
    <w:rsid w:val="002A3A57"/>
    <w:rsid w:val="002A6D22"/>
    <w:rsid w:val="002A6DEF"/>
    <w:rsid w:val="002A7411"/>
    <w:rsid w:val="002A7C24"/>
    <w:rsid w:val="002B013E"/>
    <w:rsid w:val="002B058D"/>
    <w:rsid w:val="002B0C16"/>
    <w:rsid w:val="002B11C9"/>
    <w:rsid w:val="002B169E"/>
    <w:rsid w:val="002B2621"/>
    <w:rsid w:val="002B2AC5"/>
    <w:rsid w:val="002B3528"/>
    <w:rsid w:val="002B3539"/>
    <w:rsid w:val="002B3B2B"/>
    <w:rsid w:val="002B6D17"/>
    <w:rsid w:val="002B6E71"/>
    <w:rsid w:val="002B6FA5"/>
    <w:rsid w:val="002B7169"/>
    <w:rsid w:val="002C0C1C"/>
    <w:rsid w:val="002C0F5A"/>
    <w:rsid w:val="002C184E"/>
    <w:rsid w:val="002C28F5"/>
    <w:rsid w:val="002C54C2"/>
    <w:rsid w:val="002C5D34"/>
    <w:rsid w:val="002C5EA7"/>
    <w:rsid w:val="002C661A"/>
    <w:rsid w:val="002C7C6E"/>
    <w:rsid w:val="002D0AF5"/>
    <w:rsid w:val="002D0B75"/>
    <w:rsid w:val="002D1C54"/>
    <w:rsid w:val="002D1FAA"/>
    <w:rsid w:val="002D2231"/>
    <w:rsid w:val="002D25FC"/>
    <w:rsid w:val="002D318B"/>
    <w:rsid w:val="002D3380"/>
    <w:rsid w:val="002D44D6"/>
    <w:rsid w:val="002D4925"/>
    <w:rsid w:val="002D4AC6"/>
    <w:rsid w:val="002D5C7B"/>
    <w:rsid w:val="002D6DFC"/>
    <w:rsid w:val="002D7648"/>
    <w:rsid w:val="002D7909"/>
    <w:rsid w:val="002D7AB7"/>
    <w:rsid w:val="002E109C"/>
    <w:rsid w:val="002E115E"/>
    <w:rsid w:val="002E131F"/>
    <w:rsid w:val="002E1439"/>
    <w:rsid w:val="002E193E"/>
    <w:rsid w:val="002E1D76"/>
    <w:rsid w:val="002E243C"/>
    <w:rsid w:val="002E26C4"/>
    <w:rsid w:val="002E30B3"/>
    <w:rsid w:val="002E33E9"/>
    <w:rsid w:val="002E4B37"/>
    <w:rsid w:val="002E4BF9"/>
    <w:rsid w:val="002E6F5B"/>
    <w:rsid w:val="002E773C"/>
    <w:rsid w:val="002F16DD"/>
    <w:rsid w:val="002F199D"/>
    <w:rsid w:val="002F23B2"/>
    <w:rsid w:val="002F2558"/>
    <w:rsid w:val="002F4084"/>
    <w:rsid w:val="002F4672"/>
    <w:rsid w:val="002F4A08"/>
    <w:rsid w:val="002F4ADB"/>
    <w:rsid w:val="002F531E"/>
    <w:rsid w:val="002F5ACC"/>
    <w:rsid w:val="002F6C2C"/>
    <w:rsid w:val="002F704B"/>
    <w:rsid w:val="002F72C3"/>
    <w:rsid w:val="002F768C"/>
    <w:rsid w:val="002F7D1E"/>
    <w:rsid w:val="00301839"/>
    <w:rsid w:val="00301A68"/>
    <w:rsid w:val="003026AF"/>
    <w:rsid w:val="00302929"/>
    <w:rsid w:val="00302F0F"/>
    <w:rsid w:val="00303243"/>
    <w:rsid w:val="00303BCC"/>
    <w:rsid w:val="00303F2B"/>
    <w:rsid w:val="00303F8D"/>
    <w:rsid w:val="00304541"/>
    <w:rsid w:val="00304580"/>
    <w:rsid w:val="00305107"/>
    <w:rsid w:val="0030586A"/>
    <w:rsid w:val="003074C5"/>
    <w:rsid w:val="00307A3C"/>
    <w:rsid w:val="00307AF8"/>
    <w:rsid w:val="00307FA4"/>
    <w:rsid w:val="00310CC1"/>
    <w:rsid w:val="00313026"/>
    <w:rsid w:val="00313213"/>
    <w:rsid w:val="00313C14"/>
    <w:rsid w:val="0031421F"/>
    <w:rsid w:val="00314B31"/>
    <w:rsid w:val="00314B36"/>
    <w:rsid w:val="00315158"/>
    <w:rsid w:val="00315346"/>
    <w:rsid w:val="00315A65"/>
    <w:rsid w:val="00316E85"/>
    <w:rsid w:val="00317BA7"/>
    <w:rsid w:val="00320BE2"/>
    <w:rsid w:val="00321886"/>
    <w:rsid w:val="00321902"/>
    <w:rsid w:val="00323694"/>
    <w:rsid w:val="00324D63"/>
    <w:rsid w:val="003255AF"/>
    <w:rsid w:val="003256EB"/>
    <w:rsid w:val="003259DB"/>
    <w:rsid w:val="00325F20"/>
    <w:rsid w:val="00326039"/>
    <w:rsid w:val="003267F2"/>
    <w:rsid w:val="003300EA"/>
    <w:rsid w:val="00331A48"/>
    <w:rsid w:val="003330C9"/>
    <w:rsid w:val="0033364C"/>
    <w:rsid w:val="00334415"/>
    <w:rsid w:val="00335460"/>
    <w:rsid w:val="0033591B"/>
    <w:rsid w:val="0033691E"/>
    <w:rsid w:val="00336CCB"/>
    <w:rsid w:val="0033745F"/>
    <w:rsid w:val="00337631"/>
    <w:rsid w:val="00337F44"/>
    <w:rsid w:val="003401AC"/>
    <w:rsid w:val="003411D1"/>
    <w:rsid w:val="003416BA"/>
    <w:rsid w:val="00341BD6"/>
    <w:rsid w:val="00342A8A"/>
    <w:rsid w:val="00342F99"/>
    <w:rsid w:val="0034339D"/>
    <w:rsid w:val="00344726"/>
    <w:rsid w:val="003454A4"/>
    <w:rsid w:val="00345988"/>
    <w:rsid w:val="00350E6C"/>
    <w:rsid w:val="003518A6"/>
    <w:rsid w:val="00351E7F"/>
    <w:rsid w:val="003526FD"/>
    <w:rsid w:val="00352953"/>
    <w:rsid w:val="00354062"/>
    <w:rsid w:val="003542B0"/>
    <w:rsid w:val="00355C0D"/>
    <w:rsid w:val="0035622C"/>
    <w:rsid w:val="003566A9"/>
    <w:rsid w:val="00356988"/>
    <w:rsid w:val="00356B20"/>
    <w:rsid w:val="00357128"/>
    <w:rsid w:val="0035755E"/>
    <w:rsid w:val="00357A80"/>
    <w:rsid w:val="00361B8B"/>
    <w:rsid w:val="00363C41"/>
    <w:rsid w:val="00363F39"/>
    <w:rsid w:val="003643C6"/>
    <w:rsid w:val="00364AB0"/>
    <w:rsid w:val="00365A6E"/>
    <w:rsid w:val="003664B8"/>
    <w:rsid w:val="003667B0"/>
    <w:rsid w:val="003667DD"/>
    <w:rsid w:val="00366842"/>
    <w:rsid w:val="00366B48"/>
    <w:rsid w:val="00367764"/>
    <w:rsid w:val="00370316"/>
    <w:rsid w:val="00370DC7"/>
    <w:rsid w:val="0037156C"/>
    <w:rsid w:val="00371CBD"/>
    <w:rsid w:val="00373CBE"/>
    <w:rsid w:val="003740CC"/>
    <w:rsid w:val="0037435E"/>
    <w:rsid w:val="00374E79"/>
    <w:rsid w:val="00375388"/>
    <w:rsid w:val="00375B7E"/>
    <w:rsid w:val="00375FB9"/>
    <w:rsid w:val="00376851"/>
    <w:rsid w:val="00376FA2"/>
    <w:rsid w:val="00377A3B"/>
    <w:rsid w:val="00377E3C"/>
    <w:rsid w:val="00380B5C"/>
    <w:rsid w:val="00380BBE"/>
    <w:rsid w:val="00381D70"/>
    <w:rsid w:val="00382128"/>
    <w:rsid w:val="0038235E"/>
    <w:rsid w:val="003829D0"/>
    <w:rsid w:val="00382FBA"/>
    <w:rsid w:val="003835DD"/>
    <w:rsid w:val="0038444F"/>
    <w:rsid w:val="00384E83"/>
    <w:rsid w:val="00385C34"/>
    <w:rsid w:val="00386B36"/>
    <w:rsid w:val="00387051"/>
    <w:rsid w:val="00387ECF"/>
    <w:rsid w:val="0039021B"/>
    <w:rsid w:val="00390429"/>
    <w:rsid w:val="00391298"/>
    <w:rsid w:val="0039327C"/>
    <w:rsid w:val="003933A2"/>
    <w:rsid w:val="0039366C"/>
    <w:rsid w:val="003938F3"/>
    <w:rsid w:val="00393C4B"/>
    <w:rsid w:val="00393DE7"/>
    <w:rsid w:val="00393EC8"/>
    <w:rsid w:val="00395E42"/>
    <w:rsid w:val="00396052"/>
    <w:rsid w:val="00396A2D"/>
    <w:rsid w:val="00396FC3"/>
    <w:rsid w:val="003A1A94"/>
    <w:rsid w:val="003A204E"/>
    <w:rsid w:val="003A2D25"/>
    <w:rsid w:val="003A4DDB"/>
    <w:rsid w:val="003A60E7"/>
    <w:rsid w:val="003B07DF"/>
    <w:rsid w:val="003B0B6A"/>
    <w:rsid w:val="003B0F79"/>
    <w:rsid w:val="003B29CF"/>
    <w:rsid w:val="003B54DF"/>
    <w:rsid w:val="003B6659"/>
    <w:rsid w:val="003B7733"/>
    <w:rsid w:val="003B7BC8"/>
    <w:rsid w:val="003C0166"/>
    <w:rsid w:val="003C21AA"/>
    <w:rsid w:val="003C2B79"/>
    <w:rsid w:val="003C350C"/>
    <w:rsid w:val="003C3903"/>
    <w:rsid w:val="003C3BA0"/>
    <w:rsid w:val="003C4580"/>
    <w:rsid w:val="003C52D8"/>
    <w:rsid w:val="003C5C5E"/>
    <w:rsid w:val="003C6746"/>
    <w:rsid w:val="003C7133"/>
    <w:rsid w:val="003C7555"/>
    <w:rsid w:val="003C7898"/>
    <w:rsid w:val="003D0FF5"/>
    <w:rsid w:val="003D2D1B"/>
    <w:rsid w:val="003D30AB"/>
    <w:rsid w:val="003D3D94"/>
    <w:rsid w:val="003D48C7"/>
    <w:rsid w:val="003D4C08"/>
    <w:rsid w:val="003D51ED"/>
    <w:rsid w:val="003D7CE8"/>
    <w:rsid w:val="003E1032"/>
    <w:rsid w:val="003E1904"/>
    <w:rsid w:val="003E2114"/>
    <w:rsid w:val="003E285E"/>
    <w:rsid w:val="003E3300"/>
    <w:rsid w:val="003E5B89"/>
    <w:rsid w:val="003E6340"/>
    <w:rsid w:val="003E65AC"/>
    <w:rsid w:val="003E6948"/>
    <w:rsid w:val="003E6E24"/>
    <w:rsid w:val="003E72B9"/>
    <w:rsid w:val="003E755C"/>
    <w:rsid w:val="003E7ED4"/>
    <w:rsid w:val="003F0E52"/>
    <w:rsid w:val="003F0EF2"/>
    <w:rsid w:val="003F0F6B"/>
    <w:rsid w:val="003F1F40"/>
    <w:rsid w:val="003F1FE3"/>
    <w:rsid w:val="003F3865"/>
    <w:rsid w:val="003F3A0A"/>
    <w:rsid w:val="003F4632"/>
    <w:rsid w:val="003F47BA"/>
    <w:rsid w:val="003F5DA1"/>
    <w:rsid w:val="003F6617"/>
    <w:rsid w:val="0040063B"/>
    <w:rsid w:val="00401070"/>
    <w:rsid w:val="004013C0"/>
    <w:rsid w:val="00402332"/>
    <w:rsid w:val="004025C2"/>
    <w:rsid w:val="00403E55"/>
    <w:rsid w:val="00404532"/>
    <w:rsid w:val="00404681"/>
    <w:rsid w:val="0040496D"/>
    <w:rsid w:val="00405010"/>
    <w:rsid w:val="0040573A"/>
    <w:rsid w:val="0040595A"/>
    <w:rsid w:val="00406923"/>
    <w:rsid w:val="0040713A"/>
    <w:rsid w:val="0040763D"/>
    <w:rsid w:val="004105B0"/>
    <w:rsid w:val="00410DC1"/>
    <w:rsid w:val="00410EC5"/>
    <w:rsid w:val="00411B1F"/>
    <w:rsid w:val="004133A8"/>
    <w:rsid w:val="00413821"/>
    <w:rsid w:val="00413D43"/>
    <w:rsid w:val="004141A3"/>
    <w:rsid w:val="004143E9"/>
    <w:rsid w:val="00414909"/>
    <w:rsid w:val="00415E66"/>
    <w:rsid w:val="00416112"/>
    <w:rsid w:val="00416DF0"/>
    <w:rsid w:val="00417AE0"/>
    <w:rsid w:val="00417BAA"/>
    <w:rsid w:val="00420BA9"/>
    <w:rsid w:val="00420D7A"/>
    <w:rsid w:val="00420D9E"/>
    <w:rsid w:val="004223DE"/>
    <w:rsid w:val="00422718"/>
    <w:rsid w:val="0042293E"/>
    <w:rsid w:val="00422A10"/>
    <w:rsid w:val="00423D19"/>
    <w:rsid w:val="00424D17"/>
    <w:rsid w:val="00425DFD"/>
    <w:rsid w:val="004263A3"/>
    <w:rsid w:val="00426903"/>
    <w:rsid w:val="00427713"/>
    <w:rsid w:val="00427CCC"/>
    <w:rsid w:val="00427D54"/>
    <w:rsid w:val="00427DB8"/>
    <w:rsid w:val="0043013A"/>
    <w:rsid w:val="00430421"/>
    <w:rsid w:val="00430B4F"/>
    <w:rsid w:val="004314B1"/>
    <w:rsid w:val="00431AD0"/>
    <w:rsid w:val="00431E65"/>
    <w:rsid w:val="00432589"/>
    <w:rsid w:val="00432A94"/>
    <w:rsid w:val="00433827"/>
    <w:rsid w:val="00435041"/>
    <w:rsid w:val="004360C8"/>
    <w:rsid w:val="0044006B"/>
    <w:rsid w:val="0044033F"/>
    <w:rsid w:val="00440630"/>
    <w:rsid w:val="00441123"/>
    <w:rsid w:val="0044127B"/>
    <w:rsid w:val="00441705"/>
    <w:rsid w:val="00442095"/>
    <w:rsid w:val="00442965"/>
    <w:rsid w:val="00444157"/>
    <w:rsid w:val="0044417C"/>
    <w:rsid w:val="00444DB3"/>
    <w:rsid w:val="004452B9"/>
    <w:rsid w:val="00445A2F"/>
    <w:rsid w:val="00446328"/>
    <w:rsid w:val="00446341"/>
    <w:rsid w:val="0044684E"/>
    <w:rsid w:val="004479CA"/>
    <w:rsid w:val="004503A4"/>
    <w:rsid w:val="00450555"/>
    <w:rsid w:val="00450DC6"/>
    <w:rsid w:val="004516A5"/>
    <w:rsid w:val="004535AE"/>
    <w:rsid w:val="00453C42"/>
    <w:rsid w:val="0045463A"/>
    <w:rsid w:val="00454AC9"/>
    <w:rsid w:val="004554A3"/>
    <w:rsid w:val="00455A6E"/>
    <w:rsid w:val="004569CD"/>
    <w:rsid w:val="00456F2B"/>
    <w:rsid w:val="004578EB"/>
    <w:rsid w:val="00460303"/>
    <w:rsid w:val="00460697"/>
    <w:rsid w:val="004609AB"/>
    <w:rsid w:val="0046247F"/>
    <w:rsid w:val="00462593"/>
    <w:rsid w:val="00465EEF"/>
    <w:rsid w:val="00466D03"/>
    <w:rsid w:val="0046711B"/>
    <w:rsid w:val="00467312"/>
    <w:rsid w:val="00471156"/>
    <w:rsid w:val="00472429"/>
    <w:rsid w:val="004725E5"/>
    <w:rsid w:val="004726FE"/>
    <w:rsid w:val="00472751"/>
    <w:rsid w:val="00473128"/>
    <w:rsid w:val="0047470A"/>
    <w:rsid w:val="00475078"/>
    <w:rsid w:val="00475226"/>
    <w:rsid w:val="004777F1"/>
    <w:rsid w:val="004779A0"/>
    <w:rsid w:val="004808E3"/>
    <w:rsid w:val="0048097D"/>
    <w:rsid w:val="00481016"/>
    <w:rsid w:val="004814C8"/>
    <w:rsid w:val="004814D3"/>
    <w:rsid w:val="0048204C"/>
    <w:rsid w:val="004821BB"/>
    <w:rsid w:val="00482233"/>
    <w:rsid w:val="004826FE"/>
    <w:rsid w:val="004827D5"/>
    <w:rsid w:val="004830C9"/>
    <w:rsid w:val="00483347"/>
    <w:rsid w:val="00483D06"/>
    <w:rsid w:val="00483E2E"/>
    <w:rsid w:val="004847A6"/>
    <w:rsid w:val="00484B69"/>
    <w:rsid w:val="00485406"/>
    <w:rsid w:val="0048590F"/>
    <w:rsid w:val="004867A5"/>
    <w:rsid w:val="00486D60"/>
    <w:rsid w:val="00487C87"/>
    <w:rsid w:val="00492A25"/>
    <w:rsid w:val="0049474A"/>
    <w:rsid w:val="004951C8"/>
    <w:rsid w:val="00496350"/>
    <w:rsid w:val="00496F91"/>
    <w:rsid w:val="00497274"/>
    <w:rsid w:val="0049797C"/>
    <w:rsid w:val="00497C2C"/>
    <w:rsid w:val="00497E9D"/>
    <w:rsid w:val="004A036E"/>
    <w:rsid w:val="004A1405"/>
    <w:rsid w:val="004A1FC6"/>
    <w:rsid w:val="004A3C03"/>
    <w:rsid w:val="004A3DB7"/>
    <w:rsid w:val="004A3FB3"/>
    <w:rsid w:val="004A5088"/>
    <w:rsid w:val="004A5255"/>
    <w:rsid w:val="004A6097"/>
    <w:rsid w:val="004A6CB0"/>
    <w:rsid w:val="004A70FF"/>
    <w:rsid w:val="004B1B84"/>
    <w:rsid w:val="004B29AC"/>
    <w:rsid w:val="004B29E3"/>
    <w:rsid w:val="004B35DF"/>
    <w:rsid w:val="004B3627"/>
    <w:rsid w:val="004B3F3A"/>
    <w:rsid w:val="004B4779"/>
    <w:rsid w:val="004B4922"/>
    <w:rsid w:val="004B57DF"/>
    <w:rsid w:val="004C0238"/>
    <w:rsid w:val="004C03A0"/>
    <w:rsid w:val="004C2138"/>
    <w:rsid w:val="004C2ED0"/>
    <w:rsid w:val="004C32D4"/>
    <w:rsid w:val="004C3940"/>
    <w:rsid w:val="004C51FD"/>
    <w:rsid w:val="004C65A8"/>
    <w:rsid w:val="004C786C"/>
    <w:rsid w:val="004C7963"/>
    <w:rsid w:val="004D2314"/>
    <w:rsid w:val="004D2F63"/>
    <w:rsid w:val="004D35BA"/>
    <w:rsid w:val="004D45B8"/>
    <w:rsid w:val="004D4701"/>
    <w:rsid w:val="004D47C7"/>
    <w:rsid w:val="004D618D"/>
    <w:rsid w:val="004D6202"/>
    <w:rsid w:val="004D62A9"/>
    <w:rsid w:val="004D6FC3"/>
    <w:rsid w:val="004D7476"/>
    <w:rsid w:val="004E0306"/>
    <w:rsid w:val="004E0572"/>
    <w:rsid w:val="004E0C97"/>
    <w:rsid w:val="004E25A8"/>
    <w:rsid w:val="004E2AA0"/>
    <w:rsid w:val="004E3930"/>
    <w:rsid w:val="004E3ED9"/>
    <w:rsid w:val="004E5866"/>
    <w:rsid w:val="004E6097"/>
    <w:rsid w:val="004E61EF"/>
    <w:rsid w:val="004E6772"/>
    <w:rsid w:val="004E76A7"/>
    <w:rsid w:val="004E7736"/>
    <w:rsid w:val="004E7B03"/>
    <w:rsid w:val="004F0064"/>
    <w:rsid w:val="004F069F"/>
    <w:rsid w:val="004F06AC"/>
    <w:rsid w:val="004F1AE6"/>
    <w:rsid w:val="004F243F"/>
    <w:rsid w:val="004F3E0C"/>
    <w:rsid w:val="004F6929"/>
    <w:rsid w:val="004F6A2D"/>
    <w:rsid w:val="004F7160"/>
    <w:rsid w:val="00500258"/>
    <w:rsid w:val="0050175E"/>
    <w:rsid w:val="00501A99"/>
    <w:rsid w:val="00502569"/>
    <w:rsid w:val="00502CF3"/>
    <w:rsid w:val="00503180"/>
    <w:rsid w:val="0050417C"/>
    <w:rsid w:val="00505450"/>
    <w:rsid w:val="005100B7"/>
    <w:rsid w:val="005111C2"/>
    <w:rsid w:val="005113C9"/>
    <w:rsid w:val="0051280C"/>
    <w:rsid w:val="00512842"/>
    <w:rsid w:val="005128BE"/>
    <w:rsid w:val="00512B7B"/>
    <w:rsid w:val="00512E6C"/>
    <w:rsid w:val="0051356F"/>
    <w:rsid w:val="00513E7C"/>
    <w:rsid w:val="005140BB"/>
    <w:rsid w:val="005143C2"/>
    <w:rsid w:val="00514FD9"/>
    <w:rsid w:val="0051518F"/>
    <w:rsid w:val="00515FB2"/>
    <w:rsid w:val="0051608F"/>
    <w:rsid w:val="005165E9"/>
    <w:rsid w:val="005210F7"/>
    <w:rsid w:val="00521753"/>
    <w:rsid w:val="00521A44"/>
    <w:rsid w:val="00521D16"/>
    <w:rsid w:val="005222BE"/>
    <w:rsid w:val="005224EE"/>
    <w:rsid w:val="00523BB1"/>
    <w:rsid w:val="005242CF"/>
    <w:rsid w:val="00524401"/>
    <w:rsid w:val="0052451A"/>
    <w:rsid w:val="00524737"/>
    <w:rsid w:val="005253E7"/>
    <w:rsid w:val="005258DF"/>
    <w:rsid w:val="00526265"/>
    <w:rsid w:val="0052652D"/>
    <w:rsid w:val="0052655D"/>
    <w:rsid w:val="005265E0"/>
    <w:rsid w:val="00526930"/>
    <w:rsid w:val="00526BC3"/>
    <w:rsid w:val="00530F9E"/>
    <w:rsid w:val="00531A72"/>
    <w:rsid w:val="0053274E"/>
    <w:rsid w:val="00532FFF"/>
    <w:rsid w:val="0053358A"/>
    <w:rsid w:val="00534668"/>
    <w:rsid w:val="00534D38"/>
    <w:rsid w:val="00534DDD"/>
    <w:rsid w:val="00535291"/>
    <w:rsid w:val="00535A94"/>
    <w:rsid w:val="00537874"/>
    <w:rsid w:val="00537909"/>
    <w:rsid w:val="00540204"/>
    <w:rsid w:val="00540578"/>
    <w:rsid w:val="005407D2"/>
    <w:rsid w:val="00540808"/>
    <w:rsid w:val="0054080E"/>
    <w:rsid w:val="005408B4"/>
    <w:rsid w:val="00540EA1"/>
    <w:rsid w:val="005423B1"/>
    <w:rsid w:val="0054358E"/>
    <w:rsid w:val="00543AF4"/>
    <w:rsid w:val="00544191"/>
    <w:rsid w:val="00544F39"/>
    <w:rsid w:val="00547EFB"/>
    <w:rsid w:val="005531DF"/>
    <w:rsid w:val="00553874"/>
    <w:rsid w:val="00553ACC"/>
    <w:rsid w:val="00554AD8"/>
    <w:rsid w:val="00554F78"/>
    <w:rsid w:val="005556A5"/>
    <w:rsid w:val="005561F0"/>
    <w:rsid w:val="00556BF7"/>
    <w:rsid w:val="00560838"/>
    <w:rsid w:val="00560DB5"/>
    <w:rsid w:val="00562149"/>
    <w:rsid w:val="005630D8"/>
    <w:rsid w:val="00563FFD"/>
    <w:rsid w:val="00565855"/>
    <w:rsid w:val="005677CE"/>
    <w:rsid w:val="00567B5D"/>
    <w:rsid w:val="00570445"/>
    <w:rsid w:val="00572E9A"/>
    <w:rsid w:val="00573733"/>
    <w:rsid w:val="005739F5"/>
    <w:rsid w:val="00574064"/>
    <w:rsid w:val="00574554"/>
    <w:rsid w:val="00576089"/>
    <w:rsid w:val="005764B1"/>
    <w:rsid w:val="00576A0D"/>
    <w:rsid w:val="00576A56"/>
    <w:rsid w:val="00576D06"/>
    <w:rsid w:val="005777CA"/>
    <w:rsid w:val="005779E4"/>
    <w:rsid w:val="00580AC5"/>
    <w:rsid w:val="005815E5"/>
    <w:rsid w:val="0058289C"/>
    <w:rsid w:val="00582C35"/>
    <w:rsid w:val="00582DC6"/>
    <w:rsid w:val="005836C7"/>
    <w:rsid w:val="0058408E"/>
    <w:rsid w:val="00585374"/>
    <w:rsid w:val="005876DF"/>
    <w:rsid w:val="0058789A"/>
    <w:rsid w:val="00590B77"/>
    <w:rsid w:val="005913A3"/>
    <w:rsid w:val="00591DCD"/>
    <w:rsid w:val="00593655"/>
    <w:rsid w:val="00594A7B"/>
    <w:rsid w:val="00594AFA"/>
    <w:rsid w:val="00594E71"/>
    <w:rsid w:val="0059580E"/>
    <w:rsid w:val="00596A6F"/>
    <w:rsid w:val="005976E1"/>
    <w:rsid w:val="005A0541"/>
    <w:rsid w:val="005A0D64"/>
    <w:rsid w:val="005A1525"/>
    <w:rsid w:val="005A1EC3"/>
    <w:rsid w:val="005A252B"/>
    <w:rsid w:val="005A2A71"/>
    <w:rsid w:val="005A3204"/>
    <w:rsid w:val="005A32B6"/>
    <w:rsid w:val="005A3341"/>
    <w:rsid w:val="005A46EC"/>
    <w:rsid w:val="005A47AA"/>
    <w:rsid w:val="005A4847"/>
    <w:rsid w:val="005A494F"/>
    <w:rsid w:val="005B0160"/>
    <w:rsid w:val="005B0185"/>
    <w:rsid w:val="005B07EC"/>
    <w:rsid w:val="005B09D8"/>
    <w:rsid w:val="005B24F3"/>
    <w:rsid w:val="005B28A1"/>
    <w:rsid w:val="005B2B11"/>
    <w:rsid w:val="005B2E00"/>
    <w:rsid w:val="005B370E"/>
    <w:rsid w:val="005B4DA3"/>
    <w:rsid w:val="005B5B71"/>
    <w:rsid w:val="005B5BEE"/>
    <w:rsid w:val="005B7784"/>
    <w:rsid w:val="005B77D2"/>
    <w:rsid w:val="005C019B"/>
    <w:rsid w:val="005C144E"/>
    <w:rsid w:val="005C1625"/>
    <w:rsid w:val="005C2D0A"/>
    <w:rsid w:val="005C30F5"/>
    <w:rsid w:val="005C357E"/>
    <w:rsid w:val="005C3604"/>
    <w:rsid w:val="005C51A5"/>
    <w:rsid w:val="005C5403"/>
    <w:rsid w:val="005C557A"/>
    <w:rsid w:val="005C5A03"/>
    <w:rsid w:val="005C61DD"/>
    <w:rsid w:val="005C6438"/>
    <w:rsid w:val="005C6B8B"/>
    <w:rsid w:val="005D02E3"/>
    <w:rsid w:val="005D1F34"/>
    <w:rsid w:val="005D2529"/>
    <w:rsid w:val="005D25BF"/>
    <w:rsid w:val="005D2C1F"/>
    <w:rsid w:val="005D34B2"/>
    <w:rsid w:val="005D3B54"/>
    <w:rsid w:val="005D40CD"/>
    <w:rsid w:val="005D6B59"/>
    <w:rsid w:val="005D7037"/>
    <w:rsid w:val="005E03E4"/>
    <w:rsid w:val="005E0454"/>
    <w:rsid w:val="005E171D"/>
    <w:rsid w:val="005E34C2"/>
    <w:rsid w:val="005E35C6"/>
    <w:rsid w:val="005E3711"/>
    <w:rsid w:val="005E3AF9"/>
    <w:rsid w:val="005E5099"/>
    <w:rsid w:val="005E5B01"/>
    <w:rsid w:val="005E7933"/>
    <w:rsid w:val="005E7E0B"/>
    <w:rsid w:val="005F009E"/>
    <w:rsid w:val="005F080C"/>
    <w:rsid w:val="005F0A88"/>
    <w:rsid w:val="005F0DF1"/>
    <w:rsid w:val="005F1516"/>
    <w:rsid w:val="005F229E"/>
    <w:rsid w:val="005F2564"/>
    <w:rsid w:val="005F3822"/>
    <w:rsid w:val="005F3E0B"/>
    <w:rsid w:val="005F4D16"/>
    <w:rsid w:val="005F4E52"/>
    <w:rsid w:val="005F5967"/>
    <w:rsid w:val="005F77C8"/>
    <w:rsid w:val="0060058E"/>
    <w:rsid w:val="00602A3C"/>
    <w:rsid w:val="00602EA4"/>
    <w:rsid w:val="00603EFD"/>
    <w:rsid w:val="006041DF"/>
    <w:rsid w:val="0060475B"/>
    <w:rsid w:val="00604FB6"/>
    <w:rsid w:val="00604FD6"/>
    <w:rsid w:val="00605387"/>
    <w:rsid w:val="00606302"/>
    <w:rsid w:val="006072EF"/>
    <w:rsid w:val="006076FD"/>
    <w:rsid w:val="00607BA3"/>
    <w:rsid w:val="00610CAA"/>
    <w:rsid w:val="0061143F"/>
    <w:rsid w:val="006114D8"/>
    <w:rsid w:val="00611585"/>
    <w:rsid w:val="00612931"/>
    <w:rsid w:val="00613601"/>
    <w:rsid w:val="00613791"/>
    <w:rsid w:val="00613AAB"/>
    <w:rsid w:val="006148C7"/>
    <w:rsid w:val="006150D6"/>
    <w:rsid w:val="006166A3"/>
    <w:rsid w:val="00617EEE"/>
    <w:rsid w:val="006210FE"/>
    <w:rsid w:val="00622811"/>
    <w:rsid w:val="0062281E"/>
    <w:rsid w:val="00622894"/>
    <w:rsid w:val="00622BB7"/>
    <w:rsid w:val="00622F3B"/>
    <w:rsid w:val="00623130"/>
    <w:rsid w:val="00623389"/>
    <w:rsid w:val="0062352A"/>
    <w:rsid w:val="00625E45"/>
    <w:rsid w:val="006265C4"/>
    <w:rsid w:val="00626DB1"/>
    <w:rsid w:val="00627383"/>
    <w:rsid w:val="00627733"/>
    <w:rsid w:val="006301BB"/>
    <w:rsid w:val="00632605"/>
    <w:rsid w:val="00633F8D"/>
    <w:rsid w:val="006341EF"/>
    <w:rsid w:val="00634BED"/>
    <w:rsid w:val="00635A4A"/>
    <w:rsid w:val="00635F1C"/>
    <w:rsid w:val="00635FB9"/>
    <w:rsid w:val="00636765"/>
    <w:rsid w:val="00637774"/>
    <w:rsid w:val="0064024C"/>
    <w:rsid w:val="00640291"/>
    <w:rsid w:val="00641FAC"/>
    <w:rsid w:val="0064262E"/>
    <w:rsid w:val="006432A5"/>
    <w:rsid w:val="00643664"/>
    <w:rsid w:val="00643CAA"/>
    <w:rsid w:val="0064448B"/>
    <w:rsid w:val="00652137"/>
    <w:rsid w:val="00652680"/>
    <w:rsid w:val="00652A09"/>
    <w:rsid w:val="006530A1"/>
    <w:rsid w:val="0065371D"/>
    <w:rsid w:val="00653CDE"/>
    <w:rsid w:val="006540B4"/>
    <w:rsid w:val="0065636A"/>
    <w:rsid w:val="00656C3C"/>
    <w:rsid w:val="00657003"/>
    <w:rsid w:val="00657126"/>
    <w:rsid w:val="006572C1"/>
    <w:rsid w:val="00660238"/>
    <w:rsid w:val="006602EF"/>
    <w:rsid w:val="00661277"/>
    <w:rsid w:val="006616FE"/>
    <w:rsid w:val="00661717"/>
    <w:rsid w:val="006619D1"/>
    <w:rsid w:val="006628AD"/>
    <w:rsid w:val="00663FEA"/>
    <w:rsid w:val="00664253"/>
    <w:rsid w:val="00664803"/>
    <w:rsid w:val="006661A4"/>
    <w:rsid w:val="006670E0"/>
    <w:rsid w:val="00667532"/>
    <w:rsid w:val="006704FD"/>
    <w:rsid w:val="00670F3A"/>
    <w:rsid w:val="006715E6"/>
    <w:rsid w:val="0067294B"/>
    <w:rsid w:val="00673AA4"/>
    <w:rsid w:val="00674066"/>
    <w:rsid w:val="00674187"/>
    <w:rsid w:val="0067508F"/>
    <w:rsid w:val="00675349"/>
    <w:rsid w:val="00675E7E"/>
    <w:rsid w:val="0068051E"/>
    <w:rsid w:val="00680B9D"/>
    <w:rsid w:val="00681F13"/>
    <w:rsid w:val="0068231C"/>
    <w:rsid w:val="00682344"/>
    <w:rsid w:val="00682E78"/>
    <w:rsid w:val="00682F28"/>
    <w:rsid w:val="00684842"/>
    <w:rsid w:val="00685BD6"/>
    <w:rsid w:val="00686433"/>
    <w:rsid w:val="006878A6"/>
    <w:rsid w:val="00690437"/>
    <w:rsid w:val="00690E65"/>
    <w:rsid w:val="0069188E"/>
    <w:rsid w:val="00691974"/>
    <w:rsid w:val="00691A3F"/>
    <w:rsid w:val="00692CE6"/>
    <w:rsid w:val="00692DA8"/>
    <w:rsid w:val="00693B6C"/>
    <w:rsid w:val="006942AE"/>
    <w:rsid w:val="0069483C"/>
    <w:rsid w:val="00695421"/>
    <w:rsid w:val="00695AE4"/>
    <w:rsid w:val="00696D4B"/>
    <w:rsid w:val="006977A8"/>
    <w:rsid w:val="00697BD3"/>
    <w:rsid w:val="00697DFA"/>
    <w:rsid w:val="006A10F3"/>
    <w:rsid w:val="006A16D5"/>
    <w:rsid w:val="006A1772"/>
    <w:rsid w:val="006A1780"/>
    <w:rsid w:val="006A25A5"/>
    <w:rsid w:val="006A2790"/>
    <w:rsid w:val="006A3CEC"/>
    <w:rsid w:val="006A3F75"/>
    <w:rsid w:val="006A4838"/>
    <w:rsid w:val="006A4FB3"/>
    <w:rsid w:val="006A5A3E"/>
    <w:rsid w:val="006A5BAB"/>
    <w:rsid w:val="006A6CA7"/>
    <w:rsid w:val="006A703E"/>
    <w:rsid w:val="006A7BE3"/>
    <w:rsid w:val="006B01D1"/>
    <w:rsid w:val="006B16EA"/>
    <w:rsid w:val="006B1780"/>
    <w:rsid w:val="006B224E"/>
    <w:rsid w:val="006B362D"/>
    <w:rsid w:val="006B376E"/>
    <w:rsid w:val="006B4589"/>
    <w:rsid w:val="006B6805"/>
    <w:rsid w:val="006B6BBE"/>
    <w:rsid w:val="006B6DE0"/>
    <w:rsid w:val="006B7D5F"/>
    <w:rsid w:val="006C0FCC"/>
    <w:rsid w:val="006C2D83"/>
    <w:rsid w:val="006C32F4"/>
    <w:rsid w:val="006C3382"/>
    <w:rsid w:val="006C3C54"/>
    <w:rsid w:val="006C40F4"/>
    <w:rsid w:val="006C427B"/>
    <w:rsid w:val="006C4F9F"/>
    <w:rsid w:val="006C5019"/>
    <w:rsid w:val="006C5778"/>
    <w:rsid w:val="006C61AB"/>
    <w:rsid w:val="006C650D"/>
    <w:rsid w:val="006C686A"/>
    <w:rsid w:val="006C7479"/>
    <w:rsid w:val="006C748D"/>
    <w:rsid w:val="006D0C1D"/>
    <w:rsid w:val="006D0CE1"/>
    <w:rsid w:val="006D2004"/>
    <w:rsid w:val="006D2A8C"/>
    <w:rsid w:val="006D2C2C"/>
    <w:rsid w:val="006D2E9D"/>
    <w:rsid w:val="006D32EB"/>
    <w:rsid w:val="006D4C1E"/>
    <w:rsid w:val="006D4C42"/>
    <w:rsid w:val="006D5809"/>
    <w:rsid w:val="006D630A"/>
    <w:rsid w:val="006D668D"/>
    <w:rsid w:val="006D7363"/>
    <w:rsid w:val="006D74F2"/>
    <w:rsid w:val="006E04C8"/>
    <w:rsid w:val="006E061F"/>
    <w:rsid w:val="006E0712"/>
    <w:rsid w:val="006E0754"/>
    <w:rsid w:val="006E2668"/>
    <w:rsid w:val="006E2D39"/>
    <w:rsid w:val="006E32B0"/>
    <w:rsid w:val="006E36D8"/>
    <w:rsid w:val="006E396A"/>
    <w:rsid w:val="006E3A73"/>
    <w:rsid w:val="006E5825"/>
    <w:rsid w:val="006E5DD8"/>
    <w:rsid w:val="006E5EA1"/>
    <w:rsid w:val="006E6A4C"/>
    <w:rsid w:val="006E7ABC"/>
    <w:rsid w:val="006F0760"/>
    <w:rsid w:val="006F0FF1"/>
    <w:rsid w:val="006F11E2"/>
    <w:rsid w:val="006F12F5"/>
    <w:rsid w:val="006F2574"/>
    <w:rsid w:val="006F3231"/>
    <w:rsid w:val="006F3582"/>
    <w:rsid w:val="006F3DE3"/>
    <w:rsid w:val="006F4C05"/>
    <w:rsid w:val="006F511F"/>
    <w:rsid w:val="006F61D8"/>
    <w:rsid w:val="006F62B7"/>
    <w:rsid w:val="006F70BC"/>
    <w:rsid w:val="006F713A"/>
    <w:rsid w:val="006F76BF"/>
    <w:rsid w:val="006F7C48"/>
    <w:rsid w:val="00704511"/>
    <w:rsid w:val="00705161"/>
    <w:rsid w:val="007066A4"/>
    <w:rsid w:val="00706F37"/>
    <w:rsid w:val="00707D09"/>
    <w:rsid w:val="00710760"/>
    <w:rsid w:val="0071209F"/>
    <w:rsid w:val="007125A2"/>
    <w:rsid w:val="00713F79"/>
    <w:rsid w:val="007148A8"/>
    <w:rsid w:val="00715A9B"/>
    <w:rsid w:val="00716125"/>
    <w:rsid w:val="007169FB"/>
    <w:rsid w:val="00716C9F"/>
    <w:rsid w:val="007171E0"/>
    <w:rsid w:val="0071740B"/>
    <w:rsid w:val="00717C40"/>
    <w:rsid w:val="0072033C"/>
    <w:rsid w:val="00720B1B"/>
    <w:rsid w:val="00721062"/>
    <w:rsid w:val="00721A4E"/>
    <w:rsid w:val="00721E5D"/>
    <w:rsid w:val="007229D4"/>
    <w:rsid w:val="007230F8"/>
    <w:rsid w:val="007233F4"/>
    <w:rsid w:val="00723646"/>
    <w:rsid w:val="00724044"/>
    <w:rsid w:val="007244E1"/>
    <w:rsid w:val="007248D3"/>
    <w:rsid w:val="00725137"/>
    <w:rsid w:val="007251B9"/>
    <w:rsid w:val="00725C63"/>
    <w:rsid w:val="007263ED"/>
    <w:rsid w:val="0072653B"/>
    <w:rsid w:val="00726C9E"/>
    <w:rsid w:val="00727A43"/>
    <w:rsid w:val="00727FF2"/>
    <w:rsid w:val="007323E0"/>
    <w:rsid w:val="007324ED"/>
    <w:rsid w:val="00732E93"/>
    <w:rsid w:val="00733791"/>
    <w:rsid w:val="00733857"/>
    <w:rsid w:val="00733DE2"/>
    <w:rsid w:val="00734328"/>
    <w:rsid w:val="007346E7"/>
    <w:rsid w:val="007352EA"/>
    <w:rsid w:val="00736032"/>
    <w:rsid w:val="007364E5"/>
    <w:rsid w:val="0073792F"/>
    <w:rsid w:val="00737C48"/>
    <w:rsid w:val="007409CA"/>
    <w:rsid w:val="00740DA6"/>
    <w:rsid w:val="00741A0E"/>
    <w:rsid w:val="00741D1E"/>
    <w:rsid w:val="00741EE2"/>
    <w:rsid w:val="00742367"/>
    <w:rsid w:val="00742EAA"/>
    <w:rsid w:val="00743818"/>
    <w:rsid w:val="007439E2"/>
    <w:rsid w:val="00743E9C"/>
    <w:rsid w:val="007441FB"/>
    <w:rsid w:val="00744517"/>
    <w:rsid w:val="00744810"/>
    <w:rsid w:val="00747079"/>
    <w:rsid w:val="00747DD4"/>
    <w:rsid w:val="00747DE2"/>
    <w:rsid w:val="007504BF"/>
    <w:rsid w:val="007506CD"/>
    <w:rsid w:val="007525DB"/>
    <w:rsid w:val="0075267F"/>
    <w:rsid w:val="007526EC"/>
    <w:rsid w:val="0075310C"/>
    <w:rsid w:val="00753347"/>
    <w:rsid w:val="00753C48"/>
    <w:rsid w:val="007545C1"/>
    <w:rsid w:val="00754C97"/>
    <w:rsid w:val="00754FE4"/>
    <w:rsid w:val="00755538"/>
    <w:rsid w:val="00755971"/>
    <w:rsid w:val="00756236"/>
    <w:rsid w:val="00756271"/>
    <w:rsid w:val="00756521"/>
    <w:rsid w:val="00756AB7"/>
    <w:rsid w:val="0075745C"/>
    <w:rsid w:val="00760477"/>
    <w:rsid w:val="007615CE"/>
    <w:rsid w:val="00761AF4"/>
    <w:rsid w:val="00762071"/>
    <w:rsid w:val="007623FB"/>
    <w:rsid w:val="0076376A"/>
    <w:rsid w:val="0076500F"/>
    <w:rsid w:val="0076504E"/>
    <w:rsid w:val="00765D24"/>
    <w:rsid w:val="00765E6A"/>
    <w:rsid w:val="007664E0"/>
    <w:rsid w:val="00767EA0"/>
    <w:rsid w:val="0077068F"/>
    <w:rsid w:val="00771159"/>
    <w:rsid w:val="007711EA"/>
    <w:rsid w:val="00771870"/>
    <w:rsid w:val="0077408D"/>
    <w:rsid w:val="007741CF"/>
    <w:rsid w:val="00774270"/>
    <w:rsid w:val="00775679"/>
    <w:rsid w:val="00775803"/>
    <w:rsid w:val="007761F1"/>
    <w:rsid w:val="00777B32"/>
    <w:rsid w:val="0078051E"/>
    <w:rsid w:val="00781FDD"/>
    <w:rsid w:val="00782A9F"/>
    <w:rsid w:val="0078508A"/>
    <w:rsid w:val="00786D5C"/>
    <w:rsid w:val="00786E96"/>
    <w:rsid w:val="00787F93"/>
    <w:rsid w:val="00790684"/>
    <w:rsid w:val="007907CA"/>
    <w:rsid w:val="00791170"/>
    <w:rsid w:val="00791E6D"/>
    <w:rsid w:val="007928DC"/>
    <w:rsid w:val="00792CB3"/>
    <w:rsid w:val="00792E53"/>
    <w:rsid w:val="007933DF"/>
    <w:rsid w:val="0079384D"/>
    <w:rsid w:val="007939CC"/>
    <w:rsid w:val="00796FB8"/>
    <w:rsid w:val="007A11C2"/>
    <w:rsid w:val="007A2367"/>
    <w:rsid w:val="007A41BF"/>
    <w:rsid w:val="007A490A"/>
    <w:rsid w:val="007A581D"/>
    <w:rsid w:val="007A7B95"/>
    <w:rsid w:val="007B0297"/>
    <w:rsid w:val="007B0F53"/>
    <w:rsid w:val="007B1DD8"/>
    <w:rsid w:val="007B21AE"/>
    <w:rsid w:val="007B2570"/>
    <w:rsid w:val="007B2C31"/>
    <w:rsid w:val="007B3113"/>
    <w:rsid w:val="007B3304"/>
    <w:rsid w:val="007B332B"/>
    <w:rsid w:val="007B394D"/>
    <w:rsid w:val="007B53FA"/>
    <w:rsid w:val="007B6423"/>
    <w:rsid w:val="007B7490"/>
    <w:rsid w:val="007B774A"/>
    <w:rsid w:val="007B7F06"/>
    <w:rsid w:val="007C0525"/>
    <w:rsid w:val="007C0B56"/>
    <w:rsid w:val="007C13F7"/>
    <w:rsid w:val="007C218D"/>
    <w:rsid w:val="007C2D28"/>
    <w:rsid w:val="007C3E22"/>
    <w:rsid w:val="007C67C6"/>
    <w:rsid w:val="007C707A"/>
    <w:rsid w:val="007C7E59"/>
    <w:rsid w:val="007D0A39"/>
    <w:rsid w:val="007D0B91"/>
    <w:rsid w:val="007D1452"/>
    <w:rsid w:val="007D1E29"/>
    <w:rsid w:val="007D460C"/>
    <w:rsid w:val="007D484A"/>
    <w:rsid w:val="007D4AD3"/>
    <w:rsid w:val="007D4C8D"/>
    <w:rsid w:val="007D5D19"/>
    <w:rsid w:val="007D5FDC"/>
    <w:rsid w:val="007D6D68"/>
    <w:rsid w:val="007E01DA"/>
    <w:rsid w:val="007E0ADB"/>
    <w:rsid w:val="007E1603"/>
    <w:rsid w:val="007E2E85"/>
    <w:rsid w:val="007E32DA"/>
    <w:rsid w:val="007E3896"/>
    <w:rsid w:val="007E3FFB"/>
    <w:rsid w:val="007E4998"/>
    <w:rsid w:val="007E4A9C"/>
    <w:rsid w:val="007E4B2B"/>
    <w:rsid w:val="007E6914"/>
    <w:rsid w:val="007E7F78"/>
    <w:rsid w:val="007F0C8B"/>
    <w:rsid w:val="007F1517"/>
    <w:rsid w:val="007F1D44"/>
    <w:rsid w:val="007F23A5"/>
    <w:rsid w:val="007F2C13"/>
    <w:rsid w:val="007F2CEC"/>
    <w:rsid w:val="007F4949"/>
    <w:rsid w:val="007F55DE"/>
    <w:rsid w:val="007F5605"/>
    <w:rsid w:val="007F6147"/>
    <w:rsid w:val="007F78FF"/>
    <w:rsid w:val="00800B22"/>
    <w:rsid w:val="00800F6C"/>
    <w:rsid w:val="008025BE"/>
    <w:rsid w:val="0080381C"/>
    <w:rsid w:val="008042E2"/>
    <w:rsid w:val="00804C86"/>
    <w:rsid w:val="008051FC"/>
    <w:rsid w:val="008055A9"/>
    <w:rsid w:val="008070EB"/>
    <w:rsid w:val="00807376"/>
    <w:rsid w:val="00810B0E"/>
    <w:rsid w:val="00810B14"/>
    <w:rsid w:val="00810E8E"/>
    <w:rsid w:val="0081142D"/>
    <w:rsid w:val="00812462"/>
    <w:rsid w:val="008126E2"/>
    <w:rsid w:val="008133A5"/>
    <w:rsid w:val="0081481D"/>
    <w:rsid w:val="00814BE8"/>
    <w:rsid w:val="00814F6E"/>
    <w:rsid w:val="0081565F"/>
    <w:rsid w:val="00815B84"/>
    <w:rsid w:val="00816B9A"/>
    <w:rsid w:val="00821A3D"/>
    <w:rsid w:val="00821B06"/>
    <w:rsid w:val="00822037"/>
    <w:rsid w:val="00822634"/>
    <w:rsid w:val="0082365F"/>
    <w:rsid w:val="00823FC6"/>
    <w:rsid w:val="00823FFC"/>
    <w:rsid w:val="00824811"/>
    <w:rsid w:val="00825C74"/>
    <w:rsid w:val="00826AB9"/>
    <w:rsid w:val="00826E0E"/>
    <w:rsid w:val="0082731F"/>
    <w:rsid w:val="00827D11"/>
    <w:rsid w:val="00827E0F"/>
    <w:rsid w:val="00827F6E"/>
    <w:rsid w:val="00831758"/>
    <w:rsid w:val="00831977"/>
    <w:rsid w:val="0083279F"/>
    <w:rsid w:val="00833B7F"/>
    <w:rsid w:val="00834906"/>
    <w:rsid w:val="00835A99"/>
    <w:rsid w:val="00836075"/>
    <w:rsid w:val="00836417"/>
    <w:rsid w:val="008377F7"/>
    <w:rsid w:val="008411F9"/>
    <w:rsid w:val="008413AB"/>
    <w:rsid w:val="00842D10"/>
    <w:rsid w:val="0084322B"/>
    <w:rsid w:val="00843B93"/>
    <w:rsid w:val="00843C08"/>
    <w:rsid w:val="00843F81"/>
    <w:rsid w:val="00844087"/>
    <w:rsid w:val="0084519E"/>
    <w:rsid w:val="00846370"/>
    <w:rsid w:val="00847C2B"/>
    <w:rsid w:val="00851256"/>
    <w:rsid w:val="00851A7C"/>
    <w:rsid w:val="00852438"/>
    <w:rsid w:val="0085270D"/>
    <w:rsid w:val="008532BF"/>
    <w:rsid w:val="00853BF4"/>
    <w:rsid w:val="00854294"/>
    <w:rsid w:val="008555FB"/>
    <w:rsid w:val="0085788B"/>
    <w:rsid w:val="00857941"/>
    <w:rsid w:val="00857A9E"/>
    <w:rsid w:val="00857DE2"/>
    <w:rsid w:val="00863E7D"/>
    <w:rsid w:val="0086407F"/>
    <w:rsid w:val="00864548"/>
    <w:rsid w:val="00864D9C"/>
    <w:rsid w:val="00864E79"/>
    <w:rsid w:val="00866111"/>
    <w:rsid w:val="0086661F"/>
    <w:rsid w:val="00866A0D"/>
    <w:rsid w:val="00866DB5"/>
    <w:rsid w:val="0086784E"/>
    <w:rsid w:val="00867AF1"/>
    <w:rsid w:val="00870EE1"/>
    <w:rsid w:val="008720B3"/>
    <w:rsid w:val="00872118"/>
    <w:rsid w:val="008727CE"/>
    <w:rsid w:val="00872827"/>
    <w:rsid w:val="00872A32"/>
    <w:rsid w:val="00874ECA"/>
    <w:rsid w:val="00875D0E"/>
    <w:rsid w:val="00876EAE"/>
    <w:rsid w:val="00880F95"/>
    <w:rsid w:val="00881F68"/>
    <w:rsid w:val="00882B44"/>
    <w:rsid w:val="00882FE5"/>
    <w:rsid w:val="00886138"/>
    <w:rsid w:val="00886E66"/>
    <w:rsid w:val="008871B0"/>
    <w:rsid w:val="008912F5"/>
    <w:rsid w:val="008915A7"/>
    <w:rsid w:val="008918EB"/>
    <w:rsid w:val="0089217C"/>
    <w:rsid w:val="008928A1"/>
    <w:rsid w:val="00893671"/>
    <w:rsid w:val="00895838"/>
    <w:rsid w:val="00895A72"/>
    <w:rsid w:val="00895CDF"/>
    <w:rsid w:val="008968C7"/>
    <w:rsid w:val="00896AFD"/>
    <w:rsid w:val="00897A55"/>
    <w:rsid w:val="008A0154"/>
    <w:rsid w:val="008A0FC9"/>
    <w:rsid w:val="008A1956"/>
    <w:rsid w:val="008A40D3"/>
    <w:rsid w:val="008A469C"/>
    <w:rsid w:val="008A484A"/>
    <w:rsid w:val="008A5877"/>
    <w:rsid w:val="008A6539"/>
    <w:rsid w:val="008A701C"/>
    <w:rsid w:val="008B05DD"/>
    <w:rsid w:val="008B17E8"/>
    <w:rsid w:val="008B266C"/>
    <w:rsid w:val="008B2D03"/>
    <w:rsid w:val="008B2E7C"/>
    <w:rsid w:val="008B42AB"/>
    <w:rsid w:val="008B45A7"/>
    <w:rsid w:val="008B4A70"/>
    <w:rsid w:val="008B502F"/>
    <w:rsid w:val="008B5142"/>
    <w:rsid w:val="008B67CB"/>
    <w:rsid w:val="008B6A63"/>
    <w:rsid w:val="008B6AFE"/>
    <w:rsid w:val="008B6B83"/>
    <w:rsid w:val="008B7034"/>
    <w:rsid w:val="008B7227"/>
    <w:rsid w:val="008C03DD"/>
    <w:rsid w:val="008C191C"/>
    <w:rsid w:val="008C1DA4"/>
    <w:rsid w:val="008C2CD5"/>
    <w:rsid w:val="008C2E29"/>
    <w:rsid w:val="008C32B7"/>
    <w:rsid w:val="008C360C"/>
    <w:rsid w:val="008C3618"/>
    <w:rsid w:val="008C3F20"/>
    <w:rsid w:val="008C43AD"/>
    <w:rsid w:val="008C4B6C"/>
    <w:rsid w:val="008C59FB"/>
    <w:rsid w:val="008C5E50"/>
    <w:rsid w:val="008C619E"/>
    <w:rsid w:val="008C6687"/>
    <w:rsid w:val="008C68F0"/>
    <w:rsid w:val="008C6F92"/>
    <w:rsid w:val="008C731F"/>
    <w:rsid w:val="008C74D9"/>
    <w:rsid w:val="008C79C3"/>
    <w:rsid w:val="008C7A47"/>
    <w:rsid w:val="008D0170"/>
    <w:rsid w:val="008D1052"/>
    <w:rsid w:val="008D124C"/>
    <w:rsid w:val="008D1983"/>
    <w:rsid w:val="008D1BB3"/>
    <w:rsid w:val="008D1C32"/>
    <w:rsid w:val="008D22AE"/>
    <w:rsid w:val="008D234A"/>
    <w:rsid w:val="008D238C"/>
    <w:rsid w:val="008D566C"/>
    <w:rsid w:val="008D58D9"/>
    <w:rsid w:val="008D64F5"/>
    <w:rsid w:val="008D66EA"/>
    <w:rsid w:val="008D6E59"/>
    <w:rsid w:val="008D6F92"/>
    <w:rsid w:val="008D7155"/>
    <w:rsid w:val="008D7DE4"/>
    <w:rsid w:val="008E09B3"/>
    <w:rsid w:val="008E141A"/>
    <w:rsid w:val="008E1A44"/>
    <w:rsid w:val="008E28E6"/>
    <w:rsid w:val="008E2B60"/>
    <w:rsid w:val="008E3232"/>
    <w:rsid w:val="008E3674"/>
    <w:rsid w:val="008E3B6C"/>
    <w:rsid w:val="008E41A8"/>
    <w:rsid w:val="008E688C"/>
    <w:rsid w:val="008E68BB"/>
    <w:rsid w:val="008E6C9B"/>
    <w:rsid w:val="008E77D4"/>
    <w:rsid w:val="008F0981"/>
    <w:rsid w:val="008F0AFD"/>
    <w:rsid w:val="008F1287"/>
    <w:rsid w:val="008F17B2"/>
    <w:rsid w:val="008F2355"/>
    <w:rsid w:val="008F28EE"/>
    <w:rsid w:val="008F357B"/>
    <w:rsid w:val="008F44CA"/>
    <w:rsid w:val="008F49B9"/>
    <w:rsid w:val="008F49D3"/>
    <w:rsid w:val="008F5081"/>
    <w:rsid w:val="008F6519"/>
    <w:rsid w:val="008F68DC"/>
    <w:rsid w:val="008F7012"/>
    <w:rsid w:val="008F7B17"/>
    <w:rsid w:val="00900042"/>
    <w:rsid w:val="0090034B"/>
    <w:rsid w:val="00902623"/>
    <w:rsid w:val="00902890"/>
    <w:rsid w:val="00904778"/>
    <w:rsid w:val="00904BE4"/>
    <w:rsid w:val="0090504A"/>
    <w:rsid w:val="00905D7E"/>
    <w:rsid w:val="009063B7"/>
    <w:rsid w:val="00907037"/>
    <w:rsid w:val="0091160A"/>
    <w:rsid w:val="00912838"/>
    <w:rsid w:val="00913258"/>
    <w:rsid w:val="00913883"/>
    <w:rsid w:val="0091564D"/>
    <w:rsid w:val="009156DA"/>
    <w:rsid w:val="00915CF3"/>
    <w:rsid w:val="00916BC5"/>
    <w:rsid w:val="0091726A"/>
    <w:rsid w:val="00920184"/>
    <w:rsid w:val="00920EA4"/>
    <w:rsid w:val="00921792"/>
    <w:rsid w:val="00921BEA"/>
    <w:rsid w:val="00922AE8"/>
    <w:rsid w:val="00922DB0"/>
    <w:rsid w:val="00923998"/>
    <w:rsid w:val="00923DB4"/>
    <w:rsid w:val="0092430E"/>
    <w:rsid w:val="0092625F"/>
    <w:rsid w:val="009268A9"/>
    <w:rsid w:val="00927B37"/>
    <w:rsid w:val="009301B2"/>
    <w:rsid w:val="0093065F"/>
    <w:rsid w:val="00931215"/>
    <w:rsid w:val="009313DD"/>
    <w:rsid w:val="00931BDE"/>
    <w:rsid w:val="009321B1"/>
    <w:rsid w:val="00932ED7"/>
    <w:rsid w:val="0093357E"/>
    <w:rsid w:val="0093422D"/>
    <w:rsid w:val="00934DD7"/>
    <w:rsid w:val="009369A9"/>
    <w:rsid w:val="00936CF7"/>
    <w:rsid w:val="00937201"/>
    <w:rsid w:val="0093734A"/>
    <w:rsid w:val="00937783"/>
    <w:rsid w:val="009377C3"/>
    <w:rsid w:val="00937D89"/>
    <w:rsid w:val="00940515"/>
    <w:rsid w:val="0094059D"/>
    <w:rsid w:val="009409B4"/>
    <w:rsid w:val="00940FE1"/>
    <w:rsid w:val="00942306"/>
    <w:rsid w:val="009424B8"/>
    <w:rsid w:val="009433A4"/>
    <w:rsid w:val="0094435B"/>
    <w:rsid w:val="00944668"/>
    <w:rsid w:val="00944DC6"/>
    <w:rsid w:val="0094537D"/>
    <w:rsid w:val="0094573F"/>
    <w:rsid w:val="009458B0"/>
    <w:rsid w:val="00945B52"/>
    <w:rsid w:val="00945DC0"/>
    <w:rsid w:val="00945F05"/>
    <w:rsid w:val="00946348"/>
    <w:rsid w:val="009471AD"/>
    <w:rsid w:val="00947233"/>
    <w:rsid w:val="009478A2"/>
    <w:rsid w:val="0095053B"/>
    <w:rsid w:val="0095074A"/>
    <w:rsid w:val="009512AB"/>
    <w:rsid w:val="00952DE9"/>
    <w:rsid w:val="00955643"/>
    <w:rsid w:val="00955FBB"/>
    <w:rsid w:val="0095694B"/>
    <w:rsid w:val="00956BD5"/>
    <w:rsid w:val="009574BB"/>
    <w:rsid w:val="009577B5"/>
    <w:rsid w:val="009608E6"/>
    <w:rsid w:val="009609E4"/>
    <w:rsid w:val="00961779"/>
    <w:rsid w:val="00962D00"/>
    <w:rsid w:val="00962EB1"/>
    <w:rsid w:val="0096612A"/>
    <w:rsid w:val="00966522"/>
    <w:rsid w:val="00967D3F"/>
    <w:rsid w:val="00967E78"/>
    <w:rsid w:val="00970D7E"/>
    <w:rsid w:val="00970F18"/>
    <w:rsid w:val="00971CF1"/>
    <w:rsid w:val="009721E9"/>
    <w:rsid w:val="00972A58"/>
    <w:rsid w:val="00973772"/>
    <w:rsid w:val="0097451E"/>
    <w:rsid w:val="00975598"/>
    <w:rsid w:val="00975E1E"/>
    <w:rsid w:val="00975E70"/>
    <w:rsid w:val="00977B8F"/>
    <w:rsid w:val="00977CD6"/>
    <w:rsid w:val="00980162"/>
    <w:rsid w:val="00981D18"/>
    <w:rsid w:val="00982481"/>
    <w:rsid w:val="00982D26"/>
    <w:rsid w:val="0098330E"/>
    <w:rsid w:val="00983CB2"/>
    <w:rsid w:val="009849E9"/>
    <w:rsid w:val="00987812"/>
    <w:rsid w:val="00990225"/>
    <w:rsid w:val="00990DF5"/>
    <w:rsid w:val="00991622"/>
    <w:rsid w:val="0099244B"/>
    <w:rsid w:val="009947B6"/>
    <w:rsid w:val="00995150"/>
    <w:rsid w:val="009957F3"/>
    <w:rsid w:val="00995D67"/>
    <w:rsid w:val="009970BF"/>
    <w:rsid w:val="009A013B"/>
    <w:rsid w:val="009A02F4"/>
    <w:rsid w:val="009A1F12"/>
    <w:rsid w:val="009A2494"/>
    <w:rsid w:val="009A26CA"/>
    <w:rsid w:val="009A36F2"/>
    <w:rsid w:val="009A47CC"/>
    <w:rsid w:val="009A5749"/>
    <w:rsid w:val="009A57D0"/>
    <w:rsid w:val="009A6559"/>
    <w:rsid w:val="009A68FC"/>
    <w:rsid w:val="009A7514"/>
    <w:rsid w:val="009A7E7A"/>
    <w:rsid w:val="009B1584"/>
    <w:rsid w:val="009B2469"/>
    <w:rsid w:val="009B314F"/>
    <w:rsid w:val="009B439C"/>
    <w:rsid w:val="009B4A6C"/>
    <w:rsid w:val="009B5777"/>
    <w:rsid w:val="009B5779"/>
    <w:rsid w:val="009B6753"/>
    <w:rsid w:val="009B6A26"/>
    <w:rsid w:val="009C079D"/>
    <w:rsid w:val="009C0D70"/>
    <w:rsid w:val="009C13D1"/>
    <w:rsid w:val="009C2913"/>
    <w:rsid w:val="009C3008"/>
    <w:rsid w:val="009C365F"/>
    <w:rsid w:val="009C5AFE"/>
    <w:rsid w:val="009C6606"/>
    <w:rsid w:val="009C6CE5"/>
    <w:rsid w:val="009C6D50"/>
    <w:rsid w:val="009C72B6"/>
    <w:rsid w:val="009C7547"/>
    <w:rsid w:val="009D1678"/>
    <w:rsid w:val="009D1693"/>
    <w:rsid w:val="009D1C49"/>
    <w:rsid w:val="009D2721"/>
    <w:rsid w:val="009D2F60"/>
    <w:rsid w:val="009D3299"/>
    <w:rsid w:val="009D338C"/>
    <w:rsid w:val="009D3D0D"/>
    <w:rsid w:val="009D4944"/>
    <w:rsid w:val="009D5BAC"/>
    <w:rsid w:val="009D64BD"/>
    <w:rsid w:val="009D7B2F"/>
    <w:rsid w:val="009D7B6C"/>
    <w:rsid w:val="009D7F83"/>
    <w:rsid w:val="009E0D0A"/>
    <w:rsid w:val="009E0D1A"/>
    <w:rsid w:val="009E153F"/>
    <w:rsid w:val="009E2D6C"/>
    <w:rsid w:val="009E388B"/>
    <w:rsid w:val="009E393E"/>
    <w:rsid w:val="009E43E5"/>
    <w:rsid w:val="009E444E"/>
    <w:rsid w:val="009E45AF"/>
    <w:rsid w:val="009E4968"/>
    <w:rsid w:val="009E52F1"/>
    <w:rsid w:val="009E663C"/>
    <w:rsid w:val="009E6BB1"/>
    <w:rsid w:val="009F0092"/>
    <w:rsid w:val="009F0CD9"/>
    <w:rsid w:val="009F1A79"/>
    <w:rsid w:val="009F1F57"/>
    <w:rsid w:val="009F2E26"/>
    <w:rsid w:val="009F4FCF"/>
    <w:rsid w:val="009F5DE2"/>
    <w:rsid w:val="009F65F4"/>
    <w:rsid w:val="009F676B"/>
    <w:rsid w:val="009F6A30"/>
    <w:rsid w:val="009F74FE"/>
    <w:rsid w:val="00A004DF"/>
    <w:rsid w:val="00A00D29"/>
    <w:rsid w:val="00A00FD5"/>
    <w:rsid w:val="00A019A8"/>
    <w:rsid w:val="00A01B03"/>
    <w:rsid w:val="00A02C66"/>
    <w:rsid w:val="00A03861"/>
    <w:rsid w:val="00A0464C"/>
    <w:rsid w:val="00A054E0"/>
    <w:rsid w:val="00A0663F"/>
    <w:rsid w:val="00A066CE"/>
    <w:rsid w:val="00A0740B"/>
    <w:rsid w:val="00A07427"/>
    <w:rsid w:val="00A075A9"/>
    <w:rsid w:val="00A077E2"/>
    <w:rsid w:val="00A1080F"/>
    <w:rsid w:val="00A11042"/>
    <w:rsid w:val="00A123D7"/>
    <w:rsid w:val="00A133D8"/>
    <w:rsid w:val="00A14E97"/>
    <w:rsid w:val="00A17A9D"/>
    <w:rsid w:val="00A20069"/>
    <w:rsid w:val="00A20280"/>
    <w:rsid w:val="00A2163F"/>
    <w:rsid w:val="00A2244D"/>
    <w:rsid w:val="00A2253D"/>
    <w:rsid w:val="00A22AEC"/>
    <w:rsid w:val="00A2418A"/>
    <w:rsid w:val="00A247B8"/>
    <w:rsid w:val="00A24D39"/>
    <w:rsid w:val="00A24D8F"/>
    <w:rsid w:val="00A25B8B"/>
    <w:rsid w:val="00A269C3"/>
    <w:rsid w:val="00A26ECA"/>
    <w:rsid w:val="00A27374"/>
    <w:rsid w:val="00A309F1"/>
    <w:rsid w:val="00A30F68"/>
    <w:rsid w:val="00A317A5"/>
    <w:rsid w:val="00A324C1"/>
    <w:rsid w:val="00A337DB"/>
    <w:rsid w:val="00A3467F"/>
    <w:rsid w:val="00A34D34"/>
    <w:rsid w:val="00A3551A"/>
    <w:rsid w:val="00A373F4"/>
    <w:rsid w:val="00A376E8"/>
    <w:rsid w:val="00A37E69"/>
    <w:rsid w:val="00A37F8E"/>
    <w:rsid w:val="00A40979"/>
    <w:rsid w:val="00A41737"/>
    <w:rsid w:val="00A42B8F"/>
    <w:rsid w:val="00A43254"/>
    <w:rsid w:val="00A43896"/>
    <w:rsid w:val="00A43A26"/>
    <w:rsid w:val="00A447A0"/>
    <w:rsid w:val="00A457B2"/>
    <w:rsid w:val="00A459F5"/>
    <w:rsid w:val="00A45FC0"/>
    <w:rsid w:val="00A46B32"/>
    <w:rsid w:val="00A46EB8"/>
    <w:rsid w:val="00A478D2"/>
    <w:rsid w:val="00A47ECC"/>
    <w:rsid w:val="00A5008C"/>
    <w:rsid w:val="00A50171"/>
    <w:rsid w:val="00A5102E"/>
    <w:rsid w:val="00A51083"/>
    <w:rsid w:val="00A5132E"/>
    <w:rsid w:val="00A51533"/>
    <w:rsid w:val="00A51A4D"/>
    <w:rsid w:val="00A51E68"/>
    <w:rsid w:val="00A52F3B"/>
    <w:rsid w:val="00A531D4"/>
    <w:rsid w:val="00A55ACD"/>
    <w:rsid w:val="00A55CFA"/>
    <w:rsid w:val="00A5613B"/>
    <w:rsid w:val="00A575B8"/>
    <w:rsid w:val="00A62E4E"/>
    <w:rsid w:val="00A647B1"/>
    <w:rsid w:val="00A64DEF"/>
    <w:rsid w:val="00A64F9E"/>
    <w:rsid w:val="00A657E1"/>
    <w:rsid w:val="00A65E4E"/>
    <w:rsid w:val="00A665DF"/>
    <w:rsid w:val="00A67F1B"/>
    <w:rsid w:val="00A67FCC"/>
    <w:rsid w:val="00A709F3"/>
    <w:rsid w:val="00A716DC"/>
    <w:rsid w:val="00A720AF"/>
    <w:rsid w:val="00A7217B"/>
    <w:rsid w:val="00A7293E"/>
    <w:rsid w:val="00A72EE4"/>
    <w:rsid w:val="00A73067"/>
    <w:rsid w:val="00A737C4"/>
    <w:rsid w:val="00A739A6"/>
    <w:rsid w:val="00A73C3B"/>
    <w:rsid w:val="00A75EF9"/>
    <w:rsid w:val="00A7627C"/>
    <w:rsid w:val="00A76BC9"/>
    <w:rsid w:val="00A77566"/>
    <w:rsid w:val="00A77956"/>
    <w:rsid w:val="00A80563"/>
    <w:rsid w:val="00A8311C"/>
    <w:rsid w:val="00A84BC8"/>
    <w:rsid w:val="00A84C5F"/>
    <w:rsid w:val="00A85D91"/>
    <w:rsid w:val="00A86973"/>
    <w:rsid w:val="00A8721F"/>
    <w:rsid w:val="00A8740B"/>
    <w:rsid w:val="00A87519"/>
    <w:rsid w:val="00A905A2"/>
    <w:rsid w:val="00A9246D"/>
    <w:rsid w:val="00A93644"/>
    <w:rsid w:val="00A93BD0"/>
    <w:rsid w:val="00A944A1"/>
    <w:rsid w:val="00A95D69"/>
    <w:rsid w:val="00A97122"/>
    <w:rsid w:val="00A975A4"/>
    <w:rsid w:val="00A977B3"/>
    <w:rsid w:val="00A97DC8"/>
    <w:rsid w:val="00AA1418"/>
    <w:rsid w:val="00AA2001"/>
    <w:rsid w:val="00AA2B5C"/>
    <w:rsid w:val="00AA4E59"/>
    <w:rsid w:val="00AA5328"/>
    <w:rsid w:val="00AA5393"/>
    <w:rsid w:val="00AA63D4"/>
    <w:rsid w:val="00AA6767"/>
    <w:rsid w:val="00AA790B"/>
    <w:rsid w:val="00AB03FD"/>
    <w:rsid w:val="00AB1412"/>
    <w:rsid w:val="00AB38CB"/>
    <w:rsid w:val="00AB3BEC"/>
    <w:rsid w:val="00AB44E4"/>
    <w:rsid w:val="00AB4AEB"/>
    <w:rsid w:val="00AB5352"/>
    <w:rsid w:val="00AB56AE"/>
    <w:rsid w:val="00AB62D5"/>
    <w:rsid w:val="00AB65B5"/>
    <w:rsid w:val="00AB6DCD"/>
    <w:rsid w:val="00AB6EE0"/>
    <w:rsid w:val="00AB7579"/>
    <w:rsid w:val="00AC2DFD"/>
    <w:rsid w:val="00AC352D"/>
    <w:rsid w:val="00AC40B7"/>
    <w:rsid w:val="00AC5122"/>
    <w:rsid w:val="00AC531F"/>
    <w:rsid w:val="00AC6121"/>
    <w:rsid w:val="00AC626D"/>
    <w:rsid w:val="00AC64BF"/>
    <w:rsid w:val="00AC6CB1"/>
    <w:rsid w:val="00AC79DA"/>
    <w:rsid w:val="00AD0091"/>
    <w:rsid w:val="00AD0843"/>
    <w:rsid w:val="00AD23D8"/>
    <w:rsid w:val="00AD23EF"/>
    <w:rsid w:val="00AD2F0F"/>
    <w:rsid w:val="00AD307B"/>
    <w:rsid w:val="00AD31F9"/>
    <w:rsid w:val="00AD41B3"/>
    <w:rsid w:val="00AD456B"/>
    <w:rsid w:val="00AD4B31"/>
    <w:rsid w:val="00AD4C48"/>
    <w:rsid w:val="00AD57AF"/>
    <w:rsid w:val="00AD6267"/>
    <w:rsid w:val="00AD6292"/>
    <w:rsid w:val="00AD7317"/>
    <w:rsid w:val="00AD754C"/>
    <w:rsid w:val="00AE01A8"/>
    <w:rsid w:val="00AE069F"/>
    <w:rsid w:val="00AE0789"/>
    <w:rsid w:val="00AE0CBD"/>
    <w:rsid w:val="00AE123A"/>
    <w:rsid w:val="00AE1A1E"/>
    <w:rsid w:val="00AE2591"/>
    <w:rsid w:val="00AE28A7"/>
    <w:rsid w:val="00AE33A6"/>
    <w:rsid w:val="00AE36D5"/>
    <w:rsid w:val="00AE3715"/>
    <w:rsid w:val="00AE3729"/>
    <w:rsid w:val="00AE55B2"/>
    <w:rsid w:val="00AE5C6A"/>
    <w:rsid w:val="00AE65F7"/>
    <w:rsid w:val="00AE7280"/>
    <w:rsid w:val="00AF033A"/>
    <w:rsid w:val="00AF1699"/>
    <w:rsid w:val="00AF3896"/>
    <w:rsid w:val="00AF3CEE"/>
    <w:rsid w:val="00AF5706"/>
    <w:rsid w:val="00AF6479"/>
    <w:rsid w:val="00AF6C33"/>
    <w:rsid w:val="00B0098A"/>
    <w:rsid w:val="00B00A5F"/>
    <w:rsid w:val="00B0225F"/>
    <w:rsid w:val="00B029B8"/>
    <w:rsid w:val="00B02F60"/>
    <w:rsid w:val="00B032B8"/>
    <w:rsid w:val="00B03ABB"/>
    <w:rsid w:val="00B04B46"/>
    <w:rsid w:val="00B05050"/>
    <w:rsid w:val="00B0534D"/>
    <w:rsid w:val="00B06368"/>
    <w:rsid w:val="00B06FC6"/>
    <w:rsid w:val="00B07163"/>
    <w:rsid w:val="00B07429"/>
    <w:rsid w:val="00B11847"/>
    <w:rsid w:val="00B12DF9"/>
    <w:rsid w:val="00B12FE6"/>
    <w:rsid w:val="00B1303F"/>
    <w:rsid w:val="00B1364A"/>
    <w:rsid w:val="00B13D3C"/>
    <w:rsid w:val="00B1525C"/>
    <w:rsid w:val="00B16715"/>
    <w:rsid w:val="00B17910"/>
    <w:rsid w:val="00B2041B"/>
    <w:rsid w:val="00B20F18"/>
    <w:rsid w:val="00B21516"/>
    <w:rsid w:val="00B22CE0"/>
    <w:rsid w:val="00B23738"/>
    <w:rsid w:val="00B23BEF"/>
    <w:rsid w:val="00B247BB"/>
    <w:rsid w:val="00B25C11"/>
    <w:rsid w:val="00B25EDF"/>
    <w:rsid w:val="00B25EE6"/>
    <w:rsid w:val="00B27BC0"/>
    <w:rsid w:val="00B3115A"/>
    <w:rsid w:val="00B31A5C"/>
    <w:rsid w:val="00B33C19"/>
    <w:rsid w:val="00B33F84"/>
    <w:rsid w:val="00B3433E"/>
    <w:rsid w:val="00B34861"/>
    <w:rsid w:val="00B34B77"/>
    <w:rsid w:val="00B363BD"/>
    <w:rsid w:val="00B36844"/>
    <w:rsid w:val="00B369F7"/>
    <w:rsid w:val="00B36A99"/>
    <w:rsid w:val="00B37537"/>
    <w:rsid w:val="00B41B81"/>
    <w:rsid w:val="00B42980"/>
    <w:rsid w:val="00B434B2"/>
    <w:rsid w:val="00B434C7"/>
    <w:rsid w:val="00B43580"/>
    <w:rsid w:val="00B43D45"/>
    <w:rsid w:val="00B44771"/>
    <w:rsid w:val="00B4650E"/>
    <w:rsid w:val="00B468F2"/>
    <w:rsid w:val="00B46B45"/>
    <w:rsid w:val="00B46D3D"/>
    <w:rsid w:val="00B46F6B"/>
    <w:rsid w:val="00B47286"/>
    <w:rsid w:val="00B47894"/>
    <w:rsid w:val="00B47DDE"/>
    <w:rsid w:val="00B50234"/>
    <w:rsid w:val="00B51BF4"/>
    <w:rsid w:val="00B51F4B"/>
    <w:rsid w:val="00B52C68"/>
    <w:rsid w:val="00B542FE"/>
    <w:rsid w:val="00B551CE"/>
    <w:rsid w:val="00B55A1B"/>
    <w:rsid w:val="00B561DB"/>
    <w:rsid w:val="00B57494"/>
    <w:rsid w:val="00B61DCE"/>
    <w:rsid w:val="00B62188"/>
    <w:rsid w:val="00B62467"/>
    <w:rsid w:val="00B62F79"/>
    <w:rsid w:val="00B62F82"/>
    <w:rsid w:val="00B648FA"/>
    <w:rsid w:val="00B662FF"/>
    <w:rsid w:val="00B708C2"/>
    <w:rsid w:val="00B72C80"/>
    <w:rsid w:val="00B730B4"/>
    <w:rsid w:val="00B74340"/>
    <w:rsid w:val="00B744E0"/>
    <w:rsid w:val="00B7481A"/>
    <w:rsid w:val="00B74F2F"/>
    <w:rsid w:val="00B756FB"/>
    <w:rsid w:val="00B762CA"/>
    <w:rsid w:val="00B769BC"/>
    <w:rsid w:val="00B77349"/>
    <w:rsid w:val="00B7761E"/>
    <w:rsid w:val="00B80A37"/>
    <w:rsid w:val="00B80A3D"/>
    <w:rsid w:val="00B81902"/>
    <w:rsid w:val="00B823E0"/>
    <w:rsid w:val="00B82B78"/>
    <w:rsid w:val="00B84662"/>
    <w:rsid w:val="00B85402"/>
    <w:rsid w:val="00B864A3"/>
    <w:rsid w:val="00B86C2A"/>
    <w:rsid w:val="00B877F1"/>
    <w:rsid w:val="00B902A5"/>
    <w:rsid w:val="00B90420"/>
    <w:rsid w:val="00B913E4"/>
    <w:rsid w:val="00B91DB9"/>
    <w:rsid w:val="00B93487"/>
    <w:rsid w:val="00B93A82"/>
    <w:rsid w:val="00B93EFE"/>
    <w:rsid w:val="00B94956"/>
    <w:rsid w:val="00B94C7F"/>
    <w:rsid w:val="00B956B5"/>
    <w:rsid w:val="00B95C3A"/>
    <w:rsid w:val="00B95FCE"/>
    <w:rsid w:val="00BA0D44"/>
    <w:rsid w:val="00BA0E26"/>
    <w:rsid w:val="00BA31BF"/>
    <w:rsid w:val="00BA3EBF"/>
    <w:rsid w:val="00BA43FC"/>
    <w:rsid w:val="00BA478B"/>
    <w:rsid w:val="00BA5224"/>
    <w:rsid w:val="00BA70B3"/>
    <w:rsid w:val="00BA7B27"/>
    <w:rsid w:val="00BA7E3B"/>
    <w:rsid w:val="00BB079C"/>
    <w:rsid w:val="00BB2B56"/>
    <w:rsid w:val="00BB39C1"/>
    <w:rsid w:val="00BB4901"/>
    <w:rsid w:val="00BB5D16"/>
    <w:rsid w:val="00BB6180"/>
    <w:rsid w:val="00BB69E6"/>
    <w:rsid w:val="00BB7D2A"/>
    <w:rsid w:val="00BC0760"/>
    <w:rsid w:val="00BC0D1A"/>
    <w:rsid w:val="00BC1B7A"/>
    <w:rsid w:val="00BC2BC7"/>
    <w:rsid w:val="00BC2C17"/>
    <w:rsid w:val="00BC3ACD"/>
    <w:rsid w:val="00BC3C33"/>
    <w:rsid w:val="00BC66D7"/>
    <w:rsid w:val="00BC6E73"/>
    <w:rsid w:val="00BD0014"/>
    <w:rsid w:val="00BD01D8"/>
    <w:rsid w:val="00BD0CBE"/>
    <w:rsid w:val="00BD2512"/>
    <w:rsid w:val="00BD255F"/>
    <w:rsid w:val="00BD383D"/>
    <w:rsid w:val="00BD4236"/>
    <w:rsid w:val="00BD575B"/>
    <w:rsid w:val="00BD5CCA"/>
    <w:rsid w:val="00BD5CD4"/>
    <w:rsid w:val="00BD6652"/>
    <w:rsid w:val="00BD6EF9"/>
    <w:rsid w:val="00BD77DD"/>
    <w:rsid w:val="00BE0ACB"/>
    <w:rsid w:val="00BE1A90"/>
    <w:rsid w:val="00BE3537"/>
    <w:rsid w:val="00BE360F"/>
    <w:rsid w:val="00BE50FD"/>
    <w:rsid w:val="00BE51CA"/>
    <w:rsid w:val="00BE5E5A"/>
    <w:rsid w:val="00BE6D47"/>
    <w:rsid w:val="00BE7032"/>
    <w:rsid w:val="00BE7330"/>
    <w:rsid w:val="00BF01C5"/>
    <w:rsid w:val="00BF066A"/>
    <w:rsid w:val="00BF361C"/>
    <w:rsid w:val="00BF4342"/>
    <w:rsid w:val="00BF5050"/>
    <w:rsid w:val="00BF5422"/>
    <w:rsid w:val="00BF54CF"/>
    <w:rsid w:val="00BF59B1"/>
    <w:rsid w:val="00BF6A78"/>
    <w:rsid w:val="00BF6E19"/>
    <w:rsid w:val="00BF79B4"/>
    <w:rsid w:val="00C01427"/>
    <w:rsid w:val="00C016A1"/>
    <w:rsid w:val="00C04C49"/>
    <w:rsid w:val="00C0508D"/>
    <w:rsid w:val="00C058AF"/>
    <w:rsid w:val="00C11AAA"/>
    <w:rsid w:val="00C124C1"/>
    <w:rsid w:val="00C128AE"/>
    <w:rsid w:val="00C1300C"/>
    <w:rsid w:val="00C136D6"/>
    <w:rsid w:val="00C13D5B"/>
    <w:rsid w:val="00C16047"/>
    <w:rsid w:val="00C17AE2"/>
    <w:rsid w:val="00C20F27"/>
    <w:rsid w:val="00C214D1"/>
    <w:rsid w:val="00C215CF"/>
    <w:rsid w:val="00C223F8"/>
    <w:rsid w:val="00C2244B"/>
    <w:rsid w:val="00C22B0D"/>
    <w:rsid w:val="00C22F55"/>
    <w:rsid w:val="00C240C1"/>
    <w:rsid w:val="00C250D0"/>
    <w:rsid w:val="00C252AC"/>
    <w:rsid w:val="00C255AB"/>
    <w:rsid w:val="00C264F0"/>
    <w:rsid w:val="00C27214"/>
    <w:rsid w:val="00C27597"/>
    <w:rsid w:val="00C30382"/>
    <w:rsid w:val="00C30D6F"/>
    <w:rsid w:val="00C31063"/>
    <w:rsid w:val="00C31B7E"/>
    <w:rsid w:val="00C32217"/>
    <w:rsid w:val="00C3242A"/>
    <w:rsid w:val="00C32AE2"/>
    <w:rsid w:val="00C33201"/>
    <w:rsid w:val="00C332C4"/>
    <w:rsid w:val="00C33C3C"/>
    <w:rsid w:val="00C35857"/>
    <w:rsid w:val="00C360B3"/>
    <w:rsid w:val="00C3679B"/>
    <w:rsid w:val="00C36E63"/>
    <w:rsid w:val="00C37027"/>
    <w:rsid w:val="00C3778D"/>
    <w:rsid w:val="00C405A3"/>
    <w:rsid w:val="00C40B70"/>
    <w:rsid w:val="00C42752"/>
    <w:rsid w:val="00C42973"/>
    <w:rsid w:val="00C44F9C"/>
    <w:rsid w:val="00C4730E"/>
    <w:rsid w:val="00C47ED3"/>
    <w:rsid w:val="00C5019C"/>
    <w:rsid w:val="00C5034F"/>
    <w:rsid w:val="00C52479"/>
    <w:rsid w:val="00C5291F"/>
    <w:rsid w:val="00C52C59"/>
    <w:rsid w:val="00C5349E"/>
    <w:rsid w:val="00C5354B"/>
    <w:rsid w:val="00C54467"/>
    <w:rsid w:val="00C54D3D"/>
    <w:rsid w:val="00C55116"/>
    <w:rsid w:val="00C55A30"/>
    <w:rsid w:val="00C57C58"/>
    <w:rsid w:val="00C6028F"/>
    <w:rsid w:val="00C6046F"/>
    <w:rsid w:val="00C608F1"/>
    <w:rsid w:val="00C631E1"/>
    <w:rsid w:val="00C637E8"/>
    <w:rsid w:val="00C638D8"/>
    <w:rsid w:val="00C63C84"/>
    <w:rsid w:val="00C63D26"/>
    <w:rsid w:val="00C641EB"/>
    <w:rsid w:val="00C65053"/>
    <w:rsid w:val="00C65BD9"/>
    <w:rsid w:val="00C66061"/>
    <w:rsid w:val="00C66F69"/>
    <w:rsid w:val="00C67223"/>
    <w:rsid w:val="00C67CFF"/>
    <w:rsid w:val="00C707B8"/>
    <w:rsid w:val="00C7084B"/>
    <w:rsid w:val="00C71C15"/>
    <w:rsid w:val="00C71F3D"/>
    <w:rsid w:val="00C72F53"/>
    <w:rsid w:val="00C74035"/>
    <w:rsid w:val="00C76FF4"/>
    <w:rsid w:val="00C77818"/>
    <w:rsid w:val="00C77AE3"/>
    <w:rsid w:val="00C8063F"/>
    <w:rsid w:val="00C81549"/>
    <w:rsid w:val="00C829A1"/>
    <w:rsid w:val="00C83B36"/>
    <w:rsid w:val="00C84F8A"/>
    <w:rsid w:val="00C84FDF"/>
    <w:rsid w:val="00C85209"/>
    <w:rsid w:val="00C8618F"/>
    <w:rsid w:val="00C90372"/>
    <w:rsid w:val="00C9041F"/>
    <w:rsid w:val="00C90AD1"/>
    <w:rsid w:val="00C9138F"/>
    <w:rsid w:val="00C91A45"/>
    <w:rsid w:val="00C91ED2"/>
    <w:rsid w:val="00C91FB4"/>
    <w:rsid w:val="00C95745"/>
    <w:rsid w:val="00C962E3"/>
    <w:rsid w:val="00C965BD"/>
    <w:rsid w:val="00C97997"/>
    <w:rsid w:val="00CA08FE"/>
    <w:rsid w:val="00CA0FAC"/>
    <w:rsid w:val="00CA25C0"/>
    <w:rsid w:val="00CA2697"/>
    <w:rsid w:val="00CA3451"/>
    <w:rsid w:val="00CA4948"/>
    <w:rsid w:val="00CA52F9"/>
    <w:rsid w:val="00CA568B"/>
    <w:rsid w:val="00CA74D4"/>
    <w:rsid w:val="00CA7500"/>
    <w:rsid w:val="00CB1239"/>
    <w:rsid w:val="00CB178B"/>
    <w:rsid w:val="00CB19FE"/>
    <w:rsid w:val="00CB23C2"/>
    <w:rsid w:val="00CB304C"/>
    <w:rsid w:val="00CB53E8"/>
    <w:rsid w:val="00CB593E"/>
    <w:rsid w:val="00CB594A"/>
    <w:rsid w:val="00CB5CB2"/>
    <w:rsid w:val="00CB6979"/>
    <w:rsid w:val="00CB74EC"/>
    <w:rsid w:val="00CC0A3D"/>
    <w:rsid w:val="00CC2373"/>
    <w:rsid w:val="00CC3C6A"/>
    <w:rsid w:val="00CC3D24"/>
    <w:rsid w:val="00CC3F91"/>
    <w:rsid w:val="00CC4B0A"/>
    <w:rsid w:val="00CC544A"/>
    <w:rsid w:val="00CC57EA"/>
    <w:rsid w:val="00CC5954"/>
    <w:rsid w:val="00CC6C4E"/>
    <w:rsid w:val="00CD05A2"/>
    <w:rsid w:val="00CD19DA"/>
    <w:rsid w:val="00CD233D"/>
    <w:rsid w:val="00CD29D4"/>
    <w:rsid w:val="00CD38F5"/>
    <w:rsid w:val="00CD3ABE"/>
    <w:rsid w:val="00CD400F"/>
    <w:rsid w:val="00CD437E"/>
    <w:rsid w:val="00CD572E"/>
    <w:rsid w:val="00CD5A89"/>
    <w:rsid w:val="00CD5DAD"/>
    <w:rsid w:val="00CD72C5"/>
    <w:rsid w:val="00CD77A2"/>
    <w:rsid w:val="00CD79A7"/>
    <w:rsid w:val="00CE0789"/>
    <w:rsid w:val="00CE1A03"/>
    <w:rsid w:val="00CE2346"/>
    <w:rsid w:val="00CE3529"/>
    <w:rsid w:val="00CE35C8"/>
    <w:rsid w:val="00CE3962"/>
    <w:rsid w:val="00CE5105"/>
    <w:rsid w:val="00CE56BD"/>
    <w:rsid w:val="00CE5EC0"/>
    <w:rsid w:val="00CE6F9F"/>
    <w:rsid w:val="00CE773B"/>
    <w:rsid w:val="00CE781A"/>
    <w:rsid w:val="00CE7B3A"/>
    <w:rsid w:val="00CF10D4"/>
    <w:rsid w:val="00CF151F"/>
    <w:rsid w:val="00CF1D74"/>
    <w:rsid w:val="00CF2BE2"/>
    <w:rsid w:val="00CF31C0"/>
    <w:rsid w:val="00CF3839"/>
    <w:rsid w:val="00CF55F9"/>
    <w:rsid w:val="00CF56F1"/>
    <w:rsid w:val="00CF59DF"/>
    <w:rsid w:val="00CF71A6"/>
    <w:rsid w:val="00CF7495"/>
    <w:rsid w:val="00CF7671"/>
    <w:rsid w:val="00D01CF9"/>
    <w:rsid w:val="00D0334D"/>
    <w:rsid w:val="00D0374D"/>
    <w:rsid w:val="00D05A76"/>
    <w:rsid w:val="00D075F8"/>
    <w:rsid w:val="00D0790C"/>
    <w:rsid w:val="00D07F1D"/>
    <w:rsid w:val="00D10558"/>
    <w:rsid w:val="00D1203E"/>
    <w:rsid w:val="00D12886"/>
    <w:rsid w:val="00D13D03"/>
    <w:rsid w:val="00D13E70"/>
    <w:rsid w:val="00D140B5"/>
    <w:rsid w:val="00D16136"/>
    <w:rsid w:val="00D16C58"/>
    <w:rsid w:val="00D17019"/>
    <w:rsid w:val="00D170C1"/>
    <w:rsid w:val="00D21168"/>
    <w:rsid w:val="00D235C8"/>
    <w:rsid w:val="00D2438C"/>
    <w:rsid w:val="00D25264"/>
    <w:rsid w:val="00D25DFA"/>
    <w:rsid w:val="00D26C3F"/>
    <w:rsid w:val="00D27185"/>
    <w:rsid w:val="00D278A6"/>
    <w:rsid w:val="00D27C40"/>
    <w:rsid w:val="00D31E78"/>
    <w:rsid w:val="00D32B84"/>
    <w:rsid w:val="00D337AE"/>
    <w:rsid w:val="00D33AB3"/>
    <w:rsid w:val="00D33F24"/>
    <w:rsid w:val="00D346B7"/>
    <w:rsid w:val="00D346B8"/>
    <w:rsid w:val="00D35AC8"/>
    <w:rsid w:val="00D35D34"/>
    <w:rsid w:val="00D36F87"/>
    <w:rsid w:val="00D37E4E"/>
    <w:rsid w:val="00D426F4"/>
    <w:rsid w:val="00D42E6C"/>
    <w:rsid w:val="00D43218"/>
    <w:rsid w:val="00D43B80"/>
    <w:rsid w:val="00D44236"/>
    <w:rsid w:val="00D442B9"/>
    <w:rsid w:val="00D45B1E"/>
    <w:rsid w:val="00D45BA4"/>
    <w:rsid w:val="00D46CA8"/>
    <w:rsid w:val="00D46E77"/>
    <w:rsid w:val="00D471AF"/>
    <w:rsid w:val="00D4724F"/>
    <w:rsid w:val="00D50519"/>
    <w:rsid w:val="00D516A5"/>
    <w:rsid w:val="00D5264C"/>
    <w:rsid w:val="00D5289A"/>
    <w:rsid w:val="00D537FE"/>
    <w:rsid w:val="00D538F0"/>
    <w:rsid w:val="00D54A6A"/>
    <w:rsid w:val="00D54BF8"/>
    <w:rsid w:val="00D54D7C"/>
    <w:rsid w:val="00D55951"/>
    <w:rsid w:val="00D56316"/>
    <w:rsid w:val="00D572BE"/>
    <w:rsid w:val="00D57EB6"/>
    <w:rsid w:val="00D60ED7"/>
    <w:rsid w:val="00D62B20"/>
    <w:rsid w:val="00D63586"/>
    <w:rsid w:val="00D664BF"/>
    <w:rsid w:val="00D66D8B"/>
    <w:rsid w:val="00D72A1C"/>
    <w:rsid w:val="00D73580"/>
    <w:rsid w:val="00D73802"/>
    <w:rsid w:val="00D73868"/>
    <w:rsid w:val="00D73C2C"/>
    <w:rsid w:val="00D73D52"/>
    <w:rsid w:val="00D742A0"/>
    <w:rsid w:val="00D745E7"/>
    <w:rsid w:val="00D75FF0"/>
    <w:rsid w:val="00D77495"/>
    <w:rsid w:val="00D774ED"/>
    <w:rsid w:val="00D7778F"/>
    <w:rsid w:val="00D777F6"/>
    <w:rsid w:val="00D77F88"/>
    <w:rsid w:val="00D8044C"/>
    <w:rsid w:val="00D81EAA"/>
    <w:rsid w:val="00D8259F"/>
    <w:rsid w:val="00D825F2"/>
    <w:rsid w:val="00D828B1"/>
    <w:rsid w:val="00D84461"/>
    <w:rsid w:val="00D84F27"/>
    <w:rsid w:val="00D850D4"/>
    <w:rsid w:val="00D862D1"/>
    <w:rsid w:val="00D873C6"/>
    <w:rsid w:val="00D91027"/>
    <w:rsid w:val="00D937E0"/>
    <w:rsid w:val="00D94C7D"/>
    <w:rsid w:val="00D94CA4"/>
    <w:rsid w:val="00D94FB4"/>
    <w:rsid w:val="00D95E99"/>
    <w:rsid w:val="00DA098C"/>
    <w:rsid w:val="00DA0BF8"/>
    <w:rsid w:val="00DA0FFB"/>
    <w:rsid w:val="00DA1A3A"/>
    <w:rsid w:val="00DA2C65"/>
    <w:rsid w:val="00DA395D"/>
    <w:rsid w:val="00DA3A34"/>
    <w:rsid w:val="00DA44EB"/>
    <w:rsid w:val="00DB16B8"/>
    <w:rsid w:val="00DB1D52"/>
    <w:rsid w:val="00DB1F62"/>
    <w:rsid w:val="00DB2E03"/>
    <w:rsid w:val="00DB3742"/>
    <w:rsid w:val="00DB3F4B"/>
    <w:rsid w:val="00DB61A4"/>
    <w:rsid w:val="00DB67C1"/>
    <w:rsid w:val="00DB70CD"/>
    <w:rsid w:val="00DB70F4"/>
    <w:rsid w:val="00DC1056"/>
    <w:rsid w:val="00DC16DA"/>
    <w:rsid w:val="00DC211E"/>
    <w:rsid w:val="00DC21D8"/>
    <w:rsid w:val="00DC2369"/>
    <w:rsid w:val="00DC282A"/>
    <w:rsid w:val="00DC34DC"/>
    <w:rsid w:val="00DC3CC6"/>
    <w:rsid w:val="00DC50AA"/>
    <w:rsid w:val="00DC514A"/>
    <w:rsid w:val="00DC64EC"/>
    <w:rsid w:val="00DC67B1"/>
    <w:rsid w:val="00DC7833"/>
    <w:rsid w:val="00DC7B22"/>
    <w:rsid w:val="00DD132B"/>
    <w:rsid w:val="00DD1725"/>
    <w:rsid w:val="00DD21B9"/>
    <w:rsid w:val="00DD2427"/>
    <w:rsid w:val="00DD2A18"/>
    <w:rsid w:val="00DD377A"/>
    <w:rsid w:val="00DD3EAC"/>
    <w:rsid w:val="00DD3ECA"/>
    <w:rsid w:val="00DD5AB3"/>
    <w:rsid w:val="00DD5B1A"/>
    <w:rsid w:val="00DD61E8"/>
    <w:rsid w:val="00DD62C0"/>
    <w:rsid w:val="00DD6773"/>
    <w:rsid w:val="00DD7859"/>
    <w:rsid w:val="00DE03AC"/>
    <w:rsid w:val="00DE0511"/>
    <w:rsid w:val="00DE0A1D"/>
    <w:rsid w:val="00DE15B2"/>
    <w:rsid w:val="00DE1826"/>
    <w:rsid w:val="00DE1A9A"/>
    <w:rsid w:val="00DE23B5"/>
    <w:rsid w:val="00DE2494"/>
    <w:rsid w:val="00DE3D2C"/>
    <w:rsid w:val="00DE43D0"/>
    <w:rsid w:val="00DE5E82"/>
    <w:rsid w:val="00DE5FA6"/>
    <w:rsid w:val="00DE6494"/>
    <w:rsid w:val="00DE6AA1"/>
    <w:rsid w:val="00DE6C57"/>
    <w:rsid w:val="00DE74D7"/>
    <w:rsid w:val="00DE7DCC"/>
    <w:rsid w:val="00DE7EF7"/>
    <w:rsid w:val="00DF1185"/>
    <w:rsid w:val="00DF1299"/>
    <w:rsid w:val="00DF164F"/>
    <w:rsid w:val="00DF1A70"/>
    <w:rsid w:val="00DF23A8"/>
    <w:rsid w:val="00DF2F27"/>
    <w:rsid w:val="00DF6CCC"/>
    <w:rsid w:val="00DF6D0C"/>
    <w:rsid w:val="00DF6F64"/>
    <w:rsid w:val="00DF721E"/>
    <w:rsid w:val="00DF7C87"/>
    <w:rsid w:val="00E009B0"/>
    <w:rsid w:val="00E0345F"/>
    <w:rsid w:val="00E03D5C"/>
    <w:rsid w:val="00E043AC"/>
    <w:rsid w:val="00E043E9"/>
    <w:rsid w:val="00E046A9"/>
    <w:rsid w:val="00E04C0F"/>
    <w:rsid w:val="00E0570B"/>
    <w:rsid w:val="00E057B2"/>
    <w:rsid w:val="00E05996"/>
    <w:rsid w:val="00E10B87"/>
    <w:rsid w:val="00E1478B"/>
    <w:rsid w:val="00E14FAC"/>
    <w:rsid w:val="00E15007"/>
    <w:rsid w:val="00E16EC7"/>
    <w:rsid w:val="00E1714F"/>
    <w:rsid w:val="00E2026B"/>
    <w:rsid w:val="00E21576"/>
    <w:rsid w:val="00E219CE"/>
    <w:rsid w:val="00E21CAB"/>
    <w:rsid w:val="00E21E23"/>
    <w:rsid w:val="00E223E2"/>
    <w:rsid w:val="00E23961"/>
    <w:rsid w:val="00E24071"/>
    <w:rsid w:val="00E24EBC"/>
    <w:rsid w:val="00E2522C"/>
    <w:rsid w:val="00E2599B"/>
    <w:rsid w:val="00E27383"/>
    <w:rsid w:val="00E2793D"/>
    <w:rsid w:val="00E31AFA"/>
    <w:rsid w:val="00E3203D"/>
    <w:rsid w:val="00E324EE"/>
    <w:rsid w:val="00E34296"/>
    <w:rsid w:val="00E359FF"/>
    <w:rsid w:val="00E36AA7"/>
    <w:rsid w:val="00E36E39"/>
    <w:rsid w:val="00E36F0C"/>
    <w:rsid w:val="00E405F1"/>
    <w:rsid w:val="00E43054"/>
    <w:rsid w:val="00E434C4"/>
    <w:rsid w:val="00E44FE4"/>
    <w:rsid w:val="00E453FC"/>
    <w:rsid w:val="00E45D30"/>
    <w:rsid w:val="00E46013"/>
    <w:rsid w:val="00E4654B"/>
    <w:rsid w:val="00E477C3"/>
    <w:rsid w:val="00E50148"/>
    <w:rsid w:val="00E5048D"/>
    <w:rsid w:val="00E504BB"/>
    <w:rsid w:val="00E50AC4"/>
    <w:rsid w:val="00E50E2C"/>
    <w:rsid w:val="00E51077"/>
    <w:rsid w:val="00E5132D"/>
    <w:rsid w:val="00E51741"/>
    <w:rsid w:val="00E51E16"/>
    <w:rsid w:val="00E52051"/>
    <w:rsid w:val="00E52151"/>
    <w:rsid w:val="00E53730"/>
    <w:rsid w:val="00E53C46"/>
    <w:rsid w:val="00E54511"/>
    <w:rsid w:val="00E55DC3"/>
    <w:rsid w:val="00E55E88"/>
    <w:rsid w:val="00E57577"/>
    <w:rsid w:val="00E601DE"/>
    <w:rsid w:val="00E62043"/>
    <w:rsid w:val="00E626B9"/>
    <w:rsid w:val="00E627C9"/>
    <w:rsid w:val="00E630F3"/>
    <w:rsid w:val="00E64E10"/>
    <w:rsid w:val="00E650E0"/>
    <w:rsid w:val="00E65198"/>
    <w:rsid w:val="00E664FB"/>
    <w:rsid w:val="00E66F0D"/>
    <w:rsid w:val="00E672F9"/>
    <w:rsid w:val="00E67345"/>
    <w:rsid w:val="00E70615"/>
    <w:rsid w:val="00E71A5E"/>
    <w:rsid w:val="00E7207B"/>
    <w:rsid w:val="00E7347A"/>
    <w:rsid w:val="00E75325"/>
    <w:rsid w:val="00E759FB"/>
    <w:rsid w:val="00E75A47"/>
    <w:rsid w:val="00E75D8C"/>
    <w:rsid w:val="00E77771"/>
    <w:rsid w:val="00E777F2"/>
    <w:rsid w:val="00E779ED"/>
    <w:rsid w:val="00E802C9"/>
    <w:rsid w:val="00E80EDD"/>
    <w:rsid w:val="00E80F0A"/>
    <w:rsid w:val="00E81A6A"/>
    <w:rsid w:val="00E8291B"/>
    <w:rsid w:val="00E82FBC"/>
    <w:rsid w:val="00E8395F"/>
    <w:rsid w:val="00E8473F"/>
    <w:rsid w:val="00E84DD1"/>
    <w:rsid w:val="00E85E41"/>
    <w:rsid w:val="00E85EA1"/>
    <w:rsid w:val="00E91044"/>
    <w:rsid w:val="00E910D3"/>
    <w:rsid w:val="00E923CF"/>
    <w:rsid w:val="00E9335F"/>
    <w:rsid w:val="00E95111"/>
    <w:rsid w:val="00E9760C"/>
    <w:rsid w:val="00EA048D"/>
    <w:rsid w:val="00EA061E"/>
    <w:rsid w:val="00EA08DE"/>
    <w:rsid w:val="00EA14C8"/>
    <w:rsid w:val="00EA19D3"/>
    <w:rsid w:val="00EA2296"/>
    <w:rsid w:val="00EA2C8D"/>
    <w:rsid w:val="00EA6649"/>
    <w:rsid w:val="00EB05D0"/>
    <w:rsid w:val="00EB07C5"/>
    <w:rsid w:val="00EB1D49"/>
    <w:rsid w:val="00EB42DD"/>
    <w:rsid w:val="00EB559F"/>
    <w:rsid w:val="00EB5F3D"/>
    <w:rsid w:val="00EB6900"/>
    <w:rsid w:val="00EB6EC2"/>
    <w:rsid w:val="00EC1CEB"/>
    <w:rsid w:val="00EC21A7"/>
    <w:rsid w:val="00EC268C"/>
    <w:rsid w:val="00EC3747"/>
    <w:rsid w:val="00EC3753"/>
    <w:rsid w:val="00EC3CB8"/>
    <w:rsid w:val="00EC3D46"/>
    <w:rsid w:val="00EC4E71"/>
    <w:rsid w:val="00EC6667"/>
    <w:rsid w:val="00EC783E"/>
    <w:rsid w:val="00ED0365"/>
    <w:rsid w:val="00ED0865"/>
    <w:rsid w:val="00ED094F"/>
    <w:rsid w:val="00ED16B6"/>
    <w:rsid w:val="00ED1C60"/>
    <w:rsid w:val="00ED2EB9"/>
    <w:rsid w:val="00ED4469"/>
    <w:rsid w:val="00ED5F23"/>
    <w:rsid w:val="00ED675F"/>
    <w:rsid w:val="00ED6DC0"/>
    <w:rsid w:val="00ED79CE"/>
    <w:rsid w:val="00ED7A7A"/>
    <w:rsid w:val="00EE038C"/>
    <w:rsid w:val="00EE040B"/>
    <w:rsid w:val="00EE168A"/>
    <w:rsid w:val="00EE47C5"/>
    <w:rsid w:val="00EE490C"/>
    <w:rsid w:val="00EE613B"/>
    <w:rsid w:val="00EE65D6"/>
    <w:rsid w:val="00EE7D60"/>
    <w:rsid w:val="00EE7E17"/>
    <w:rsid w:val="00EF2C8E"/>
    <w:rsid w:val="00EF3174"/>
    <w:rsid w:val="00EF3303"/>
    <w:rsid w:val="00EF37AB"/>
    <w:rsid w:val="00EF384B"/>
    <w:rsid w:val="00EF3A0D"/>
    <w:rsid w:val="00EF3CEB"/>
    <w:rsid w:val="00EF41A8"/>
    <w:rsid w:val="00EF44FB"/>
    <w:rsid w:val="00EF4D3C"/>
    <w:rsid w:val="00EF51CA"/>
    <w:rsid w:val="00EF5554"/>
    <w:rsid w:val="00EF5AD8"/>
    <w:rsid w:val="00EF5D2F"/>
    <w:rsid w:val="00EF63F5"/>
    <w:rsid w:val="00EF6758"/>
    <w:rsid w:val="00EF6B90"/>
    <w:rsid w:val="00EF70AE"/>
    <w:rsid w:val="00EF79F7"/>
    <w:rsid w:val="00F00418"/>
    <w:rsid w:val="00F006C0"/>
    <w:rsid w:val="00F009BB"/>
    <w:rsid w:val="00F019AA"/>
    <w:rsid w:val="00F0267E"/>
    <w:rsid w:val="00F02686"/>
    <w:rsid w:val="00F03D99"/>
    <w:rsid w:val="00F0459B"/>
    <w:rsid w:val="00F04E15"/>
    <w:rsid w:val="00F05DF3"/>
    <w:rsid w:val="00F0641B"/>
    <w:rsid w:val="00F069EA"/>
    <w:rsid w:val="00F07B6E"/>
    <w:rsid w:val="00F07DF8"/>
    <w:rsid w:val="00F11461"/>
    <w:rsid w:val="00F11675"/>
    <w:rsid w:val="00F1182D"/>
    <w:rsid w:val="00F12557"/>
    <w:rsid w:val="00F12D4D"/>
    <w:rsid w:val="00F13A8F"/>
    <w:rsid w:val="00F144F8"/>
    <w:rsid w:val="00F14DF8"/>
    <w:rsid w:val="00F164A3"/>
    <w:rsid w:val="00F17AD9"/>
    <w:rsid w:val="00F17F74"/>
    <w:rsid w:val="00F202C2"/>
    <w:rsid w:val="00F209D5"/>
    <w:rsid w:val="00F22756"/>
    <w:rsid w:val="00F22EFE"/>
    <w:rsid w:val="00F23890"/>
    <w:rsid w:val="00F2447A"/>
    <w:rsid w:val="00F24638"/>
    <w:rsid w:val="00F2504D"/>
    <w:rsid w:val="00F2637F"/>
    <w:rsid w:val="00F263A8"/>
    <w:rsid w:val="00F268F7"/>
    <w:rsid w:val="00F3053D"/>
    <w:rsid w:val="00F30BDB"/>
    <w:rsid w:val="00F30CF8"/>
    <w:rsid w:val="00F31633"/>
    <w:rsid w:val="00F31EDF"/>
    <w:rsid w:val="00F32CDE"/>
    <w:rsid w:val="00F32D4C"/>
    <w:rsid w:val="00F34811"/>
    <w:rsid w:val="00F34B14"/>
    <w:rsid w:val="00F36A6A"/>
    <w:rsid w:val="00F40101"/>
    <w:rsid w:val="00F404F7"/>
    <w:rsid w:val="00F40B17"/>
    <w:rsid w:val="00F40CCA"/>
    <w:rsid w:val="00F41521"/>
    <w:rsid w:val="00F42D97"/>
    <w:rsid w:val="00F43F09"/>
    <w:rsid w:val="00F45A72"/>
    <w:rsid w:val="00F46723"/>
    <w:rsid w:val="00F46EB9"/>
    <w:rsid w:val="00F50016"/>
    <w:rsid w:val="00F50647"/>
    <w:rsid w:val="00F5118A"/>
    <w:rsid w:val="00F5165C"/>
    <w:rsid w:val="00F51A21"/>
    <w:rsid w:val="00F5276E"/>
    <w:rsid w:val="00F529F9"/>
    <w:rsid w:val="00F52E9F"/>
    <w:rsid w:val="00F53304"/>
    <w:rsid w:val="00F53D37"/>
    <w:rsid w:val="00F53D40"/>
    <w:rsid w:val="00F545ED"/>
    <w:rsid w:val="00F5687F"/>
    <w:rsid w:val="00F56FA5"/>
    <w:rsid w:val="00F5727D"/>
    <w:rsid w:val="00F575C7"/>
    <w:rsid w:val="00F60305"/>
    <w:rsid w:val="00F61B12"/>
    <w:rsid w:val="00F620C5"/>
    <w:rsid w:val="00F62398"/>
    <w:rsid w:val="00F626C5"/>
    <w:rsid w:val="00F631E8"/>
    <w:rsid w:val="00F63223"/>
    <w:rsid w:val="00F63264"/>
    <w:rsid w:val="00F6379E"/>
    <w:rsid w:val="00F676EC"/>
    <w:rsid w:val="00F70799"/>
    <w:rsid w:val="00F70906"/>
    <w:rsid w:val="00F70A8B"/>
    <w:rsid w:val="00F724FB"/>
    <w:rsid w:val="00F72578"/>
    <w:rsid w:val="00F72A26"/>
    <w:rsid w:val="00F733C3"/>
    <w:rsid w:val="00F756DD"/>
    <w:rsid w:val="00F75DB3"/>
    <w:rsid w:val="00F77C37"/>
    <w:rsid w:val="00F80047"/>
    <w:rsid w:val="00F809A6"/>
    <w:rsid w:val="00F8104D"/>
    <w:rsid w:val="00F81587"/>
    <w:rsid w:val="00F82571"/>
    <w:rsid w:val="00F83706"/>
    <w:rsid w:val="00F85258"/>
    <w:rsid w:val="00F85B72"/>
    <w:rsid w:val="00F8766F"/>
    <w:rsid w:val="00F9104C"/>
    <w:rsid w:val="00F91082"/>
    <w:rsid w:val="00F91A9A"/>
    <w:rsid w:val="00F920A7"/>
    <w:rsid w:val="00F93ABB"/>
    <w:rsid w:val="00F94D79"/>
    <w:rsid w:val="00F971DD"/>
    <w:rsid w:val="00F975D3"/>
    <w:rsid w:val="00FA118A"/>
    <w:rsid w:val="00FA11CD"/>
    <w:rsid w:val="00FA1B7E"/>
    <w:rsid w:val="00FA31C7"/>
    <w:rsid w:val="00FA472D"/>
    <w:rsid w:val="00FA6645"/>
    <w:rsid w:val="00FA7254"/>
    <w:rsid w:val="00FB0214"/>
    <w:rsid w:val="00FB080C"/>
    <w:rsid w:val="00FB18F6"/>
    <w:rsid w:val="00FB2A52"/>
    <w:rsid w:val="00FB2F13"/>
    <w:rsid w:val="00FB6232"/>
    <w:rsid w:val="00FB6E19"/>
    <w:rsid w:val="00FB71F6"/>
    <w:rsid w:val="00FC0016"/>
    <w:rsid w:val="00FC1483"/>
    <w:rsid w:val="00FC1C47"/>
    <w:rsid w:val="00FC2EF2"/>
    <w:rsid w:val="00FC39ED"/>
    <w:rsid w:val="00FC4419"/>
    <w:rsid w:val="00FC47E2"/>
    <w:rsid w:val="00FC4AA5"/>
    <w:rsid w:val="00FC5148"/>
    <w:rsid w:val="00FC6590"/>
    <w:rsid w:val="00FC7523"/>
    <w:rsid w:val="00FC75AC"/>
    <w:rsid w:val="00FC75CB"/>
    <w:rsid w:val="00FD01BF"/>
    <w:rsid w:val="00FD0525"/>
    <w:rsid w:val="00FD0D4F"/>
    <w:rsid w:val="00FD297D"/>
    <w:rsid w:val="00FD2D13"/>
    <w:rsid w:val="00FD3D26"/>
    <w:rsid w:val="00FD4789"/>
    <w:rsid w:val="00FD6071"/>
    <w:rsid w:val="00FE0794"/>
    <w:rsid w:val="00FE1041"/>
    <w:rsid w:val="00FE24CB"/>
    <w:rsid w:val="00FE3166"/>
    <w:rsid w:val="00FE3320"/>
    <w:rsid w:val="00FE3473"/>
    <w:rsid w:val="00FE353B"/>
    <w:rsid w:val="00FE4049"/>
    <w:rsid w:val="00FE4794"/>
    <w:rsid w:val="00FE5DF7"/>
    <w:rsid w:val="00FE5F72"/>
    <w:rsid w:val="00FE7B6B"/>
    <w:rsid w:val="00FF0231"/>
    <w:rsid w:val="00FF1C9B"/>
    <w:rsid w:val="00FF1D49"/>
    <w:rsid w:val="00FF2562"/>
    <w:rsid w:val="00FF2CE1"/>
    <w:rsid w:val="00FF3A41"/>
    <w:rsid w:val="00FF3E5B"/>
    <w:rsid w:val="00FF52BE"/>
    <w:rsid w:val="00FF544F"/>
    <w:rsid w:val="00FF57E4"/>
    <w:rsid w:val="00FF77F8"/>
    <w:rsid w:val="00FF78E5"/>
    <w:rsid w:val="01620FF8"/>
    <w:rsid w:val="01CC7C92"/>
    <w:rsid w:val="01DF6ED8"/>
    <w:rsid w:val="02511F9D"/>
    <w:rsid w:val="02AB4E64"/>
    <w:rsid w:val="03056ED3"/>
    <w:rsid w:val="03120E07"/>
    <w:rsid w:val="0334104D"/>
    <w:rsid w:val="034E5B8A"/>
    <w:rsid w:val="03A314B8"/>
    <w:rsid w:val="03D82B98"/>
    <w:rsid w:val="03F83E8B"/>
    <w:rsid w:val="053334B5"/>
    <w:rsid w:val="05906AAF"/>
    <w:rsid w:val="05B257EC"/>
    <w:rsid w:val="061E5354"/>
    <w:rsid w:val="06AE10AC"/>
    <w:rsid w:val="0766313B"/>
    <w:rsid w:val="07AB1DBE"/>
    <w:rsid w:val="07B72767"/>
    <w:rsid w:val="08077E72"/>
    <w:rsid w:val="08275D75"/>
    <w:rsid w:val="082D1FA4"/>
    <w:rsid w:val="09623B1E"/>
    <w:rsid w:val="09776154"/>
    <w:rsid w:val="09AB1EA0"/>
    <w:rsid w:val="09CC2AAC"/>
    <w:rsid w:val="09D820EE"/>
    <w:rsid w:val="0A652D3E"/>
    <w:rsid w:val="0B0A4571"/>
    <w:rsid w:val="0B3A48F0"/>
    <w:rsid w:val="0B9F4F1E"/>
    <w:rsid w:val="0BF64F69"/>
    <w:rsid w:val="0C193B8E"/>
    <w:rsid w:val="0C5C56D6"/>
    <w:rsid w:val="0C92213C"/>
    <w:rsid w:val="0CBA2804"/>
    <w:rsid w:val="0D3B1B72"/>
    <w:rsid w:val="0D4F221D"/>
    <w:rsid w:val="0D516C6E"/>
    <w:rsid w:val="0D61089C"/>
    <w:rsid w:val="0D7A76D7"/>
    <w:rsid w:val="0D84032B"/>
    <w:rsid w:val="0DA822AB"/>
    <w:rsid w:val="0E121122"/>
    <w:rsid w:val="0E2547CB"/>
    <w:rsid w:val="0E2D3753"/>
    <w:rsid w:val="0F011985"/>
    <w:rsid w:val="0F136F00"/>
    <w:rsid w:val="0F381D01"/>
    <w:rsid w:val="0F4F4353"/>
    <w:rsid w:val="0F9D532E"/>
    <w:rsid w:val="0FDC6CEF"/>
    <w:rsid w:val="108F3E01"/>
    <w:rsid w:val="10A27F31"/>
    <w:rsid w:val="10CA487C"/>
    <w:rsid w:val="10E01064"/>
    <w:rsid w:val="11927058"/>
    <w:rsid w:val="120101B5"/>
    <w:rsid w:val="12133FB0"/>
    <w:rsid w:val="12176643"/>
    <w:rsid w:val="12510966"/>
    <w:rsid w:val="12A055F5"/>
    <w:rsid w:val="12A5223C"/>
    <w:rsid w:val="12A604D9"/>
    <w:rsid w:val="12BA0AA4"/>
    <w:rsid w:val="130D4243"/>
    <w:rsid w:val="1387148A"/>
    <w:rsid w:val="13AF4F03"/>
    <w:rsid w:val="13C162EA"/>
    <w:rsid w:val="13C27285"/>
    <w:rsid w:val="13E946D3"/>
    <w:rsid w:val="142F6F11"/>
    <w:rsid w:val="145E6EE8"/>
    <w:rsid w:val="14736E66"/>
    <w:rsid w:val="148937C0"/>
    <w:rsid w:val="149B6AC2"/>
    <w:rsid w:val="15087A95"/>
    <w:rsid w:val="15264037"/>
    <w:rsid w:val="15293653"/>
    <w:rsid w:val="1534169A"/>
    <w:rsid w:val="15C03E03"/>
    <w:rsid w:val="15DB7879"/>
    <w:rsid w:val="162A25EB"/>
    <w:rsid w:val="16964761"/>
    <w:rsid w:val="16FD2A55"/>
    <w:rsid w:val="16FD4E11"/>
    <w:rsid w:val="17366761"/>
    <w:rsid w:val="177C01F0"/>
    <w:rsid w:val="17C5728A"/>
    <w:rsid w:val="17CE6630"/>
    <w:rsid w:val="18214D25"/>
    <w:rsid w:val="184536BA"/>
    <w:rsid w:val="19293FCE"/>
    <w:rsid w:val="19304EC9"/>
    <w:rsid w:val="19820BA0"/>
    <w:rsid w:val="1AFA16D5"/>
    <w:rsid w:val="1B131667"/>
    <w:rsid w:val="1B253EEB"/>
    <w:rsid w:val="1B4F19F8"/>
    <w:rsid w:val="1BD92184"/>
    <w:rsid w:val="1C5170A2"/>
    <w:rsid w:val="1D23361F"/>
    <w:rsid w:val="1D4061A8"/>
    <w:rsid w:val="1E14030F"/>
    <w:rsid w:val="1E3C6B0E"/>
    <w:rsid w:val="1E4A2E9F"/>
    <w:rsid w:val="1E9B4F4B"/>
    <w:rsid w:val="1EEE23EF"/>
    <w:rsid w:val="1F063325"/>
    <w:rsid w:val="1FA2402F"/>
    <w:rsid w:val="1FBC5DF5"/>
    <w:rsid w:val="1FC55574"/>
    <w:rsid w:val="20000B35"/>
    <w:rsid w:val="203D099C"/>
    <w:rsid w:val="20781442"/>
    <w:rsid w:val="209446D7"/>
    <w:rsid w:val="212E3725"/>
    <w:rsid w:val="21B83F86"/>
    <w:rsid w:val="21E55E66"/>
    <w:rsid w:val="221178A8"/>
    <w:rsid w:val="221213CF"/>
    <w:rsid w:val="22327A92"/>
    <w:rsid w:val="22501E48"/>
    <w:rsid w:val="22965435"/>
    <w:rsid w:val="22BD6F35"/>
    <w:rsid w:val="231D53A2"/>
    <w:rsid w:val="234731C4"/>
    <w:rsid w:val="234D67FB"/>
    <w:rsid w:val="23B7504C"/>
    <w:rsid w:val="23DC5551"/>
    <w:rsid w:val="242A1B68"/>
    <w:rsid w:val="24571307"/>
    <w:rsid w:val="246F652F"/>
    <w:rsid w:val="249A22F7"/>
    <w:rsid w:val="24BA2984"/>
    <w:rsid w:val="25126E09"/>
    <w:rsid w:val="25246333"/>
    <w:rsid w:val="257858B7"/>
    <w:rsid w:val="25C14636"/>
    <w:rsid w:val="26446DE3"/>
    <w:rsid w:val="26495BB3"/>
    <w:rsid w:val="264D165B"/>
    <w:rsid w:val="265F3538"/>
    <w:rsid w:val="26835926"/>
    <w:rsid w:val="26CD1617"/>
    <w:rsid w:val="26D7699F"/>
    <w:rsid w:val="26F50464"/>
    <w:rsid w:val="27234AD7"/>
    <w:rsid w:val="274A5E17"/>
    <w:rsid w:val="276B5295"/>
    <w:rsid w:val="279A2132"/>
    <w:rsid w:val="27BA131D"/>
    <w:rsid w:val="281F2C62"/>
    <w:rsid w:val="284D08E4"/>
    <w:rsid w:val="28C84986"/>
    <w:rsid w:val="2908656C"/>
    <w:rsid w:val="2912495F"/>
    <w:rsid w:val="29323FCF"/>
    <w:rsid w:val="29531C35"/>
    <w:rsid w:val="29E17ECF"/>
    <w:rsid w:val="2A226172"/>
    <w:rsid w:val="2A2D3BAD"/>
    <w:rsid w:val="2A5A691B"/>
    <w:rsid w:val="2AEF4B26"/>
    <w:rsid w:val="2B09065E"/>
    <w:rsid w:val="2B774624"/>
    <w:rsid w:val="2B9C739B"/>
    <w:rsid w:val="2BBC56BC"/>
    <w:rsid w:val="2BEE1B5E"/>
    <w:rsid w:val="2C7A72BE"/>
    <w:rsid w:val="2CE1294E"/>
    <w:rsid w:val="2E3777C8"/>
    <w:rsid w:val="2EAD4823"/>
    <w:rsid w:val="2EEB5D26"/>
    <w:rsid w:val="2F013AAD"/>
    <w:rsid w:val="2F401D3C"/>
    <w:rsid w:val="2F436F36"/>
    <w:rsid w:val="2F70241B"/>
    <w:rsid w:val="2FA95C88"/>
    <w:rsid w:val="3041370F"/>
    <w:rsid w:val="308D3B08"/>
    <w:rsid w:val="30F06C49"/>
    <w:rsid w:val="31083A05"/>
    <w:rsid w:val="317C04DD"/>
    <w:rsid w:val="3180356E"/>
    <w:rsid w:val="32453A27"/>
    <w:rsid w:val="3263064A"/>
    <w:rsid w:val="327F2033"/>
    <w:rsid w:val="32AC0C06"/>
    <w:rsid w:val="32E94361"/>
    <w:rsid w:val="32F55942"/>
    <w:rsid w:val="33FA1CBC"/>
    <w:rsid w:val="342866FA"/>
    <w:rsid w:val="34CA3F9D"/>
    <w:rsid w:val="35007746"/>
    <w:rsid w:val="35304278"/>
    <w:rsid w:val="3537750C"/>
    <w:rsid w:val="3537798C"/>
    <w:rsid w:val="357F7ED5"/>
    <w:rsid w:val="35C13FC9"/>
    <w:rsid w:val="362A598F"/>
    <w:rsid w:val="362E6D87"/>
    <w:rsid w:val="364257B6"/>
    <w:rsid w:val="36486409"/>
    <w:rsid w:val="367B3D86"/>
    <w:rsid w:val="36F834D1"/>
    <w:rsid w:val="373F3508"/>
    <w:rsid w:val="374264D3"/>
    <w:rsid w:val="37C1661D"/>
    <w:rsid w:val="37DB7874"/>
    <w:rsid w:val="37E961A0"/>
    <w:rsid w:val="37EA5922"/>
    <w:rsid w:val="3809405A"/>
    <w:rsid w:val="38123949"/>
    <w:rsid w:val="38276B93"/>
    <w:rsid w:val="388F7B77"/>
    <w:rsid w:val="38CE5AC2"/>
    <w:rsid w:val="38D62078"/>
    <w:rsid w:val="39A0277D"/>
    <w:rsid w:val="3A0B64A7"/>
    <w:rsid w:val="3A4A48F1"/>
    <w:rsid w:val="3A7038BB"/>
    <w:rsid w:val="3AF74C02"/>
    <w:rsid w:val="3B6E533A"/>
    <w:rsid w:val="3BC6658C"/>
    <w:rsid w:val="3C0059A5"/>
    <w:rsid w:val="3C134E78"/>
    <w:rsid w:val="3C301B5F"/>
    <w:rsid w:val="3CAB1AFC"/>
    <w:rsid w:val="3D05582A"/>
    <w:rsid w:val="3D613977"/>
    <w:rsid w:val="3DAA0DF1"/>
    <w:rsid w:val="3DF6345D"/>
    <w:rsid w:val="3E1164BB"/>
    <w:rsid w:val="3EB3456B"/>
    <w:rsid w:val="3EE13701"/>
    <w:rsid w:val="3EFA9C1A"/>
    <w:rsid w:val="3F1A4BB3"/>
    <w:rsid w:val="3F20045B"/>
    <w:rsid w:val="40192BA6"/>
    <w:rsid w:val="40316AC2"/>
    <w:rsid w:val="409C1193"/>
    <w:rsid w:val="41E53E99"/>
    <w:rsid w:val="42550A18"/>
    <w:rsid w:val="425600A9"/>
    <w:rsid w:val="42D114D2"/>
    <w:rsid w:val="42D2642D"/>
    <w:rsid w:val="42DE0FF8"/>
    <w:rsid w:val="42F473A1"/>
    <w:rsid w:val="432D04A7"/>
    <w:rsid w:val="43A44BA9"/>
    <w:rsid w:val="441E62C0"/>
    <w:rsid w:val="44274ACD"/>
    <w:rsid w:val="44444E8A"/>
    <w:rsid w:val="44561A44"/>
    <w:rsid w:val="44B57B36"/>
    <w:rsid w:val="45811C7C"/>
    <w:rsid w:val="45AA78B4"/>
    <w:rsid w:val="45CC5EDF"/>
    <w:rsid w:val="468B3EFB"/>
    <w:rsid w:val="46F851C7"/>
    <w:rsid w:val="46F9547C"/>
    <w:rsid w:val="470A6193"/>
    <w:rsid w:val="474D36B0"/>
    <w:rsid w:val="47AA339A"/>
    <w:rsid w:val="47C907A9"/>
    <w:rsid w:val="47DC4F5C"/>
    <w:rsid w:val="486D0361"/>
    <w:rsid w:val="48A04659"/>
    <w:rsid w:val="48B40671"/>
    <w:rsid w:val="499B5738"/>
    <w:rsid w:val="499F244D"/>
    <w:rsid w:val="49E634D1"/>
    <w:rsid w:val="4A8F58C2"/>
    <w:rsid w:val="4ABB1C1E"/>
    <w:rsid w:val="4AF96BC7"/>
    <w:rsid w:val="4B560B04"/>
    <w:rsid w:val="4B700C5B"/>
    <w:rsid w:val="4B842132"/>
    <w:rsid w:val="4B86222C"/>
    <w:rsid w:val="4BFB4050"/>
    <w:rsid w:val="4CEF36E2"/>
    <w:rsid w:val="4D3B1120"/>
    <w:rsid w:val="4DAF4CC1"/>
    <w:rsid w:val="4DD92AE7"/>
    <w:rsid w:val="4E676345"/>
    <w:rsid w:val="4EE911C5"/>
    <w:rsid w:val="4F372FFB"/>
    <w:rsid w:val="4F5A78AF"/>
    <w:rsid w:val="4F7C3032"/>
    <w:rsid w:val="4FA76FA4"/>
    <w:rsid w:val="5044725D"/>
    <w:rsid w:val="505E5526"/>
    <w:rsid w:val="50AF18DD"/>
    <w:rsid w:val="513F391C"/>
    <w:rsid w:val="51564E44"/>
    <w:rsid w:val="52151C14"/>
    <w:rsid w:val="52282C57"/>
    <w:rsid w:val="52C10D75"/>
    <w:rsid w:val="52F7312C"/>
    <w:rsid w:val="53C125EB"/>
    <w:rsid w:val="54C53DC5"/>
    <w:rsid w:val="550C4BD7"/>
    <w:rsid w:val="55572986"/>
    <w:rsid w:val="55A14ACC"/>
    <w:rsid w:val="55A527A8"/>
    <w:rsid w:val="562B20BF"/>
    <w:rsid w:val="56306BC7"/>
    <w:rsid w:val="56616AEE"/>
    <w:rsid w:val="567A298E"/>
    <w:rsid w:val="56D04C17"/>
    <w:rsid w:val="570149A2"/>
    <w:rsid w:val="57B85A00"/>
    <w:rsid w:val="5884764A"/>
    <w:rsid w:val="5A3D4CF5"/>
    <w:rsid w:val="5A957D93"/>
    <w:rsid w:val="5AFD311B"/>
    <w:rsid w:val="5B3760D9"/>
    <w:rsid w:val="5B86261A"/>
    <w:rsid w:val="5BA35EE9"/>
    <w:rsid w:val="5BB74E83"/>
    <w:rsid w:val="5BE014E5"/>
    <w:rsid w:val="5BE3400F"/>
    <w:rsid w:val="5BEC760C"/>
    <w:rsid w:val="5BEF023E"/>
    <w:rsid w:val="5C283E82"/>
    <w:rsid w:val="5C6209E8"/>
    <w:rsid w:val="5C8834D6"/>
    <w:rsid w:val="5DE60A0E"/>
    <w:rsid w:val="5DE74DAC"/>
    <w:rsid w:val="5E07224D"/>
    <w:rsid w:val="5E1B2389"/>
    <w:rsid w:val="5EC1512D"/>
    <w:rsid w:val="5EF656A8"/>
    <w:rsid w:val="5F12674D"/>
    <w:rsid w:val="5F80710D"/>
    <w:rsid w:val="5FDF74DA"/>
    <w:rsid w:val="606007BB"/>
    <w:rsid w:val="60A7347D"/>
    <w:rsid w:val="60AC7F66"/>
    <w:rsid w:val="6155202D"/>
    <w:rsid w:val="6164634C"/>
    <w:rsid w:val="618835DC"/>
    <w:rsid w:val="619C7C5C"/>
    <w:rsid w:val="61BF10D9"/>
    <w:rsid w:val="629F7BDB"/>
    <w:rsid w:val="62E64414"/>
    <w:rsid w:val="631928DF"/>
    <w:rsid w:val="640C7C21"/>
    <w:rsid w:val="64445AAC"/>
    <w:rsid w:val="64E45EF7"/>
    <w:rsid w:val="64E77440"/>
    <w:rsid w:val="655A9E13"/>
    <w:rsid w:val="65F42BBF"/>
    <w:rsid w:val="65F8567D"/>
    <w:rsid w:val="66A575B3"/>
    <w:rsid w:val="66A57729"/>
    <w:rsid w:val="670F748C"/>
    <w:rsid w:val="6736338C"/>
    <w:rsid w:val="677435B2"/>
    <w:rsid w:val="67DD7678"/>
    <w:rsid w:val="67EF75F1"/>
    <w:rsid w:val="681C76FB"/>
    <w:rsid w:val="68556DB7"/>
    <w:rsid w:val="68774BE5"/>
    <w:rsid w:val="68B87030"/>
    <w:rsid w:val="69124F16"/>
    <w:rsid w:val="69AF0748"/>
    <w:rsid w:val="69C64B0E"/>
    <w:rsid w:val="69CD5C14"/>
    <w:rsid w:val="69CF0D33"/>
    <w:rsid w:val="6AB24495"/>
    <w:rsid w:val="6B566638"/>
    <w:rsid w:val="6B750C27"/>
    <w:rsid w:val="6B9946B3"/>
    <w:rsid w:val="6C310D11"/>
    <w:rsid w:val="6C5F729D"/>
    <w:rsid w:val="6C921AAA"/>
    <w:rsid w:val="6D1837C6"/>
    <w:rsid w:val="6DBE71AC"/>
    <w:rsid w:val="6DE76850"/>
    <w:rsid w:val="6E336FB7"/>
    <w:rsid w:val="6E3B7F3B"/>
    <w:rsid w:val="6E9A1018"/>
    <w:rsid w:val="6EDA23D2"/>
    <w:rsid w:val="6F7264A0"/>
    <w:rsid w:val="6FB20BD4"/>
    <w:rsid w:val="6FBA59BE"/>
    <w:rsid w:val="70296B3E"/>
    <w:rsid w:val="70611204"/>
    <w:rsid w:val="70F17BCE"/>
    <w:rsid w:val="7234593E"/>
    <w:rsid w:val="725D6F93"/>
    <w:rsid w:val="72717CF7"/>
    <w:rsid w:val="72983CD3"/>
    <w:rsid w:val="72CB31E9"/>
    <w:rsid w:val="72EF4CB6"/>
    <w:rsid w:val="738E2DDF"/>
    <w:rsid w:val="73A82490"/>
    <w:rsid w:val="73CD0149"/>
    <w:rsid w:val="743B2F14"/>
    <w:rsid w:val="7460720F"/>
    <w:rsid w:val="746A24BE"/>
    <w:rsid w:val="747D2C19"/>
    <w:rsid w:val="749F1040"/>
    <w:rsid w:val="74EA1AD0"/>
    <w:rsid w:val="74FA2C30"/>
    <w:rsid w:val="76100D7A"/>
    <w:rsid w:val="76250197"/>
    <w:rsid w:val="76796366"/>
    <w:rsid w:val="76BC49EB"/>
    <w:rsid w:val="77000DA2"/>
    <w:rsid w:val="774041AC"/>
    <w:rsid w:val="77606172"/>
    <w:rsid w:val="781E69D1"/>
    <w:rsid w:val="78340059"/>
    <w:rsid w:val="79BE1CAB"/>
    <w:rsid w:val="7ADD0453"/>
    <w:rsid w:val="7AF46346"/>
    <w:rsid w:val="7B0F5EBF"/>
    <w:rsid w:val="7B130FB9"/>
    <w:rsid w:val="7B51428D"/>
    <w:rsid w:val="7BDE0625"/>
    <w:rsid w:val="7BF64EDE"/>
    <w:rsid w:val="7C3D3992"/>
    <w:rsid w:val="7C400C1E"/>
    <w:rsid w:val="7C5E0D7C"/>
    <w:rsid w:val="7C6C6CCE"/>
    <w:rsid w:val="7C773348"/>
    <w:rsid w:val="7CB0484C"/>
    <w:rsid w:val="7D3D33A9"/>
    <w:rsid w:val="7D422E99"/>
    <w:rsid w:val="7DD11708"/>
    <w:rsid w:val="7DD83ECB"/>
    <w:rsid w:val="7DF46F4A"/>
    <w:rsid w:val="7E2E7A36"/>
    <w:rsid w:val="7E3D4C74"/>
    <w:rsid w:val="7EBC46EA"/>
    <w:rsid w:val="7EC167BD"/>
    <w:rsid w:val="7F0F7867"/>
    <w:rsid w:val="7F437C37"/>
    <w:rsid w:val="7F5E61F7"/>
    <w:rsid w:val="7FCA72CB"/>
    <w:rsid w:val="7FCB062D"/>
    <w:rsid w:val="7FF82C26"/>
    <w:rsid w:val="EF6DC4F0"/>
    <w:rsid w:val="FFF6D50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qFormat="1" w:unhideWhenUsed="0" w:uiPriority="99" w:semiHidden="0"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1"/>
    <w:qFormat/>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5">
    <w:name w:val="heading 5"/>
    <w:basedOn w:val="1"/>
    <w:next w:val="6"/>
    <w:link w:val="42"/>
    <w:qFormat/>
    <w:uiPriority w:val="9"/>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8">
    <w:name w:val="annotation text"/>
    <w:basedOn w:val="1"/>
    <w:link w:val="43"/>
    <w:qFormat/>
    <w:uiPriority w:val="0"/>
    <w:pPr>
      <w:jc w:val="left"/>
    </w:pPr>
  </w:style>
  <w:style w:type="paragraph" w:styleId="9">
    <w:name w:val="Body Text 3"/>
    <w:basedOn w:val="1"/>
    <w:link w:val="44"/>
    <w:unhideWhenUsed/>
    <w:qFormat/>
    <w:uiPriority w:val="99"/>
    <w:pPr>
      <w:spacing w:after="120"/>
    </w:pPr>
    <w:rPr>
      <w:sz w:val="16"/>
      <w:szCs w:val="16"/>
    </w:rPr>
  </w:style>
  <w:style w:type="paragraph" w:styleId="10">
    <w:name w:val="Body Text"/>
    <w:basedOn w:val="1"/>
    <w:link w:val="45"/>
    <w:unhideWhenUsed/>
    <w:qFormat/>
    <w:uiPriority w:val="0"/>
    <w:pPr>
      <w:spacing w:after="120"/>
    </w:pPr>
  </w:style>
  <w:style w:type="paragraph" w:styleId="11">
    <w:name w:val="Body Text Indent"/>
    <w:basedOn w:val="1"/>
    <w:link w:val="46"/>
    <w:qFormat/>
    <w:uiPriority w:val="0"/>
    <w:pPr>
      <w:ind w:firstLine="830" w:firstLineChars="352"/>
    </w:pPr>
    <w:rPr>
      <w:rFonts w:ascii="仿宋_GB2312" w:eastAsia="仿宋_GB2312"/>
      <w:kern w:val="0"/>
      <w:sz w:val="32"/>
      <w:szCs w:val="20"/>
    </w:rPr>
  </w:style>
  <w:style w:type="paragraph" w:styleId="12">
    <w:name w:val="List 2"/>
    <w:basedOn w:val="1"/>
    <w:unhideWhenUsed/>
    <w:qFormat/>
    <w:uiPriority w:val="99"/>
    <w:pPr>
      <w:ind w:left="100" w:leftChars="200" w:hanging="200" w:hangingChars="200"/>
      <w:contextualSpacing/>
    </w:pPr>
  </w:style>
  <w:style w:type="paragraph" w:styleId="13">
    <w:name w:val="Block Text"/>
    <w:basedOn w:val="1"/>
    <w:qFormat/>
    <w:uiPriority w:val="0"/>
    <w:pPr>
      <w:tabs>
        <w:tab w:val="left" w:pos="1440"/>
      </w:tabs>
      <w:spacing w:after="100"/>
      <w:ind w:left="3600" w:right="-288" w:hanging="2880"/>
    </w:pPr>
    <w:rPr>
      <w:snapToGrid w:val="0"/>
      <w:kern w:val="0"/>
      <w:sz w:val="22"/>
      <w:szCs w:val="20"/>
      <w:lang w:eastAsia="en-US"/>
    </w:rPr>
  </w:style>
  <w:style w:type="paragraph" w:styleId="14">
    <w:name w:val="Plain Text"/>
    <w:basedOn w:val="1"/>
    <w:next w:val="4"/>
    <w:link w:val="47"/>
    <w:qFormat/>
    <w:uiPriority w:val="0"/>
    <w:rPr>
      <w:rFonts w:ascii="宋体" w:hAnsi="Courier New"/>
      <w:kern w:val="0"/>
      <w:sz w:val="20"/>
      <w:szCs w:val="21"/>
    </w:rPr>
  </w:style>
  <w:style w:type="paragraph" w:styleId="15">
    <w:name w:val="Date"/>
    <w:basedOn w:val="1"/>
    <w:next w:val="1"/>
    <w:link w:val="48"/>
    <w:unhideWhenUsed/>
    <w:qFormat/>
    <w:uiPriority w:val="99"/>
    <w:pPr>
      <w:ind w:left="100" w:leftChars="2500"/>
    </w:pPr>
  </w:style>
  <w:style w:type="paragraph" w:styleId="16">
    <w:name w:val="Balloon Text"/>
    <w:basedOn w:val="1"/>
    <w:semiHidden/>
    <w:qFormat/>
    <w:uiPriority w:val="0"/>
    <w:rPr>
      <w:sz w:val="18"/>
      <w:szCs w:val="18"/>
    </w:rPr>
  </w:style>
  <w:style w:type="paragraph" w:styleId="17">
    <w:name w:val="footer"/>
    <w:basedOn w:val="1"/>
    <w:next w:val="1"/>
    <w:link w:val="49"/>
    <w:unhideWhenUsed/>
    <w:qFormat/>
    <w:uiPriority w:val="99"/>
    <w:pPr>
      <w:tabs>
        <w:tab w:val="center" w:pos="4153"/>
        <w:tab w:val="right" w:pos="8306"/>
      </w:tabs>
      <w:snapToGrid w:val="0"/>
      <w:jc w:val="left"/>
    </w:pPr>
    <w:rPr>
      <w:kern w:val="0"/>
      <w:sz w:val="18"/>
      <w:szCs w:val="18"/>
    </w:rPr>
  </w:style>
  <w:style w:type="paragraph" w:styleId="18">
    <w:name w:val="header"/>
    <w:basedOn w:val="1"/>
    <w:link w:val="5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unhideWhenUsed/>
    <w:qFormat/>
    <w:uiPriority w:val="39"/>
  </w:style>
  <w:style w:type="paragraph" w:styleId="20">
    <w:name w:val="toc 2"/>
    <w:basedOn w:val="1"/>
    <w:next w:val="1"/>
    <w:unhideWhenUsed/>
    <w:qFormat/>
    <w:uiPriority w:val="39"/>
    <w:pPr>
      <w:tabs>
        <w:tab w:val="right" w:leader="dot" w:pos="8296"/>
      </w:tabs>
      <w:ind w:left="420" w:leftChars="200"/>
    </w:pPr>
  </w:style>
  <w:style w:type="paragraph" w:styleId="21">
    <w:name w:val="HTML Preformatted"/>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kern w:val="0"/>
      <w:sz w:val="24"/>
    </w:rPr>
  </w:style>
  <w:style w:type="paragraph" w:styleId="22">
    <w:name w:val="Normal (Web)"/>
    <w:basedOn w:val="1"/>
    <w:unhideWhenUsed/>
    <w:qFormat/>
    <w:uiPriority w:val="99"/>
    <w:rPr>
      <w:rFonts w:ascii="Calibri" w:hAnsi="Calibri"/>
      <w:kern w:val="0"/>
      <w:sz w:val="24"/>
    </w:rPr>
  </w:style>
  <w:style w:type="paragraph" w:styleId="23">
    <w:name w:val="annotation subject"/>
    <w:basedOn w:val="8"/>
    <w:next w:val="8"/>
    <w:link w:val="51"/>
    <w:qFormat/>
    <w:uiPriority w:val="99"/>
    <w:rPr>
      <w:b/>
      <w:bCs/>
    </w:rPr>
  </w:style>
  <w:style w:type="paragraph" w:styleId="24">
    <w:name w:val="Body Text First Indent"/>
    <w:basedOn w:val="10"/>
    <w:next w:val="1"/>
    <w:qFormat/>
    <w:uiPriority w:val="0"/>
    <w:pPr>
      <w:ind w:firstLine="420" w:firstLineChars="100"/>
    </w:pPr>
  </w:style>
  <w:style w:type="paragraph" w:styleId="25">
    <w:name w:val="Body Text First Indent 2"/>
    <w:basedOn w:val="11"/>
    <w:next w:val="1"/>
    <w:qFormat/>
    <w:uiPriority w:val="0"/>
    <w:pPr>
      <w:spacing w:after="120"/>
      <w:ind w:left="420" w:leftChars="200" w:firstLine="420" w:firstLineChars="200"/>
    </w:pPr>
    <w:rPr>
      <w:szCs w:val="24"/>
    </w:rPr>
  </w:style>
  <w:style w:type="table" w:styleId="27">
    <w:name w:val="Table Grid"/>
    <w:basedOn w:val="2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Strong"/>
    <w:basedOn w:val="28"/>
    <w:qFormat/>
    <w:uiPriority w:val="22"/>
    <w:rPr>
      <w:b/>
      <w:bCs/>
    </w:rPr>
  </w:style>
  <w:style w:type="character" w:styleId="30">
    <w:name w:val="page number"/>
    <w:qFormat/>
    <w:uiPriority w:val="0"/>
  </w:style>
  <w:style w:type="character" w:styleId="31">
    <w:name w:val="FollowedHyperlink"/>
    <w:basedOn w:val="28"/>
    <w:semiHidden/>
    <w:unhideWhenUsed/>
    <w:qFormat/>
    <w:uiPriority w:val="99"/>
    <w:rPr>
      <w:color w:val="4D7AD8"/>
      <w:u w:val="none"/>
    </w:rPr>
  </w:style>
  <w:style w:type="character" w:styleId="32">
    <w:name w:val="Emphasis"/>
    <w:basedOn w:val="28"/>
    <w:qFormat/>
    <w:uiPriority w:val="0"/>
    <w:rPr>
      <w:i/>
    </w:rPr>
  </w:style>
  <w:style w:type="character" w:styleId="33">
    <w:name w:val="HTML Definition"/>
    <w:basedOn w:val="28"/>
    <w:semiHidden/>
    <w:unhideWhenUsed/>
    <w:qFormat/>
    <w:uiPriority w:val="99"/>
    <w:rPr>
      <w:i/>
      <w:iCs/>
    </w:rPr>
  </w:style>
  <w:style w:type="character" w:styleId="34">
    <w:name w:val="Hyperlink"/>
    <w:unhideWhenUsed/>
    <w:qFormat/>
    <w:uiPriority w:val="99"/>
    <w:rPr>
      <w:color w:val="0000FF"/>
      <w:u w:val="single"/>
    </w:rPr>
  </w:style>
  <w:style w:type="character" w:styleId="35">
    <w:name w:val="HTML Code"/>
    <w:basedOn w:val="28"/>
    <w:semiHidden/>
    <w:unhideWhenUsed/>
    <w:qFormat/>
    <w:uiPriority w:val="99"/>
    <w:rPr>
      <w:rFonts w:hint="default" w:ascii="Consolas" w:hAnsi="Consolas" w:eastAsia="Consolas" w:cs="Consolas"/>
      <w:sz w:val="21"/>
      <w:szCs w:val="21"/>
    </w:rPr>
  </w:style>
  <w:style w:type="character" w:styleId="36">
    <w:name w:val="annotation reference"/>
    <w:basedOn w:val="28"/>
    <w:qFormat/>
    <w:uiPriority w:val="0"/>
    <w:rPr>
      <w:sz w:val="21"/>
      <w:szCs w:val="21"/>
    </w:rPr>
  </w:style>
  <w:style w:type="character" w:styleId="37">
    <w:name w:val="HTML Keyboard"/>
    <w:basedOn w:val="28"/>
    <w:semiHidden/>
    <w:unhideWhenUsed/>
    <w:qFormat/>
    <w:uiPriority w:val="99"/>
    <w:rPr>
      <w:rFonts w:ascii="Consolas" w:hAnsi="Consolas" w:eastAsia="Consolas" w:cs="Consolas"/>
      <w:sz w:val="21"/>
      <w:szCs w:val="21"/>
    </w:rPr>
  </w:style>
  <w:style w:type="character" w:styleId="38">
    <w:name w:val="HTML Sample"/>
    <w:basedOn w:val="28"/>
    <w:semiHidden/>
    <w:unhideWhenUsed/>
    <w:qFormat/>
    <w:uiPriority w:val="99"/>
    <w:rPr>
      <w:rFonts w:hint="default" w:ascii="Consolas" w:hAnsi="Consolas" w:eastAsia="Consolas" w:cs="Consolas"/>
      <w:sz w:val="21"/>
      <w:szCs w:val="21"/>
    </w:rPr>
  </w:style>
  <w:style w:type="paragraph" w:customStyle="1" w:styleId="39">
    <w:name w:val="无间隔1"/>
    <w:qFormat/>
    <w:uiPriority w:val="99"/>
    <w:pPr>
      <w:widowControl w:val="0"/>
      <w:jc w:val="both"/>
    </w:pPr>
    <w:rPr>
      <w:rFonts w:ascii="Times New Roman" w:hAnsi="Times New Roman" w:eastAsia="宋体" w:cs="Times New Roman"/>
      <w:kern w:val="2"/>
      <w:sz w:val="21"/>
      <w:szCs w:val="22"/>
      <w:lang w:val="en-US" w:eastAsia="zh-CN" w:bidi="ar-SA"/>
    </w:rPr>
  </w:style>
  <w:style w:type="character" w:customStyle="1" w:styleId="40">
    <w:name w:val="标题 1 字符1"/>
    <w:link w:val="2"/>
    <w:qFormat/>
    <w:uiPriority w:val="0"/>
    <w:rPr>
      <w:b/>
      <w:bCs/>
      <w:kern w:val="44"/>
      <w:sz w:val="44"/>
      <w:szCs w:val="44"/>
    </w:rPr>
  </w:style>
  <w:style w:type="character" w:customStyle="1" w:styleId="41">
    <w:name w:val="标题 2 字符"/>
    <w:link w:val="3"/>
    <w:qFormat/>
    <w:uiPriority w:val="9"/>
    <w:rPr>
      <w:rFonts w:ascii="Cambria" w:hAnsi="Cambria" w:eastAsia="宋体" w:cs="Times New Roman"/>
      <w:b/>
      <w:bCs/>
      <w:kern w:val="2"/>
      <w:sz w:val="32"/>
      <w:szCs w:val="32"/>
    </w:rPr>
  </w:style>
  <w:style w:type="character" w:customStyle="1" w:styleId="42">
    <w:name w:val="标题 5 字符"/>
    <w:link w:val="5"/>
    <w:semiHidden/>
    <w:qFormat/>
    <w:uiPriority w:val="9"/>
    <w:rPr>
      <w:rFonts w:ascii="Times New Roman" w:hAnsi="Times New Roman"/>
      <w:b/>
      <w:bCs/>
      <w:kern w:val="2"/>
      <w:sz w:val="28"/>
      <w:szCs w:val="28"/>
    </w:rPr>
  </w:style>
  <w:style w:type="character" w:customStyle="1" w:styleId="43">
    <w:name w:val="批注文字 字符"/>
    <w:link w:val="8"/>
    <w:qFormat/>
    <w:uiPriority w:val="0"/>
    <w:rPr>
      <w:rFonts w:ascii="Times New Roman" w:hAnsi="Times New Roman"/>
      <w:kern w:val="2"/>
      <w:sz w:val="21"/>
      <w:szCs w:val="24"/>
    </w:rPr>
  </w:style>
  <w:style w:type="character" w:customStyle="1" w:styleId="44">
    <w:name w:val="正文文本 3 字符"/>
    <w:link w:val="9"/>
    <w:semiHidden/>
    <w:qFormat/>
    <w:uiPriority w:val="99"/>
    <w:rPr>
      <w:rFonts w:ascii="Times New Roman" w:hAnsi="Times New Roman"/>
      <w:kern w:val="2"/>
      <w:sz w:val="16"/>
      <w:szCs w:val="16"/>
    </w:rPr>
  </w:style>
  <w:style w:type="character" w:customStyle="1" w:styleId="45">
    <w:name w:val="正文文本 字符"/>
    <w:link w:val="10"/>
    <w:qFormat/>
    <w:uiPriority w:val="0"/>
    <w:rPr>
      <w:rFonts w:ascii="Times New Roman" w:hAnsi="Times New Roman"/>
      <w:kern w:val="2"/>
      <w:sz w:val="21"/>
      <w:szCs w:val="24"/>
    </w:rPr>
  </w:style>
  <w:style w:type="character" w:customStyle="1" w:styleId="46">
    <w:name w:val="正文文本缩进 字符"/>
    <w:link w:val="11"/>
    <w:qFormat/>
    <w:uiPriority w:val="0"/>
    <w:rPr>
      <w:rFonts w:ascii="仿宋_GB2312" w:hAnsi="Times New Roman" w:eastAsia="仿宋_GB2312" w:cs="Times New Roman"/>
      <w:sz w:val="32"/>
      <w:szCs w:val="20"/>
    </w:rPr>
  </w:style>
  <w:style w:type="character" w:customStyle="1" w:styleId="47">
    <w:name w:val="纯文本 字符"/>
    <w:link w:val="14"/>
    <w:qFormat/>
    <w:uiPriority w:val="0"/>
    <w:rPr>
      <w:rFonts w:ascii="宋体" w:hAnsi="Courier New" w:eastAsia="宋体" w:cs="Courier New"/>
      <w:szCs w:val="21"/>
    </w:rPr>
  </w:style>
  <w:style w:type="character" w:customStyle="1" w:styleId="48">
    <w:name w:val="日期 字符"/>
    <w:link w:val="15"/>
    <w:semiHidden/>
    <w:qFormat/>
    <w:uiPriority w:val="99"/>
    <w:rPr>
      <w:rFonts w:ascii="Times New Roman" w:hAnsi="Times New Roman"/>
      <w:kern w:val="2"/>
      <w:sz w:val="21"/>
      <w:szCs w:val="24"/>
    </w:rPr>
  </w:style>
  <w:style w:type="character" w:customStyle="1" w:styleId="49">
    <w:name w:val="页脚 字符"/>
    <w:link w:val="17"/>
    <w:qFormat/>
    <w:uiPriority w:val="99"/>
    <w:rPr>
      <w:sz w:val="18"/>
      <w:szCs w:val="18"/>
    </w:rPr>
  </w:style>
  <w:style w:type="character" w:customStyle="1" w:styleId="50">
    <w:name w:val="页眉 字符"/>
    <w:link w:val="18"/>
    <w:qFormat/>
    <w:uiPriority w:val="99"/>
    <w:rPr>
      <w:sz w:val="18"/>
      <w:szCs w:val="18"/>
    </w:rPr>
  </w:style>
  <w:style w:type="character" w:customStyle="1" w:styleId="51">
    <w:name w:val="批注主题 字符"/>
    <w:link w:val="23"/>
    <w:qFormat/>
    <w:uiPriority w:val="99"/>
    <w:rPr>
      <w:rFonts w:ascii="Times New Roman" w:hAnsi="Times New Roman"/>
      <w:b/>
      <w:bCs/>
      <w:kern w:val="2"/>
      <w:sz w:val="21"/>
      <w:szCs w:val="24"/>
    </w:rPr>
  </w:style>
  <w:style w:type="character" w:customStyle="1" w:styleId="52">
    <w:name w:val="正文文本缩进 字符1"/>
    <w:qFormat/>
    <w:uiPriority w:val="0"/>
    <w:rPr>
      <w:rFonts w:ascii="仿宋_GB2312" w:hAnsi="Times New Roman" w:eastAsia="仿宋_GB2312" w:cs="Times New Roman"/>
      <w:sz w:val="32"/>
      <w:szCs w:val="20"/>
    </w:rPr>
  </w:style>
  <w:style w:type="character" w:customStyle="1" w:styleId="53">
    <w:name w:val="apple-style-span"/>
    <w:qFormat/>
    <w:uiPriority w:val="0"/>
  </w:style>
  <w:style w:type="character" w:customStyle="1" w:styleId="54">
    <w:name w:val="标题 1 字符"/>
    <w:qFormat/>
    <w:uiPriority w:val="9"/>
    <w:rPr>
      <w:b/>
      <w:bCs/>
      <w:kern w:val="44"/>
      <w:sz w:val="44"/>
      <w:szCs w:val="44"/>
    </w:rPr>
  </w:style>
  <w:style w:type="character" w:customStyle="1" w:styleId="55">
    <w:name w:val="textcontents"/>
    <w:qFormat/>
    <w:uiPriority w:val="0"/>
  </w:style>
  <w:style w:type="character" w:customStyle="1" w:styleId="56">
    <w:name w:val="纯文本 字符1"/>
    <w:qFormat/>
    <w:uiPriority w:val="0"/>
    <w:rPr>
      <w:rFonts w:ascii="宋体" w:hAnsi="Courier New"/>
    </w:rPr>
  </w:style>
  <w:style w:type="character" w:customStyle="1" w:styleId="57">
    <w:name w:val="批注文字 字符1"/>
    <w:qFormat/>
    <w:uiPriority w:val="0"/>
    <w:rPr>
      <w:kern w:val="2"/>
      <w:sz w:val="21"/>
      <w:szCs w:val="24"/>
    </w:rPr>
  </w:style>
  <w:style w:type="character" w:customStyle="1" w:styleId="58">
    <w:name w:val="纯文本 字符2"/>
    <w:qFormat/>
    <w:uiPriority w:val="0"/>
    <w:rPr>
      <w:rFonts w:ascii="宋体" w:hAnsi="Courier New" w:eastAsia="宋体" w:cs="Courier New"/>
      <w:szCs w:val="21"/>
    </w:rPr>
  </w:style>
  <w:style w:type="character" w:customStyle="1" w:styleId="59">
    <w:name w:val="页脚 Char"/>
    <w:qFormat/>
    <w:uiPriority w:val="99"/>
    <w:rPr>
      <w:lang w:eastAsia="zh-CN"/>
    </w:rPr>
  </w:style>
  <w:style w:type="paragraph" w:customStyle="1" w:styleId="60">
    <w:name w:val="默认段落字体 Para Char Char Char Char Char Char Char Char Char1 Char Char Char Char"/>
    <w:basedOn w:val="1"/>
    <w:qFormat/>
    <w:uiPriority w:val="0"/>
    <w:rPr>
      <w:rFonts w:ascii="Tahoma" w:hAnsi="Tahoma"/>
      <w:sz w:val="24"/>
      <w:szCs w:val="20"/>
    </w:rPr>
  </w:style>
  <w:style w:type="paragraph" w:customStyle="1" w:styleId="61">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62">
    <w:name w:val="列出段落1"/>
    <w:basedOn w:val="1"/>
    <w:qFormat/>
    <w:uiPriority w:val="34"/>
    <w:pPr>
      <w:ind w:firstLine="420" w:firstLineChars="200"/>
    </w:pPr>
  </w:style>
  <w:style w:type="paragraph" w:customStyle="1" w:styleId="63">
    <w:name w:val="Table Paragraph"/>
    <w:basedOn w:val="1"/>
    <w:qFormat/>
    <w:uiPriority w:val="1"/>
    <w:pPr>
      <w:jc w:val="left"/>
    </w:pPr>
    <w:rPr>
      <w:rFonts w:ascii="Calibri" w:hAnsi="Calibri"/>
      <w:kern w:val="0"/>
      <w:sz w:val="22"/>
      <w:szCs w:val="22"/>
      <w:lang w:eastAsia="en-US"/>
    </w:rPr>
  </w:style>
  <w:style w:type="character" w:customStyle="1" w:styleId="64">
    <w:name w:val="批注文字 Char1"/>
    <w:qFormat/>
    <w:uiPriority w:val="0"/>
    <w:rPr>
      <w:rFonts w:ascii="Times New Roman" w:hAnsi="Times New Roman"/>
      <w:kern w:val="2"/>
      <w:sz w:val="21"/>
      <w:szCs w:val="24"/>
    </w:rPr>
  </w:style>
  <w:style w:type="character" w:customStyle="1" w:styleId="65">
    <w:name w:val="批注文字 字符2"/>
    <w:qFormat/>
    <w:uiPriority w:val="0"/>
    <w:rPr>
      <w:rFonts w:ascii="Times New Roman" w:hAnsi="Times New Roman"/>
      <w:kern w:val="2"/>
      <w:sz w:val="21"/>
      <w:szCs w:val="24"/>
    </w:rPr>
  </w:style>
  <w:style w:type="character" w:customStyle="1" w:styleId="66">
    <w:name w:val="正文文本 (26) + 间距 0 pt"/>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67">
    <w:name w:val="纯文本 Char1"/>
    <w:qFormat/>
    <w:uiPriority w:val="0"/>
    <w:rPr>
      <w:rFonts w:ascii="宋体" w:hAnsi="Courier New" w:eastAsia="宋体" w:cs="Courier New"/>
      <w:szCs w:val="21"/>
    </w:rPr>
  </w:style>
  <w:style w:type="character" w:customStyle="1" w:styleId="68">
    <w:name w:val="批注文字 Char2"/>
    <w:qFormat/>
    <w:uiPriority w:val="0"/>
    <w:rPr>
      <w:rFonts w:ascii="Times New Roman" w:hAnsi="Times New Roman"/>
      <w:kern w:val="2"/>
      <w:sz w:val="21"/>
      <w:szCs w:val="24"/>
    </w:rPr>
  </w:style>
  <w:style w:type="character" w:customStyle="1" w:styleId="69">
    <w:name w:val="font11"/>
    <w:basedOn w:val="28"/>
    <w:qFormat/>
    <w:uiPriority w:val="0"/>
    <w:rPr>
      <w:rFonts w:hint="eastAsia" w:ascii="宋体" w:hAnsi="宋体" w:eastAsia="宋体" w:cs="宋体"/>
      <w:color w:val="000000"/>
      <w:sz w:val="20"/>
      <w:szCs w:val="20"/>
      <w:u w:val="none"/>
    </w:rPr>
  </w:style>
  <w:style w:type="character" w:customStyle="1" w:styleId="70">
    <w:name w:val="font41"/>
    <w:qFormat/>
    <w:uiPriority w:val="0"/>
    <w:rPr>
      <w:rFonts w:ascii="宋体" w:hAnsi="宋体" w:eastAsia="宋体" w:cs="宋体"/>
      <w:color w:val="000000"/>
      <w:sz w:val="20"/>
      <w:szCs w:val="20"/>
      <w:u w:val="none"/>
    </w:rPr>
  </w:style>
  <w:style w:type="character" w:customStyle="1" w:styleId="71">
    <w:name w:val="font31"/>
    <w:qFormat/>
    <w:uiPriority w:val="0"/>
    <w:rPr>
      <w:rFonts w:ascii="方正书宋_GBK" w:hAnsi="方正书宋_GBK" w:eastAsia="方正书宋_GBK" w:cs="方正书宋_GBK"/>
      <w:color w:val="000000"/>
      <w:sz w:val="21"/>
      <w:szCs w:val="21"/>
      <w:u w:val="none"/>
    </w:rPr>
  </w:style>
  <w:style w:type="character" w:customStyle="1" w:styleId="72">
    <w:name w:val="font61"/>
    <w:basedOn w:val="28"/>
    <w:qFormat/>
    <w:uiPriority w:val="0"/>
    <w:rPr>
      <w:rFonts w:hint="default" w:ascii="Times New Roman" w:hAnsi="Times New Roman" w:cs="Times New Roman"/>
      <w:color w:val="000000"/>
      <w:sz w:val="21"/>
      <w:szCs w:val="21"/>
      <w:u w:val="none"/>
    </w:rPr>
  </w:style>
  <w:style w:type="character" w:customStyle="1" w:styleId="73">
    <w:name w:val="font71"/>
    <w:basedOn w:val="28"/>
    <w:qFormat/>
    <w:uiPriority w:val="0"/>
    <w:rPr>
      <w:rFonts w:hint="eastAsia" w:ascii="宋体" w:hAnsi="宋体" w:eastAsia="宋体" w:cs="宋体"/>
      <w:b/>
      <w:bCs/>
      <w:color w:val="000000"/>
      <w:sz w:val="18"/>
      <w:szCs w:val="18"/>
      <w:u w:val="none"/>
    </w:rPr>
  </w:style>
  <w:style w:type="character" w:customStyle="1" w:styleId="74">
    <w:name w:val="font81"/>
    <w:basedOn w:val="28"/>
    <w:qFormat/>
    <w:uiPriority w:val="0"/>
    <w:rPr>
      <w:rFonts w:hint="eastAsia" w:ascii="宋体" w:hAnsi="宋体" w:eastAsia="宋体" w:cs="宋体"/>
      <w:color w:val="000000"/>
      <w:sz w:val="18"/>
      <w:szCs w:val="18"/>
      <w:u w:val="none"/>
    </w:rPr>
  </w:style>
  <w:style w:type="character" w:customStyle="1" w:styleId="75">
    <w:name w:val="font01"/>
    <w:basedOn w:val="28"/>
    <w:qFormat/>
    <w:uiPriority w:val="0"/>
    <w:rPr>
      <w:rFonts w:hint="default" w:ascii="Arial" w:hAnsi="Arial" w:cs="Arial"/>
      <w:color w:val="000000"/>
      <w:sz w:val="18"/>
      <w:szCs w:val="18"/>
      <w:u w:val="none"/>
    </w:rPr>
  </w:style>
  <w:style w:type="character" w:customStyle="1" w:styleId="76">
    <w:name w:val="font91"/>
    <w:basedOn w:val="28"/>
    <w:qFormat/>
    <w:uiPriority w:val="0"/>
    <w:rPr>
      <w:rFonts w:hint="eastAsia" w:ascii="宋体" w:hAnsi="宋体" w:eastAsia="宋体" w:cs="宋体"/>
      <w:color w:val="000000"/>
      <w:sz w:val="18"/>
      <w:szCs w:val="18"/>
      <w:u w:val="none"/>
    </w:rPr>
  </w:style>
  <w:style w:type="character" w:customStyle="1" w:styleId="77">
    <w:name w:val="font51"/>
    <w:qFormat/>
    <w:uiPriority w:val="0"/>
    <w:rPr>
      <w:rFonts w:hint="default" w:ascii="Times New Roman" w:hAnsi="Times New Roman" w:cs="Times New Roman"/>
      <w:b/>
      <w:color w:val="000000"/>
      <w:sz w:val="18"/>
      <w:szCs w:val="18"/>
      <w:u w:val="none"/>
    </w:rPr>
  </w:style>
  <w:style w:type="paragraph" w:styleId="78">
    <w:name w:val="List Paragraph"/>
    <w:basedOn w:val="1"/>
    <w:qFormat/>
    <w:uiPriority w:val="34"/>
    <w:pPr>
      <w:ind w:firstLine="420" w:firstLineChars="200"/>
    </w:pPr>
  </w:style>
  <w:style w:type="paragraph" w:customStyle="1" w:styleId="79">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80">
    <w:name w:val="Title1"/>
    <w:basedOn w:val="1"/>
    <w:next w:val="1"/>
    <w:qFormat/>
    <w:uiPriority w:val="0"/>
    <w:pPr>
      <w:jc w:val="center"/>
      <w:outlineLvl w:val="0"/>
    </w:pPr>
    <w:rPr>
      <w:rFonts w:ascii="Calibri Light" w:hAnsi="Calibri Light" w:eastAsia="Arial Unicode MS"/>
      <w:b/>
    </w:rPr>
  </w:style>
  <w:style w:type="paragraph" w:customStyle="1" w:styleId="81">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82">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83">
    <w:name w:val="修订3"/>
    <w:hidden/>
    <w:semiHidden/>
    <w:qFormat/>
    <w:uiPriority w:val="99"/>
    <w:rPr>
      <w:rFonts w:ascii="Times New Roman" w:hAnsi="Times New Roman" w:eastAsia="宋体" w:cs="Times New Roman"/>
      <w:kern w:val="2"/>
      <w:sz w:val="21"/>
      <w:szCs w:val="24"/>
      <w:lang w:val="en-US" w:eastAsia="zh-CN" w:bidi="ar-SA"/>
    </w:rPr>
  </w:style>
  <w:style w:type="paragraph" w:customStyle="1" w:styleId="84">
    <w:name w:val="修订4"/>
    <w:hidden/>
    <w:unhideWhenUsed/>
    <w:qFormat/>
    <w:uiPriority w:val="99"/>
    <w:rPr>
      <w:rFonts w:ascii="Times New Roman" w:hAnsi="Times New Roman" w:eastAsia="宋体" w:cs="Times New Roman"/>
      <w:kern w:val="2"/>
      <w:sz w:val="21"/>
      <w:szCs w:val="24"/>
      <w:lang w:val="en-US" w:eastAsia="zh-CN" w:bidi="ar-SA"/>
    </w:rPr>
  </w:style>
  <w:style w:type="paragraph" w:customStyle="1" w:styleId="85">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86">
    <w:name w:val="nth-child(2)"/>
    <w:basedOn w:val="28"/>
    <w:qFormat/>
    <w:uiPriority w:val="0"/>
  </w:style>
  <w:style w:type="character" w:customStyle="1" w:styleId="87">
    <w:name w:val="first-of-type"/>
    <w:basedOn w:val="28"/>
    <w:qFormat/>
    <w:uiPriority w:val="0"/>
    <w:rPr>
      <w:color w:val="FF0000"/>
    </w:rPr>
  </w:style>
  <w:style w:type="character" w:customStyle="1" w:styleId="88">
    <w:name w:val="first-of-type1"/>
    <w:basedOn w:val="28"/>
    <w:qFormat/>
    <w:uiPriority w:val="0"/>
    <w:rPr>
      <w:color w:val="FF0000"/>
    </w:rPr>
  </w:style>
  <w:style w:type="character" w:customStyle="1" w:styleId="89">
    <w:name w:val="first-of-type2"/>
    <w:basedOn w:val="28"/>
    <w:qFormat/>
    <w:uiPriority w:val="0"/>
    <w:rPr>
      <w:color w:val="FF0000"/>
    </w:rPr>
  </w:style>
  <w:style w:type="character" w:customStyle="1" w:styleId="90">
    <w:name w:val="ant-tree-switcher13"/>
    <w:basedOn w:val="28"/>
    <w:qFormat/>
    <w:uiPriority w:val="0"/>
  </w:style>
  <w:style w:type="character" w:customStyle="1" w:styleId="91">
    <w:name w:val="isrevision"/>
    <w:basedOn w:val="28"/>
    <w:qFormat/>
    <w:uiPriority w:val="0"/>
    <w:rPr>
      <w:color w:val="000000"/>
      <w:sz w:val="18"/>
      <w:szCs w:val="18"/>
      <w:bdr w:val="single" w:color="E9E9E9" w:sz="6" w:space="0"/>
      <w:shd w:val="clear" w:fill="FFFFFF"/>
    </w:rPr>
  </w:style>
  <w:style w:type="character" w:customStyle="1" w:styleId="92">
    <w:name w:val="passed-node"/>
    <w:basedOn w:val="28"/>
    <w:qFormat/>
    <w:uiPriority w:val="0"/>
    <w:rPr>
      <w:bdr w:val="single" w:color="49A8D4" w:sz="6" w:space="0"/>
      <w:shd w:val="clear" w:fill="A9E3FF"/>
    </w:rPr>
  </w:style>
  <w:style w:type="character" w:customStyle="1" w:styleId="93">
    <w:name w:val="button"/>
    <w:basedOn w:val="28"/>
    <w:qFormat/>
    <w:uiPriority w:val="0"/>
  </w:style>
  <w:style w:type="character" w:customStyle="1" w:styleId="94">
    <w:name w:val="cke_dialog_ui_button"/>
    <w:basedOn w:val="28"/>
    <w:qFormat/>
    <w:uiPriority w:val="0"/>
  </w:style>
  <w:style w:type="character" w:customStyle="1" w:styleId="95">
    <w:name w:val="disabled"/>
    <w:basedOn w:val="28"/>
    <w:qFormat/>
    <w:uiPriority w:val="0"/>
    <w:rPr>
      <w:color w:val="AAAAAA"/>
      <w:shd w:val="clear" w:fill="F7F7F7"/>
    </w:rPr>
  </w:style>
  <w:style w:type="character" w:customStyle="1" w:styleId="96">
    <w:name w:val="auto-pass-node"/>
    <w:basedOn w:val="28"/>
    <w:qFormat/>
    <w:uiPriority w:val="0"/>
    <w:rPr>
      <w:bdr w:val="single" w:color="DC4446" w:sz="6" w:space="0"/>
      <w:shd w:val="clear" w:fill="A9E2FF"/>
    </w:rPr>
  </w:style>
  <w:style w:type="character" w:customStyle="1" w:styleId="97">
    <w:name w:val="ant-select-tree-iconele"/>
    <w:basedOn w:val="28"/>
    <w:qFormat/>
    <w:uiPriority w:val="0"/>
  </w:style>
  <w:style w:type="character" w:customStyle="1" w:styleId="98">
    <w:name w:val="wea-dropdown-triangle2"/>
    <w:basedOn w:val="28"/>
    <w:qFormat/>
    <w:uiPriority w:val="0"/>
  </w:style>
  <w:style w:type="character" w:customStyle="1" w:styleId="99">
    <w:name w:val="ant-select-tree-switcher"/>
    <w:basedOn w:val="28"/>
    <w:qFormat/>
    <w:uiPriority w:val="0"/>
  </w:style>
  <w:style w:type="character" w:customStyle="1" w:styleId="100">
    <w:name w:val="ant-radio+*"/>
    <w:basedOn w:val="28"/>
    <w:qFormat/>
    <w:uiPriority w:val="0"/>
  </w:style>
  <w:style w:type="character" w:customStyle="1" w:styleId="101">
    <w:name w:val="cke_notification_progress"/>
    <w:basedOn w:val="28"/>
    <w:qFormat/>
    <w:uiPriority w:val="0"/>
    <w:rPr>
      <w:shd w:val="clear" w:fill="0F74A8"/>
    </w:rPr>
  </w:style>
  <w:style w:type="character" w:customStyle="1" w:styleId="102">
    <w:name w:val="cke_colorbox2"/>
    <w:basedOn w:val="28"/>
    <w:qFormat/>
    <w:uiPriority w:val="0"/>
  </w:style>
  <w:style w:type="character" w:customStyle="1" w:styleId="103">
    <w:name w:val="cke_colorbox3"/>
    <w:basedOn w:val="28"/>
    <w:qFormat/>
    <w:uiPriority w:val="0"/>
  </w:style>
  <w:style w:type="character" w:customStyle="1" w:styleId="104">
    <w:name w:val="cke_colorbox4"/>
    <w:basedOn w:val="28"/>
    <w:qFormat/>
    <w:uiPriority w:val="0"/>
    <w:rPr>
      <w:bdr w:val="single" w:color="808080" w:sz="6" w:space="0"/>
    </w:rPr>
  </w:style>
  <w:style w:type="character" w:customStyle="1" w:styleId="105">
    <w:name w:val="ant-table-row-expand-icon"/>
    <w:basedOn w:val="28"/>
    <w:qFormat/>
    <w:uiPriority w:val="0"/>
    <w:rPr>
      <w:vanish/>
    </w:rPr>
  </w:style>
  <w:style w:type="character" w:customStyle="1" w:styleId="106">
    <w:name w:val="ant-tree-iconele"/>
    <w:basedOn w:val="28"/>
    <w:qFormat/>
    <w:uiPriority w:val="0"/>
  </w:style>
  <w:style w:type="character" w:customStyle="1" w:styleId="107">
    <w:name w:val="ant-select-tree-checkbox2"/>
    <w:basedOn w:val="28"/>
    <w:qFormat/>
    <w:uiPriority w:val="0"/>
  </w:style>
  <w:style w:type="character" w:customStyle="1" w:styleId="108">
    <w:name w:val="label16"/>
    <w:basedOn w:val="28"/>
    <w:qFormat/>
    <w:uiPriority w:val="0"/>
  </w:style>
  <w:style w:type="character" w:customStyle="1" w:styleId="109">
    <w:name w:val="label17"/>
    <w:basedOn w:val="28"/>
    <w:qFormat/>
    <w:uiPriority w:val="0"/>
  </w:style>
  <w:style w:type="character" w:customStyle="1" w:styleId="110">
    <w:name w:val="top-label"/>
    <w:basedOn w:val="28"/>
    <w:qFormat/>
    <w:uiPriority w:val="0"/>
  </w:style>
  <w:style w:type="character" w:customStyle="1" w:styleId="111">
    <w:name w:val="ant-tree-checkbox"/>
    <w:basedOn w:val="28"/>
    <w:qFormat/>
    <w:uiPriority w:val="0"/>
  </w:style>
  <w:style w:type="character" w:customStyle="1" w:styleId="112">
    <w:name w:val="wea-thumbnails-doc-content-subtitle"/>
    <w:basedOn w:val="28"/>
    <w:qFormat/>
    <w:uiPriority w:val="0"/>
    <w:rPr>
      <w:color w:val="9A9A9A"/>
    </w:rPr>
  </w:style>
  <w:style w:type="character" w:customStyle="1" w:styleId="113">
    <w:name w:val="cke_path_empty"/>
    <w:basedOn w:val="28"/>
    <w:qFormat/>
    <w:uiPriority w:val="0"/>
    <w:rPr>
      <w:b/>
      <w:bCs/>
      <w:color w:val="484848"/>
      <w:sz w:val="16"/>
      <w:szCs w:val="16"/>
      <w:u w:val="none"/>
    </w:rPr>
  </w:style>
  <w:style w:type="character" w:customStyle="1" w:styleId="114">
    <w:name w:val="hover43"/>
    <w:basedOn w:val="28"/>
    <w:qFormat/>
    <w:uiPriority w:val="0"/>
    <w:rPr>
      <w:color w:val="009DFF"/>
    </w:rPr>
  </w:style>
  <w:style w:type="character" w:customStyle="1" w:styleId="115">
    <w:name w:val="hover44"/>
    <w:basedOn w:val="28"/>
    <w:qFormat/>
    <w:uiPriority w:val="0"/>
    <w:rPr>
      <w:color w:val="009DFF"/>
    </w:rPr>
  </w:style>
  <w:style w:type="character" w:customStyle="1" w:styleId="116">
    <w:name w:val="not-pass-node"/>
    <w:basedOn w:val="28"/>
    <w:qFormat/>
    <w:uiPriority w:val="0"/>
    <w:rPr>
      <w:bdr w:val="single" w:color="5ABD6B" w:sz="6" w:space="0"/>
      <w:shd w:val="clear" w:fill="BFF3C3"/>
    </w:rPr>
  </w:style>
  <w:style w:type="character" w:customStyle="1" w:styleId="117">
    <w:name w:val="current-node"/>
    <w:basedOn w:val="28"/>
    <w:qFormat/>
    <w:uiPriority w:val="0"/>
    <w:rPr>
      <w:bdr w:val="single" w:color="F5B87B" w:sz="6" w:space="0"/>
      <w:shd w:val="clear" w:fill="FFE8CC"/>
    </w:rPr>
  </w:style>
  <w:style w:type="character" w:customStyle="1" w:styleId="118">
    <w:name w:val="first-child2"/>
    <w:basedOn w:val="28"/>
    <w:qFormat/>
    <w:uiPriority w:val="0"/>
    <w:rPr>
      <w:color w:val="999999"/>
      <w:sz w:val="33"/>
      <w:szCs w:val="33"/>
    </w:rPr>
  </w:style>
  <w:style w:type="character" w:customStyle="1" w:styleId="119">
    <w:name w:val="first-child3"/>
    <w:basedOn w:val="28"/>
    <w:qFormat/>
    <w:uiPriority w:val="0"/>
  </w:style>
  <w:style w:type="character" w:customStyle="1" w:styleId="120">
    <w:name w:val="first-child4"/>
    <w:basedOn w:val="28"/>
    <w:qFormat/>
    <w:uiPriority w:val="0"/>
  </w:style>
  <w:style w:type="character" w:customStyle="1" w:styleId="121">
    <w:name w:val="last-child1"/>
    <w:basedOn w:val="28"/>
    <w:qFormat/>
    <w:uiPriority w:val="0"/>
  </w:style>
  <w:style w:type="character" w:customStyle="1" w:styleId="122">
    <w:name w:val="tmpztreemove_arrow"/>
    <w:basedOn w:val="28"/>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916563-BF58-494E-ABF5-3247A0EEF605}">
  <ds:schemaRefs/>
</ds:datastoreItem>
</file>

<file path=docProps/app.xml><?xml version="1.0" encoding="utf-8"?>
<Properties xmlns="http://schemas.openxmlformats.org/officeDocument/2006/extended-properties" xmlns:vt="http://schemas.openxmlformats.org/officeDocument/2006/docPropsVTypes">
  <Template>Normal</Template>
  <Company>KWZB;</Company>
  <Pages>77</Pages>
  <Words>9068</Words>
  <Characters>9783</Characters>
  <Lines>395</Lines>
  <Paragraphs>111</Paragraphs>
  <TotalTime>0</TotalTime>
  <ScaleCrop>false</ScaleCrop>
  <LinksUpToDate>false</LinksUpToDate>
  <CharactersWithSpaces>9821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2025-04-07T01:11:00Z</dcterms:created>
  <dc:creator>KWZB</dc:creator>
  <cp:lastModifiedBy>admin</cp:lastModifiedBy>
  <cp:lastPrinted>2020-04-03T00:20:00Z</cp:lastPrinted>
  <dcterms:modified xsi:type="dcterms:W3CDTF">2026-05-20T09:17:05Z</dcterms:modified>
  <dc:title>竞争性谈判文件规范</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C05FEE92AD0743BFBB2E80993DBD419B_13</vt:lpwstr>
  </property>
  <property fmtid="{D5CDD505-2E9C-101B-9397-08002B2CF9AE}" pid="4" name="KSOTemplateDocerSaveRecord">
    <vt:lpwstr>eyJoZGlkIjoiMjczZDhjOWEyNjU2ZjgxYWNiZjBlYTc2NGMzZWFmZWEiLCJ1c2VySWQiOiI3MDU4MzI3MjMifQ==</vt:lpwstr>
  </property>
</Properties>
</file>