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00664">
      <w:pPr>
        <w:widowControl/>
        <w:spacing w:line="360" w:lineRule="auto"/>
        <w:ind w:firstLine="420" w:firstLineChars="200"/>
        <w:rPr>
          <w:rFonts w:hint="eastAsia" w:asciiTheme="minorEastAsia" w:hAnsiTheme="minorEastAsia" w:eastAsiaTheme="minorEastAsia" w:cstheme="minorEastAsia"/>
          <w:color w:val="auto"/>
          <w:kern w:val="0"/>
          <w:szCs w:val="21"/>
          <w:highlight w:val="none"/>
        </w:rPr>
      </w:pPr>
    </w:p>
    <w:p w14:paraId="68E4F64F">
      <w:pPr>
        <w:widowControl/>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drawing>
          <wp:anchor distT="0" distB="0" distL="0" distR="0" simplePos="0" relativeHeight="251662336" behindDoc="0" locked="0" layoutInCell="1" allowOverlap="1">
            <wp:simplePos x="0" y="0"/>
            <wp:positionH relativeFrom="column">
              <wp:posOffset>281305</wp:posOffset>
            </wp:positionH>
            <wp:positionV relativeFrom="paragraph">
              <wp:posOffset>142240</wp:posOffset>
            </wp:positionV>
            <wp:extent cx="5419725" cy="1200150"/>
            <wp:effectExtent l="0" t="0" r="0" b="0"/>
            <wp:wrapNone/>
            <wp:docPr id="1026" name="图片 2" descr="I:\03★工作★（硬盘）\2018年项目-2022年项目-招标\5、2022年项目\（2.28投标入库）南宁轨道地产集团有限责任公司2022-2025年招标代理服务\招标公司-名称.png"/>
            <wp:cNvGraphicFramePr/>
            <a:graphic xmlns:a="http://schemas.openxmlformats.org/drawingml/2006/main">
              <a:graphicData uri="http://schemas.openxmlformats.org/drawingml/2006/picture">
                <pic:pic xmlns:pic="http://schemas.openxmlformats.org/drawingml/2006/picture">
                  <pic:nvPicPr>
                    <pic:cNvPr id="1026" name="图片 2" descr="I:\03★工作★（硬盘）\2018年项目-2022年项目-招标\5、2022年项目\（2.28投标入库）南宁轨道地产集团有限责任公司2022-2025年招标代理服务\招标公司-名称.png"/>
                    <pic:cNvPicPr/>
                  </pic:nvPicPr>
                  <pic:blipFill>
                    <a:blip r:embed="rId12" cstate="print"/>
                    <a:srcRect r="6452"/>
                    <a:stretch>
                      <a:fillRect/>
                    </a:stretch>
                  </pic:blipFill>
                  <pic:spPr>
                    <a:xfrm>
                      <a:off x="0" y="0"/>
                      <a:ext cx="5419725" cy="1200150"/>
                    </a:xfrm>
                    <a:prstGeom prst="rect">
                      <a:avLst/>
                    </a:prstGeom>
                    <a:ln>
                      <a:noFill/>
                    </a:ln>
                  </pic:spPr>
                </pic:pic>
              </a:graphicData>
            </a:graphic>
          </wp:anchor>
        </w:drawing>
      </w:r>
    </w:p>
    <w:p w14:paraId="47144A71">
      <w:pPr>
        <w:widowControl/>
        <w:spacing w:line="360" w:lineRule="auto"/>
        <w:ind w:firstLine="420" w:firstLineChars="200"/>
        <w:rPr>
          <w:rFonts w:hint="eastAsia" w:asciiTheme="minorEastAsia" w:hAnsiTheme="minorEastAsia" w:eastAsiaTheme="minorEastAsia" w:cstheme="minorEastAsia"/>
          <w:color w:val="auto"/>
          <w:kern w:val="0"/>
          <w:szCs w:val="21"/>
          <w:highlight w:val="none"/>
        </w:rPr>
      </w:pPr>
    </w:p>
    <w:p w14:paraId="7B70F0F5">
      <w:pPr>
        <w:spacing w:line="360" w:lineRule="auto"/>
        <w:ind w:firstLine="883" w:firstLineChars="200"/>
        <w:rPr>
          <w:rFonts w:hint="eastAsia" w:asciiTheme="minorEastAsia" w:hAnsiTheme="minorEastAsia" w:eastAsiaTheme="minorEastAsia" w:cstheme="minorEastAsia"/>
          <w:b/>
          <w:color w:val="auto"/>
          <w:kern w:val="0"/>
          <w:sz w:val="44"/>
          <w:szCs w:val="44"/>
          <w:highlight w:val="none"/>
        </w:rPr>
      </w:pPr>
    </w:p>
    <w:p w14:paraId="050B64E0">
      <w:pPr>
        <w:spacing w:line="360" w:lineRule="auto"/>
        <w:ind w:firstLine="883" w:firstLineChars="200"/>
        <w:rPr>
          <w:rFonts w:hint="eastAsia" w:asciiTheme="minorEastAsia" w:hAnsiTheme="minorEastAsia" w:eastAsiaTheme="minorEastAsia" w:cstheme="minorEastAsia"/>
          <w:b/>
          <w:color w:val="auto"/>
          <w:kern w:val="0"/>
          <w:sz w:val="44"/>
          <w:szCs w:val="44"/>
          <w:highlight w:val="none"/>
        </w:rPr>
      </w:pPr>
    </w:p>
    <w:p w14:paraId="2DB2A4B3">
      <w:pPr>
        <w:spacing w:line="360" w:lineRule="auto"/>
        <w:jc w:val="center"/>
        <w:rPr>
          <w:rFonts w:hint="eastAsia" w:asciiTheme="minorEastAsia" w:hAnsiTheme="minorEastAsia" w:eastAsiaTheme="minorEastAsia" w:cstheme="minorEastAsia"/>
          <w:color w:val="auto"/>
          <w:sz w:val="44"/>
          <w:szCs w:val="44"/>
          <w:highlight w:val="none"/>
        </w:rPr>
      </w:pPr>
    </w:p>
    <w:p w14:paraId="286A0E34">
      <w:pPr>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44"/>
          <w:szCs w:val="44"/>
          <w:highlight w:val="none"/>
        </w:rPr>
        <w:t>广西壮族自治区政府采购</w:t>
      </w:r>
    </w:p>
    <w:p w14:paraId="1A2F4051">
      <w:pPr>
        <w:spacing w:line="360" w:lineRule="auto"/>
        <w:jc w:val="center"/>
        <w:rPr>
          <w:rFonts w:hint="eastAsia" w:asciiTheme="minorEastAsia" w:hAnsiTheme="minorEastAsia" w:eastAsiaTheme="minorEastAsia" w:cstheme="minorEastAsia"/>
          <w:color w:val="auto"/>
          <w:sz w:val="72"/>
          <w:szCs w:val="72"/>
          <w:highlight w:val="none"/>
        </w:rPr>
      </w:pPr>
    </w:p>
    <w:p w14:paraId="51398133">
      <w:pPr>
        <w:spacing w:line="360" w:lineRule="auto"/>
        <w:jc w:val="center"/>
        <w:rPr>
          <w:rFonts w:hint="eastAsia" w:asciiTheme="minorEastAsia" w:hAnsiTheme="minorEastAsia" w:eastAsiaTheme="minorEastAsia" w:cstheme="minorEastAsia"/>
          <w:color w:val="auto"/>
          <w:sz w:val="72"/>
          <w:szCs w:val="72"/>
          <w:highlight w:val="none"/>
        </w:rPr>
      </w:pPr>
      <w:r>
        <w:rPr>
          <w:rFonts w:hint="eastAsia" w:asciiTheme="minorEastAsia" w:hAnsiTheme="minorEastAsia" w:eastAsiaTheme="minorEastAsia" w:cstheme="minorEastAsia"/>
          <w:color w:val="auto"/>
          <w:sz w:val="72"/>
          <w:szCs w:val="72"/>
          <w:highlight w:val="none"/>
        </w:rPr>
        <w:t>竞争性磋商文件</w:t>
      </w:r>
    </w:p>
    <w:p w14:paraId="3D65CBF2">
      <w:pPr>
        <w:spacing w:line="360" w:lineRule="auto"/>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（全流程电子化采购）</w:t>
      </w:r>
    </w:p>
    <w:p w14:paraId="466DF796">
      <w:pPr>
        <w:snapToGrid w:val="0"/>
        <w:spacing w:line="360" w:lineRule="auto"/>
        <w:ind w:firstLine="964" w:firstLineChars="200"/>
        <w:rPr>
          <w:rFonts w:hint="eastAsia" w:asciiTheme="minorEastAsia" w:hAnsiTheme="minorEastAsia" w:eastAsiaTheme="minorEastAsia" w:cstheme="minorEastAsia"/>
          <w:b/>
          <w:color w:val="auto"/>
          <w:sz w:val="48"/>
          <w:szCs w:val="48"/>
          <w:highlight w:val="none"/>
        </w:rPr>
      </w:pPr>
    </w:p>
    <w:p w14:paraId="042ADEA3">
      <w:pPr>
        <w:pStyle w:val="17"/>
        <w:snapToGrid w:val="0"/>
        <w:spacing w:line="360" w:lineRule="auto"/>
        <w:ind w:firstLine="602" w:firstLineChars="200"/>
        <w:rPr>
          <w:rFonts w:hint="eastAsia" w:asciiTheme="minorEastAsia" w:hAnsiTheme="minorEastAsia" w:eastAsiaTheme="minorEastAsia" w:cstheme="minorEastAsia"/>
          <w:b/>
          <w:bCs/>
          <w:color w:val="auto"/>
          <w:sz w:val="30"/>
          <w:szCs w:val="30"/>
          <w:highlight w:val="none"/>
        </w:rPr>
      </w:pPr>
    </w:p>
    <w:p w14:paraId="4BDEB351">
      <w:pPr>
        <w:pStyle w:val="17"/>
        <w:snapToGrid w:val="0"/>
        <w:spacing w:line="360" w:lineRule="auto"/>
        <w:ind w:firstLine="643" w:firstLineChars="200"/>
        <w:rPr>
          <w:rFonts w:hint="eastAsia" w:asciiTheme="minorEastAsia" w:hAnsiTheme="minorEastAsia" w:eastAsiaTheme="minorEastAsia" w:cstheme="minorEastAsia"/>
          <w:b/>
          <w:bCs/>
          <w:color w:val="auto"/>
          <w:kern w:val="44"/>
          <w:sz w:val="32"/>
          <w:szCs w:val="32"/>
          <w:highlight w:val="none"/>
        </w:rPr>
      </w:pPr>
      <w:r>
        <w:rPr>
          <w:rFonts w:hint="eastAsia" w:asciiTheme="minorEastAsia" w:hAnsiTheme="minorEastAsia" w:eastAsiaTheme="minorEastAsia" w:cstheme="minorEastAsia"/>
          <w:b/>
          <w:bCs/>
          <w:color w:val="auto"/>
          <w:kern w:val="44"/>
          <w:sz w:val="32"/>
          <w:szCs w:val="32"/>
          <w:highlight w:val="none"/>
        </w:rPr>
        <w:t>项目名称：灵山县人民医院营养饭堂营养品供应服务</w:t>
      </w:r>
    </w:p>
    <w:p w14:paraId="27BC0B1C">
      <w:pPr>
        <w:pStyle w:val="17"/>
        <w:snapToGrid w:val="0"/>
        <w:spacing w:line="360" w:lineRule="auto"/>
        <w:ind w:firstLine="643" w:firstLineChars="200"/>
        <w:rPr>
          <w:rFonts w:hint="eastAsia" w:asciiTheme="minorEastAsia" w:hAnsiTheme="minorEastAsia" w:eastAsiaTheme="minorEastAsia" w:cstheme="minorEastAsia"/>
          <w:b/>
          <w:bCs/>
          <w:color w:val="auto"/>
          <w:kern w:val="44"/>
          <w:sz w:val="36"/>
          <w:szCs w:val="36"/>
          <w:highlight w:val="none"/>
          <w:lang w:eastAsia="zh-CN"/>
        </w:rPr>
      </w:pPr>
      <w:r>
        <w:rPr>
          <w:rFonts w:hint="eastAsia" w:asciiTheme="minorEastAsia" w:hAnsiTheme="minorEastAsia" w:eastAsiaTheme="minorEastAsia" w:cstheme="minorEastAsia"/>
          <w:b/>
          <w:bCs/>
          <w:color w:val="auto"/>
          <w:kern w:val="44"/>
          <w:sz w:val="32"/>
          <w:szCs w:val="32"/>
          <w:highlight w:val="none"/>
        </w:rPr>
        <w:t>项目编号：</w:t>
      </w:r>
      <w:r>
        <w:rPr>
          <w:rFonts w:hint="eastAsia" w:asciiTheme="minorEastAsia" w:hAnsiTheme="minorEastAsia" w:eastAsiaTheme="minorEastAsia" w:cstheme="minorEastAsia"/>
          <w:b/>
          <w:color w:val="auto"/>
          <w:sz w:val="32"/>
          <w:szCs w:val="32"/>
          <w:highlight w:val="none"/>
          <w:lang w:eastAsia="zh-CN"/>
        </w:rPr>
        <w:t>QZZC2026-C3-210106-JGJD</w:t>
      </w:r>
    </w:p>
    <w:p w14:paraId="48E82152">
      <w:pPr>
        <w:pStyle w:val="17"/>
        <w:snapToGrid w:val="0"/>
        <w:spacing w:line="360" w:lineRule="auto"/>
        <w:ind w:firstLine="602" w:firstLineChars="200"/>
        <w:rPr>
          <w:rFonts w:hint="eastAsia" w:asciiTheme="minorEastAsia" w:hAnsiTheme="minorEastAsia" w:eastAsiaTheme="minorEastAsia" w:cstheme="minorEastAsia"/>
          <w:b/>
          <w:bCs/>
          <w:color w:val="auto"/>
          <w:sz w:val="30"/>
          <w:szCs w:val="30"/>
          <w:highlight w:val="none"/>
        </w:rPr>
      </w:pPr>
    </w:p>
    <w:p w14:paraId="10022386">
      <w:pPr>
        <w:snapToGrid w:val="0"/>
        <w:spacing w:line="360" w:lineRule="auto"/>
        <w:ind w:firstLine="572" w:firstLineChars="200"/>
        <w:rPr>
          <w:rFonts w:hint="eastAsia" w:asciiTheme="minorEastAsia" w:hAnsiTheme="minorEastAsia" w:eastAsiaTheme="minorEastAsia" w:cstheme="minorEastAsia"/>
          <w:b/>
          <w:bCs/>
          <w:color w:val="auto"/>
          <w:w w:val="95"/>
          <w:sz w:val="30"/>
          <w:szCs w:val="30"/>
          <w:highlight w:val="none"/>
        </w:rPr>
      </w:pPr>
    </w:p>
    <w:p w14:paraId="21FE802F">
      <w:pPr>
        <w:snapToGrid w:val="0"/>
        <w:spacing w:line="360" w:lineRule="auto"/>
        <w:ind w:firstLine="600" w:firstLineChars="200"/>
        <w:rPr>
          <w:rFonts w:hint="eastAsia" w:asciiTheme="minorEastAsia" w:hAnsiTheme="minorEastAsia" w:eastAsiaTheme="minorEastAsia" w:cstheme="minorEastAsia"/>
          <w:color w:val="auto"/>
          <w:sz w:val="30"/>
          <w:szCs w:val="72"/>
          <w:highlight w:val="none"/>
        </w:rPr>
      </w:pPr>
    </w:p>
    <w:p w14:paraId="73349495">
      <w:pPr>
        <w:pStyle w:val="17"/>
        <w:snapToGrid w:val="0"/>
        <w:spacing w:line="360" w:lineRule="auto"/>
        <w:ind w:firstLine="572" w:firstLineChars="200"/>
        <w:rPr>
          <w:rFonts w:hint="eastAsia"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t>采 购 人：灵山县人民医院</w:t>
      </w:r>
    </w:p>
    <w:p w14:paraId="738961F7">
      <w:pPr>
        <w:pStyle w:val="17"/>
        <w:snapToGrid w:val="0"/>
        <w:spacing w:line="360" w:lineRule="auto"/>
        <w:ind w:firstLine="572" w:firstLineChars="200"/>
        <w:rPr>
          <w:rFonts w:hint="eastAsia"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t>采购代理机构：</w:t>
      </w:r>
      <w:r>
        <w:rPr>
          <w:rFonts w:hint="eastAsia" w:asciiTheme="minorEastAsia" w:hAnsiTheme="minorEastAsia" w:eastAsiaTheme="minorEastAsia" w:cstheme="minorEastAsia"/>
          <w:b/>
          <w:color w:val="auto"/>
          <w:sz w:val="32"/>
          <w:szCs w:val="32"/>
          <w:highlight w:val="none"/>
        </w:rPr>
        <w:t>广西建设工程机电设备招标中心有限公司</w:t>
      </w:r>
    </w:p>
    <w:p w14:paraId="202C24BD">
      <w:pPr>
        <w:pStyle w:val="17"/>
        <w:snapToGrid w:val="0"/>
        <w:spacing w:line="360" w:lineRule="auto"/>
        <w:ind w:firstLine="572" w:firstLineChars="200"/>
        <w:rPr>
          <w:rFonts w:hint="eastAsia" w:asciiTheme="minorEastAsia" w:hAnsiTheme="minorEastAsia" w:eastAsiaTheme="minorEastAsia" w:cstheme="minorEastAsia"/>
          <w:b/>
          <w:bCs/>
          <w:color w:val="auto"/>
          <w:w w:val="95"/>
          <w:sz w:val="30"/>
          <w:szCs w:val="30"/>
          <w:highlight w:val="none"/>
        </w:rPr>
      </w:pPr>
    </w:p>
    <w:p w14:paraId="5C40D2C2">
      <w:pPr>
        <w:pStyle w:val="17"/>
        <w:snapToGrid w:val="0"/>
        <w:spacing w:line="360" w:lineRule="auto"/>
        <w:jc w:val="center"/>
        <w:rPr>
          <w:rFonts w:hint="eastAsia"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t>2026年</w:t>
      </w:r>
      <w:r>
        <w:rPr>
          <w:rFonts w:hint="eastAsia" w:asciiTheme="minorEastAsia" w:hAnsiTheme="minorEastAsia" w:eastAsiaTheme="minorEastAsia" w:cstheme="minorEastAsia"/>
          <w:b/>
          <w:bCs/>
          <w:color w:val="auto"/>
          <w:w w:val="95"/>
          <w:sz w:val="30"/>
          <w:szCs w:val="30"/>
          <w:highlight w:val="none"/>
          <w:lang w:val="en-US" w:eastAsia="zh-CN"/>
        </w:rPr>
        <w:t>7月17</w:t>
      </w:r>
      <w:r>
        <w:rPr>
          <w:rFonts w:hint="eastAsia" w:asciiTheme="minorEastAsia" w:hAnsiTheme="minorEastAsia" w:eastAsiaTheme="minorEastAsia" w:cstheme="minorEastAsia"/>
          <w:b/>
          <w:bCs/>
          <w:color w:val="auto"/>
          <w:w w:val="95"/>
          <w:sz w:val="30"/>
          <w:szCs w:val="30"/>
          <w:highlight w:val="none"/>
        </w:rPr>
        <w:t>日</w:t>
      </w:r>
    </w:p>
    <w:p w14:paraId="7E156615">
      <w:pPr>
        <w:spacing w:line="360" w:lineRule="auto"/>
        <w:ind w:firstLine="643" w:firstLineChars="200"/>
        <w:rPr>
          <w:rFonts w:hint="eastAsia" w:asciiTheme="minorEastAsia" w:hAnsiTheme="minorEastAsia" w:eastAsiaTheme="minorEastAsia" w:cstheme="minorEastAsia"/>
          <w:b/>
          <w:bCs/>
          <w:color w:val="auto"/>
          <w:kern w:val="0"/>
          <w:sz w:val="32"/>
          <w:szCs w:val="32"/>
          <w:highlight w:val="none"/>
        </w:rPr>
      </w:pPr>
    </w:p>
    <w:p w14:paraId="12ECDED3">
      <w:pPr>
        <w:widowControl/>
        <w:spacing w:line="360" w:lineRule="auto"/>
        <w:ind w:firstLine="883" w:firstLineChars="200"/>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br w:type="page"/>
      </w:r>
    </w:p>
    <w:p w14:paraId="1304D265">
      <w:pPr>
        <w:spacing w:line="360" w:lineRule="auto"/>
        <w:ind w:firstLine="883" w:firstLineChars="200"/>
        <w:rPr>
          <w:rFonts w:hint="eastAsia" w:asciiTheme="minorEastAsia" w:hAnsiTheme="minorEastAsia" w:eastAsiaTheme="minorEastAsia" w:cstheme="minorEastAsia"/>
          <w:b/>
          <w:color w:val="auto"/>
          <w:sz w:val="44"/>
          <w:szCs w:val="44"/>
          <w:highlight w:val="none"/>
        </w:rPr>
      </w:pPr>
    </w:p>
    <w:p w14:paraId="11E579A2">
      <w:pPr>
        <w:spacing w:line="360" w:lineRule="auto"/>
        <w:jc w:val="center"/>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目  录</w:t>
      </w:r>
    </w:p>
    <w:p w14:paraId="218DE16A">
      <w:pPr>
        <w:spacing w:line="360" w:lineRule="auto"/>
        <w:ind w:firstLine="883" w:firstLineChars="200"/>
        <w:rPr>
          <w:rFonts w:hint="eastAsia" w:asciiTheme="minorEastAsia" w:hAnsiTheme="minorEastAsia" w:eastAsiaTheme="minorEastAsia" w:cstheme="minorEastAsia"/>
          <w:b/>
          <w:color w:val="auto"/>
          <w:sz w:val="44"/>
          <w:szCs w:val="44"/>
          <w:highlight w:val="none"/>
        </w:rPr>
      </w:pPr>
    </w:p>
    <w:p w14:paraId="018BDCF3">
      <w:pPr>
        <w:pStyle w:val="23"/>
        <w:tabs>
          <w:tab w:val="right" w:leader="dot" w:pos="9072"/>
        </w:tabs>
        <w:spacing w:line="360" w:lineRule="auto"/>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aps/>
          <w:color w:val="auto"/>
          <w:sz w:val="28"/>
          <w:szCs w:val="28"/>
          <w:highlight w:val="none"/>
        </w:rPr>
        <w:fldChar w:fldCharType="begin"/>
      </w:r>
      <w:r>
        <w:rPr>
          <w:rFonts w:hint="eastAsia" w:asciiTheme="minorEastAsia" w:hAnsiTheme="minorEastAsia" w:eastAsiaTheme="minorEastAsia" w:cstheme="minorEastAsia"/>
          <w:b/>
          <w:bCs/>
          <w:caps/>
          <w:color w:val="auto"/>
          <w:sz w:val="28"/>
          <w:szCs w:val="28"/>
          <w:highlight w:val="none"/>
        </w:rPr>
        <w:instrText xml:space="preserve"> TOC \o "1-3" \h \z \u </w:instrText>
      </w:r>
      <w:r>
        <w:rPr>
          <w:rFonts w:hint="eastAsia" w:asciiTheme="minorEastAsia" w:hAnsiTheme="minorEastAsia" w:eastAsiaTheme="minorEastAsia" w:cstheme="minorEastAsia"/>
          <w:b/>
          <w:bCs/>
          <w:caps/>
          <w:color w:val="auto"/>
          <w:sz w:val="28"/>
          <w:szCs w:val="28"/>
          <w:highlight w:val="none"/>
        </w:rPr>
        <w:fldChar w:fldCharType="separate"/>
      </w:r>
      <w:r>
        <w:rPr>
          <w:color w:val="auto"/>
          <w:highlight w:val="none"/>
        </w:rPr>
        <w:fldChar w:fldCharType="begin"/>
      </w:r>
      <w:r>
        <w:rPr>
          <w:color w:val="auto"/>
          <w:highlight w:val="none"/>
        </w:rPr>
        <w:instrText xml:space="preserve"> HYPERLINK \l "_Toc12078" </w:instrText>
      </w:r>
      <w:r>
        <w:rPr>
          <w:color w:val="auto"/>
          <w:highlight w:val="none"/>
        </w:rPr>
        <w:fldChar w:fldCharType="separate"/>
      </w:r>
      <w:r>
        <w:rPr>
          <w:rFonts w:hint="eastAsia" w:asciiTheme="minorEastAsia" w:hAnsiTheme="minorEastAsia" w:eastAsiaTheme="minorEastAsia" w:cstheme="minorEastAsia"/>
          <w:b/>
          <w:bCs/>
          <w:color w:val="auto"/>
          <w:sz w:val="28"/>
          <w:szCs w:val="28"/>
          <w:highlight w:val="none"/>
        </w:rPr>
        <w:t>第一章 竞争性磋商公告</w:t>
      </w:r>
      <w:r>
        <w:rPr>
          <w:rFonts w:hint="eastAsia" w:asciiTheme="minorEastAsia" w:hAnsiTheme="minorEastAsia" w:eastAsiaTheme="minorEastAsia" w:cstheme="minorEastAsia"/>
          <w:b/>
          <w:bCs/>
          <w:color w:val="auto"/>
          <w:sz w:val="28"/>
          <w:szCs w:val="28"/>
          <w:highlight w:val="none"/>
        </w:rPr>
        <w:tab/>
      </w: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color w:val="auto"/>
          <w:sz w:val="28"/>
          <w:szCs w:val="28"/>
          <w:highlight w:val="none"/>
        </w:rPr>
        <w:instrText xml:space="preserve"> PAGEREF _Toc12078 \h </w:instrText>
      </w:r>
      <w:r>
        <w:rPr>
          <w:rFonts w:hint="eastAsia" w:asciiTheme="minorEastAsia" w:hAnsiTheme="minorEastAsia" w:eastAsiaTheme="minorEastAsia" w:cstheme="minorEastAsia"/>
          <w:b/>
          <w:bCs/>
          <w:color w:val="auto"/>
          <w:sz w:val="28"/>
          <w:szCs w:val="28"/>
          <w:highlight w:val="none"/>
        </w:rPr>
        <w:fldChar w:fldCharType="separate"/>
      </w:r>
      <w:r>
        <w:rPr>
          <w:rFonts w:hint="eastAsia" w:asciiTheme="minorEastAsia" w:hAnsiTheme="minorEastAsia" w:eastAsiaTheme="minorEastAsia" w:cstheme="minorEastAsia"/>
          <w:b/>
          <w:bCs/>
          <w:color w:val="auto"/>
          <w:sz w:val="28"/>
          <w:szCs w:val="28"/>
          <w:highlight w:val="none"/>
        </w:rPr>
        <w:t>2</w:t>
      </w:r>
      <w:r>
        <w:rPr>
          <w:rFonts w:hint="eastAsia" w:asciiTheme="minorEastAsia" w:hAnsiTheme="minorEastAsia" w:eastAsiaTheme="minorEastAsia" w:cstheme="minorEastAsia"/>
          <w:b/>
          <w:bCs/>
          <w:color w:val="auto"/>
          <w:sz w:val="28"/>
          <w:szCs w:val="28"/>
          <w:highlight w:val="none"/>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06BF9843">
      <w:pPr>
        <w:pStyle w:val="23"/>
        <w:tabs>
          <w:tab w:val="right" w:leader="dot" w:pos="9072"/>
        </w:tabs>
        <w:spacing w:line="360" w:lineRule="auto"/>
        <w:jc w:val="center"/>
        <w:rPr>
          <w:rFonts w:hint="eastAsia" w:asciiTheme="minorEastAsia" w:hAnsiTheme="minorEastAsia" w:eastAsiaTheme="minorEastAsia" w:cstheme="minorEastAsia"/>
          <w:b/>
          <w:bCs/>
          <w:color w:val="auto"/>
          <w:sz w:val="28"/>
          <w:szCs w:val="28"/>
          <w:highlight w:val="none"/>
        </w:rPr>
      </w:pPr>
      <w:r>
        <w:rPr>
          <w:color w:val="auto"/>
          <w:highlight w:val="none"/>
        </w:rPr>
        <w:fldChar w:fldCharType="begin"/>
      </w:r>
      <w:r>
        <w:rPr>
          <w:color w:val="auto"/>
          <w:highlight w:val="none"/>
        </w:rPr>
        <w:instrText xml:space="preserve"> HYPERLINK \l "_Toc26779" </w:instrText>
      </w:r>
      <w:r>
        <w:rPr>
          <w:color w:val="auto"/>
          <w:highlight w:val="none"/>
        </w:rPr>
        <w:fldChar w:fldCharType="separate"/>
      </w:r>
      <w:r>
        <w:rPr>
          <w:rFonts w:hint="eastAsia" w:asciiTheme="minorEastAsia" w:hAnsiTheme="minorEastAsia" w:eastAsiaTheme="minorEastAsia" w:cstheme="minorEastAsia"/>
          <w:b/>
          <w:bCs/>
          <w:color w:val="auto"/>
          <w:sz w:val="28"/>
          <w:szCs w:val="28"/>
          <w:highlight w:val="none"/>
        </w:rPr>
        <w:t>第二章 供应商须知</w:t>
      </w:r>
      <w:r>
        <w:rPr>
          <w:rFonts w:hint="eastAsia" w:asciiTheme="minorEastAsia" w:hAnsiTheme="minorEastAsia" w:eastAsiaTheme="minorEastAsia" w:cstheme="minorEastAsia"/>
          <w:b/>
          <w:bCs/>
          <w:color w:val="auto"/>
          <w:sz w:val="28"/>
          <w:szCs w:val="28"/>
          <w:highlight w:val="none"/>
        </w:rPr>
        <w:tab/>
      </w: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color w:val="auto"/>
          <w:sz w:val="28"/>
          <w:szCs w:val="28"/>
          <w:highlight w:val="none"/>
        </w:rPr>
        <w:instrText xml:space="preserve"> PAGEREF _Toc26779 \h </w:instrText>
      </w:r>
      <w:r>
        <w:rPr>
          <w:rFonts w:hint="eastAsia" w:asciiTheme="minorEastAsia" w:hAnsiTheme="minorEastAsia" w:eastAsiaTheme="minorEastAsia" w:cstheme="minorEastAsia"/>
          <w:b/>
          <w:bCs/>
          <w:color w:val="auto"/>
          <w:sz w:val="28"/>
          <w:szCs w:val="28"/>
          <w:highlight w:val="none"/>
        </w:rPr>
        <w:fldChar w:fldCharType="separate"/>
      </w:r>
      <w:r>
        <w:rPr>
          <w:rFonts w:hint="eastAsia" w:asciiTheme="minorEastAsia" w:hAnsiTheme="minorEastAsia" w:eastAsiaTheme="minorEastAsia" w:cstheme="minorEastAsia"/>
          <w:b/>
          <w:bCs/>
          <w:color w:val="auto"/>
          <w:sz w:val="28"/>
          <w:szCs w:val="28"/>
          <w:highlight w:val="none"/>
        </w:rPr>
        <w:t>6</w:t>
      </w:r>
      <w:r>
        <w:rPr>
          <w:rFonts w:hint="eastAsia" w:asciiTheme="minorEastAsia" w:hAnsiTheme="minorEastAsia" w:eastAsiaTheme="minorEastAsia" w:cstheme="minorEastAsia"/>
          <w:b/>
          <w:bCs/>
          <w:color w:val="auto"/>
          <w:sz w:val="28"/>
          <w:szCs w:val="28"/>
          <w:highlight w:val="none"/>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52045ECD">
      <w:pPr>
        <w:pStyle w:val="23"/>
        <w:tabs>
          <w:tab w:val="right" w:leader="dot" w:pos="9072"/>
        </w:tabs>
        <w:spacing w:line="360" w:lineRule="auto"/>
        <w:jc w:val="center"/>
        <w:rPr>
          <w:rFonts w:hint="eastAsia" w:asciiTheme="minorEastAsia" w:hAnsiTheme="minorEastAsia" w:eastAsiaTheme="minorEastAsia" w:cstheme="minorEastAsia"/>
          <w:b/>
          <w:bCs/>
          <w:color w:val="auto"/>
          <w:sz w:val="28"/>
          <w:szCs w:val="28"/>
          <w:highlight w:val="none"/>
        </w:rPr>
      </w:pPr>
      <w:r>
        <w:rPr>
          <w:color w:val="auto"/>
          <w:highlight w:val="none"/>
        </w:rPr>
        <w:fldChar w:fldCharType="begin"/>
      </w:r>
      <w:r>
        <w:rPr>
          <w:color w:val="auto"/>
          <w:highlight w:val="none"/>
        </w:rPr>
        <w:instrText xml:space="preserve"> HYPERLINK \l "_Toc10746" </w:instrText>
      </w:r>
      <w:r>
        <w:rPr>
          <w:color w:val="auto"/>
          <w:highlight w:val="none"/>
        </w:rPr>
        <w:fldChar w:fldCharType="separate"/>
      </w:r>
      <w:r>
        <w:rPr>
          <w:rFonts w:hint="eastAsia" w:asciiTheme="minorEastAsia" w:hAnsiTheme="minorEastAsia" w:eastAsiaTheme="minorEastAsia" w:cstheme="minorEastAsia"/>
          <w:b/>
          <w:bCs/>
          <w:color w:val="auto"/>
          <w:sz w:val="28"/>
          <w:szCs w:val="28"/>
          <w:highlight w:val="none"/>
        </w:rPr>
        <w:t>第三章 采购需求</w:t>
      </w:r>
      <w:r>
        <w:rPr>
          <w:rFonts w:hint="eastAsia" w:asciiTheme="minorEastAsia" w:hAnsiTheme="minorEastAsia" w:eastAsiaTheme="minorEastAsia" w:cstheme="minorEastAsia"/>
          <w:b/>
          <w:bCs/>
          <w:color w:val="auto"/>
          <w:sz w:val="28"/>
          <w:szCs w:val="28"/>
          <w:highlight w:val="none"/>
        </w:rPr>
        <w:tab/>
      </w: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color w:val="auto"/>
          <w:sz w:val="28"/>
          <w:szCs w:val="28"/>
          <w:highlight w:val="none"/>
        </w:rPr>
        <w:instrText xml:space="preserve"> PAGEREF _Toc10746 \h </w:instrText>
      </w:r>
      <w:r>
        <w:rPr>
          <w:rFonts w:hint="eastAsia" w:asciiTheme="minorEastAsia" w:hAnsiTheme="minorEastAsia" w:eastAsiaTheme="minorEastAsia" w:cstheme="minorEastAsia"/>
          <w:b/>
          <w:bCs/>
          <w:color w:val="auto"/>
          <w:sz w:val="28"/>
          <w:szCs w:val="28"/>
          <w:highlight w:val="none"/>
        </w:rPr>
        <w:fldChar w:fldCharType="separate"/>
      </w:r>
      <w:r>
        <w:rPr>
          <w:rFonts w:hint="eastAsia" w:asciiTheme="minorEastAsia" w:hAnsiTheme="minorEastAsia" w:eastAsiaTheme="minorEastAsia" w:cstheme="minorEastAsia"/>
          <w:b/>
          <w:bCs/>
          <w:color w:val="auto"/>
          <w:sz w:val="28"/>
          <w:szCs w:val="28"/>
          <w:highlight w:val="none"/>
        </w:rPr>
        <w:t>27</w:t>
      </w:r>
      <w:r>
        <w:rPr>
          <w:rFonts w:hint="eastAsia" w:asciiTheme="minorEastAsia" w:hAnsiTheme="minorEastAsia" w:eastAsiaTheme="minorEastAsia" w:cstheme="minorEastAsia"/>
          <w:b/>
          <w:bCs/>
          <w:color w:val="auto"/>
          <w:sz w:val="28"/>
          <w:szCs w:val="28"/>
          <w:highlight w:val="none"/>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5DEC3338">
      <w:pPr>
        <w:pStyle w:val="23"/>
        <w:tabs>
          <w:tab w:val="right" w:leader="dot" w:pos="9072"/>
        </w:tabs>
        <w:spacing w:line="360" w:lineRule="auto"/>
        <w:jc w:val="center"/>
        <w:rPr>
          <w:rFonts w:hint="eastAsia" w:asciiTheme="minorEastAsia" w:hAnsiTheme="minorEastAsia" w:eastAsiaTheme="minorEastAsia" w:cstheme="minorEastAsia"/>
          <w:b/>
          <w:bCs/>
          <w:color w:val="auto"/>
          <w:sz w:val="28"/>
          <w:szCs w:val="28"/>
          <w:highlight w:val="none"/>
        </w:rPr>
      </w:pPr>
      <w:r>
        <w:rPr>
          <w:color w:val="auto"/>
          <w:highlight w:val="none"/>
        </w:rPr>
        <w:fldChar w:fldCharType="begin"/>
      </w:r>
      <w:r>
        <w:rPr>
          <w:color w:val="auto"/>
          <w:highlight w:val="none"/>
        </w:rPr>
        <w:instrText xml:space="preserve"> HYPERLINK \l "_Toc10847" </w:instrText>
      </w:r>
      <w:r>
        <w:rPr>
          <w:color w:val="auto"/>
          <w:highlight w:val="none"/>
        </w:rPr>
        <w:fldChar w:fldCharType="separate"/>
      </w:r>
      <w:r>
        <w:rPr>
          <w:rFonts w:hint="eastAsia" w:asciiTheme="minorEastAsia" w:hAnsiTheme="minorEastAsia" w:eastAsiaTheme="minorEastAsia" w:cstheme="minorEastAsia"/>
          <w:b/>
          <w:bCs/>
          <w:color w:val="auto"/>
          <w:sz w:val="28"/>
          <w:szCs w:val="28"/>
          <w:highlight w:val="none"/>
        </w:rPr>
        <w:t>第四章 评审程序、评审方法和评审标准</w:t>
      </w:r>
      <w:r>
        <w:rPr>
          <w:rFonts w:hint="eastAsia" w:asciiTheme="minorEastAsia" w:hAnsiTheme="minorEastAsia" w:eastAsiaTheme="minorEastAsia" w:cstheme="minorEastAsia"/>
          <w:b/>
          <w:bCs/>
          <w:color w:val="auto"/>
          <w:sz w:val="28"/>
          <w:szCs w:val="28"/>
          <w:highlight w:val="none"/>
        </w:rPr>
        <w:tab/>
      </w: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color w:val="auto"/>
          <w:sz w:val="28"/>
          <w:szCs w:val="28"/>
          <w:highlight w:val="none"/>
        </w:rPr>
        <w:instrText xml:space="preserve"> PAGEREF _Toc10847 \h </w:instrText>
      </w:r>
      <w:r>
        <w:rPr>
          <w:rFonts w:hint="eastAsia" w:asciiTheme="minorEastAsia" w:hAnsiTheme="minorEastAsia" w:eastAsiaTheme="minorEastAsia" w:cstheme="minorEastAsia"/>
          <w:b/>
          <w:bCs/>
          <w:color w:val="auto"/>
          <w:sz w:val="28"/>
          <w:szCs w:val="28"/>
          <w:highlight w:val="none"/>
        </w:rPr>
        <w:fldChar w:fldCharType="separate"/>
      </w:r>
      <w:r>
        <w:rPr>
          <w:rFonts w:hint="eastAsia" w:asciiTheme="minorEastAsia" w:hAnsiTheme="minorEastAsia" w:eastAsiaTheme="minorEastAsia" w:cstheme="minorEastAsia"/>
          <w:b/>
          <w:bCs/>
          <w:color w:val="auto"/>
          <w:sz w:val="28"/>
          <w:szCs w:val="28"/>
          <w:highlight w:val="none"/>
        </w:rPr>
        <w:t>37</w:t>
      </w:r>
      <w:r>
        <w:rPr>
          <w:rFonts w:hint="eastAsia" w:asciiTheme="minorEastAsia" w:hAnsiTheme="minorEastAsia" w:eastAsiaTheme="minorEastAsia" w:cstheme="minorEastAsia"/>
          <w:b/>
          <w:bCs/>
          <w:color w:val="auto"/>
          <w:sz w:val="28"/>
          <w:szCs w:val="28"/>
          <w:highlight w:val="none"/>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2D8BB616">
      <w:pPr>
        <w:pStyle w:val="23"/>
        <w:tabs>
          <w:tab w:val="right" w:leader="dot" w:pos="9072"/>
        </w:tabs>
        <w:spacing w:line="360" w:lineRule="auto"/>
        <w:jc w:val="center"/>
        <w:rPr>
          <w:rFonts w:hint="eastAsia" w:asciiTheme="minorEastAsia" w:hAnsiTheme="minorEastAsia" w:eastAsiaTheme="minorEastAsia" w:cstheme="minorEastAsia"/>
          <w:b/>
          <w:bCs/>
          <w:color w:val="auto"/>
          <w:sz w:val="28"/>
          <w:szCs w:val="28"/>
          <w:highlight w:val="none"/>
        </w:rPr>
      </w:pPr>
      <w:r>
        <w:rPr>
          <w:color w:val="auto"/>
          <w:highlight w:val="none"/>
        </w:rPr>
        <w:fldChar w:fldCharType="begin"/>
      </w:r>
      <w:r>
        <w:rPr>
          <w:color w:val="auto"/>
          <w:highlight w:val="none"/>
        </w:rPr>
        <w:instrText xml:space="preserve"> HYPERLINK \l "_Toc29529" </w:instrText>
      </w:r>
      <w:r>
        <w:rPr>
          <w:color w:val="auto"/>
          <w:highlight w:val="none"/>
        </w:rPr>
        <w:fldChar w:fldCharType="separate"/>
      </w:r>
      <w:r>
        <w:rPr>
          <w:rFonts w:hint="eastAsia" w:asciiTheme="minorEastAsia" w:hAnsiTheme="minorEastAsia" w:eastAsiaTheme="minorEastAsia" w:cstheme="minorEastAsia"/>
          <w:b/>
          <w:bCs/>
          <w:color w:val="auto"/>
          <w:sz w:val="28"/>
          <w:szCs w:val="28"/>
          <w:highlight w:val="none"/>
        </w:rPr>
        <w:t>第五章 响应文件格式</w:t>
      </w:r>
      <w:r>
        <w:rPr>
          <w:rFonts w:hint="eastAsia" w:asciiTheme="minorEastAsia" w:hAnsiTheme="minorEastAsia" w:eastAsiaTheme="minorEastAsia" w:cstheme="minorEastAsia"/>
          <w:b/>
          <w:bCs/>
          <w:color w:val="auto"/>
          <w:sz w:val="28"/>
          <w:szCs w:val="28"/>
          <w:highlight w:val="none"/>
        </w:rPr>
        <w:tab/>
      </w: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color w:val="auto"/>
          <w:sz w:val="28"/>
          <w:szCs w:val="28"/>
          <w:highlight w:val="none"/>
        </w:rPr>
        <w:instrText xml:space="preserve"> PAGEREF _Toc29529 \h </w:instrText>
      </w:r>
      <w:r>
        <w:rPr>
          <w:rFonts w:hint="eastAsia" w:asciiTheme="minorEastAsia" w:hAnsiTheme="minorEastAsia" w:eastAsiaTheme="minorEastAsia" w:cstheme="minorEastAsia"/>
          <w:b/>
          <w:bCs/>
          <w:color w:val="auto"/>
          <w:sz w:val="28"/>
          <w:szCs w:val="28"/>
          <w:highlight w:val="none"/>
        </w:rPr>
        <w:fldChar w:fldCharType="separate"/>
      </w:r>
      <w:r>
        <w:rPr>
          <w:rFonts w:hint="eastAsia" w:asciiTheme="minorEastAsia" w:hAnsiTheme="minorEastAsia" w:eastAsiaTheme="minorEastAsia" w:cstheme="minorEastAsia"/>
          <w:b/>
          <w:bCs/>
          <w:color w:val="auto"/>
          <w:sz w:val="28"/>
          <w:szCs w:val="28"/>
          <w:highlight w:val="none"/>
        </w:rPr>
        <w:t>47</w:t>
      </w:r>
      <w:r>
        <w:rPr>
          <w:rFonts w:hint="eastAsia" w:asciiTheme="minorEastAsia" w:hAnsiTheme="minorEastAsia" w:eastAsiaTheme="minorEastAsia" w:cstheme="minorEastAsia"/>
          <w:b/>
          <w:bCs/>
          <w:color w:val="auto"/>
          <w:sz w:val="28"/>
          <w:szCs w:val="28"/>
          <w:highlight w:val="none"/>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671E355E">
      <w:pPr>
        <w:pStyle w:val="23"/>
        <w:tabs>
          <w:tab w:val="right" w:leader="dot" w:pos="9072"/>
        </w:tabs>
        <w:spacing w:line="360" w:lineRule="auto"/>
        <w:jc w:val="center"/>
        <w:rPr>
          <w:rFonts w:hint="eastAsia" w:asciiTheme="minorEastAsia" w:hAnsiTheme="minorEastAsia" w:eastAsiaTheme="minorEastAsia" w:cstheme="minorEastAsia"/>
          <w:b/>
          <w:bCs/>
          <w:color w:val="auto"/>
          <w:sz w:val="28"/>
          <w:szCs w:val="28"/>
          <w:highlight w:val="none"/>
        </w:rPr>
      </w:pPr>
      <w:r>
        <w:rPr>
          <w:color w:val="auto"/>
          <w:highlight w:val="none"/>
        </w:rPr>
        <w:fldChar w:fldCharType="begin"/>
      </w:r>
      <w:r>
        <w:rPr>
          <w:color w:val="auto"/>
          <w:highlight w:val="none"/>
        </w:rPr>
        <w:instrText xml:space="preserve"> HYPERLINK \l "_Toc13022" </w:instrText>
      </w:r>
      <w:r>
        <w:rPr>
          <w:color w:val="auto"/>
          <w:highlight w:val="none"/>
        </w:rPr>
        <w:fldChar w:fldCharType="separate"/>
      </w:r>
      <w:r>
        <w:rPr>
          <w:rFonts w:hint="eastAsia" w:asciiTheme="minorEastAsia" w:hAnsiTheme="minorEastAsia" w:eastAsiaTheme="minorEastAsia" w:cstheme="minorEastAsia"/>
          <w:b/>
          <w:bCs/>
          <w:color w:val="auto"/>
          <w:sz w:val="28"/>
          <w:szCs w:val="28"/>
          <w:highlight w:val="none"/>
        </w:rPr>
        <w:t>第六章 拟签订的合同文本</w:t>
      </w:r>
      <w:r>
        <w:rPr>
          <w:rFonts w:hint="eastAsia" w:asciiTheme="minorEastAsia" w:hAnsiTheme="minorEastAsia" w:eastAsiaTheme="minorEastAsia" w:cstheme="minorEastAsia"/>
          <w:b/>
          <w:bCs/>
          <w:color w:val="auto"/>
          <w:sz w:val="28"/>
          <w:szCs w:val="28"/>
          <w:highlight w:val="none"/>
        </w:rPr>
        <w:tab/>
      </w:r>
      <w:r>
        <w:rPr>
          <w:rFonts w:hint="eastAsia" w:asciiTheme="minorEastAsia" w:hAnsiTheme="minorEastAsia" w:eastAsiaTheme="minorEastAsia" w:cstheme="minorEastAsia"/>
          <w:b/>
          <w:bCs/>
          <w:color w:val="auto"/>
          <w:sz w:val="28"/>
          <w:szCs w:val="28"/>
          <w:highlight w:val="none"/>
        </w:rPr>
        <w:fldChar w:fldCharType="begin"/>
      </w:r>
      <w:r>
        <w:rPr>
          <w:rFonts w:hint="eastAsia" w:asciiTheme="minorEastAsia" w:hAnsiTheme="minorEastAsia" w:eastAsiaTheme="minorEastAsia" w:cstheme="minorEastAsia"/>
          <w:b/>
          <w:bCs/>
          <w:color w:val="auto"/>
          <w:sz w:val="28"/>
          <w:szCs w:val="28"/>
          <w:highlight w:val="none"/>
        </w:rPr>
        <w:instrText xml:space="preserve"> PAGEREF _Toc13022 \h </w:instrText>
      </w:r>
      <w:r>
        <w:rPr>
          <w:rFonts w:hint="eastAsia" w:asciiTheme="minorEastAsia" w:hAnsiTheme="minorEastAsia" w:eastAsiaTheme="minorEastAsia" w:cstheme="minorEastAsia"/>
          <w:b/>
          <w:bCs/>
          <w:color w:val="auto"/>
          <w:sz w:val="28"/>
          <w:szCs w:val="28"/>
          <w:highlight w:val="none"/>
        </w:rPr>
        <w:fldChar w:fldCharType="separate"/>
      </w:r>
      <w:r>
        <w:rPr>
          <w:rFonts w:hint="eastAsia" w:asciiTheme="minorEastAsia" w:hAnsiTheme="minorEastAsia" w:eastAsiaTheme="minorEastAsia" w:cstheme="minorEastAsia"/>
          <w:b/>
          <w:bCs/>
          <w:color w:val="auto"/>
          <w:sz w:val="28"/>
          <w:szCs w:val="28"/>
          <w:highlight w:val="none"/>
        </w:rPr>
        <w:t>68</w:t>
      </w:r>
      <w:r>
        <w:rPr>
          <w:rFonts w:hint="eastAsia" w:asciiTheme="minorEastAsia" w:hAnsiTheme="minorEastAsia" w:eastAsiaTheme="minorEastAsia" w:cstheme="minorEastAsia"/>
          <w:b/>
          <w:bCs/>
          <w:color w:val="auto"/>
          <w:sz w:val="28"/>
          <w:szCs w:val="28"/>
          <w:highlight w:val="none"/>
        </w:rPr>
        <w:fldChar w:fldCharType="end"/>
      </w:r>
      <w:r>
        <w:rPr>
          <w:rFonts w:hint="eastAsia" w:asciiTheme="minorEastAsia" w:hAnsiTheme="minorEastAsia" w:eastAsiaTheme="minorEastAsia" w:cstheme="minorEastAsia"/>
          <w:b/>
          <w:bCs/>
          <w:color w:val="auto"/>
          <w:sz w:val="28"/>
          <w:szCs w:val="28"/>
          <w:highlight w:val="none"/>
        </w:rPr>
        <w:fldChar w:fldCharType="end"/>
      </w:r>
    </w:p>
    <w:p w14:paraId="4D664202">
      <w:pPr>
        <w:pStyle w:val="23"/>
        <w:tabs>
          <w:tab w:val="right" w:leader="dot" w:pos="8730"/>
        </w:tabs>
        <w:spacing w:line="360" w:lineRule="auto"/>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aps/>
          <w:color w:val="auto"/>
          <w:sz w:val="28"/>
          <w:szCs w:val="28"/>
          <w:highlight w:val="none"/>
        </w:rPr>
        <w:fldChar w:fldCharType="end"/>
      </w:r>
    </w:p>
    <w:p w14:paraId="13A6182C">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3373FE71">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1DC70557">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0A481510">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591F38A2">
      <w:pPr>
        <w:pStyle w:val="25"/>
        <w:tabs>
          <w:tab w:val="clear" w:pos="8296"/>
        </w:tabs>
        <w:snapToGrid w:val="0"/>
        <w:spacing w:line="360" w:lineRule="auto"/>
        <w:ind w:left="0" w:leftChars="0" w:firstLine="482" w:firstLineChars="200"/>
        <w:rPr>
          <w:rFonts w:hint="eastAsia" w:asciiTheme="minorEastAsia" w:hAnsiTheme="minorEastAsia" w:eastAsiaTheme="minorEastAsia" w:cstheme="minorEastAsia"/>
          <w:b/>
          <w:color w:val="auto"/>
          <w:sz w:val="24"/>
          <w:highlight w:val="none"/>
        </w:rPr>
      </w:pPr>
    </w:p>
    <w:p w14:paraId="57D3DDCB">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313B4783">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6CEAF793">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0C1BA135">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3D8CBFC4">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74918D91">
      <w:pPr>
        <w:spacing w:line="360" w:lineRule="auto"/>
        <w:ind w:firstLine="643" w:firstLineChars="200"/>
        <w:rPr>
          <w:rFonts w:hint="eastAsia" w:asciiTheme="minorEastAsia" w:hAnsiTheme="minorEastAsia" w:eastAsiaTheme="minorEastAsia" w:cstheme="minorEastAsia"/>
          <w:b/>
          <w:color w:val="auto"/>
          <w:sz w:val="32"/>
          <w:szCs w:val="32"/>
          <w:highlight w:val="none"/>
        </w:rPr>
        <w:sectPr>
          <w:headerReference r:id="rId4" w:type="first"/>
          <w:footerReference r:id="rId6" w:type="first"/>
          <w:headerReference r:id="rId3" w:type="default"/>
          <w:footerReference r:id="rId5" w:type="default"/>
          <w:pgSz w:w="11906" w:h="16838"/>
          <w:pgMar w:top="1134" w:right="1134" w:bottom="1134" w:left="1134" w:header="851" w:footer="567" w:gutter="0"/>
          <w:pgNumType w:start="0"/>
          <w:cols w:space="720" w:num="1"/>
          <w:titlePg/>
          <w:docGrid w:type="lines" w:linePitch="312" w:charSpace="0"/>
        </w:sectPr>
      </w:pPr>
    </w:p>
    <w:p w14:paraId="5531A79F">
      <w:pPr>
        <w:pStyle w:val="3"/>
        <w:spacing w:before="0" w:after="0" w:line="360" w:lineRule="auto"/>
        <w:jc w:val="center"/>
        <w:rPr>
          <w:rFonts w:hint="eastAsia" w:asciiTheme="minorEastAsia" w:hAnsiTheme="minorEastAsia" w:eastAsiaTheme="minorEastAsia" w:cstheme="minorEastAsia"/>
          <w:color w:val="auto"/>
          <w:highlight w:val="none"/>
        </w:rPr>
      </w:pPr>
      <w:bookmarkStart w:id="0" w:name="_Toc12078"/>
      <w:r>
        <w:rPr>
          <w:rFonts w:hint="eastAsia" w:asciiTheme="minorEastAsia" w:hAnsiTheme="minorEastAsia" w:eastAsiaTheme="minorEastAsia" w:cstheme="minorEastAsia"/>
          <w:color w:val="auto"/>
          <w:highlight w:val="none"/>
        </w:rPr>
        <w:t>第一章 竞争性磋商公告</w:t>
      </w:r>
      <w:bookmarkEnd w:id="0"/>
    </w:p>
    <w:p w14:paraId="7D5D7DA5">
      <w:pPr>
        <w:spacing w:line="360" w:lineRule="auto"/>
        <w:jc w:val="center"/>
        <w:rPr>
          <w:rFonts w:hint="eastAsia" w:asciiTheme="minorEastAsia" w:hAnsiTheme="minorEastAsia" w:eastAsiaTheme="minorEastAsia" w:cstheme="minorEastAsia"/>
          <w:b/>
          <w:bCs/>
          <w:color w:val="auto"/>
          <w:kern w:val="44"/>
          <w:sz w:val="32"/>
          <w:szCs w:val="32"/>
          <w:highlight w:val="none"/>
        </w:rPr>
      </w:pPr>
      <w:r>
        <w:rPr>
          <w:rFonts w:hint="eastAsia" w:asciiTheme="minorEastAsia" w:hAnsiTheme="minorEastAsia" w:eastAsiaTheme="minorEastAsia" w:cstheme="minorEastAsia"/>
          <w:b/>
          <w:bCs/>
          <w:color w:val="auto"/>
          <w:kern w:val="44"/>
          <w:sz w:val="32"/>
          <w:szCs w:val="32"/>
          <w:highlight w:val="none"/>
        </w:rPr>
        <w:t>广西建设工程机电设备招标中心有限公司关于灵山县人民医院营养饭堂营养品供应服务项目（项目编号：</w:t>
      </w:r>
      <w:r>
        <w:rPr>
          <w:rFonts w:hint="eastAsia" w:asciiTheme="minorEastAsia" w:hAnsiTheme="minorEastAsia" w:eastAsiaTheme="minorEastAsia" w:cstheme="minorEastAsia"/>
          <w:b/>
          <w:bCs/>
          <w:color w:val="auto"/>
          <w:kern w:val="44"/>
          <w:sz w:val="32"/>
          <w:szCs w:val="32"/>
          <w:highlight w:val="none"/>
          <w:lang w:eastAsia="zh-CN"/>
        </w:rPr>
        <w:t>QZZC2026-C3-210106-JGJD</w:t>
      </w:r>
      <w:r>
        <w:rPr>
          <w:rFonts w:hint="eastAsia" w:asciiTheme="minorEastAsia" w:hAnsiTheme="minorEastAsia" w:eastAsiaTheme="minorEastAsia" w:cstheme="minorEastAsia"/>
          <w:b/>
          <w:bCs/>
          <w:color w:val="auto"/>
          <w:kern w:val="44"/>
          <w:sz w:val="32"/>
          <w:szCs w:val="32"/>
          <w:highlight w:val="none"/>
        </w:rPr>
        <w:t>）</w:t>
      </w:r>
    </w:p>
    <w:p w14:paraId="160CE0B3">
      <w:pPr>
        <w:spacing w:line="360"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bCs/>
          <w:color w:val="auto"/>
          <w:kern w:val="44"/>
          <w:sz w:val="32"/>
          <w:szCs w:val="32"/>
          <w:highlight w:val="none"/>
        </w:rPr>
        <w:t>竞争性磋商公告</w:t>
      </w:r>
    </w:p>
    <w:p w14:paraId="1179B34E">
      <w:pPr>
        <w:pBdr>
          <w:top w:val="single" w:color="auto" w:sz="4" w:space="1"/>
          <w:left w:val="single" w:color="auto" w:sz="4" w:space="4"/>
          <w:bottom w:val="single" w:color="auto" w:sz="4" w:space="1"/>
          <w:right w:val="single" w:color="auto" w:sz="4" w:space="4"/>
        </w:pBdr>
        <w:spacing w:line="360" w:lineRule="auto"/>
        <w:rPr>
          <w:rFonts w:hint="eastAsia" w:asciiTheme="minorEastAsia" w:hAnsiTheme="minorEastAsia" w:eastAsiaTheme="minorEastAsia" w:cstheme="minorEastAsia"/>
          <w:color w:val="auto"/>
          <w:sz w:val="24"/>
          <w:highlight w:val="none"/>
        </w:rPr>
      </w:pPr>
      <w:bookmarkStart w:id="1" w:name="_Hlk37430271"/>
      <w:r>
        <w:rPr>
          <w:rFonts w:hint="eastAsia" w:asciiTheme="minorEastAsia" w:hAnsiTheme="minorEastAsia" w:eastAsiaTheme="minorEastAsia" w:cstheme="minorEastAsia"/>
          <w:color w:val="auto"/>
          <w:sz w:val="24"/>
          <w:highlight w:val="none"/>
        </w:rPr>
        <w:t>项目概况</w:t>
      </w:r>
    </w:p>
    <w:p w14:paraId="7F7D0854">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灵山县人民医院营养饭堂营养品供应服务</w:t>
      </w:r>
      <w:r>
        <w:rPr>
          <w:rFonts w:hint="eastAsia" w:asciiTheme="minorEastAsia" w:hAnsiTheme="minorEastAsia" w:eastAsiaTheme="minorEastAsia" w:cstheme="minorEastAsia"/>
          <w:color w:val="auto"/>
          <w:sz w:val="24"/>
          <w:highlight w:val="none"/>
        </w:rPr>
        <w:t>项目的潜在供应商应在广西政府采购云平台（https：//www.gcy.zfcg.gxzf.gov.cn/）获取（下载）竞争性磋商文件，并于2026年</w:t>
      </w:r>
      <w:r>
        <w:rPr>
          <w:rFonts w:hint="eastAsia" w:asciiTheme="minorEastAsia" w:hAnsiTheme="minorEastAsia" w:eastAsiaTheme="minorEastAsia" w:cstheme="minorEastAsia"/>
          <w:color w:val="auto"/>
          <w:sz w:val="24"/>
          <w:highlight w:val="none"/>
          <w:lang w:val="en-US" w:eastAsia="zh-CN"/>
        </w:rPr>
        <w:t>7月31</w:t>
      </w:r>
      <w:r>
        <w:rPr>
          <w:rFonts w:hint="eastAsia" w:asciiTheme="minorEastAsia" w:hAnsiTheme="minorEastAsia" w:eastAsiaTheme="minorEastAsia" w:cstheme="minorEastAsia"/>
          <w:color w:val="auto"/>
          <w:sz w:val="24"/>
          <w:highlight w:val="none"/>
        </w:rPr>
        <w:t>日</w:t>
      </w:r>
      <w:r>
        <w:rPr>
          <w:rFonts w:hint="eastAsia" w:asciiTheme="minorEastAsia" w:hAnsiTheme="minorEastAsia" w:eastAsiaTheme="minorEastAsia" w:cstheme="minorEastAsia"/>
          <w:color w:val="auto"/>
          <w:sz w:val="24"/>
          <w:highlight w:val="none"/>
          <w:lang w:val="en-US" w:eastAsia="zh-CN"/>
        </w:rPr>
        <w:t>10</w:t>
      </w:r>
      <w:r>
        <w:rPr>
          <w:rFonts w:hint="eastAsia" w:asciiTheme="minorEastAsia" w:hAnsiTheme="minorEastAsia" w:eastAsiaTheme="minorEastAsia" w:cstheme="minorEastAsia"/>
          <w:color w:val="auto"/>
          <w:sz w:val="24"/>
          <w:highlight w:val="none"/>
        </w:rPr>
        <w:t>时00分</w:t>
      </w:r>
      <w:r>
        <w:rPr>
          <w:rFonts w:hint="eastAsia" w:asciiTheme="minorEastAsia" w:hAnsiTheme="minorEastAsia" w:eastAsiaTheme="minorEastAsia" w:cstheme="minorEastAsia"/>
          <w:bCs/>
          <w:color w:val="auto"/>
          <w:sz w:val="24"/>
          <w:highlight w:val="none"/>
        </w:rPr>
        <w:t>（北京时间）前提交响应文件</w:t>
      </w:r>
      <w:r>
        <w:rPr>
          <w:rFonts w:hint="eastAsia" w:asciiTheme="minorEastAsia" w:hAnsiTheme="minorEastAsia" w:eastAsiaTheme="minorEastAsia" w:cstheme="minorEastAsia"/>
          <w:color w:val="auto"/>
          <w:sz w:val="24"/>
          <w:highlight w:val="none"/>
        </w:rPr>
        <w:t>。</w:t>
      </w:r>
    </w:p>
    <w:p w14:paraId="759D8FA3">
      <w:pPr>
        <w:spacing w:line="360" w:lineRule="auto"/>
        <w:ind w:firstLine="482" w:firstLineChars="200"/>
        <w:rPr>
          <w:rFonts w:hint="eastAsia" w:asciiTheme="minorEastAsia" w:hAnsiTheme="minorEastAsia" w:eastAsiaTheme="minorEastAsia" w:cstheme="minorEastAsia"/>
          <w:color w:val="auto"/>
          <w:sz w:val="24"/>
          <w:highlight w:val="none"/>
        </w:rPr>
      </w:pPr>
      <w:bookmarkStart w:id="2" w:name="_Hlk37429674"/>
      <w:bookmarkStart w:id="3" w:name="_Toc44229885"/>
      <w:bookmarkStart w:id="4" w:name="_Toc28359018"/>
      <w:bookmarkStart w:id="5" w:name="_Toc28359095"/>
      <w:bookmarkStart w:id="6" w:name="_Toc35393805"/>
      <w:bookmarkStart w:id="7" w:name="_Toc35393636"/>
      <w:r>
        <w:rPr>
          <w:rFonts w:hint="eastAsia" w:asciiTheme="minorEastAsia" w:hAnsiTheme="minorEastAsia" w:eastAsiaTheme="minorEastAsia" w:cstheme="minorEastAsia"/>
          <w:b/>
          <w:bCs/>
          <w:color w:val="auto"/>
          <w:sz w:val="24"/>
          <w:highlight w:val="none"/>
        </w:rPr>
        <w:t>一、项目基本情况</w:t>
      </w:r>
    </w:p>
    <w:p w14:paraId="3AD1359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项目名称：灵山县人民医院营养饭堂营养品供应服务</w:t>
      </w:r>
    </w:p>
    <w:p w14:paraId="124738B5">
      <w:pPr>
        <w:spacing w:line="360" w:lineRule="auto"/>
        <w:ind w:firstLine="480" w:firstLineChars="20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lang w:eastAsia="zh-CN"/>
        </w:rPr>
        <w:t>QZZC2026-C3-210106-JGJD</w:t>
      </w:r>
    </w:p>
    <w:p w14:paraId="0369C25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预算金额（人民币）：</w:t>
      </w:r>
      <w:r>
        <w:rPr>
          <w:rFonts w:hint="eastAsia" w:asciiTheme="minorEastAsia" w:hAnsiTheme="minorEastAsia" w:eastAsiaTheme="minorEastAsia" w:cstheme="minorEastAsia"/>
          <w:color w:val="auto"/>
          <w:sz w:val="24"/>
          <w:highlight w:val="none"/>
        </w:rPr>
        <w:fldChar w:fldCharType="begin"/>
      </w:r>
      <w:r>
        <w:rPr>
          <w:rFonts w:hint="eastAsia" w:asciiTheme="minorEastAsia" w:hAnsiTheme="minorEastAsia" w:eastAsiaTheme="minorEastAsia" w:cstheme="minorEastAsia"/>
          <w:color w:val="auto"/>
          <w:sz w:val="24"/>
          <w:highlight w:val="none"/>
        </w:rPr>
        <w:instrText xml:space="preserve"> = 550000 \* CHINESENUM2 \* MERGEFORMAT </w:instrText>
      </w:r>
      <w:r>
        <w:rPr>
          <w:rFonts w:hint="eastAsia" w:asciiTheme="minorEastAsia" w:hAnsiTheme="minorEastAsia" w:eastAsiaTheme="minorEastAsia" w:cstheme="minorEastAsia"/>
          <w:color w:val="auto"/>
          <w:sz w:val="24"/>
          <w:highlight w:val="none"/>
        </w:rPr>
        <w:fldChar w:fldCharType="separate"/>
      </w:r>
      <w:r>
        <w:rPr>
          <w:rFonts w:hint="eastAsia" w:asciiTheme="minorEastAsia" w:hAnsiTheme="minorEastAsia" w:eastAsiaTheme="minorEastAsia" w:cstheme="minorEastAsia"/>
          <w:color w:val="auto"/>
          <w:sz w:val="24"/>
          <w:highlight w:val="none"/>
        </w:rPr>
        <w:t>伍拾伍万</w:t>
      </w:r>
      <w:r>
        <w:rPr>
          <w:rFonts w:hint="eastAsia" w:asciiTheme="minorEastAsia" w:hAnsiTheme="minorEastAsia" w:eastAsiaTheme="minorEastAsia" w:cstheme="minorEastAsia"/>
          <w:color w:val="auto"/>
          <w:sz w:val="24"/>
          <w:highlight w:val="none"/>
        </w:rPr>
        <w:fldChar w:fldCharType="end"/>
      </w:r>
      <w:r>
        <w:rPr>
          <w:rFonts w:hint="eastAsia" w:asciiTheme="minorEastAsia" w:hAnsiTheme="minorEastAsia" w:eastAsiaTheme="minorEastAsia" w:cstheme="minorEastAsia"/>
          <w:color w:val="auto"/>
          <w:sz w:val="24"/>
          <w:highlight w:val="none"/>
        </w:rPr>
        <w:t>元整（¥550000.00）</w:t>
      </w:r>
    </w:p>
    <w:p w14:paraId="2AC3889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最高限价（如有/人民币）：</w:t>
      </w:r>
      <w:r>
        <w:rPr>
          <w:rFonts w:hint="eastAsia" w:asciiTheme="minorEastAsia" w:hAnsiTheme="minorEastAsia" w:eastAsiaTheme="minorEastAsia" w:cstheme="minorEastAsia"/>
          <w:color w:val="auto"/>
          <w:sz w:val="24"/>
          <w:highlight w:val="none"/>
        </w:rPr>
        <w:fldChar w:fldCharType="begin"/>
      </w:r>
      <w:r>
        <w:rPr>
          <w:rFonts w:hint="eastAsia" w:asciiTheme="minorEastAsia" w:hAnsiTheme="minorEastAsia" w:eastAsiaTheme="minorEastAsia" w:cstheme="minorEastAsia"/>
          <w:color w:val="auto"/>
          <w:sz w:val="24"/>
          <w:highlight w:val="none"/>
        </w:rPr>
        <w:instrText xml:space="preserve"> = 550000 \* CHINESENUM2 \* MERGEFORMAT </w:instrText>
      </w:r>
      <w:r>
        <w:rPr>
          <w:rFonts w:hint="eastAsia" w:asciiTheme="minorEastAsia" w:hAnsiTheme="minorEastAsia" w:eastAsiaTheme="minorEastAsia" w:cstheme="minorEastAsia"/>
          <w:color w:val="auto"/>
          <w:sz w:val="24"/>
          <w:highlight w:val="none"/>
        </w:rPr>
        <w:fldChar w:fldCharType="separate"/>
      </w:r>
      <w:r>
        <w:rPr>
          <w:rFonts w:hint="eastAsia" w:asciiTheme="minorEastAsia" w:hAnsiTheme="minorEastAsia" w:eastAsiaTheme="minorEastAsia" w:cstheme="minorEastAsia"/>
          <w:color w:val="auto"/>
          <w:sz w:val="24"/>
          <w:highlight w:val="none"/>
        </w:rPr>
        <w:t>伍拾伍万</w:t>
      </w:r>
      <w:r>
        <w:rPr>
          <w:rFonts w:hint="eastAsia" w:asciiTheme="minorEastAsia" w:hAnsiTheme="minorEastAsia" w:eastAsiaTheme="minorEastAsia" w:cstheme="minorEastAsia"/>
          <w:color w:val="auto"/>
          <w:sz w:val="24"/>
          <w:highlight w:val="none"/>
        </w:rPr>
        <w:fldChar w:fldCharType="end"/>
      </w:r>
      <w:r>
        <w:rPr>
          <w:rFonts w:hint="eastAsia" w:asciiTheme="minorEastAsia" w:hAnsiTheme="minorEastAsia" w:eastAsiaTheme="minorEastAsia" w:cstheme="minorEastAsia"/>
          <w:color w:val="auto"/>
          <w:sz w:val="24"/>
          <w:highlight w:val="none"/>
        </w:rPr>
        <w:t>元整（¥550000.00）</w:t>
      </w:r>
    </w:p>
    <w:p w14:paraId="5D8A69A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采购需求：</w:t>
      </w:r>
    </w:p>
    <w:p w14:paraId="56E7206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标项名称：灵山县人民医院营养饭堂营养品供应服务</w:t>
      </w:r>
    </w:p>
    <w:p w14:paraId="1D59E1A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数量：1项</w:t>
      </w:r>
    </w:p>
    <w:p w14:paraId="0357079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预算金额（元）：</w:t>
      </w:r>
      <w:r>
        <w:rPr>
          <w:rFonts w:hint="eastAsia" w:asciiTheme="minorEastAsia" w:hAnsiTheme="minorEastAsia" w:eastAsiaTheme="minorEastAsia" w:cstheme="minorEastAsia"/>
          <w:color w:val="auto"/>
          <w:sz w:val="24"/>
          <w:highlight w:val="none"/>
        </w:rPr>
        <w:fldChar w:fldCharType="begin"/>
      </w:r>
      <w:r>
        <w:rPr>
          <w:rFonts w:hint="eastAsia" w:asciiTheme="minorEastAsia" w:hAnsiTheme="minorEastAsia" w:eastAsiaTheme="minorEastAsia" w:cstheme="minorEastAsia"/>
          <w:color w:val="auto"/>
          <w:sz w:val="24"/>
          <w:highlight w:val="none"/>
        </w:rPr>
        <w:instrText xml:space="preserve"> = 550000 \* CHINESENUM2 \* MERGEFORMAT </w:instrText>
      </w:r>
      <w:r>
        <w:rPr>
          <w:rFonts w:hint="eastAsia" w:asciiTheme="minorEastAsia" w:hAnsiTheme="minorEastAsia" w:eastAsiaTheme="minorEastAsia" w:cstheme="minorEastAsia"/>
          <w:color w:val="auto"/>
          <w:sz w:val="24"/>
          <w:highlight w:val="none"/>
        </w:rPr>
        <w:fldChar w:fldCharType="separate"/>
      </w:r>
      <w:r>
        <w:rPr>
          <w:rFonts w:hint="eastAsia" w:asciiTheme="minorEastAsia" w:hAnsiTheme="minorEastAsia" w:eastAsiaTheme="minorEastAsia" w:cstheme="minorEastAsia"/>
          <w:color w:val="auto"/>
          <w:sz w:val="24"/>
          <w:highlight w:val="none"/>
        </w:rPr>
        <w:t>伍拾伍万</w:t>
      </w:r>
      <w:r>
        <w:rPr>
          <w:rFonts w:hint="eastAsia" w:asciiTheme="minorEastAsia" w:hAnsiTheme="minorEastAsia" w:eastAsiaTheme="minorEastAsia" w:cstheme="minorEastAsia"/>
          <w:color w:val="auto"/>
          <w:sz w:val="24"/>
          <w:highlight w:val="none"/>
        </w:rPr>
        <w:fldChar w:fldCharType="end"/>
      </w:r>
      <w:r>
        <w:rPr>
          <w:rFonts w:hint="eastAsia" w:asciiTheme="minorEastAsia" w:hAnsiTheme="minorEastAsia" w:eastAsiaTheme="minorEastAsia" w:cstheme="minorEastAsia"/>
          <w:color w:val="auto"/>
          <w:sz w:val="24"/>
          <w:highlight w:val="none"/>
        </w:rPr>
        <w:t>元整（¥550000.00）</w:t>
      </w:r>
    </w:p>
    <w:p w14:paraId="3E2EF26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简要规格描述或项目基本概况介绍、用途：灵山县人民医院营养饭堂营养品供应服务1项；详细内容详见磋商文件。</w:t>
      </w:r>
    </w:p>
    <w:p w14:paraId="0A03676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最高限价（如有）：</w:t>
      </w:r>
      <w:r>
        <w:rPr>
          <w:rFonts w:hint="eastAsia" w:asciiTheme="minorEastAsia" w:hAnsiTheme="minorEastAsia" w:eastAsiaTheme="minorEastAsia" w:cstheme="minorEastAsia"/>
          <w:color w:val="auto"/>
          <w:sz w:val="24"/>
          <w:highlight w:val="none"/>
        </w:rPr>
        <w:fldChar w:fldCharType="begin"/>
      </w:r>
      <w:r>
        <w:rPr>
          <w:rFonts w:hint="eastAsia" w:asciiTheme="minorEastAsia" w:hAnsiTheme="minorEastAsia" w:eastAsiaTheme="minorEastAsia" w:cstheme="minorEastAsia"/>
          <w:color w:val="auto"/>
          <w:sz w:val="24"/>
          <w:highlight w:val="none"/>
        </w:rPr>
        <w:instrText xml:space="preserve"> = 550000 \* CHINESENUM2 \* MERGEFORMAT </w:instrText>
      </w:r>
      <w:r>
        <w:rPr>
          <w:rFonts w:hint="eastAsia" w:asciiTheme="minorEastAsia" w:hAnsiTheme="minorEastAsia" w:eastAsiaTheme="minorEastAsia" w:cstheme="minorEastAsia"/>
          <w:color w:val="auto"/>
          <w:sz w:val="24"/>
          <w:highlight w:val="none"/>
        </w:rPr>
        <w:fldChar w:fldCharType="separate"/>
      </w:r>
      <w:r>
        <w:rPr>
          <w:rFonts w:hint="eastAsia" w:asciiTheme="minorEastAsia" w:hAnsiTheme="minorEastAsia" w:eastAsiaTheme="minorEastAsia" w:cstheme="minorEastAsia"/>
          <w:color w:val="auto"/>
          <w:sz w:val="24"/>
          <w:highlight w:val="none"/>
        </w:rPr>
        <w:t>伍拾伍万</w:t>
      </w:r>
      <w:r>
        <w:rPr>
          <w:rFonts w:hint="eastAsia" w:asciiTheme="minorEastAsia" w:hAnsiTheme="minorEastAsia" w:eastAsiaTheme="minorEastAsia" w:cstheme="minorEastAsia"/>
          <w:color w:val="auto"/>
          <w:sz w:val="24"/>
          <w:highlight w:val="none"/>
        </w:rPr>
        <w:fldChar w:fldCharType="end"/>
      </w:r>
      <w:r>
        <w:rPr>
          <w:rFonts w:hint="eastAsia" w:asciiTheme="minorEastAsia" w:hAnsiTheme="minorEastAsia" w:eastAsiaTheme="minorEastAsia" w:cstheme="minorEastAsia"/>
          <w:color w:val="auto"/>
          <w:sz w:val="24"/>
          <w:highlight w:val="none"/>
        </w:rPr>
        <w:t>元整（¥550000.00）</w:t>
      </w:r>
    </w:p>
    <w:p w14:paraId="5297EA95">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合同履约期限：详见竞争性磋商文件。</w:t>
      </w:r>
    </w:p>
    <w:p w14:paraId="6775CA0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本标项（否）接受联合体投标</w:t>
      </w:r>
    </w:p>
    <w:p w14:paraId="412DB60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p w14:paraId="4669DFC8">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二、申请人的资格条件</w:t>
      </w:r>
    </w:p>
    <w:p w14:paraId="03DED2B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1.满足《中华人民共和国政府采购法》第二十二条规定；</w:t>
      </w:r>
    </w:p>
    <w:p w14:paraId="588B72C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2.落实政府采购政策需满足的资格要求：</w:t>
      </w:r>
      <w:bookmarkStart w:id="137" w:name="_GoBack"/>
      <w:r>
        <w:rPr>
          <w:rFonts w:hint="eastAsia" w:asciiTheme="minorEastAsia" w:hAnsiTheme="minorEastAsia" w:eastAsiaTheme="minorEastAsia" w:cstheme="minorEastAsia"/>
          <w:color w:val="auto"/>
          <w:sz w:val="24"/>
          <w:highlight w:val="none"/>
        </w:rPr>
        <w:t>专门面向中小企业采购</w:t>
      </w:r>
      <w:bookmarkEnd w:id="137"/>
      <w:r>
        <w:rPr>
          <w:rFonts w:hint="eastAsia" w:asciiTheme="minorEastAsia" w:hAnsiTheme="minorEastAsia" w:eastAsiaTheme="minorEastAsia" w:cstheme="minorEastAsia"/>
          <w:color w:val="auto"/>
          <w:sz w:val="24"/>
          <w:highlight w:val="none"/>
        </w:rPr>
        <w:t>；</w:t>
      </w:r>
    </w:p>
    <w:p w14:paraId="612D2685">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3.本项目的特定资格要求：</w:t>
      </w:r>
    </w:p>
    <w:p w14:paraId="67386C9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（1）生产厂家参与本项目磋商的，必须具有食品生产许可证；</w:t>
      </w:r>
    </w:p>
    <w:p w14:paraId="1A4AB86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（2）代理商或授权经销商参与本项目磋商的，必须具有本次</w:t>
      </w:r>
      <w:r>
        <w:rPr>
          <w:rFonts w:hint="eastAsia" w:asciiTheme="minorEastAsia" w:hAnsiTheme="minorEastAsia" w:eastAsiaTheme="minorEastAsia" w:cstheme="minorEastAsia"/>
          <w:color w:val="auto"/>
          <w:sz w:val="24"/>
          <w:highlight w:val="none"/>
          <w:lang w:val="en-US" w:eastAsia="zh-CN"/>
        </w:rPr>
        <w:t>配送</w:t>
      </w:r>
      <w:r>
        <w:rPr>
          <w:rFonts w:hint="eastAsia" w:asciiTheme="minorEastAsia" w:hAnsiTheme="minorEastAsia" w:eastAsiaTheme="minorEastAsia" w:cstheme="minorEastAsia"/>
          <w:color w:val="auto"/>
          <w:sz w:val="24"/>
          <w:highlight w:val="none"/>
        </w:rPr>
        <w:t>货物经营范围的食品经营许可证或</w:t>
      </w:r>
      <w:r>
        <w:rPr>
          <w:rFonts w:hint="eastAsia" w:asciiTheme="minorEastAsia" w:hAnsiTheme="minorEastAsia" w:eastAsiaTheme="minorEastAsia" w:cstheme="minorEastAsia"/>
          <w:color w:val="auto"/>
          <w:sz w:val="24"/>
          <w:highlight w:val="none"/>
        </w:rPr>
        <w:t>仅销售预包装食品经营者备案证明材料</w:t>
      </w:r>
      <w:r>
        <w:rPr>
          <w:rFonts w:hint="eastAsia" w:asciiTheme="minorEastAsia" w:hAnsiTheme="minorEastAsia" w:eastAsiaTheme="minorEastAsia" w:cstheme="minorEastAsia"/>
          <w:color w:val="auto"/>
          <w:sz w:val="24"/>
          <w:highlight w:val="none"/>
        </w:rPr>
        <w:t>。</w:t>
      </w:r>
    </w:p>
    <w:p w14:paraId="64D08090">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三、获取竞争性磋商文件</w:t>
      </w:r>
    </w:p>
    <w:p w14:paraId="0DD6992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时间：2026年</w:t>
      </w:r>
      <w:r>
        <w:rPr>
          <w:rFonts w:hint="eastAsia" w:asciiTheme="minorEastAsia" w:hAnsiTheme="minorEastAsia" w:eastAsiaTheme="minorEastAsia" w:cstheme="minorEastAsia"/>
          <w:color w:val="auto"/>
          <w:sz w:val="24"/>
          <w:highlight w:val="none"/>
          <w:lang w:val="en-US" w:eastAsia="zh-CN"/>
        </w:rPr>
        <w:t>7月17</w:t>
      </w:r>
      <w:r>
        <w:rPr>
          <w:rFonts w:hint="eastAsia" w:asciiTheme="minorEastAsia" w:hAnsiTheme="minorEastAsia" w:eastAsiaTheme="minorEastAsia" w:cstheme="minorEastAsia"/>
          <w:color w:val="auto"/>
          <w:sz w:val="24"/>
          <w:highlight w:val="none"/>
        </w:rPr>
        <w:t>日至2026年</w:t>
      </w:r>
      <w:r>
        <w:rPr>
          <w:rFonts w:hint="eastAsia" w:asciiTheme="minorEastAsia" w:hAnsiTheme="minorEastAsia" w:eastAsiaTheme="minorEastAsia" w:cstheme="minorEastAsia"/>
          <w:color w:val="auto"/>
          <w:sz w:val="24"/>
          <w:highlight w:val="none"/>
          <w:lang w:val="en-US" w:eastAsia="zh-CN"/>
        </w:rPr>
        <w:t>7月24</w:t>
      </w:r>
      <w:r>
        <w:rPr>
          <w:rFonts w:hint="eastAsia" w:asciiTheme="minorEastAsia" w:hAnsiTheme="minorEastAsia" w:eastAsiaTheme="minorEastAsia" w:cstheme="minorEastAsia"/>
          <w:color w:val="auto"/>
          <w:sz w:val="24"/>
          <w:highlight w:val="none"/>
        </w:rPr>
        <w:t>日，每天上午00：00-12：00，下午12：00-23：59（北京时间，法定节假日除外）。</w:t>
      </w:r>
    </w:p>
    <w:p w14:paraId="68480E0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地点：广西政府采购云平台（https：//www.gcy.zfcg.gxzf.gov.cn/）</w:t>
      </w:r>
    </w:p>
    <w:p w14:paraId="272C19C5">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方式：网上下载。本项目不发放纸质文件，供应商应自行在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Theme="minorEastAsia" w:hAnsiTheme="minorEastAsia" w:eastAsiaTheme="minorEastAsia" w:cstheme="minorEastAsia"/>
          <w:color w:val="auto"/>
          <w:sz w:val="24"/>
          <w:highlight w:val="none"/>
        </w:rPr>
        <w:t>广西政府采购云平台（https：//www.gcy.zfcg.gxzf.gov.cn/）下载竞争性磋商文件（操作路径：登录广西政府采购云平台-项目采购-获取采购文件-找到本项目-点击“申请获取采购文件”），电子响应文件制作需要基于广西政府采购云平台获取的竞争性磋商文件编制，通过其他方式获取竞争性磋商文件的，将有可能导致供应商无法在广西政府采购云平台编制及上传响应文件。</w:t>
      </w:r>
    </w:p>
    <w:p w14:paraId="075B6E6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售价：0元人民币。</w:t>
      </w:r>
    </w:p>
    <w:p w14:paraId="61F6524B">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四、响应文件提交</w:t>
      </w:r>
    </w:p>
    <w:p w14:paraId="29C4718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1.首次响应文件提交截止时间：2026年</w:t>
      </w:r>
      <w:r>
        <w:rPr>
          <w:rFonts w:hint="eastAsia" w:asciiTheme="minorEastAsia" w:hAnsiTheme="minorEastAsia" w:eastAsiaTheme="minorEastAsia" w:cstheme="minorEastAsia"/>
          <w:color w:val="auto"/>
          <w:sz w:val="24"/>
          <w:highlight w:val="none"/>
          <w:lang w:val="en-US" w:eastAsia="zh-CN"/>
        </w:rPr>
        <w:t>7月31</w:t>
      </w:r>
      <w:r>
        <w:rPr>
          <w:rFonts w:hint="eastAsia" w:asciiTheme="minorEastAsia" w:hAnsiTheme="minorEastAsia" w:eastAsiaTheme="minorEastAsia" w:cstheme="minorEastAsia"/>
          <w:color w:val="auto"/>
          <w:sz w:val="24"/>
          <w:highlight w:val="none"/>
        </w:rPr>
        <w:t>日</w:t>
      </w:r>
      <w:r>
        <w:rPr>
          <w:rFonts w:hint="eastAsia" w:asciiTheme="minorEastAsia" w:hAnsiTheme="minorEastAsia" w:eastAsiaTheme="minorEastAsia" w:cstheme="minorEastAsia"/>
          <w:color w:val="auto"/>
          <w:sz w:val="24"/>
          <w:highlight w:val="none"/>
          <w:lang w:val="en-US" w:eastAsia="zh-CN"/>
        </w:rPr>
        <w:t>10</w:t>
      </w:r>
      <w:r>
        <w:rPr>
          <w:rFonts w:hint="eastAsia" w:asciiTheme="minorEastAsia" w:hAnsiTheme="minorEastAsia" w:eastAsiaTheme="minorEastAsia" w:cstheme="minorEastAsia"/>
          <w:color w:val="auto"/>
          <w:sz w:val="24"/>
          <w:highlight w:val="none"/>
        </w:rPr>
        <w:t>时00分（北京时间）</w:t>
      </w:r>
    </w:p>
    <w:p w14:paraId="5A7E4D8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2.地点：通过广西政府采购云平台在线提交。</w:t>
      </w:r>
    </w:p>
    <w:p w14:paraId="30F36265">
      <w:pPr>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五、开启</w:t>
      </w:r>
    </w:p>
    <w:p w14:paraId="7F1C25C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1.首次响应文件开启时间：2026年</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31</w:t>
      </w:r>
      <w:r>
        <w:rPr>
          <w:rFonts w:hint="eastAsia" w:asciiTheme="minorEastAsia" w:hAnsiTheme="minorEastAsia" w:eastAsiaTheme="minorEastAsia" w:cstheme="minorEastAsia"/>
          <w:color w:val="auto"/>
          <w:sz w:val="24"/>
          <w:highlight w:val="none"/>
        </w:rPr>
        <w:t>日</w:t>
      </w:r>
      <w:r>
        <w:rPr>
          <w:rFonts w:hint="eastAsia" w:asciiTheme="minorEastAsia" w:hAnsiTheme="minorEastAsia" w:eastAsiaTheme="minorEastAsia" w:cstheme="minorEastAsia"/>
          <w:color w:val="auto"/>
          <w:sz w:val="24"/>
          <w:highlight w:val="none"/>
          <w:lang w:val="en-US" w:eastAsia="zh-CN"/>
        </w:rPr>
        <w:t>10</w:t>
      </w:r>
      <w:r>
        <w:rPr>
          <w:rFonts w:hint="eastAsia" w:asciiTheme="minorEastAsia" w:hAnsiTheme="minorEastAsia" w:eastAsiaTheme="minorEastAsia" w:cstheme="minorEastAsia"/>
          <w:color w:val="auto"/>
          <w:sz w:val="24"/>
          <w:highlight w:val="none"/>
        </w:rPr>
        <w:t>时00分（北京时间）</w:t>
      </w:r>
    </w:p>
    <w:p w14:paraId="6770BBD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2.地点：本项目将在广西政府采购云平台电子开标大厅解密、开启。</w:t>
      </w:r>
    </w:p>
    <w:p w14:paraId="17153019">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六、公告期限</w:t>
      </w:r>
    </w:p>
    <w:p w14:paraId="2D33A13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自本公告发布之日起3个工作日。</w:t>
      </w:r>
    </w:p>
    <w:p w14:paraId="19B547BA">
      <w:pPr>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七、其他补充事宜</w:t>
      </w:r>
    </w:p>
    <w:p w14:paraId="1A65173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1.磋商保证金（须足额交纳）：伍仟元整（¥5000.00）（交纳注意事项详见供应商须知前附表）。</w:t>
      </w:r>
    </w:p>
    <w:p w14:paraId="5EB5C87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1FD8F7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75F97A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4.网上查询地址：中国政府采购网（www.ccgp.gov.cn）、广西政府采购网（zfcg.gxzf.gov.cn）、广西招标网（http：//www.guangxibid.com.cn/）。</w:t>
      </w:r>
    </w:p>
    <w:p w14:paraId="17EA666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5.本项目需要落实的政府采购政策：</w:t>
      </w:r>
    </w:p>
    <w:p w14:paraId="1DB39FC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（1）政府采购促进中小企业发展。</w:t>
      </w:r>
    </w:p>
    <w:p w14:paraId="51C8BBF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（2）政府采购支持采用本国产品的政策。</w:t>
      </w:r>
    </w:p>
    <w:p w14:paraId="1655A16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（3）强制采购节能产品；优先采购节能产品、环境标志产品。</w:t>
      </w:r>
    </w:p>
    <w:p w14:paraId="642D0E4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（4）政府采购促进残疾人就业政策。</w:t>
      </w:r>
    </w:p>
    <w:p w14:paraId="65FBA8B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（5）政府采购支持监狱企业发展。</w:t>
      </w:r>
    </w:p>
    <w:p w14:paraId="172043A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（6）扶持不发达地区和少数民族地区政策</w:t>
      </w:r>
    </w:p>
    <w:p w14:paraId="1FC9176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6.磋商注意事项：</w:t>
      </w:r>
    </w:p>
    <w:p w14:paraId="0DDAD6A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响应文件提交方式：本项目为全流程电子化政府采购项目，通过广西政府采购云平台（https：//www.gcy.zfcg.gxzf.gov.cn/）实行在线电子磋商采购，供应商应先安装“广西政府采购云平台电子交易客户端”（请自行前往广西政府采购云平台进行下载），并按照本项目竞争性磋商文件和广西政府采购云平台的要求编制、加密后在首次响应文件提交截止时间前通过网络上传至广西政府采购云平台，供应商在广西政府采购云平台提交电子版响应文件时，请填写参加远程开标活动经办人联系方式。</w:t>
      </w:r>
    </w:p>
    <w:p w14:paraId="56D4F0A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应及时熟悉掌握电子标系统操作指南（见广西政府采购云平台电子卖场首页右上角—服务中心—帮助文档—项目采购）：https：//helpcenter.zcygov.cn/document/#/document/dashboard?siteCode=gx；及时完成CA申领和绑定（见广西壮族自治区政府采购网—办事服务—下载专区-广西政府采购云平台CA证书办理操作指南）。</w:t>
      </w:r>
    </w:p>
    <w:p w14:paraId="52FF9F8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084C07D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（4）为确保网上操作合法、有效和安全，请供应商确保在电子竞争性磋商过程中能够对相关数据电文进行加密和使用电子签章，妥善保管CA数字证书并使用有效的CA数字证书参与整个采购活动。</w:t>
      </w:r>
    </w:p>
    <w:p w14:paraId="38D38AB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供应商应当在首次响应文件提交截止时间前完成电子响应文件的上传、提交，首次响应文件提交截止时间前可以补充、修改或者撤回响应文件。补充或者修改响应文件的，应当先行撤回原文件，补充、修改后重新上传、提交。首次响应文件提交截止时间前未完成上传、提交的，视为撤回响应文件。首次响应文件提交截止时间以后上传递交的响应文件，广西政府采购云平台将予以拒收。</w:t>
      </w:r>
    </w:p>
    <w:p w14:paraId="54EC650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7.CA证书在线解密：首次响应文件开启时，须要供应商携带制作响应文件时用来加密的有效数字证书（CA认证）登录广西政府采购云平台电子开标大厅现场按规定时间对加密的响应文件进行解密，否则后果自负。</w:t>
      </w:r>
    </w:p>
    <w:p w14:paraId="59B549A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8.供应商需要在具备有摄像头及语音功能且互联网网络状况良好的电脑登录广西政府采购云平台远程开标大厅参与本次磋商，否则后果自负。</w:t>
      </w:r>
    </w:p>
    <w:p w14:paraId="5476E2D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若对项目采购电子交易系统操作有疑问，可登录广西政府采购云平台（https：//www.gcy.zfcg.gxzf.gov.cn/），点击右侧咨询小采，获取采小蜜智能服务管家帮助，或拨打广西政府采购云平台服务热线95763获取热线服务帮助。</w:t>
      </w:r>
    </w:p>
    <w:bookmarkEnd w:id="2"/>
    <w:p w14:paraId="09611810">
      <w:pPr>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八、凡对本次采购提出询问，请按以下方式联系</w:t>
      </w:r>
      <w:bookmarkEnd w:id="3"/>
      <w:bookmarkEnd w:id="4"/>
      <w:bookmarkEnd w:id="5"/>
      <w:bookmarkEnd w:id="6"/>
      <w:bookmarkEnd w:id="7"/>
    </w:p>
    <w:p w14:paraId="69A1D0B5">
      <w:pPr>
        <w:spacing w:line="360" w:lineRule="auto"/>
        <w:ind w:firstLine="480" w:firstLineChars="200"/>
        <w:rPr>
          <w:rFonts w:hint="eastAsia" w:asciiTheme="minorEastAsia" w:hAnsiTheme="minorEastAsia" w:eastAsiaTheme="minorEastAsia" w:cstheme="minorEastAsia"/>
          <w:color w:val="auto"/>
          <w:sz w:val="24"/>
          <w:highlight w:val="none"/>
        </w:rPr>
      </w:pPr>
      <w:bookmarkStart w:id="8" w:name="_Toc28359096"/>
      <w:bookmarkStart w:id="9" w:name="_Toc28359019"/>
      <w:bookmarkStart w:id="10" w:name="_Toc35393806"/>
      <w:bookmarkStart w:id="11" w:name="_Toc35393637"/>
      <w:r>
        <w:rPr>
          <w:rFonts w:hint="eastAsia" w:asciiTheme="minorEastAsia" w:hAnsiTheme="minorEastAsia" w:eastAsiaTheme="minorEastAsia" w:cstheme="minorEastAsia"/>
          <w:color w:val="auto"/>
          <w:sz w:val="24"/>
          <w:highlight w:val="none"/>
        </w:rPr>
        <w:t>1.采购人信息</w:t>
      </w:r>
    </w:p>
    <w:p w14:paraId="4DB90FA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名称：灵山县人民医院</w:t>
      </w:r>
    </w:p>
    <w:p w14:paraId="2269ED1F">
      <w:pPr>
        <w:spacing w:line="360" w:lineRule="auto"/>
        <w:ind w:firstLine="480" w:firstLineChars="200"/>
        <w:rPr>
          <w:rFonts w:hint="eastAsia" w:asciiTheme="minorEastAsia" w:hAnsiTheme="minorEastAsia" w:eastAsiaTheme="minorEastAsia" w:cstheme="minorEastAsia"/>
          <w:color w:val="auto"/>
          <w:sz w:val="24"/>
          <w:highlight w:val="none"/>
        </w:rPr>
      </w:pPr>
      <w:bookmarkStart w:id="12" w:name="_Toc28359086"/>
      <w:bookmarkStart w:id="13" w:name="_Toc28359009"/>
      <w:r>
        <w:rPr>
          <w:rFonts w:hint="eastAsia" w:asciiTheme="minorEastAsia" w:hAnsiTheme="minorEastAsia" w:eastAsiaTheme="minorEastAsia" w:cstheme="minorEastAsia"/>
          <w:color w:val="auto"/>
          <w:sz w:val="24"/>
          <w:highlight w:val="none"/>
        </w:rPr>
        <w:t>地址：广西壮族自治区灵山县灵城街道钟秀路1号</w:t>
      </w:r>
    </w:p>
    <w:p w14:paraId="08DB72F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联系人：陆建华，联系方式：0777-6218786</w:t>
      </w:r>
    </w:p>
    <w:p w14:paraId="192E0E3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2.采购代理机构信息</w:t>
      </w:r>
      <w:bookmarkEnd w:id="12"/>
      <w:bookmarkEnd w:id="13"/>
    </w:p>
    <w:p w14:paraId="4869D35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 称：广西建设工程机电设备招标中心有限公司</w:t>
      </w:r>
    </w:p>
    <w:p w14:paraId="0BF7546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址：广西壮族自治区南宁市青秀区枫林路18号广西国控大厦裙楼三层</w:t>
      </w:r>
    </w:p>
    <w:p w14:paraId="0A1FD24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联系方式：</w:t>
      </w:r>
      <w:bookmarkStart w:id="14" w:name="_Toc28359010"/>
      <w:bookmarkStart w:id="15" w:name="_Toc28359087"/>
      <w:r>
        <w:rPr>
          <w:rFonts w:hint="eastAsia" w:asciiTheme="minorEastAsia" w:hAnsiTheme="minorEastAsia" w:eastAsiaTheme="minorEastAsia" w:cstheme="minorEastAsia"/>
          <w:color w:val="auto"/>
          <w:sz w:val="24"/>
          <w:highlight w:val="none"/>
        </w:rPr>
        <w:t>0771-2821389</w:t>
      </w:r>
    </w:p>
    <w:p w14:paraId="307BA4C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3.项目联系方式</w:t>
      </w:r>
      <w:bookmarkEnd w:id="14"/>
      <w:bookmarkEnd w:id="15"/>
    </w:p>
    <w:p w14:paraId="344B0ED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项目联系人：刘雅婷</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谭琦辉，电话：0771-2821389</w:t>
      </w:r>
    </w:p>
    <w:bookmarkEnd w:id="1"/>
    <w:bookmarkEnd w:id="8"/>
    <w:bookmarkEnd w:id="9"/>
    <w:bookmarkEnd w:id="10"/>
    <w:bookmarkEnd w:id="11"/>
    <w:p w14:paraId="4E095FB2">
      <w:pPr>
        <w:spacing w:line="360" w:lineRule="auto"/>
        <w:ind w:firstLine="480" w:firstLineChars="200"/>
        <w:rPr>
          <w:rFonts w:hint="eastAsia" w:asciiTheme="minorEastAsia" w:hAnsiTheme="minorEastAsia" w:eastAsiaTheme="minorEastAsia" w:cstheme="minorEastAsia"/>
          <w:color w:val="auto"/>
          <w:sz w:val="24"/>
          <w:highlight w:val="none"/>
        </w:rPr>
      </w:pPr>
    </w:p>
    <w:p w14:paraId="4BFF81B7">
      <w:pPr>
        <w:spacing w:line="360" w:lineRule="auto"/>
        <w:ind w:firstLine="480" w:firstLineChars="200"/>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采购代理机构：广西建设工程机电设备招标中心有限公司</w:t>
      </w:r>
    </w:p>
    <w:p w14:paraId="665FD2F2">
      <w:pPr>
        <w:spacing w:line="360" w:lineRule="auto"/>
        <w:ind w:firstLine="480" w:firstLineChars="200"/>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2026年</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17</w:t>
      </w:r>
      <w:r>
        <w:rPr>
          <w:rFonts w:hint="eastAsia" w:asciiTheme="minorEastAsia" w:hAnsiTheme="minorEastAsia" w:eastAsiaTheme="minorEastAsia" w:cstheme="minorEastAsia"/>
          <w:color w:val="auto"/>
          <w:sz w:val="24"/>
          <w:highlight w:val="none"/>
        </w:rPr>
        <w:t>日</w:t>
      </w:r>
    </w:p>
    <w:p w14:paraId="70E4923C">
      <w:pPr>
        <w:pStyle w:val="3"/>
        <w:spacing w:before="0" w:after="0"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br w:type="page"/>
      </w:r>
      <w:bookmarkStart w:id="16" w:name="_Toc26779"/>
      <w:r>
        <w:rPr>
          <w:rFonts w:hint="eastAsia" w:asciiTheme="minorEastAsia" w:hAnsiTheme="minorEastAsia" w:eastAsiaTheme="minorEastAsia" w:cstheme="minorEastAsia"/>
          <w:color w:val="auto"/>
          <w:highlight w:val="none"/>
        </w:rPr>
        <w:t>第二章 供应商须知</w:t>
      </w:r>
      <w:bookmarkEnd w:id="16"/>
    </w:p>
    <w:p w14:paraId="4A979845">
      <w:pPr>
        <w:spacing w:line="360" w:lineRule="auto"/>
        <w:jc w:val="center"/>
        <w:outlineLvl w:val="1"/>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供应商须知前附表</w:t>
      </w:r>
    </w:p>
    <w:tbl>
      <w:tblPr>
        <w:tblStyle w:val="31"/>
        <w:tblW w:w="96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697"/>
      </w:tblGrid>
      <w:tr w14:paraId="228FD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20F99D4">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条款号</w:t>
            </w:r>
          </w:p>
        </w:tc>
        <w:tc>
          <w:tcPr>
            <w:tcW w:w="8697" w:type="dxa"/>
            <w:vAlign w:val="center"/>
          </w:tcPr>
          <w:p w14:paraId="29EEA87D">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内    容</w:t>
            </w:r>
          </w:p>
        </w:tc>
      </w:tr>
      <w:tr w14:paraId="40513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487A4A8">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8697" w:type="dxa"/>
            <w:vAlign w:val="center"/>
          </w:tcPr>
          <w:p w14:paraId="2EE25F67">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highlight w:val="none"/>
              </w:rPr>
              <w:t>供应商的资格条件</w:t>
            </w:r>
            <w:r>
              <w:rPr>
                <w:rFonts w:hint="eastAsia" w:asciiTheme="minorEastAsia" w:hAnsiTheme="minorEastAsia" w:eastAsiaTheme="minorEastAsia" w:cstheme="minorEastAsia"/>
                <w:color w:val="auto"/>
                <w:sz w:val="24"/>
                <w:highlight w:val="none"/>
              </w:rPr>
              <w:t>：详见竞争性磋商公告</w:t>
            </w:r>
          </w:p>
        </w:tc>
      </w:tr>
      <w:tr w14:paraId="43558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03E102B">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5.1</w:t>
            </w:r>
          </w:p>
        </w:tc>
        <w:tc>
          <w:tcPr>
            <w:tcW w:w="8697" w:type="dxa"/>
            <w:vAlign w:val="center"/>
          </w:tcPr>
          <w:p w14:paraId="16306F49">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是否接受联合体参加竞争性磋商：详见竞争性磋商公告</w:t>
            </w:r>
          </w:p>
        </w:tc>
      </w:tr>
      <w:tr w14:paraId="6434F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4D139CA">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5.2</w:t>
            </w:r>
          </w:p>
        </w:tc>
        <w:tc>
          <w:tcPr>
            <w:tcW w:w="8697" w:type="dxa"/>
            <w:vAlign w:val="center"/>
          </w:tcPr>
          <w:p w14:paraId="3C484A9E">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如接受联合体参加竞争性磋商，要求如下：</w:t>
            </w:r>
          </w:p>
          <w:p w14:paraId="7EFD44F6">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1.两个以上供应商可以组成一个竞争性磋商联合体，以一个供应商的身份共同参加竞争性磋商，联合体供应商的名称应统一按“XXX 公司与 XXX 公司的联合体”的规则填写。</w:t>
            </w:r>
          </w:p>
          <w:p w14:paraId="5189AD8D">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以联合体形式参加竞争性磋商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本项目竞争性磋商公告“申请人的资格条件”第3点 “3、本项目的特定资格要求”的要求。</w:t>
            </w:r>
          </w:p>
          <w:p w14:paraId="4D926EF7">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联合体参加竞争性磋商的，须提供《联合体参加竞争性磋商协议书》（格式后附），协议书必须明确主体方（或者牵头方）并明确约定联合体各方承担的工作和相应的责任（各方承担责任与义务的分工必须符合采购需求，否则，联合体响应无效），并将联合参加竞争性磋商协议放入响应文件。联合体各方必须共同与采购人签订采购合同，就采购合同约定的事项对采购人承担连带责任。</w:t>
            </w:r>
          </w:p>
          <w:p w14:paraId="60C07BE2">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4.以联合体形式参加政府采购活动的，联合体各方不得再单独参加或者与其他供应商另外组成联合体参加同一合同项下的政府采购活动，否则与之相关的响应文件作废。</w:t>
            </w:r>
          </w:p>
          <w:p w14:paraId="5FF8405F">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5.联合体中有同类资质的供应商按照联合体分工承担相同工作的，应当按照资质等级较低的供应商确定资质等级。</w:t>
            </w:r>
          </w:p>
          <w:p w14:paraId="1EF6A923">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6.联合体参加竞争性磋商的业绩、履约能力按照联合体各方其中较高的一方认定并计算（竞争性磋商文件另有规定的除外）。</w:t>
            </w:r>
          </w:p>
          <w:p w14:paraId="5C218E05">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7.联合体各方均应按照竞争性磋商文件的规定提交资格证明文件。</w:t>
            </w:r>
          </w:p>
        </w:tc>
      </w:tr>
      <w:tr w14:paraId="0D3F7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04E87D6">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6.2</w:t>
            </w:r>
          </w:p>
        </w:tc>
        <w:tc>
          <w:tcPr>
            <w:tcW w:w="8697" w:type="dxa"/>
            <w:vAlign w:val="center"/>
          </w:tcPr>
          <w:p w14:paraId="54A8B62E">
            <w:pPr>
              <w:pStyle w:val="12"/>
              <w:keepNext w:val="0"/>
              <w:keepLines w:val="0"/>
              <w:pageBreakBefore w:val="0"/>
              <w:widowControl w:val="0"/>
              <w:kinsoku/>
              <w:wordWrap/>
              <w:overflowPunct/>
              <w:topLinePunct w:val="0"/>
              <w:bidi w:val="0"/>
              <w:adjustRightInd/>
              <w:snapToGrid/>
              <w:spacing w:line="380" w:lineRule="exact"/>
              <w:jc w:val="both"/>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sym w:font="Wingdings" w:char="00FE"/>
            </w:r>
            <w:r>
              <w:rPr>
                <w:rFonts w:hint="eastAsia" w:asciiTheme="minorEastAsia" w:hAnsiTheme="minorEastAsia" w:eastAsiaTheme="minorEastAsia" w:cstheme="minorEastAsia"/>
                <w:b/>
                <w:color w:val="auto"/>
                <w:sz w:val="24"/>
                <w:highlight w:val="none"/>
              </w:rPr>
              <w:t>本项目不允许分包。</w:t>
            </w:r>
          </w:p>
          <w:p w14:paraId="5A83E540">
            <w:pPr>
              <w:pStyle w:val="12"/>
              <w:keepNext w:val="0"/>
              <w:keepLines w:val="0"/>
              <w:pageBreakBefore w:val="0"/>
              <w:widowControl w:val="0"/>
              <w:kinsoku/>
              <w:wordWrap/>
              <w:overflowPunct/>
              <w:topLinePunct w:val="0"/>
              <w:bidi w:val="0"/>
              <w:adjustRightInd/>
              <w:snapToGrid/>
              <w:spacing w:line="380" w:lineRule="exact"/>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sym w:font="Wingdings" w:char="00A8"/>
            </w:r>
            <w:r>
              <w:rPr>
                <w:rFonts w:hint="eastAsia" w:asciiTheme="minorEastAsia" w:hAnsiTheme="minorEastAsia" w:eastAsiaTheme="minorEastAsia" w:cstheme="minorEastAsia"/>
                <w:color w:val="auto"/>
                <w:sz w:val="24"/>
                <w:highlight w:val="none"/>
              </w:rPr>
              <w:t>本项目允许分包：</w:t>
            </w:r>
          </w:p>
          <w:p w14:paraId="115D6EC5">
            <w:pPr>
              <w:pStyle w:val="12"/>
              <w:keepNext w:val="0"/>
              <w:keepLines w:val="0"/>
              <w:pageBreakBefore w:val="0"/>
              <w:widowControl w:val="0"/>
              <w:kinsoku/>
              <w:wordWrap/>
              <w:overflowPunct/>
              <w:topLinePunct w:val="0"/>
              <w:bidi w:val="0"/>
              <w:adjustRightInd/>
              <w:snapToGrid/>
              <w:spacing w:line="380" w:lineRule="exact"/>
              <w:jc w:val="both"/>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分包内容：</w:t>
            </w:r>
            <w:r>
              <w:rPr>
                <w:rFonts w:hint="eastAsia" w:asciiTheme="minorEastAsia" w:hAnsiTheme="minorEastAsia" w:eastAsiaTheme="minorEastAsia" w:cstheme="minorEastAsia"/>
                <w:color w:val="auto"/>
                <w:sz w:val="24"/>
                <w:highlight w:val="none"/>
                <w:u w:val="single"/>
              </w:rPr>
              <w:t xml:space="preserve">                                     。</w:t>
            </w:r>
          </w:p>
          <w:p w14:paraId="6E6621E3">
            <w:pPr>
              <w:pStyle w:val="12"/>
              <w:keepNext w:val="0"/>
              <w:keepLines w:val="0"/>
              <w:pageBreakBefore w:val="0"/>
              <w:widowControl w:val="0"/>
              <w:kinsoku/>
              <w:wordWrap/>
              <w:overflowPunct/>
              <w:topLinePunct w:val="0"/>
              <w:bidi w:val="0"/>
              <w:adjustRightInd/>
              <w:snapToGrid/>
              <w:spacing w:line="380" w:lineRule="exact"/>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分包金额或者比例：</w:t>
            </w:r>
            <w:r>
              <w:rPr>
                <w:rFonts w:hint="eastAsia" w:asciiTheme="minorEastAsia" w:hAnsiTheme="minorEastAsia" w:eastAsiaTheme="minorEastAsia" w:cstheme="minorEastAsia"/>
                <w:color w:val="auto"/>
                <w:sz w:val="24"/>
                <w:highlight w:val="none"/>
                <w:u w:val="single"/>
              </w:rPr>
              <w:t xml:space="preserve">                                     。</w:t>
            </w:r>
          </w:p>
        </w:tc>
      </w:tr>
      <w:tr w14:paraId="1933D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70EAE25">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12.1.1</w:t>
            </w:r>
          </w:p>
        </w:tc>
        <w:tc>
          <w:tcPr>
            <w:tcW w:w="8697" w:type="dxa"/>
            <w:vAlign w:val="center"/>
          </w:tcPr>
          <w:p w14:paraId="036DACCD">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资格证明文件</w:t>
            </w:r>
          </w:p>
          <w:p w14:paraId="78F12BA6">
            <w:pPr>
              <w:pStyle w:val="12"/>
              <w:keepNext w:val="0"/>
              <w:keepLines w:val="0"/>
              <w:pageBreakBefore w:val="0"/>
              <w:widowControl w:val="0"/>
              <w:kinsoku/>
              <w:wordWrap/>
              <w:overflowPunct/>
              <w:topLinePunct w:val="0"/>
              <w:bidi w:val="0"/>
              <w:adjustRightInd/>
              <w:snapToGrid/>
              <w:spacing w:line="380" w:lineRule="exact"/>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1.供应商为法人或者其他组织的，证明文件为其营业执照复印件（如营业执照或者事业单位法人证书或者执业许可证等）；供应商为自然人的，证明文件为其身份证复印件；（</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25299526">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2.供应商依法缴纳税收的相关材料（截至</w:t>
            </w:r>
            <w:r>
              <w:rPr>
                <w:rFonts w:hint="eastAsia" w:asciiTheme="minorEastAsia" w:hAnsiTheme="minorEastAsia" w:eastAsiaTheme="minorEastAsia" w:cstheme="minorEastAsia"/>
                <w:color w:val="auto"/>
                <w:sz w:val="24"/>
                <w:highlight w:val="none"/>
                <w:u w:val="single"/>
              </w:rPr>
              <w:t>首次响应文件提交截止之日半年内任意连续三个月</w:t>
            </w:r>
            <w:r>
              <w:rPr>
                <w:rFonts w:hint="eastAsia" w:asciiTheme="minorEastAsia" w:hAnsiTheme="minorEastAsia" w:eastAsiaTheme="minorEastAsia" w:cstheme="minorEastAsia"/>
                <w:color w:val="auto"/>
                <w:sz w:val="24"/>
                <w:highlight w:val="none"/>
              </w:rPr>
              <w:t>的依法缴纳税收的凭据复印件；依法免税的，必须提供相应文件证明。从成立之日起到首次响应文件提交截止之日不足要求月数的，只需提供从成立之日起的依法缴纳税收相应证明文件）；（</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57E70632">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3.供应商依法缴纳社会保障资金的相关材料[截至</w:t>
            </w:r>
            <w:r>
              <w:rPr>
                <w:rFonts w:hint="eastAsia" w:asciiTheme="minorEastAsia" w:hAnsiTheme="minorEastAsia" w:eastAsiaTheme="minorEastAsia" w:cstheme="minorEastAsia"/>
                <w:color w:val="auto"/>
                <w:sz w:val="24"/>
                <w:highlight w:val="none"/>
                <w:u w:val="single"/>
              </w:rPr>
              <w:t>首次响应文件提交截止之日半年内任意连续三个月</w:t>
            </w:r>
            <w:r>
              <w:rPr>
                <w:rFonts w:hint="eastAsia" w:asciiTheme="minorEastAsia" w:hAnsiTheme="minorEastAsia" w:eastAsiaTheme="minorEastAsia" w:cstheme="minorEastAsia"/>
                <w:color w:val="auto"/>
                <w:sz w:val="24"/>
                <w:highlight w:val="none"/>
              </w:rPr>
              <w:t>的依法缴纳社会保障资金的缴费凭证（专用收据或者社会保险缴纳清单）复印件；依法不需要缴纳社会保障资金的，必须提供相应文件证明。从成立之日起到首次响应文件提交截止之日不足要求月数的只需提供从成立之日起一个月的依法缴纳社会保障资金的相应证明文件]；（</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0F4BC2C2">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4.供应商财务状况报告（提供2025年财务状况报告复印件，或者银行出具的资信证明（资信证明应在有效期内，未注明有效期的，银行出具时间至首次响应文件提交截止之日不超过一年）；供应商成立不满一年的应按首次响应文件提交截止之日上一个月的财务状况报告复印件）；</w:t>
            </w:r>
            <w:r>
              <w:rPr>
                <w:rFonts w:hint="eastAsia" w:asciiTheme="minorEastAsia" w:hAnsiTheme="minorEastAsia" w:eastAsiaTheme="minorEastAsia" w:cstheme="minorEastAsia"/>
                <w:bCs/>
                <w:color w:val="auto"/>
                <w:sz w:val="24"/>
                <w:highlight w:val="none"/>
              </w:rPr>
              <w:t>（</w:t>
            </w:r>
            <w:r>
              <w:rPr>
                <w:rFonts w:hint="eastAsia" w:asciiTheme="minorEastAsia" w:hAnsiTheme="minorEastAsia" w:eastAsiaTheme="minorEastAsia" w:cstheme="minorEastAsia"/>
                <w:b/>
                <w:color w:val="auto"/>
                <w:sz w:val="24"/>
                <w:highlight w:val="none"/>
              </w:rPr>
              <w:t>除自然人外必须提供，否则响应文件按无效响应处理</w:t>
            </w:r>
            <w:r>
              <w:rPr>
                <w:rFonts w:hint="eastAsia" w:asciiTheme="minorEastAsia" w:hAnsiTheme="minorEastAsia" w:eastAsiaTheme="minorEastAsia" w:cstheme="minorEastAsia"/>
                <w:bCs/>
                <w:color w:val="auto"/>
                <w:sz w:val="24"/>
                <w:highlight w:val="none"/>
              </w:rPr>
              <w:t>）</w:t>
            </w:r>
          </w:p>
          <w:p w14:paraId="77A438A8">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5.有效的食品生产许可证；（</w:t>
            </w:r>
            <w:r>
              <w:rPr>
                <w:rFonts w:hint="eastAsia" w:asciiTheme="minorEastAsia" w:hAnsiTheme="minorEastAsia" w:eastAsiaTheme="minorEastAsia" w:cstheme="minorEastAsia"/>
                <w:b/>
                <w:bCs/>
                <w:color w:val="auto"/>
                <w:sz w:val="24"/>
                <w:highlight w:val="none"/>
              </w:rPr>
              <w:t>生产厂家参与磋商必须提供，否</w:t>
            </w:r>
            <w:r>
              <w:rPr>
                <w:rFonts w:hint="eastAsia" w:asciiTheme="minorEastAsia" w:hAnsiTheme="minorEastAsia" w:eastAsiaTheme="minorEastAsia" w:cstheme="minorEastAsia"/>
                <w:b/>
                <w:color w:val="auto"/>
                <w:sz w:val="24"/>
                <w:highlight w:val="none"/>
              </w:rPr>
              <w:t>则响应文件按无效响应处理</w:t>
            </w:r>
            <w:r>
              <w:rPr>
                <w:rFonts w:hint="eastAsia" w:asciiTheme="minorEastAsia" w:hAnsiTheme="minorEastAsia" w:eastAsiaTheme="minorEastAsia" w:cstheme="minorEastAsia"/>
                <w:color w:val="auto"/>
                <w:sz w:val="24"/>
                <w:highlight w:val="none"/>
              </w:rPr>
              <w:t>）</w:t>
            </w:r>
          </w:p>
          <w:p w14:paraId="230CCFF0">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6.具有本次招标货物经营范围的有效食品经营许可证或</w:t>
            </w:r>
            <w:r>
              <w:rPr>
                <w:rFonts w:hint="eastAsia" w:asciiTheme="minorEastAsia" w:hAnsiTheme="minorEastAsia" w:eastAsiaTheme="minorEastAsia" w:cstheme="minorEastAsia"/>
                <w:color w:val="auto"/>
                <w:sz w:val="24"/>
                <w:highlight w:val="none"/>
              </w:rPr>
              <w:t>仅销售预包装食品经营者备案证明材料</w:t>
            </w:r>
            <w:r>
              <w:rPr>
                <w:rFonts w:hint="eastAsia" w:asciiTheme="minorEastAsia" w:hAnsiTheme="minorEastAsia" w:eastAsiaTheme="minorEastAsia" w:cstheme="minorEastAsia"/>
                <w:color w:val="auto"/>
                <w:sz w:val="24"/>
                <w:highlight w:val="none"/>
              </w:rPr>
              <w:t>；（代理商或授权经销商参与本项目磋商的必须提供，否则响应文件按无效响应处理）</w:t>
            </w:r>
          </w:p>
          <w:p w14:paraId="5AA516E4">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7.供应商直接控股、管理关系信息表（格式后附）；（</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49B1755D">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8.参与竞争性磋商声明（格式后附）；（</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46B027C7">
            <w:pPr>
              <w:keepNext w:val="0"/>
              <w:keepLines w:val="0"/>
              <w:pageBreakBefore w:val="0"/>
              <w:widowControl w:val="0"/>
              <w:kinsoku/>
              <w:wordWrap/>
              <w:overflowPunct/>
              <w:topLinePunct w:val="0"/>
              <w:bidi w:val="0"/>
              <w:adjustRightInd/>
              <w:snapToGrid/>
              <w:spacing w:line="380" w:lineRule="exact"/>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9.《中小企业声明函》或省级以上监狱管理局、戒毒管理局等（含新疆生产建设兵团）出具的属于监狱企业的证明文件或《残疾人福利性单位声明函》；</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65F27C66">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lang w:val="en-US" w:eastAsia="zh-CN"/>
              </w:rPr>
              <w:t>10</w:t>
            </w:r>
            <w:r>
              <w:rPr>
                <w:rFonts w:hint="eastAsia" w:asciiTheme="minorEastAsia" w:hAnsiTheme="minorEastAsia" w:eastAsiaTheme="minorEastAsia" w:cstheme="minorEastAsia"/>
                <w:color w:val="auto"/>
                <w:sz w:val="24"/>
                <w:highlight w:val="none"/>
              </w:rPr>
              <w:t>.除磋商文件规定必须提供以外，供应商认为需要提供的其他证明材料；</w:t>
            </w:r>
          </w:p>
          <w:p w14:paraId="76FB5F77">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highlight w:val="none"/>
              </w:rPr>
              <w:t>【注】</w:t>
            </w:r>
            <w:r>
              <w:rPr>
                <w:rFonts w:hint="eastAsia" w:asciiTheme="minorEastAsia" w:hAnsiTheme="minorEastAsia" w:eastAsiaTheme="minorEastAsia" w:cstheme="minorEastAsia"/>
                <w:b/>
                <w:color w:val="auto"/>
                <w:sz w:val="24"/>
                <w:highlight w:val="none"/>
              </w:rPr>
              <w:t>1.以上标明“必须提供”的材料属于复印件的，必须加盖供应商公章，否则响应文件按无效响应处理。</w:t>
            </w:r>
          </w:p>
          <w:p w14:paraId="3764F634">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2.参与竞争性磋商声明必须由法定代表人在规定签章处签字并加盖供应商公章，否则响应文件按无效响应处理。</w:t>
            </w:r>
          </w:p>
          <w:p w14:paraId="58D3AFAA">
            <w:pPr>
              <w:pStyle w:val="12"/>
              <w:keepNext w:val="0"/>
              <w:keepLines w:val="0"/>
              <w:pageBreakBefore w:val="0"/>
              <w:widowControl w:val="0"/>
              <w:kinsoku/>
              <w:wordWrap/>
              <w:overflowPunct/>
              <w:topLinePunct w:val="0"/>
              <w:bidi w:val="0"/>
              <w:adjustRightInd/>
              <w:snapToGrid/>
              <w:spacing w:line="380" w:lineRule="exact"/>
              <w:jc w:val="both"/>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3.供应商直接控股、管理关系信息表必须由法定代表人或者委托代理人在规定签章处签字并加盖供应商公章，否则响应文件按无效响应处理。</w:t>
            </w:r>
          </w:p>
        </w:tc>
      </w:tr>
      <w:tr w14:paraId="34E88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Merge w:val="restart"/>
            <w:vAlign w:val="center"/>
          </w:tcPr>
          <w:p w14:paraId="19BF9A24">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12.1.2</w:t>
            </w:r>
          </w:p>
          <w:p w14:paraId="5D4592F5">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p>
        </w:tc>
        <w:tc>
          <w:tcPr>
            <w:tcW w:w="8697" w:type="dxa"/>
            <w:vAlign w:val="center"/>
          </w:tcPr>
          <w:p w14:paraId="651C7FD8">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报价文件</w:t>
            </w:r>
          </w:p>
          <w:p w14:paraId="04EE4908">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1.无串通参与竞争性磋商行为的承诺函（格式后附）；（</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301A5DAA">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2.竞争性磋商报价表（格式后附）；（</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3237384E">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.供应商认为需要提供的其他有关资料；</w:t>
            </w:r>
          </w:p>
          <w:p w14:paraId="2631A5C0">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color w:val="auto"/>
                <w:sz w:val="24"/>
                <w:highlight w:val="none"/>
              </w:rPr>
              <w:t>注：以上标明“必须提供”的材料属于复印件的，必须加盖供应商公章，否则响应文件按无效响应处理。</w:t>
            </w:r>
          </w:p>
        </w:tc>
      </w:tr>
      <w:tr w14:paraId="3452C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Merge w:val="continue"/>
            <w:vAlign w:val="center"/>
          </w:tcPr>
          <w:p w14:paraId="61F775A5">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p>
        </w:tc>
        <w:tc>
          <w:tcPr>
            <w:tcW w:w="8697" w:type="dxa"/>
            <w:vAlign w:val="center"/>
          </w:tcPr>
          <w:p w14:paraId="0A160EC7">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商务、服务文件</w:t>
            </w:r>
          </w:p>
          <w:p w14:paraId="0C28B8B4">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1.法定代表人身份证明及法定代表人有效身份证正反面复印件（格式后附）；（</w:t>
            </w:r>
            <w:r>
              <w:rPr>
                <w:rFonts w:hint="eastAsia" w:asciiTheme="minorEastAsia" w:hAnsiTheme="minorEastAsia" w:eastAsiaTheme="minorEastAsia" w:cstheme="minorEastAsia"/>
                <w:b/>
                <w:bCs/>
                <w:color w:val="auto"/>
                <w:sz w:val="24"/>
                <w:highlight w:val="none"/>
              </w:rPr>
              <w:t>除自然人</w:t>
            </w:r>
            <w:r>
              <w:rPr>
                <w:rFonts w:hint="eastAsia" w:asciiTheme="minorEastAsia" w:hAnsiTheme="minorEastAsia" w:eastAsiaTheme="minorEastAsia" w:cstheme="minorEastAsia"/>
                <w:color w:val="auto"/>
                <w:sz w:val="24"/>
                <w:highlight w:val="none"/>
              </w:rPr>
              <w:t>参加竞争性磋商</w:t>
            </w:r>
            <w:r>
              <w:rPr>
                <w:rFonts w:hint="eastAsia" w:asciiTheme="minorEastAsia" w:hAnsiTheme="minorEastAsia" w:eastAsiaTheme="minorEastAsia" w:cstheme="minorEastAsia"/>
                <w:b/>
                <w:bCs/>
                <w:color w:val="auto"/>
                <w:sz w:val="24"/>
                <w:highlight w:val="none"/>
              </w:rPr>
              <w:t>外</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698A28D3">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2.授权委托书及委托代理人有效身份证正反面复印件（格式后附）；（</w:t>
            </w:r>
            <w:r>
              <w:rPr>
                <w:rFonts w:hint="eastAsia" w:asciiTheme="minorEastAsia" w:hAnsiTheme="minorEastAsia" w:eastAsiaTheme="minorEastAsia" w:cstheme="minorEastAsia"/>
                <w:b/>
                <w:color w:val="auto"/>
                <w:sz w:val="24"/>
                <w:highlight w:val="none"/>
              </w:rPr>
              <w:t>委托时必须提供，否则响应文件按无效响应处理</w:t>
            </w:r>
            <w:r>
              <w:rPr>
                <w:rFonts w:hint="eastAsia" w:asciiTheme="minorEastAsia" w:hAnsiTheme="minorEastAsia" w:eastAsiaTheme="minorEastAsia" w:cstheme="minorEastAsia"/>
                <w:color w:val="auto"/>
                <w:sz w:val="24"/>
                <w:highlight w:val="none"/>
              </w:rPr>
              <w:t>）</w:t>
            </w:r>
          </w:p>
          <w:p w14:paraId="3DB7D437">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3.磋商保证金提交凭证复印件；（</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7741DDAD">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4.商务要求偏离表（格式后附）；（</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302074FA">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5.服务要求偏离表（格式后附）；（</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1FF476C1">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6.售后服务承诺书（格式自拟）；（</w:t>
            </w:r>
            <w:r>
              <w:rPr>
                <w:rFonts w:hint="eastAsia" w:asciiTheme="minorEastAsia" w:hAnsiTheme="minorEastAsia" w:eastAsiaTheme="minorEastAsia" w:cstheme="minorEastAsia"/>
                <w:b/>
                <w:color w:val="auto"/>
                <w:sz w:val="24"/>
                <w:highlight w:val="none"/>
              </w:rPr>
              <w:t>必须提供，否则响应文件按无效响应处理</w:t>
            </w:r>
            <w:r>
              <w:rPr>
                <w:rFonts w:hint="eastAsia" w:asciiTheme="minorEastAsia" w:hAnsiTheme="minorEastAsia" w:eastAsiaTheme="minorEastAsia" w:cstheme="minorEastAsia"/>
                <w:color w:val="auto"/>
                <w:sz w:val="24"/>
                <w:highlight w:val="none"/>
              </w:rPr>
              <w:t>）</w:t>
            </w:r>
          </w:p>
          <w:p w14:paraId="7017F76D">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.服务方案（格式自拟）；（如有请提供）</w:t>
            </w:r>
          </w:p>
          <w:p w14:paraId="50C0D8F5">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 xml:space="preserve">.项目实施人员一览表（格式自拟）； </w:t>
            </w:r>
          </w:p>
          <w:p w14:paraId="0ACF2C22">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.对应采购需求的技术要求、商务要求提供的其他文件资料（格式自拟）；</w:t>
            </w:r>
          </w:p>
          <w:p w14:paraId="3EC40324">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10</w:t>
            </w:r>
            <w:r>
              <w:rPr>
                <w:rFonts w:hint="eastAsia" w:asciiTheme="minorEastAsia" w:hAnsiTheme="minorEastAsia" w:eastAsiaTheme="minorEastAsia" w:cstheme="minorEastAsia"/>
                <w:color w:val="auto"/>
                <w:sz w:val="24"/>
                <w:highlight w:val="none"/>
              </w:rPr>
              <w:t>.供应商认为需要提供的其他有关资料。</w:t>
            </w:r>
          </w:p>
          <w:p w14:paraId="679D0F5D">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注：以上标明“必须提供”的材料属于复印件的，必须加盖供应商公章，否则响应文件按无效响应处理。</w:t>
            </w:r>
          </w:p>
        </w:tc>
      </w:tr>
      <w:tr w14:paraId="1B8BE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1563040">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15.2</w:t>
            </w:r>
          </w:p>
        </w:tc>
        <w:tc>
          <w:tcPr>
            <w:tcW w:w="8697" w:type="dxa"/>
            <w:vAlign w:val="center"/>
          </w:tcPr>
          <w:p w14:paraId="2F86AC77">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竞争性磋商报价是完成项目所有服务所需的费用，包括但不限于营养品费用、劳务费、拟投入本项目人员费用、交通费、配送、质量检查、培训等各种费用和售后服务、税金及其它所有成本费用的总和。合同履行过程中，采购人不再支付合同以外的其他费用。（采购需求另有约定的，从其约定）</w:t>
            </w:r>
          </w:p>
        </w:tc>
      </w:tr>
      <w:tr w14:paraId="76F4B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3D67D08">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w:t>
            </w:r>
          </w:p>
        </w:tc>
        <w:tc>
          <w:tcPr>
            <w:tcW w:w="8697" w:type="dxa"/>
            <w:vAlign w:val="center"/>
          </w:tcPr>
          <w:p w14:paraId="3C1E5736">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竞争性磋商有效期：首次响应文件提交截止之日起60天内。</w:t>
            </w:r>
          </w:p>
        </w:tc>
      </w:tr>
      <w:tr w14:paraId="39FF1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1D33555">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17.1</w:t>
            </w:r>
          </w:p>
        </w:tc>
        <w:tc>
          <w:tcPr>
            <w:tcW w:w="8697" w:type="dxa"/>
            <w:vAlign w:val="center"/>
          </w:tcPr>
          <w:p w14:paraId="08A943DA">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sym w:font="Wingdings" w:char="00A8"/>
            </w:r>
            <w:r>
              <w:rPr>
                <w:rFonts w:hint="eastAsia" w:asciiTheme="minorEastAsia" w:hAnsiTheme="minorEastAsia" w:eastAsiaTheme="minorEastAsia" w:cstheme="minorEastAsia"/>
                <w:color w:val="auto"/>
                <w:sz w:val="24"/>
                <w:highlight w:val="none"/>
              </w:rPr>
              <w:t>本项目不收取磋商保证金。</w:t>
            </w:r>
          </w:p>
          <w:p w14:paraId="325918C3">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sym w:font="Wingdings" w:char="00FE"/>
            </w:r>
            <w:r>
              <w:rPr>
                <w:rFonts w:hint="eastAsia" w:asciiTheme="minorEastAsia" w:hAnsiTheme="minorEastAsia" w:eastAsiaTheme="minorEastAsia" w:cstheme="minorEastAsia"/>
                <w:color w:val="auto"/>
                <w:sz w:val="24"/>
                <w:highlight w:val="none"/>
              </w:rPr>
              <w:t>本项目收取磋商保证金。</w:t>
            </w:r>
          </w:p>
          <w:p w14:paraId="676F5C1F">
            <w:pPr>
              <w:pStyle w:val="2"/>
              <w:keepNext w:val="0"/>
              <w:keepLines w:val="0"/>
              <w:pageBreakBefore w:val="0"/>
              <w:widowControl w:val="0"/>
              <w:kinsoku/>
              <w:wordWrap/>
              <w:overflowPunct/>
              <w:topLinePunct w:val="0"/>
              <w:bidi w:val="0"/>
              <w:adjustRightInd/>
              <w:snapToGrid/>
              <w:spacing w:after="0" w:line="380" w:lineRule="exac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磋商保证金：</w:t>
            </w:r>
            <w:r>
              <w:rPr>
                <w:rFonts w:hint="eastAsia" w:asciiTheme="minorEastAsia" w:hAnsiTheme="minorEastAsia" w:eastAsiaTheme="minorEastAsia" w:cstheme="minorEastAsia"/>
                <w:color w:val="auto"/>
                <w:sz w:val="24"/>
                <w:highlight w:val="none"/>
              </w:rPr>
              <w:t>详见竞争性磋商公告。</w:t>
            </w:r>
          </w:p>
          <w:p w14:paraId="7AC7657E">
            <w:pPr>
              <w:pStyle w:val="2"/>
              <w:keepNext w:val="0"/>
              <w:keepLines w:val="0"/>
              <w:pageBreakBefore w:val="0"/>
              <w:widowControl w:val="0"/>
              <w:kinsoku/>
              <w:wordWrap/>
              <w:overflowPunct/>
              <w:topLinePunct w:val="0"/>
              <w:bidi w:val="0"/>
              <w:adjustRightInd/>
              <w:snapToGrid/>
              <w:spacing w:after="0" w:line="380" w:lineRule="exac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保证金专用银行账号：</w:t>
            </w:r>
          </w:p>
          <w:p w14:paraId="17048CA0">
            <w:pPr>
              <w:pStyle w:val="2"/>
              <w:keepNext w:val="0"/>
              <w:keepLines w:val="0"/>
              <w:pageBreakBefore w:val="0"/>
              <w:widowControl w:val="0"/>
              <w:kinsoku/>
              <w:wordWrap/>
              <w:overflowPunct/>
              <w:topLinePunct w:val="0"/>
              <w:bidi w:val="0"/>
              <w:adjustRightInd/>
              <w:snapToGrid/>
              <w:spacing w:after="0" w:line="380" w:lineRule="exac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xml:space="preserve">开户名称：广西建设工程机电设备招标中心有限公司 </w:t>
            </w:r>
          </w:p>
          <w:p w14:paraId="0019DA5D">
            <w:pPr>
              <w:pStyle w:val="2"/>
              <w:keepNext w:val="0"/>
              <w:keepLines w:val="0"/>
              <w:pageBreakBefore w:val="0"/>
              <w:widowControl w:val="0"/>
              <w:kinsoku/>
              <w:wordWrap/>
              <w:overflowPunct/>
              <w:topLinePunct w:val="0"/>
              <w:bidi w:val="0"/>
              <w:adjustRightInd/>
              <w:snapToGrid/>
              <w:spacing w:after="0" w:line="380" w:lineRule="exac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开户银行：招商银行南宁分行营业部</w:t>
            </w:r>
          </w:p>
          <w:p w14:paraId="30B11E04">
            <w:pPr>
              <w:pStyle w:val="2"/>
              <w:keepNext w:val="0"/>
              <w:keepLines w:val="0"/>
              <w:pageBreakBefore w:val="0"/>
              <w:widowControl w:val="0"/>
              <w:kinsoku/>
              <w:wordWrap/>
              <w:overflowPunct/>
              <w:topLinePunct w:val="0"/>
              <w:bidi w:val="0"/>
              <w:adjustRightInd/>
              <w:snapToGrid/>
              <w:spacing w:after="0" w:line="380" w:lineRule="exac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银行账号：7719 0142 3310 201</w:t>
            </w:r>
          </w:p>
          <w:p w14:paraId="73D0DBD0">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磋商保证金的交纳方式：银行转账、支票、汇票、本票或者金融、担保金融、担保机构出具的保函，禁止采用现钞方式。采用银行转账方式的，在响应文件提交截止时间前交至指定账户并且到账；采用支票、汇票、本票或者保函等方式的，在响应文件提交截止时间前，供应商必须提交支票、汇票、本票或者保函原件（邮寄地址：广西南宁市青秀区枫林路18号</w:t>
            </w:r>
            <w:r>
              <w:rPr>
                <w:rFonts w:hint="eastAsia" w:asciiTheme="minorEastAsia" w:hAnsiTheme="minorEastAsia" w:eastAsiaTheme="minorEastAsia" w:cstheme="minorEastAsia"/>
                <w:color w:val="auto"/>
                <w:sz w:val="24"/>
                <w:highlight w:val="none"/>
              </w:rPr>
              <w:t>广西</w:t>
            </w:r>
            <w:r>
              <w:rPr>
                <w:rFonts w:hint="eastAsia" w:asciiTheme="minorEastAsia" w:hAnsiTheme="minorEastAsia" w:eastAsiaTheme="minorEastAsia" w:cstheme="minorEastAsia"/>
                <w:color w:val="auto"/>
                <w:kern w:val="0"/>
                <w:sz w:val="24"/>
                <w:highlight w:val="none"/>
              </w:rPr>
              <w:t>国控大厦裙楼三层；收件人：谭琦辉；联系电话：0771-2821389）。否则视为无效磋商保证金。</w:t>
            </w:r>
          </w:p>
          <w:p w14:paraId="12EC581C">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相关要求：</w:t>
            </w:r>
          </w:p>
          <w:p w14:paraId="215135B8">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1.磋商保证金采用银行转账交纳方式的，在响应文件提交截止时间前交至指定账户并且到账，供应商应将银行转账底单的复印件作为磋商保证金提交凭证，放置于报价商务技术文件中，</w:t>
            </w:r>
            <w:r>
              <w:rPr>
                <w:rFonts w:hint="eastAsia" w:asciiTheme="minorEastAsia" w:hAnsiTheme="minorEastAsia" w:eastAsiaTheme="minorEastAsia" w:cstheme="minorEastAsia"/>
                <w:b/>
                <w:color w:val="auto"/>
                <w:sz w:val="24"/>
                <w:highlight w:val="none"/>
              </w:rPr>
              <w:t>否则响应文件按无效响应处理</w:t>
            </w:r>
            <w:r>
              <w:rPr>
                <w:rFonts w:hint="eastAsia" w:asciiTheme="minorEastAsia" w:hAnsiTheme="minorEastAsia" w:eastAsiaTheme="minorEastAsia" w:cstheme="minorEastAsia"/>
                <w:color w:val="auto"/>
                <w:sz w:val="24"/>
                <w:highlight w:val="none"/>
              </w:rPr>
              <w:t>。</w:t>
            </w:r>
          </w:p>
          <w:p w14:paraId="1F55B7EE">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2.磋商保证金采用支票、汇票、本票或者金融、担保机构出具的保函交纳方式的，供应商应将支票、汇票、本票或者金融、担保机构出具的保函的复印件作为磋商保证金提交凭证，放置于报价商务技术文件中，</w:t>
            </w:r>
            <w:r>
              <w:rPr>
                <w:rFonts w:hint="eastAsia" w:asciiTheme="minorEastAsia" w:hAnsiTheme="minorEastAsia" w:eastAsiaTheme="minorEastAsia" w:cstheme="minorEastAsia"/>
                <w:b/>
                <w:color w:val="auto"/>
                <w:sz w:val="24"/>
                <w:highlight w:val="none"/>
              </w:rPr>
              <w:t>否则响应文件按无效响应处理</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b/>
                <w:color w:val="auto"/>
                <w:sz w:val="24"/>
                <w:highlight w:val="none"/>
              </w:rPr>
              <w:t>供应商必须在首次响应文件提交截止时间前将支票、汇票、本票或者金融、担保机构出具的保函原件提交给采购代理机构，由采购代理机构向供应商出具回执，并妥善保管。</w:t>
            </w:r>
          </w:p>
          <w:p w14:paraId="0D8661B5">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3.供应商为联合体的，可以由联合体中的一方或者多方共同交纳磋商保证金，其交纳的保证金对联合体各方均具有约束力。</w:t>
            </w:r>
          </w:p>
          <w:p w14:paraId="682DD42C">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【备注】 </w:t>
            </w:r>
          </w:p>
          <w:p w14:paraId="1EAEB3A1">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1.磋商保证金在响应文件提交截止时间后提交的，或者不按规定交纳方式交纳的，或者未足额交纳的（包含保函额度不足的），视为无效磋商保证金。</w:t>
            </w:r>
          </w:p>
          <w:p w14:paraId="31BB6DE8">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2.供应商采用现钞方式或者从个人账户（自然人参加竞争性磋商除外）转出的磋商保证金，视为无效磋商保证金。</w:t>
            </w:r>
          </w:p>
          <w:p w14:paraId="638B07B8">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3.支票、汇票或者本票出现无效或者背书情形的，视为无效磋商保证金。</w:t>
            </w:r>
          </w:p>
          <w:p w14:paraId="4254D7CA">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4.保函有效期短于竞争性磋商有效期的，视为无效磋商保证金。</w:t>
            </w:r>
          </w:p>
          <w:p w14:paraId="001A73CF">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5.采用保函的，必须为无条件保函，否则视为无效磋商保证金。</w:t>
            </w:r>
          </w:p>
        </w:tc>
      </w:tr>
      <w:tr w14:paraId="66E52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8813565">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18.2</w:t>
            </w:r>
          </w:p>
        </w:tc>
        <w:tc>
          <w:tcPr>
            <w:tcW w:w="8697" w:type="dxa"/>
            <w:vAlign w:val="center"/>
          </w:tcPr>
          <w:p w14:paraId="79DB2B3E">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响应文件应按资格证明文件、报价文件、商务技术文件分别编制，并按广西政府采购云平台的要求编制、加密、上传。</w:t>
            </w:r>
          </w:p>
        </w:tc>
      </w:tr>
      <w:tr w14:paraId="2FB37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CA63F3B">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19.2</w:t>
            </w:r>
          </w:p>
        </w:tc>
        <w:tc>
          <w:tcPr>
            <w:tcW w:w="8697" w:type="dxa"/>
            <w:vAlign w:val="center"/>
          </w:tcPr>
          <w:p w14:paraId="3EEA9A3A">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本项目不接受电子备份响应文件</w:t>
            </w:r>
          </w:p>
        </w:tc>
      </w:tr>
      <w:tr w14:paraId="102AA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B1B79B8">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20.1</w:t>
            </w:r>
          </w:p>
        </w:tc>
        <w:tc>
          <w:tcPr>
            <w:tcW w:w="8697" w:type="dxa"/>
            <w:vAlign w:val="center"/>
          </w:tcPr>
          <w:p w14:paraId="6531BB17">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首次响应文件提交截止时间：详见竞争性磋商公告。</w:t>
            </w:r>
          </w:p>
          <w:p w14:paraId="664817EE">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首次响应文件提交地点：详见竞争性磋商公告。</w:t>
            </w:r>
          </w:p>
        </w:tc>
      </w:tr>
      <w:tr w14:paraId="76A3F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E8734C8">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24.1</w:t>
            </w:r>
          </w:p>
        </w:tc>
        <w:tc>
          <w:tcPr>
            <w:tcW w:w="8697" w:type="dxa"/>
            <w:vAlign w:val="center"/>
          </w:tcPr>
          <w:p w14:paraId="79BEED60">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磋商小组的人数：3人或以上单数。</w:t>
            </w:r>
          </w:p>
        </w:tc>
      </w:tr>
      <w:tr w14:paraId="4CC9D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291E425">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25.2</w:t>
            </w:r>
          </w:p>
        </w:tc>
        <w:tc>
          <w:tcPr>
            <w:tcW w:w="8697" w:type="dxa"/>
            <w:vAlign w:val="center"/>
          </w:tcPr>
          <w:p w14:paraId="0FE22731">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采购代理机构将依托电子交易平台发起开始解密指令，</w:t>
            </w:r>
            <w:r>
              <w:rPr>
                <w:rFonts w:hint="eastAsia" w:asciiTheme="minorEastAsia" w:hAnsiTheme="minorEastAsia" w:eastAsiaTheme="minorEastAsia" w:cstheme="minorEastAsia"/>
                <w:b/>
                <w:color w:val="auto"/>
                <w:sz w:val="24"/>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Theme="minorEastAsia" w:hAnsiTheme="minorEastAsia" w:eastAsiaTheme="minorEastAsia" w:cstheme="minorEastAsia"/>
                <w:b/>
                <w:bCs/>
                <w:color w:val="auto"/>
                <w:sz w:val="24"/>
                <w:highlight w:val="none"/>
              </w:rPr>
              <w:t>响应文件未按时解密的，</w:t>
            </w:r>
            <w:r>
              <w:rPr>
                <w:rFonts w:hint="eastAsia" w:asciiTheme="minorEastAsia" w:hAnsiTheme="minorEastAsia" w:eastAsiaTheme="minorEastAsia" w:cstheme="minorEastAsia"/>
                <w:b/>
                <w:color w:val="auto"/>
                <w:sz w:val="24"/>
                <w:highlight w:val="none"/>
              </w:rPr>
              <w:t>视为响应</w:t>
            </w:r>
            <w:r>
              <w:rPr>
                <w:rFonts w:hint="eastAsia" w:asciiTheme="minorEastAsia" w:hAnsiTheme="minorEastAsia" w:eastAsiaTheme="minorEastAsia" w:cstheme="minorEastAsia"/>
                <w:b/>
                <w:bCs/>
                <w:color w:val="auto"/>
                <w:sz w:val="24"/>
                <w:highlight w:val="none"/>
              </w:rPr>
              <w:t>文件无效。</w:t>
            </w:r>
          </w:p>
        </w:tc>
      </w:tr>
      <w:tr w14:paraId="1881F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Merge w:val="restart"/>
            <w:vAlign w:val="center"/>
          </w:tcPr>
          <w:p w14:paraId="7F22CBDB">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w:t>
            </w:r>
          </w:p>
        </w:tc>
        <w:tc>
          <w:tcPr>
            <w:tcW w:w="8697" w:type="dxa"/>
            <w:vAlign w:val="center"/>
          </w:tcPr>
          <w:p w14:paraId="11E65702">
            <w:pPr>
              <w:pStyle w:val="12"/>
              <w:keepNext w:val="0"/>
              <w:keepLines w:val="0"/>
              <w:pageBreakBefore w:val="0"/>
              <w:widowControl w:val="0"/>
              <w:kinsoku/>
              <w:wordWrap/>
              <w:overflowPunct/>
              <w:topLinePunct w:val="0"/>
              <w:bidi w:val="0"/>
              <w:adjustRightInd/>
              <w:snapToGrid/>
              <w:spacing w:line="380" w:lineRule="exact"/>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磋商的顺序：按“广西政府采购云平台”系统的编号顺序。</w:t>
            </w:r>
          </w:p>
          <w:p w14:paraId="266CAB30">
            <w:pPr>
              <w:pStyle w:val="12"/>
              <w:keepNext w:val="0"/>
              <w:keepLines w:val="0"/>
              <w:pageBreakBefore w:val="0"/>
              <w:widowControl w:val="0"/>
              <w:kinsoku/>
              <w:wordWrap/>
              <w:overflowPunct/>
              <w:topLinePunct w:val="0"/>
              <w:bidi w:val="0"/>
              <w:adjustRightInd/>
              <w:snapToGrid/>
              <w:spacing w:line="380" w:lineRule="exact"/>
              <w:jc w:val="both"/>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符合磋商资格的供应商必须在接到磋商通知后规定时间内参加磋商，未在规定时间内参加磋商的视同放弃参加磋商权利，其响应文件按无效响应处理。</w:t>
            </w:r>
          </w:p>
        </w:tc>
      </w:tr>
      <w:tr w14:paraId="32D6E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Merge w:val="continue"/>
            <w:vAlign w:val="center"/>
          </w:tcPr>
          <w:p w14:paraId="5E482BFF">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p>
        </w:tc>
        <w:tc>
          <w:tcPr>
            <w:tcW w:w="8697" w:type="dxa"/>
            <w:vAlign w:val="center"/>
          </w:tcPr>
          <w:p w14:paraId="4A7B600B">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商务要求评审中允许负偏离的条款数为：</w:t>
            </w:r>
            <w:r>
              <w:rPr>
                <w:rFonts w:hint="eastAsia" w:asciiTheme="minorEastAsia" w:hAnsiTheme="minorEastAsia" w:eastAsiaTheme="minorEastAsia" w:cstheme="minorEastAsia"/>
                <w:color w:val="auto"/>
                <w:sz w:val="24"/>
                <w:highlight w:val="none"/>
                <w:u w:val="single"/>
              </w:rPr>
              <w:t xml:space="preserve"> 0 </w:t>
            </w:r>
            <w:r>
              <w:rPr>
                <w:rFonts w:hint="eastAsia" w:asciiTheme="minorEastAsia" w:hAnsiTheme="minorEastAsia" w:eastAsiaTheme="minorEastAsia" w:cstheme="minorEastAsia"/>
                <w:color w:val="auto"/>
                <w:sz w:val="24"/>
                <w:highlight w:val="none"/>
              </w:rPr>
              <w:t xml:space="preserve"> 项</w:t>
            </w:r>
          </w:p>
          <w:p w14:paraId="5F506EC3">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服务要求评审中允许负偏离的条款数为：</w:t>
            </w:r>
            <w:r>
              <w:rPr>
                <w:rFonts w:hint="eastAsia" w:asciiTheme="minorEastAsia" w:hAnsiTheme="minorEastAsia" w:eastAsiaTheme="minorEastAsia" w:cstheme="minorEastAsia"/>
                <w:color w:val="auto"/>
                <w:sz w:val="24"/>
                <w:highlight w:val="none"/>
                <w:u w:val="single"/>
              </w:rPr>
              <w:t xml:space="preserve"> 1 </w:t>
            </w:r>
            <w:r>
              <w:rPr>
                <w:rFonts w:hint="eastAsia" w:asciiTheme="minorEastAsia" w:hAnsiTheme="minorEastAsia" w:eastAsiaTheme="minorEastAsia" w:cstheme="minorEastAsia"/>
                <w:color w:val="auto"/>
                <w:sz w:val="24"/>
                <w:highlight w:val="none"/>
              </w:rPr>
              <w:t>项</w:t>
            </w:r>
          </w:p>
        </w:tc>
      </w:tr>
      <w:tr w14:paraId="33EDB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C10AC78">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28.1</w:t>
            </w:r>
          </w:p>
        </w:tc>
        <w:tc>
          <w:tcPr>
            <w:tcW w:w="8697" w:type="dxa"/>
            <w:vAlign w:val="center"/>
          </w:tcPr>
          <w:p w14:paraId="0DA44CAE">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sym w:font="Wingdings" w:char="00FE"/>
            </w:r>
            <w:r>
              <w:rPr>
                <w:rFonts w:hint="eastAsia" w:asciiTheme="minorEastAsia" w:hAnsiTheme="minorEastAsia" w:eastAsiaTheme="minorEastAsia" w:cstheme="minorEastAsia"/>
                <w:color w:val="auto"/>
                <w:sz w:val="24"/>
                <w:highlight w:val="none"/>
              </w:rPr>
              <w:t>本项目不收取履约保证金。</w:t>
            </w:r>
          </w:p>
          <w:p w14:paraId="507D3EEE">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sym w:font="Wingdings" w:char="00A8"/>
            </w:r>
            <w:r>
              <w:rPr>
                <w:rFonts w:hint="eastAsia" w:asciiTheme="minorEastAsia" w:hAnsiTheme="minorEastAsia" w:eastAsiaTheme="minorEastAsia" w:cstheme="minorEastAsia"/>
                <w:color w:val="auto"/>
                <w:sz w:val="24"/>
                <w:highlight w:val="none"/>
              </w:rPr>
              <w:t>本项目收取履约保证金：详见商务条款。</w:t>
            </w:r>
          </w:p>
          <w:p w14:paraId="343627C0">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履约保证金递交方式：详见商务条款</w:t>
            </w:r>
          </w:p>
          <w:p w14:paraId="07869B86">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履约保证金退付方式、时间及条件详见商务条款。</w:t>
            </w:r>
          </w:p>
          <w:p w14:paraId="57FCB7E0">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【备注】</w:t>
            </w:r>
          </w:p>
          <w:p w14:paraId="39921757">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根据《广西壮族自治区财政厅关于持续优化政府采购营商环境推动高质量发展的通知》（桂财采〔2024〕55号），采购文件要求中标或者成交供应商提交履约保证金的，履约保证金数额不得超过政府采购合同金额的5%，对中小企业收取的履约保证金数额不得超过政府采购合同金额的2%。</w:t>
            </w:r>
          </w:p>
          <w:p w14:paraId="246FA0EF">
            <w:pPr>
              <w:keepNext w:val="0"/>
              <w:keepLines w:val="0"/>
              <w:pageBreakBefore w:val="0"/>
              <w:widowControl w:val="0"/>
              <w:kinsoku/>
              <w:wordWrap/>
              <w:overflowPunct/>
              <w:topLinePunct w:val="0"/>
              <w:bidi w:val="0"/>
              <w:adjustRightInd/>
              <w:snapToGrid/>
              <w:spacing w:line="380" w:lineRule="exact"/>
              <w:contextualSpacing/>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b/>
                <w:color w:val="auto"/>
                <w:sz w:val="24"/>
                <w:highlight w:val="none"/>
              </w:rPr>
              <w:t>履约保证金必须足额缴纳，或出具的保函额度必须足额且保函有效期不能低于合同履行期限（即签订采购合同之日起至履行完合同约定的权利及义务之日止），否则视为无效履约保证金。</w:t>
            </w:r>
          </w:p>
          <w:p w14:paraId="0F2E7C8D">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3.采用保函的，必须为无条件保函，否则视为无效履约保证金。</w:t>
            </w:r>
          </w:p>
          <w:p w14:paraId="16245893">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4.供应商为联合体的，由联合体其中一方按规定提交的履约保证金，视为有效履约保证金。</w:t>
            </w:r>
          </w:p>
        </w:tc>
      </w:tr>
      <w:tr w14:paraId="5340F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603C936">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29.1</w:t>
            </w:r>
          </w:p>
        </w:tc>
        <w:tc>
          <w:tcPr>
            <w:tcW w:w="8697" w:type="dxa"/>
            <w:vAlign w:val="center"/>
          </w:tcPr>
          <w:p w14:paraId="019ABA7D">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签订合同携带的证明材料： </w:t>
            </w:r>
          </w:p>
          <w:p w14:paraId="389CD1D5">
            <w:pPr>
              <w:keepNext w:val="0"/>
              <w:keepLines w:val="0"/>
              <w:pageBreakBefore w:val="0"/>
              <w:widowControl w:val="0"/>
              <w:kinsoku/>
              <w:wordWrap/>
              <w:overflowPunct/>
              <w:topLinePunct w:val="0"/>
              <w:autoSpaceDE w:val="0"/>
              <w:autoSpaceDN w:val="0"/>
              <w:bidi w:val="0"/>
              <w:adjustRightInd/>
              <w:snapToGrid/>
              <w:spacing w:line="380" w:lineRule="exact"/>
              <w:textAlignment w:val="bottom"/>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1.委托代理人负责签订合同的，须携带授权委托书及委托代理人身份证原件等其他资格证件。</w:t>
            </w:r>
          </w:p>
          <w:p w14:paraId="5701DFBA">
            <w:pPr>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2.法定代表人负责签订合同的，须携带法定代表人身份证明原件及身份证原件等其他证明材料。</w:t>
            </w:r>
          </w:p>
        </w:tc>
      </w:tr>
      <w:tr w14:paraId="5FD8B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6B9227F">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31.2</w:t>
            </w:r>
          </w:p>
        </w:tc>
        <w:tc>
          <w:tcPr>
            <w:tcW w:w="8697" w:type="dxa"/>
            <w:vAlign w:val="center"/>
          </w:tcPr>
          <w:p w14:paraId="70F014D4">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接收质疑函方式：以纸质书面形式。</w:t>
            </w:r>
          </w:p>
          <w:p w14:paraId="5A6ECA71">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质疑联系部门及联系方式：广西建设工程机电设备招标中心有限公司</w:t>
            </w:r>
          </w:p>
          <w:p w14:paraId="762F0796">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质疑联系人：谭琦辉  联系电话：0771-2821389</w:t>
            </w:r>
          </w:p>
          <w:p w14:paraId="74357EBC">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通讯地址：广西壮族自治区南宁市青秀区枫林路18号广西国控大厦裙楼三层</w:t>
            </w:r>
          </w:p>
          <w:p w14:paraId="773BC831">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业务时间：工作日，上午8：00-12：00；下午15：00-18：00（北京时间）</w:t>
            </w:r>
          </w:p>
        </w:tc>
      </w:tr>
      <w:tr w14:paraId="5A038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02413EC">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32.1</w:t>
            </w:r>
          </w:p>
        </w:tc>
        <w:tc>
          <w:tcPr>
            <w:tcW w:w="8697" w:type="dxa"/>
            <w:vAlign w:val="center"/>
          </w:tcPr>
          <w:p w14:paraId="4783DD3A">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1.采购代理服务费支付方式：本项目的招标代理服务费按以下收费标准向成交供应商收取，领取成交通知书前，成交供应商应向采购代理机构一次付清招标代理服务费，否则采购代理机构有权不予以办理。</w:t>
            </w:r>
          </w:p>
          <w:p w14:paraId="3D52E8E5">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2.采购代理服务费收取标准：</w:t>
            </w:r>
          </w:p>
          <w:p w14:paraId="67F9F809">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以采购预算为计费额，按本磋商文件之《供应商须知正文》第32.2条规定的收费计算标准服务类采用差额定率累进法计算出收费基准价格，采购代理服务费收费按分标以收费基准价格下浮20%收取。</w:t>
            </w:r>
          </w:p>
          <w:p w14:paraId="54C6714A">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3.采购代理服务费收取银行账号：</w:t>
            </w:r>
          </w:p>
          <w:p w14:paraId="6F459BB5">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开户名称：广西建设工程机电设备招标中心有限公司</w:t>
            </w:r>
          </w:p>
          <w:p w14:paraId="33625C92">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开户银行：招商银行南宁分行营业部</w:t>
            </w:r>
          </w:p>
          <w:p w14:paraId="2DFF3014">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银行账号：7719 0142 3310 201</w:t>
            </w:r>
          </w:p>
        </w:tc>
      </w:tr>
      <w:tr w14:paraId="48933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5A089A7">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33.1</w:t>
            </w:r>
          </w:p>
        </w:tc>
        <w:tc>
          <w:tcPr>
            <w:tcW w:w="8697" w:type="dxa"/>
            <w:vAlign w:val="center"/>
          </w:tcPr>
          <w:p w14:paraId="45DB4B59">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sz w:val="24"/>
                <w:szCs w:val="24"/>
                <w:highlight w:val="none"/>
              </w:rPr>
              <w:t>解释：构成本磋商文件的各个组成文件应互为解释，互为说明；除磋商文件中有特别规定外，仅适用于竞争性磋商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65A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54C604E">
            <w:pPr>
              <w:keepNext w:val="0"/>
              <w:keepLines w:val="0"/>
              <w:pageBreakBefore w:val="0"/>
              <w:widowControl w:val="0"/>
              <w:kinsoku/>
              <w:wordWrap/>
              <w:overflowPunct/>
              <w:topLinePunct w:val="0"/>
              <w:bidi w:val="0"/>
              <w:adjustRightInd/>
              <w:snapToGrid/>
              <w:spacing w:line="38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33.2</w:t>
            </w:r>
          </w:p>
        </w:tc>
        <w:tc>
          <w:tcPr>
            <w:tcW w:w="8697" w:type="dxa"/>
            <w:vAlign w:val="center"/>
          </w:tcPr>
          <w:p w14:paraId="45227378">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1.本磋商文件中描述供应商的“公章”是指根据我国对公章的管理规定，用供应商法定主体名称制作的印章</w:t>
            </w:r>
            <w:r>
              <w:rPr>
                <w:rFonts w:hint="eastAsia" w:asciiTheme="minorEastAsia" w:hAnsiTheme="minorEastAsia" w:eastAsiaTheme="minorEastAsia" w:cstheme="minorEastAsia"/>
                <w:color w:val="auto"/>
                <w:sz w:val="24"/>
                <w:szCs w:val="24"/>
                <w:highlight w:val="none"/>
              </w:rPr>
              <w:t>或供应商通过指定电子化政府采购平台办理数字证书（CA认证）获得的以法定主体名称制作的电子印章。</w:t>
            </w:r>
            <w:r>
              <w:rPr>
                <w:rFonts w:hint="eastAsia" w:asciiTheme="minorEastAsia" w:hAnsiTheme="minorEastAsia" w:eastAsiaTheme="minorEastAsia" w:cstheme="minorEastAsia"/>
                <w:bCs/>
                <w:color w:val="auto"/>
                <w:sz w:val="24"/>
                <w:szCs w:val="24"/>
                <w:highlight w:val="none"/>
              </w:rPr>
              <w:t>除本磋商文件有特殊规定外，供应商的财务章、部门章、分公司章、工会章、合同章、投标专用章、业务专用章及银行的转账章、现金收讫章、现金付讫章等其他形式印章均不能代替公章。</w:t>
            </w:r>
          </w:p>
          <w:p w14:paraId="6E20A210">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2.供应商为其他组织或者自然人时，本磋商文件规定的法定代表人指负责人或者自然人。本磋商文件所称负责人是指参加</w:t>
            </w:r>
            <w:r>
              <w:rPr>
                <w:rFonts w:hint="eastAsia" w:asciiTheme="minorEastAsia" w:hAnsiTheme="minorEastAsia" w:eastAsiaTheme="minorEastAsia" w:cstheme="minorEastAsia"/>
                <w:color w:val="auto"/>
                <w:sz w:val="24"/>
                <w:szCs w:val="24"/>
                <w:highlight w:val="none"/>
              </w:rPr>
              <w:t>竞争性磋商</w:t>
            </w:r>
            <w:r>
              <w:rPr>
                <w:rFonts w:hint="eastAsia" w:asciiTheme="minorEastAsia" w:hAnsiTheme="minorEastAsia" w:eastAsiaTheme="minorEastAsia" w:cstheme="minorEastAsia"/>
                <w:bCs/>
                <w:color w:val="auto"/>
                <w:sz w:val="24"/>
                <w:szCs w:val="24"/>
                <w:highlight w:val="none"/>
              </w:rPr>
              <w:t>的其他组织营业执照或者执业许可证等证照上的负责人，本磋商文件所称自然人指参与</w:t>
            </w:r>
            <w:r>
              <w:rPr>
                <w:rFonts w:hint="eastAsia" w:asciiTheme="minorEastAsia" w:hAnsiTheme="minorEastAsia" w:eastAsiaTheme="minorEastAsia" w:cstheme="minorEastAsia"/>
                <w:color w:val="auto"/>
                <w:sz w:val="24"/>
                <w:szCs w:val="24"/>
                <w:highlight w:val="none"/>
              </w:rPr>
              <w:t>竞争性磋商</w:t>
            </w:r>
            <w:r>
              <w:rPr>
                <w:rFonts w:hint="eastAsia" w:asciiTheme="minorEastAsia" w:hAnsiTheme="minorEastAsia" w:eastAsiaTheme="minorEastAsia" w:cstheme="minorEastAsia"/>
                <w:bCs/>
                <w:color w:val="auto"/>
                <w:sz w:val="24"/>
                <w:szCs w:val="24"/>
                <w:highlight w:val="none"/>
              </w:rPr>
              <w:t>的自然人本人，且应具备独立承担民事责任能力，自然人应当为年满18岁以上成年人（十六周岁以上的未成年人，以自己的劳动收入为主要生活来源的，视为完全民事行为能力人）。</w:t>
            </w:r>
          </w:p>
          <w:p w14:paraId="3F942B00">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3.本磋商文件中描述供应商的“签字”是指供应商的法定代表人或者委托代理人</w:t>
            </w:r>
            <w:r>
              <w:rPr>
                <w:rFonts w:hint="eastAsia" w:asciiTheme="minorEastAsia" w:hAnsiTheme="minorEastAsia" w:eastAsiaTheme="minorEastAsia" w:cstheme="minorEastAsia"/>
                <w:color w:val="auto"/>
                <w:sz w:val="24"/>
                <w:szCs w:val="24"/>
                <w:highlight w:val="none"/>
              </w:rPr>
              <w:t>在文件规定签署处签名或者指供应商通过指定电子化政府采购平台办理数字证书（CA认证）获得的以供应商法定代表人或者委托代理人姓名制作的电子印章签名的行为，私章、印鉴等其他形式均不能代替签字</w:t>
            </w:r>
            <w:r>
              <w:rPr>
                <w:rFonts w:hint="eastAsia" w:asciiTheme="minorEastAsia" w:hAnsiTheme="minorEastAsia" w:eastAsiaTheme="minorEastAsia" w:cstheme="minorEastAsia"/>
                <w:bCs/>
                <w:color w:val="auto"/>
                <w:sz w:val="24"/>
                <w:szCs w:val="24"/>
                <w:highlight w:val="none"/>
              </w:rPr>
              <w:t>。</w:t>
            </w:r>
          </w:p>
          <w:p w14:paraId="57210028">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347D30E3">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5.自然人参加</w:t>
            </w:r>
            <w:r>
              <w:rPr>
                <w:rFonts w:hint="eastAsia" w:asciiTheme="minorEastAsia" w:hAnsiTheme="minorEastAsia" w:eastAsiaTheme="minorEastAsia" w:cstheme="minorEastAsia"/>
                <w:color w:val="auto"/>
                <w:sz w:val="24"/>
                <w:szCs w:val="24"/>
                <w:highlight w:val="none"/>
              </w:rPr>
              <w:t>竞争性磋商</w:t>
            </w:r>
            <w:r>
              <w:rPr>
                <w:rFonts w:hint="eastAsia" w:asciiTheme="minorEastAsia" w:hAnsiTheme="minorEastAsia" w:eastAsiaTheme="minorEastAsia" w:cstheme="minorEastAsia"/>
                <w:bCs/>
                <w:color w:val="auto"/>
                <w:sz w:val="24"/>
                <w:szCs w:val="24"/>
                <w:highlight w:val="none"/>
              </w:rPr>
              <w:t>的，磋商文件规定盖公章处由自然人摁手指指印。</w:t>
            </w:r>
          </w:p>
          <w:p w14:paraId="1B558C20">
            <w:pPr>
              <w:pStyle w:val="17"/>
              <w:keepNext w:val="0"/>
              <w:keepLines w:val="0"/>
              <w:pageBreakBefore w:val="0"/>
              <w:widowControl w:val="0"/>
              <w:kinsoku/>
              <w:wordWrap/>
              <w:overflowPunct/>
              <w:topLinePunct w:val="0"/>
              <w:bidi w:val="0"/>
              <w:adjustRightInd/>
              <w:snapToGrid/>
              <w:spacing w:line="38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6.本磋商文件所称的“以上”“以下”“以内”“届满”，包括本数；所称的“不满”“超过”“以外”，不包括本数。</w:t>
            </w:r>
          </w:p>
        </w:tc>
      </w:tr>
    </w:tbl>
    <w:p w14:paraId="6F86DFFB">
      <w:pPr>
        <w:spacing w:line="360" w:lineRule="auto"/>
        <w:jc w:val="center"/>
        <w:outlineLvl w:val="1"/>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r>
        <w:rPr>
          <w:rFonts w:hint="eastAsia" w:asciiTheme="minorEastAsia" w:hAnsiTheme="minorEastAsia" w:eastAsiaTheme="minorEastAsia" w:cstheme="minorEastAsia"/>
          <w:b/>
          <w:color w:val="auto"/>
          <w:sz w:val="32"/>
          <w:szCs w:val="32"/>
          <w:highlight w:val="none"/>
        </w:rPr>
        <w:t>供应商须知正文</w:t>
      </w:r>
    </w:p>
    <w:p w14:paraId="27D3B54F">
      <w:pPr>
        <w:spacing w:line="360" w:lineRule="auto"/>
        <w:jc w:val="center"/>
        <w:outlineLvl w:val="1"/>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0"/>
          <w:szCs w:val="30"/>
          <w:highlight w:val="none"/>
        </w:rPr>
        <w:t>一、总则</w:t>
      </w:r>
    </w:p>
    <w:p w14:paraId="40088D85">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1.适用范围</w:t>
      </w:r>
    </w:p>
    <w:p w14:paraId="58331651">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关于政府采购有关规定的约束和保护。</w:t>
      </w:r>
    </w:p>
    <w:p w14:paraId="07F68143">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w:t>
      </w:r>
      <w:r>
        <w:rPr>
          <w:rFonts w:hint="eastAsia" w:asciiTheme="minorEastAsia" w:hAnsiTheme="minorEastAsia" w:eastAsiaTheme="minorEastAsia" w:cstheme="minorEastAsia"/>
          <w:color w:val="auto"/>
          <w:spacing w:val="-6"/>
          <w:sz w:val="24"/>
          <w:highlight w:val="none"/>
        </w:rPr>
        <w:t>本竞争性磋商文件（以下简称磋商文件）适用于本项目的所有采购程序和环节（法律、法规另有规定的，从其规定）。</w:t>
      </w:r>
    </w:p>
    <w:p w14:paraId="113EDE25">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2.定义</w:t>
      </w:r>
    </w:p>
    <w:p w14:paraId="5DFEB88D">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2.1“采购人”是指依法进行政府采购的国家机关、事业单位、团体组织。</w:t>
      </w:r>
    </w:p>
    <w:p w14:paraId="6C8E73C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2.2“采购代理机构”是指政府采购集中采购机构和集中采购机构以外的采购代理机构。</w:t>
      </w:r>
    </w:p>
    <w:p w14:paraId="49CE5897">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2.3“供应商”是指向采购人提供货物、工程或者服务的法人、其他组织或者自然人。</w:t>
      </w:r>
    </w:p>
    <w:p w14:paraId="50E68FAD">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2.4“服务”是指除货物和工程以外的其他政府采购对象。</w:t>
      </w:r>
    </w:p>
    <w:p w14:paraId="1971251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2.5“竞争性磋商”是指供应商按照本项目竞争性磋商公告或者邀请函规定的方式获取磋商文件、提交响应文件并希望获得标的的行为。</w:t>
      </w:r>
    </w:p>
    <w:p w14:paraId="29AA7FB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2.6“书面形式”是指合同书、信件和数据电文（包括电报、电传、传真、电子数据交换和电子邮件）等可以有形地表现所载内容的形式。</w:t>
      </w:r>
    </w:p>
    <w:p w14:paraId="7AED7483">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2.7“响应文件”是指：供应商根据本磋商文件要求，编制包含资格证明、报价商务技术等所有内容的文件。</w:t>
      </w:r>
    </w:p>
    <w:p w14:paraId="36D03F6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2.8“实质性要求”是指磋商文件中已经指明不满足则响应文件按无效响应处理的条款，或者不能负偏离的条款，或者采购需求中带“▲”的条款。</w:t>
      </w:r>
    </w:p>
    <w:p w14:paraId="2EE4DCD9">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2.9“正偏离”，是指响应文件对磋商文件“采购需求”中有关条款作出的响应优于条款要求并有利于采购人的情形。</w:t>
      </w:r>
    </w:p>
    <w:p w14:paraId="78DC1F8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2.10“负偏离”，是指响应文件对磋商文件“采购需求”中有关条款作出的响应不满足条款要求，导致采购人要求不能得到满足的情形。</w:t>
      </w:r>
    </w:p>
    <w:p w14:paraId="2732145B">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2.11“允许负偏离的条款”是指采购需求中的不属于“实质性要求”的条款。</w:t>
      </w:r>
    </w:p>
    <w:p w14:paraId="024EE41D">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2.12“首次报价”是指供应商提交的首次响应文件中的报价。</w:t>
      </w:r>
    </w:p>
    <w:p w14:paraId="6EF661D8">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3.供应商的资格条件</w:t>
      </w:r>
    </w:p>
    <w:p w14:paraId="4760A451">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供应商的资格条件详见“供应商须知前附表”。</w:t>
      </w:r>
    </w:p>
    <w:p w14:paraId="09F4C9A0">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4.</w:t>
      </w:r>
      <w:r>
        <w:rPr>
          <w:rFonts w:hint="eastAsia" w:asciiTheme="minorEastAsia" w:hAnsiTheme="minorEastAsia" w:eastAsiaTheme="minorEastAsia" w:cstheme="minorEastAsia"/>
          <w:b/>
          <w:color w:val="auto"/>
          <w:sz w:val="24"/>
          <w:highlight w:val="none"/>
        </w:rPr>
        <w:t>竞争性磋商</w:t>
      </w:r>
      <w:r>
        <w:rPr>
          <w:rFonts w:hint="eastAsia" w:asciiTheme="minorEastAsia" w:hAnsiTheme="minorEastAsia" w:eastAsiaTheme="minorEastAsia" w:cstheme="minorEastAsia"/>
          <w:b/>
          <w:bCs/>
          <w:color w:val="auto"/>
          <w:sz w:val="24"/>
          <w:highlight w:val="none"/>
        </w:rPr>
        <w:t>费用</w:t>
      </w:r>
    </w:p>
    <w:p w14:paraId="7067E1B1">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供应商应承担参与本次采购活动有关的所有费用，包括但不限于获取磋商文件、勘查现场、编制和提交响应文件、参加磋商与应答、签订合同等，不论竞争性磋商结果如何，均应自行承担。</w:t>
      </w:r>
    </w:p>
    <w:p w14:paraId="61A688D4">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5.联合体参加竞争性磋商</w:t>
      </w:r>
    </w:p>
    <w:p w14:paraId="1824F9E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5.1本项目是否接受联合体参加竞争性磋商，详见“供应商须知前附表”。</w:t>
      </w:r>
    </w:p>
    <w:p w14:paraId="0D495E8E">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5.2如接受联合体参加竞争性磋商，相关要求详见“供应商须知前附表”。</w:t>
      </w:r>
    </w:p>
    <w:p w14:paraId="058DB66B">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5.3</w:t>
      </w:r>
      <w:bookmarkStart w:id="17" w:name="_Hlk66782192"/>
      <w:r>
        <w:rPr>
          <w:rFonts w:hint="eastAsia" w:asciiTheme="minorEastAsia" w:hAnsiTheme="minorEastAsia" w:eastAsiaTheme="minorEastAsia" w:cstheme="minorEastAsia"/>
          <w:color w:val="auto"/>
          <w:sz w:val="24"/>
          <w:highlight w:val="none"/>
        </w:rPr>
        <w:t>根据《政府采购促进中小企业发展管理办法》（财库〔2020〕46号）及《关于进一步加大政府采购支持中小企业力度的通知》（财库〔2022〕19号 ）调整对小微企业的价格评审优惠幅度。货物服务采购项目给予小微企业的价格扣除优惠10%。大中型企业与小微企业组成联合体或者大中型企业向小微企业分包的，对于联合协议约定小微企业的合同份额占到合同总金额 30%以上的，评审优惠4%，用扣除后的价格参加评审（专门面向中小企业采购项目除外）。</w:t>
      </w:r>
      <w:bookmarkEnd w:id="17"/>
    </w:p>
    <w:p w14:paraId="131D3930">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6.转包与分包</w:t>
      </w:r>
    </w:p>
    <w:p w14:paraId="5C73C9A7">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bookmarkStart w:id="18" w:name="_Toc254970673"/>
      <w:bookmarkStart w:id="19" w:name="_Toc254970532"/>
      <w:r>
        <w:rPr>
          <w:rFonts w:hint="eastAsia" w:asciiTheme="minorEastAsia" w:hAnsiTheme="minorEastAsia" w:eastAsiaTheme="minorEastAsia" w:cstheme="minorEastAsia"/>
          <w:color w:val="auto"/>
          <w:sz w:val="24"/>
          <w:highlight w:val="none"/>
        </w:rPr>
        <w:t>6.1本项目不允许转包。</w:t>
      </w:r>
    </w:p>
    <w:p w14:paraId="2F48007B">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7CF0FE78">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5235D677">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7.特别说明</w:t>
      </w:r>
      <w:bookmarkEnd w:id="18"/>
      <w:bookmarkEnd w:id="19"/>
    </w:p>
    <w:p w14:paraId="1651D4D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bookmarkStart w:id="20" w:name="_8.1提供相同品牌产品且通过资格审查、符合性审查的不同投标人参加同一合"/>
      <w:bookmarkEnd w:id="20"/>
      <w:r>
        <w:rPr>
          <w:rFonts w:hint="eastAsia" w:asciiTheme="minorEastAsia" w:hAnsiTheme="minorEastAsia" w:eastAsiaTheme="minorEastAsia" w:cstheme="minorEastAsia"/>
          <w:color w:val="auto"/>
          <w:sz w:val="24"/>
          <w:highlight w:val="none"/>
        </w:rPr>
        <w:t>7.1</w:t>
      </w:r>
      <w:bookmarkStart w:id="21" w:name="_Hlk65832145"/>
      <w:r>
        <w:rPr>
          <w:rFonts w:hint="eastAsia" w:asciiTheme="minorEastAsia" w:hAnsiTheme="minorEastAsia" w:eastAsiaTheme="minorEastAsia" w:cstheme="minorEastAsia"/>
          <w:color w:val="auto"/>
          <w:sz w:val="24"/>
          <w:highlight w:val="none"/>
        </w:rPr>
        <w:t>如果本磋商文件要求提供供应商或制造商的资格、信誉、荣誉、业绩与企业认证等材料的，资格、信誉、荣誉、业绩与企业认证等必须为供应商或者制造商所拥有或自身获得 。</w:t>
      </w:r>
    </w:p>
    <w:bookmarkEnd w:id="21"/>
    <w:p w14:paraId="47CA3EA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7.2供应商应仔细阅读磋商文件的所有内容，按照磋商文件的要求提交响应文件，并对所提供的全部资料的真实性承担法律责任。</w:t>
      </w:r>
    </w:p>
    <w:p w14:paraId="7A4DE343">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7.3供应商在参与竞争性磋商活动中提供任何疑似虚假材料，将报监管部门查处；签订合同后发现的，成交供应商须依法赔偿采购人，且民事赔偿并不免除违法供应商的行政与刑事责任。</w:t>
      </w:r>
    </w:p>
    <w:p w14:paraId="0B9FDEF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7.4在政府采购活动中，采购人员及相关人员与供应商有下列利害关系之一的，应当回避：</w:t>
      </w:r>
    </w:p>
    <w:p w14:paraId="64736B0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（1）参加采购活动前3年内与供应商存在劳动关系；</w:t>
      </w:r>
    </w:p>
    <w:p w14:paraId="4D4972BE">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（2）参加采购活动前3年内担任供应商的董事、监事；</w:t>
      </w:r>
    </w:p>
    <w:p w14:paraId="381F040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（3）参加采购活动前3年内是供应商的控股股东或者实际控制人；</w:t>
      </w:r>
    </w:p>
    <w:p w14:paraId="1C9F117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（4）与供应商的法定代表人或者负责人有夫妻、直系血亲、三代以内旁系血亲或者近姻亲关系；</w:t>
      </w:r>
    </w:p>
    <w:p w14:paraId="73E5C097">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（5）与供应商有其他可能影响政府采购活动公平、公正进行的关系。</w:t>
      </w:r>
    </w:p>
    <w:p w14:paraId="1D4A6B68">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B8C76D5">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7.5有下列情形之一的视为供应商相互串通参与竞争性磋商，响应文件将被视为无效：</w:t>
      </w:r>
    </w:p>
    <w:p w14:paraId="2506A211">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rPr>
        <w:t>（1）不同供应商的响应文件由同一单位或者个人编制</w:t>
      </w:r>
      <w:r>
        <w:rPr>
          <w:rFonts w:hint="eastAsia" w:asciiTheme="minorEastAsia" w:hAnsiTheme="minorEastAsia" w:eastAsiaTheme="minorEastAsia" w:cstheme="minorEastAsia"/>
          <w:bCs/>
          <w:color w:val="auto"/>
          <w:sz w:val="24"/>
          <w:highlight w:val="none"/>
        </w:rPr>
        <w:t xml:space="preserve">或者不同供应商报名的IP地址一致的；或者编制标书硬件设备CPU编号、硬盘编号、网卡地址一致的情况； </w:t>
      </w:r>
    </w:p>
    <w:p w14:paraId="22A7C4E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（2）不同供应商委托同一单位或者个人办理竞争性磋商事宜；</w:t>
      </w:r>
    </w:p>
    <w:p w14:paraId="09FBDB3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（3）不同的供应商的响应文件载明的项目管理员为同一个人；</w:t>
      </w:r>
    </w:p>
    <w:p w14:paraId="4A0B6FF5">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（4）不同供应商的响应文件异常一致或者报价呈规律性差异；</w:t>
      </w:r>
    </w:p>
    <w:p w14:paraId="530772D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（5）不同供应商的响应文件相互混装；</w:t>
      </w:r>
    </w:p>
    <w:p w14:paraId="3E889612">
      <w:pPr>
        <w:keepNext w:val="0"/>
        <w:keepLines w:val="0"/>
        <w:pageBreakBefore w:val="0"/>
        <w:tabs>
          <w:tab w:val="left" w:pos="6931"/>
        </w:tabs>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（6）不同供应商的磋商保证金从同一单位或者个人账户转出。</w:t>
      </w:r>
      <w:r>
        <w:rPr>
          <w:rFonts w:hint="eastAsia" w:asciiTheme="minorEastAsia" w:hAnsiTheme="minorEastAsia" w:eastAsiaTheme="minorEastAsia" w:cstheme="minorEastAsia"/>
          <w:color w:val="auto"/>
          <w:sz w:val="24"/>
          <w:highlight w:val="none"/>
        </w:rPr>
        <w:tab/>
      </w:r>
    </w:p>
    <w:p w14:paraId="6B9369F6">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（7）供应商之间协商报价等响应文件的实质性内容；</w:t>
      </w:r>
    </w:p>
    <w:p w14:paraId="3784694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（8）供应商之间约定成交供应商；</w:t>
      </w:r>
    </w:p>
    <w:p w14:paraId="67DBCB31">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（9）供应商之间约定部分供应商放弃参与竞争性磋商或者成交；</w:t>
      </w:r>
    </w:p>
    <w:p w14:paraId="61F3D5B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（10）属于同一集团、协会、商会等组织成员的供应商按照该组织要求协同参与竞争性磋商；</w:t>
      </w:r>
    </w:p>
    <w:p w14:paraId="731DF28F">
      <w:pPr>
        <w:pStyle w:val="2"/>
        <w:keepNext w:val="0"/>
        <w:keepLines w:val="0"/>
        <w:pageBreakBefore w:val="0"/>
        <w:kinsoku/>
        <w:wordWrap/>
        <w:overflowPunct/>
        <w:topLinePunct w:val="0"/>
        <w:autoSpaceDE/>
        <w:autoSpaceDN/>
        <w:bidi w:val="0"/>
        <w:adjustRightInd/>
        <w:snapToGrid/>
        <w:spacing w:after="0" w:line="4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（11）供应商之间为谋取成交或者排斥特定供应商而采取的其他联合行动。</w:t>
      </w:r>
    </w:p>
    <w:p w14:paraId="5CD242E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7.6供应商有下列情形之一的，属于恶意串通行为，将报同级监督管理部门：</w:t>
      </w:r>
    </w:p>
    <w:p w14:paraId="37511B8E">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（1）供应商直接或者间接从采购人或者采购代理机构处获得其他供应商的相关信息并修改其响应文件；</w:t>
      </w:r>
    </w:p>
    <w:p w14:paraId="34BD0A09">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（2）供应商按照采购人或者采购代理机构的授意撤换、修改响应文件；</w:t>
      </w:r>
    </w:p>
    <w:p w14:paraId="75CA4E8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（3）供应商之间协商报价、技术方案等响应文件或者响应文件的实质性内容；</w:t>
      </w:r>
    </w:p>
    <w:p w14:paraId="47F6EB6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（4）属于同一集团、协会、商会等组织成员的供应商按照该组织要求协同参加政府采购活动；</w:t>
      </w:r>
    </w:p>
    <w:p w14:paraId="563A6B6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（5）供应商之间事先约定一致抬高或者压低报价，或者在政府采购活动中事先约定轮流以高价位或者低价位成交，或者事先约定由某一特定供应商成交，然后再参加竞争性磋商；</w:t>
      </w:r>
    </w:p>
    <w:p w14:paraId="1EDD6E3D">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（6）供应商之间商定部分供应商放弃参加政府采购活动或者放弃成交；</w:t>
      </w:r>
    </w:p>
    <w:p w14:paraId="1AB11B8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（7）供应商与采购人或者采购代理机构之间、供应商相互之间，为谋求特定供应商成交或者排斥其他供应商的其他串通行为。</w:t>
      </w:r>
    </w:p>
    <w:p w14:paraId="3CED955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7.7竞争性磋商委托</w:t>
      </w:r>
    </w:p>
    <w:p w14:paraId="3323E0D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供应商代表参加竞争性磋商活动过程中必须携带个人有效身份证件。如供应商代表不是法定代表人，须持有授权委托书（按第五章要求格式填写）。</w:t>
      </w:r>
    </w:p>
    <w:p w14:paraId="073873A1">
      <w:pPr>
        <w:pStyle w:val="2"/>
        <w:keepNext w:val="0"/>
        <w:keepLines w:val="0"/>
        <w:pageBreakBefore w:val="0"/>
        <w:kinsoku/>
        <w:wordWrap/>
        <w:overflowPunct/>
        <w:topLinePunct w:val="0"/>
        <w:autoSpaceDE/>
        <w:autoSpaceDN/>
        <w:bidi w:val="0"/>
        <w:adjustRightInd/>
        <w:snapToGrid/>
        <w:spacing w:after="0" w:line="400" w:lineRule="exact"/>
        <w:ind w:firstLine="420" w:firstLineChars="200"/>
        <w:rPr>
          <w:rFonts w:hint="eastAsia" w:asciiTheme="minorEastAsia" w:hAnsiTheme="minorEastAsia" w:eastAsiaTheme="minorEastAsia" w:cstheme="minorEastAsia"/>
          <w:color w:val="auto"/>
          <w:highlight w:val="none"/>
        </w:rPr>
      </w:pPr>
    </w:p>
    <w:p w14:paraId="7E77D5FC">
      <w:pPr>
        <w:keepNext w:val="0"/>
        <w:keepLines w:val="0"/>
        <w:pageBreakBefore w:val="0"/>
        <w:kinsoku/>
        <w:wordWrap/>
        <w:overflowPunct/>
        <w:topLinePunct w:val="0"/>
        <w:autoSpaceDE/>
        <w:autoSpaceDN/>
        <w:bidi w:val="0"/>
        <w:adjustRightInd/>
        <w:snapToGrid/>
        <w:spacing w:line="400" w:lineRule="exact"/>
        <w:jc w:val="center"/>
        <w:outlineLvl w:val="1"/>
        <w:rPr>
          <w:rFonts w:hint="eastAsia" w:asciiTheme="minorEastAsia" w:hAnsiTheme="minorEastAsia" w:eastAsiaTheme="minorEastAsia" w:cstheme="minorEastAsia"/>
          <w:b/>
          <w:bCs/>
          <w:color w:val="auto"/>
          <w:sz w:val="30"/>
          <w:szCs w:val="30"/>
          <w:highlight w:val="none"/>
        </w:rPr>
      </w:pPr>
      <w:bookmarkStart w:id="22" w:name="_Toc254970675"/>
      <w:bookmarkStart w:id="23" w:name="_Toc254970534"/>
      <w:r>
        <w:rPr>
          <w:rFonts w:hint="eastAsia" w:asciiTheme="minorEastAsia" w:hAnsiTheme="minorEastAsia" w:eastAsiaTheme="minorEastAsia" w:cstheme="minorEastAsia"/>
          <w:b/>
          <w:bCs/>
          <w:color w:val="auto"/>
          <w:sz w:val="30"/>
          <w:szCs w:val="30"/>
          <w:highlight w:val="none"/>
        </w:rPr>
        <w:t>二、磋商文件</w:t>
      </w:r>
      <w:bookmarkEnd w:id="22"/>
      <w:bookmarkEnd w:id="23"/>
    </w:p>
    <w:p w14:paraId="20FFF5C0">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8.磋商文件的构成</w:t>
      </w:r>
    </w:p>
    <w:p w14:paraId="5A1E063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（1）竞争性磋商公告；</w:t>
      </w:r>
    </w:p>
    <w:p w14:paraId="466E0083">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（2）供应商须知； </w:t>
      </w:r>
    </w:p>
    <w:p w14:paraId="333AFE2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（3）采购需求；</w:t>
      </w:r>
    </w:p>
    <w:p w14:paraId="3975CCD8">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（4）评审程序、评审方法和评审标准；</w:t>
      </w:r>
    </w:p>
    <w:p w14:paraId="6D1064D9">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（5）响应文件格式；</w:t>
      </w:r>
    </w:p>
    <w:p w14:paraId="7A8523F8">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（6）拟签订的合同文本。</w:t>
      </w:r>
    </w:p>
    <w:p w14:paraId="4DC49FD6">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9.供应商的询问</w:t>
      </w:r>
    </w:p>
    <w:p w14:paraId="3F6233B1">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应认真阅读磋商文件的采购需求，如供应商对磋商文件有疑问的，如要求采购人做出澄清或者修改的，供应商尽可能在提交首次响应文件截止之日前，以纸质书面形式向采购人、采购代理机构提出，否则，由此产生的后果由供应商自行负责。</w:t>
      </w:r>
    </w:p>
    <w:p w14:paraId="6D827400">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10.磋商文件的澄清和修改</w:t>
      </w:r>
    </w:p>
    <w:p w14:paraId="683C535E">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10.1提交首次响应文件截止之日前，采购人或者采购代理机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之日至少5日前，在原公告发布媒体上发布更正公告；不足5日的，采购人、采购代理机构应当顺延提交首次响应文件截止时间。澄清或者更正公告在竞争性磋商公告发布媒体上发布，一经发布，视作已以书面形式通知所有获取竞争性磋商文件的潜在供应商，不再另行通知，所有潜在供应商应密切关注竞争性磋商公告发布媒体，因未能及时获知，由此产生的后果均应自行承担。</w:t>
      </w:r>
    </w:p>
    <w:p w14:paraId="0908B57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10.2采购人和采购代理机构可以视采购具体情况，变更首次响应文件提交截止时间和开启时间，并在原公告发布媒体上发布更正公告。</w:t>
      </w:r>
    </w:p>
    <w:p w14:paraId="5F4D42F5">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10.3磋商文件澄清、答复、修改、补充的内容为磋商文件的组成部分。</w:t>
      </w:r>
      <w:r>
        <w:rPr>
          <w:rFonts w:hint="eastAsia" w:asciiTheme="minorEastAsia" w:hAnsiTheme="minorEastAsia" w:eastAsiaTheme="minorEastAsia" w:cstheme="minorEastAsia"/>
          <w:b/>
          <w:color w:val="auto"/>
          <w:sz w:val="24"/>
          <w:highlight w:val="none"/>
        </w:rPr>
        <w:t>当磋商文件与磋商文件的澄清、答复、修改、补充通知就同一内容的表述不一致时，以最后发出的文件为准。</w:t>
      </w:r>
    </w:p>
    <w:p w14:paraId="1405193A">
      <w:pPr>
        <w:keepNext w:val="0"/>
        <w:keepLines w:val="0"/>
        <w:pageBreakBefore w:val="0"/>
        <w:kinsoku/>
        <w:wordWrap/>
        <w:overflowPunct/>
        <w:topLinePunct w:val="0"/>
        <w:autoSpaceDE/>
        <w:autoSpaceDN/>
        <w:bidi w:val="0"/>
        <w:adjustRightInd/>
        <w:snapToGrid/>
        <w:spacing w:line="400" w:lineRule="exact"/>
        <w:ind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10.4响应文件未按磋商文件的澄清、修改后的内容编制的，其响应文件作无效响应处理。</w:t>
      </w:r>
    </w:p>
    <w:p w14:paraId="16EDE524">
      <w:pPr>
        <w:keepNext w:val="0"/>
        <w:keepLines w:val="0"/>
        <w:pageBreakBefore w:val="0"/>
        <w:kinsoku/>
        <w:wordWrap/>
        <w:overflowPunct/>
        <w:topLinePunct w:val="0"/>
        <w:autoSpaceDE/>
        <w:autoSpaceDN/>
        <w:bidi w:val="0"/>
        <w:adjustRightInd/>
        <w:snapToGrid/>
        <w:spacing w:line="400" w:lineRule="exact"/>
        <w:ind w:firstLine="482" w:firstLineChars="200"/>
        <w:rPr>
          <w:rFonts w:hint="eastAsia" w:asciiTheme="minorEastAsia" w:hAnsiTheme="minorEastAsia" w:eastAsiaTheme="minorEastAsia" w:cstheme="minorEastAsia"/>
          <w:b/>
          <w:color w:val="auto"/>
          <w:sz w:val="24"/>
          <w:highlight w:val="none"/>
        </w:rPr>
      </w:pPr>
    </w:p>
    <w:p w14:paraId="6C967CF4">
      <w:pPr>
        <w:keepNext w:val="0"/>
        <w:keepLines w:val="0"/>
        <w:pageBreakBefore w:val="0"/>
        <w:kinsoku/>
        <w:wordWrap/>
        <w:overflowPunct/>
        <w:topLinePunct w:val="0"/>
        <w:autoSpaceDE/>
        <w:autoSpaceDN/>
        <w:bidi w:val="0"/>
        <w:adjustRightInd/>
        <w:snapToGrid/>
        <w:spacing w:line="400" w:lineRule="exact"/>
        <w:jc w:val="center"/>
        <w:outlineLvl w:val="1"/>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三、响应文件的编制</w:t>
      </w:r>
    </w:p>
    <w:p w14:paraId="7C28558E">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11.响应文件的编制原则</w:t>
      </w:r>
    </w:p>
    <w:p w14:paraId="37B30AAD">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供应商必须按照磋商文件的要求编制响应文件，并对其提交的响应文件的真实性、合法性承担法律责任。响应文件必须对磋商文件做出实质性响应。</w:t>
      </w:r>
    </w:p>
    <w:p w14:paraId="64491E02">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12.响应文件的组成</w:t>
      </w:r>
    </w:p>
    <w:p w14:paraId="4612ED4E">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12.1响应文件由资格证明文件、报价商务服务文件两部分组成。</w:t>
      </w:r>
    </w:p>
    <w:p w14:paraId="32209CE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12.1.1资格证明文件：详见须知前附表</w:t>
      </w:r>
    </w:p>
    <w:p w14:paraId="2EC7997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12.1.2报价商务服务文件：详见须知前附表</w:t>
      </w:r>
    </w:p>
    <w:p w14:paraId="60E9C4E8">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13.计量单位</w:t>
      </w:r>
    </w:p>
    <w:p w14:paraId="47B75AD5">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磋商文件已有明确规定的，使用磋商文件规定的计量单位；磋商文件没有规定的，应采用中华人民共和国法定计量单位，货币种类为人民币，否则视同未响应。</w:t>
      </w:r>
    </w:p>
    <w:p w14:paraId="737D793F">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14.竞争性磋商的风险</w:t>
      </w:r>
    </w:p>
    <w:p w14:paraId="5FFA8C85">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供应商没有按照磋商文件要求提供全部资料，或者供应商没有对磋商文件在各方面做出实质性响应可能导致其响应无效，是供应商应当考虑的风险。</w:t>
      </w:r>
    </w:p>
    <w:p w14:paraId="61DDA1A0">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15.竞争性磋商报价</w:t>
      </w:r>
    </w:p>
    <w:p w14:paraId="2F3A005F">
      <w:pPr>
        <w:keepNext w:val="0"/>
        <w:keepLines w:val="0"/>
        <w:pageBreakBefore w:val="0"/>
        <w:tabs>
          <w:tab w:val="left" w:pos="2492"/>
        </w:tabs>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15.1竞争性磋商报价应按磋商文件中“竞争性磋商报价表”格式填写。</w:t>
      </w:r>
    </w:p>
    <w:p w14:paraId="2098F4D1">
      <w:pPr>
        <w:keepNext w:val="0"/>
        <w:keepLines w:val="0"/>
        <w:pageBreakBefore w:val="0"/>
        <w:tabs>
          <w:tab w:val="left" w:pos="2492"/>
        </w:tabs>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15.2竞争性磋商报价的内容见“供应商须知前附表”。</w:t>
      </w:r>
    </w:p>
    <w:p w14:paraId="31593C5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15.3竞争性磋商报价要求</w:t>
      </w:r>
    </w:p>
    <w:p w14:paraId="186E355D">
      <w:pPr>
        <w:keepNext w:val="0"/>
        <w:keepLines w:val="0"/>
        <w:pageBreakBefore w:val="0"/>
        <w:kinsoku/>
        <w:wordWrap/>
        <w:overflowPunct/>
        <w:topLinePunct w:val="0"/>
        <w:autoSpaceDE/>
        <w:autoSpaceDN/>
        <w:bidi w:val="0"/>
        <w:adjustRightInd/>
        <w:snapToGrid/>
        <w:spacing w:line="400" w:lineRule="exact"/>
        <w:ind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15.3.1供应商的竞争性磋商报价应符合以下要求，否则响应文件按无效响应处理：</w:t>
      </w:r>
    </w:p>
    <w:p w14:paraId="1A0932F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（1）供应商必须就“采购需求”中所竞标的每个分标的全部内容分别作完整唯一总价报价，不得存在漏项报价；</w:t>
      </w:r>
    </w:p>
    <w:p w14:paraId="0E985983">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（2）供应商必须就所竞标的分标的单项内容作唯一报价。</w:t>
      </w:r>
    </w:p>
    <w:p w14:paraId="5412176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15.3.2竞争性磋商报价（包含首次报价、最后报价）超过所开展竞争性磋商分标规定的采购预算金额或者最高限价的，其响应文件将按无效响应处理。</w:t>
      </w:r>
      <w:bookmarkStart w:id="24" w:name="_Hlk42592874"/>
    </w:p>
    <w:p w14:paraId="580BB067">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15.3.3竞争性磋商报价（包含首次报价、最后报价）超过分项采购预算金额或者最高限价的，其响应文件将按无效处理。</w:t>
      </w:r>
    </w:p>
    <w:bookmarkEnd w:id="24"/>
    <w:p w14:paraId="2E5F2579">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16.竞争性磋商有效期</w:t>
      </w:r>
    </w:p>
    <w:p w14:paraId="7F556D2D">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16.1竞争性磋商有效期是指为保证采购人有足够的时间在提交响应文件后完成评审、确定成交供应商、合同签订等工作而要求供应商提交的响应文件在一定时间内保持有效的期限。</w:t>
      </w:r>
    </w:p>
    <w:p w14:paraId="433BADB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16.2竞争性磋商有效期应由供应商按“供应商须知前附表”规定的期限作出响应。</w:t>
      </w:r>
    </w:p>
    <w:p w14:paraId="07BBC0AD">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16.3供应商的响应文件在竞争性磋商有效期内均保持有效。</w:t>
      </w:r>
    </w:p>
    <w:p w14:paraId="699874C2">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17.磋商保证金</w:t>
      </w:r>
    </w:p>
    <w:p w14:paraId="2D891D89">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17.1供应商须按“供应商须知前附表”的规定提交磋商保证金。</w:t>
      </w:r>
    </w:p>
    <w:p w14:paraId="1D52183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17.2磋商保证金的退还</w:t>
      </w:r>
    </w:p>
    <w:p w14:paraId="639458E8">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bookmarkStart w:id="25" w:name="_Hlk66782243"/>
      <w:r>
        <w:rPr>
          <w:rFonts w:hint="eastAsia" w:asciiTheme="minorEastAsia" w:hAnsiTheme="minorEastAsia" w:eastAsiaTheme="minorEastAsia" w:cstheme="minorEastAsia"/>
          <w:color w:val="auto"/>
          <w:sz w:val="24"/>
          <w:highlight w:val="none"/>
        </w:rPr>
        <w:t>未</w:t>
      </w:r>
      <w:r>
        <w:rPr>
          <w:rFonts w:hint="eastAsia" w:asciiTheme="minorEastAsia" w:hAnsiTheme="minorEastAsia" w:eastAsiaTheme="minorEastAsia" w:cstheme="minorEastAsia"/>
          <w:color w:val="auto"/>
          <w:spacing w:val="-6"/>
          <w:sz w:val="24"/>
          <w:highlight w:val="none"/>
        </w:rPr>
        <w:t>成交供应商的磋商保证金自成交通知书发出之日起5个工作日内退还；</w:t>
      </w:r>
      <w:r>
        <w:rPr>
          <w:rFonts w:hint="eastAsia" w:asciiTheme="minorEastAsia" w:hAnsiTheme="minorEastAsia" w:eastAsiaTheme="minorEastAsia" w:cstheme="minorEastAsia"/>
          <w:color w:val="auto"/>
          <w:sz w:val="24"/>
          <w:highlight w:val="none"/>
        </w:rPr>
        <w:t>成交供应商的磋商保证金自签订合同之日起5个工作日内退还。</w:t>
      </w:r>
      <w:bookmarkEnd w:id="25"/>
      <w:r>
        <w:rPr>
          <w:rFonts w:hint="eastAsia" w:asciiTheme="minorEastAsia" w:hAnsiTheme="minorEastAsia" w:eastAsiaTheme="minorEastAsia" w:cstheme="minorEastAsia"/>
          <w:color w:val="auto"/>
          <w:sz w:val="24"/>
          <w:highlight w:val="none"/>
        </w:rPr>
        <w:t xml:space="preserve"> </w:t>
      </w:r>
    </w:p>
    <w:p w14:paraId="1226630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17.3磋商保证金不计息。</w:t>
      </w:r>
    </w:p>
    <w:p w14:paraId="11CF5211">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17.4供应商有下列情形之一的，磋商保证金将不予退还： </w:t>
      </w:r>
    </w:p>
    <w:p w14:paraId="21EF41F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（1）供应商在提交首次响应文件截止时间后撤回响应文件的；</w:t>
      </w:r>
    </w:p>
    <w:p w14:paraId="4471FD93">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（2）未按规定提交履约保证金的；</w:t>
      </w:r>
    </w:p>
    <w:p w14:paraId="5ADCACB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（3）供应商在响应文件中提供虚假材料的；</w:t>
      </w:r>
    </w:p>
    <w:p w14:paraId="305F5B9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（4）除因不可抗力或者磋商文件认可的情形以外，成交供应商不与采购人签订合同的；</w:t>
      </w:r>
    </w:p>
    <w:p w14:paraId="16D5A29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（5）供应商与采购人、其他供应商或者采购代理机构恶意串通的；</w:t>
      </w:r>
    </w:p>
    <w:p w14:paraId="3BD6307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（6）法律法规规定的其他情形。</w:t>
      </w:r>
    </w:p>
    <w:p w14:paraId="284DB0BB">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18.响应文件编制的要求</w:t>
      </w:r>
    </w:p>
    <w:p w14:paraId="6FEF718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z w:val="24"/>
          <w:highlight w:val="none"/>
        </w:rPr>
        <w:t>18.1供应商应按本磋商文件规定的格式和顺序编制响应文件并标注页码，响应文件内容</w:t>
      </w:r>
      <w:r>
        <w:rPr>
          <w:rFonts w:hint="eastAsia" w:asciiTheme="minorEastAsia" w:hAnsiTheme="minorEastAsia" w:eastAsiaTheme="minorEastAsia" w:cstheme="minorEastAsia"/>
          <w:color w:val="auto"/>
          <w:spacing w:val="-6"/>
          <w:sz w:val="24"/>
          <w:highlight w:val="none"/>
        </w:rPr>
        <w:t>不完整、编排混乱导致响应文件被误读、漏读或者查找不到相关内容的，</w:t>
      </w:r>
      <w:r>
        <w:rPr>
          <w:rFonts w:hint="eastAsia" w:asciiTheme="minorEastAsia" w:hAnsiTheme="minorEastAsia" w:eastAsiaTheme="minorEastAsia" w:cstheme="minorEastAsia"/>
          <w:color w:val="auto"/>
          <w:sz w:val="24"/>
          <w:highlight w:val="none"/>
        </w:rPr>
        <w:t>由此引发的</w:t>
      </w:r>
      <w:r>
        <w:rPr>
          <w:rFonts w:hint="eastAsia" w:asciiTheme="minorEastAsia" w:hAnsiTheme="minorEastAsia" w:eastAsiaTheme="minorEastAsia" w:cstheme="minorEastAsia"/>
          <w:color w:val="auto"/>
          <w:spacing w:val="-6"/>
          <w:sz w:val="24"/>
          <w:highlight w:val="none"/>
        </w:rPr>
        <w:t>后果由供应商承担。</w:t>
      </w:r>
    </w:p>
    <w:p w14:paraId="5A05B1D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18.2响应文件应按资格证明文件、报价商务服务文件分别编制电子文件，并按广西政府采购云平台的要求编制、加密、上传。</w:t>
      </w:r>
    </w:p>
    <w:p w14:paraId="3C5AAD8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w:t>
      </w:r>
      <w:bookmarkStart w:id="26" w:name="_Hlk65832699"/>
      <w:r>
        <w:rPr>
          <w:rFonts w:hint="eastAsia" w:asciiTheme="minorEastAsia" w:hAnsiTheme="minorEastAsia" w:eastAsiaTheme="minorEastAsia" w:cstheme="minorEastAsia"/>
          <w:color w:val="auto"/>
          <w:sz w:val="24"/>
          <w:highlight w:val="none"/>
        </w:rPr>
        <w:t>3响应文件须由供应商在规定位置盖公章并签字</w:t>
      </w:r>
      <w:bookmarkStart w:id="27" w:name="_Hlk65832569"/>
      <w:r>
        <w:rPr>
          <w:rFonts w:hint="eastAsia" w:asciiTheme="minorEastAsia" w:hAnsiTheme="minorEastAsia" w:eastAsiaTheme="minorEastAsia" w:cstheme="minorEastAsia"/>
          <w:color w:val="auto"/>
          <w:sz w:val="24"/>
          <w:highlight w:val="none"/>
        </w:rPr>
        <w:t>（具体以供应商须知前附表或响应文件格式规定为准）</w:t>
      </w:r>
      <w:bookmarkEnd w:id="26"/>
      <w:bookmarkEnd w:id="27"/>
      <w:r>
        <w:rPr>
          <w:rFonts w:hint="eastAsia" w:asciiTheme="minorEastAsia" w:hAnsiTheme="minorEastAsia" w:eastAsiaTheme="minorEastAsia" w:cstheme="minorEastAsia"/>
          <w:color w:val="auto"/>
          <w:sz w:val="24"/>
          <w:highlight w:val="none"/>
        </w:rPr>
        <w:t>，否则其响应文件按无效响应处理。</w:t>
      </w:r>
    </w:p>
    <w:p w14:paraId="5B76EEE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18.4响应文件中标注的供应商名称应与营业执照（事业单位法人证书、执业许可证、自然人身份证）及公章一致，否则其响应文件按无效响应处理。</w:t>
      </w:r>
    </w:p>
    <w:p w14:paraId="26D54689">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6AB3ABA8">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19.响应文件的加密、解密及电子备份响应文件</w:t>
      </w:r>
    </w:p>
    <w:p w14:paraId="331EEBF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19.1电子响应文件编制完成后，供应商应按广西政府采购云平台的要求进行加密，并在规定时间内解密，否则，由此产生的后果由供应商自行负责。</w:t>
      </w:r>
    </w:p>
    <w:p w14:paraId="472BAB29">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19.2电子备份响应文件是指通过“广西政府采购云平台电子投标客户端”在线编制生成且后缀名为“bfbs”的文件，是否接受电子备份响应文件详见在“供应商须知前附表”。</w:t>
      </w:r>
    </w:p>
    <w:p w14:paraId="5FC0BB03">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20.响应文件的提交</w:t>
      </w:r>
    </w:p>
    <w:p w14:paraId="1608B928">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20.1供应商必须在“供应商须知前附表”规定的时间和地点提交响应文件。</w:t>
      </w:r>
    </w:p>
    <w:p w14:paraId="5CC6B423">
      <w:pPr>
        <w:keepNext w:val="0"/>
        <w:keepLines w:val="0"/>
        <w:pageBreakBefore w:val="0"/>
        <w:widowControl/>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20.2本项目为全流程电子化政府采购项目，通过广西政府采购云平台（https：//www.gcy.zfcg.gxzf.gov.cn/）实行在线电子竞争性磋商，供应商应先安装“广西政府采购云平台电子交易客户端”（请自行前往广西政府采购云平台进行下载），并按照本项目竞争性磋商文件和广西政府采购云平台的要求编制、加密后在首次响应文件提交截止时间前通过网络上传至广西政府采购云平台，</w:t>
      </w:r>
      <w:r>
        <w:rPr>
          <w:rFonts w:hint="eastAsia" w:asciiTheme="minorEastAsia" w:hAnsiTheme="minorEastAsia" w:eastAsiaTheme="minorEastAsia" w:cstheme="minorEastAsia"/>
          <w:b/>
          <w:color w:val="auto"/>
          <w:sz w:val="24"/>
          <w:highlight w:val="none"/>
        </w:rPr>
        <w:t>供应商在广西政府采购云平台提交电子版响应文件时，请填写参加远程开标活动经办人联系方式。</w:t>
      </w:r>
    </w:p>
    <w:p w14:paraId="3636C65D">
      <w:pPr>
        <w:pStyle w:val="7"/>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20.3未在规定时间内上传或者未按广西政府采购云平台的要求编制、加密的电子响应文件，广西政府采购云平台将拒收。</w:t>
      </w:r>
    </w:p>
    <w:p w14:paraId="31118A5F">
      <w:pPr>
        <w:pStyle w:val="7"/>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20.4电子响应文件提交方</w:t>
      </w:r>
      <w:r>
        <w:rPr>
          <w:rFonts w:hint="eastAsia" w:asciiTheme="minorEastAsia" w:hAnsiTheme="minorEastAsia" w:eastAsiaTheme="minorEastAsia" w:cstheme="minorEastAsia"/>
          <w:bCs/>
          <w:color w:val="auto"/>
          <w:sz w:val="24"/>
          <w:szCs w:val="24"/>
          <w:highlight w:val="none"/>
        </w:rPr>
        <w:t>式见“竞争性磋商公告”</w:t>
      </w:r>
      <w:r>
        <w:rPr>
          <w:rFonts w:hint="eastAsia" w:asciiTheme="minorEastAsia" w:hAnsiTheme="minorEastAsia" w:eastAsiaTheme="minorEastAsia" w:cstheme="minorEastAsia"/>
          <w:color w:val="auto"/>
          <w:sz w:val="24"/>
          <w:szCs w:val="24"/>
          <w:highlight w:val="none"/>
        </w:rPr>
        <w:t>中“四、响应文件提交”。</w:t>
      </w:r>
    </w:p>
    <w:p w14:paraId="7645F780">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21.首次响应文件的补充、修改与撤回</w:t>
      </w:r>
    </w:p>
    <w:p w14:paraId="69356CF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21.1供应商应当在首次响应文件提交截止时间前完成电子响应文件的上传、提交，首次响应文件提交截止时间前可以补充、修改或者撤回响应文件。补充或者修改响应文件的，应当先行撤回原文件，补充、修改后重新上传、提交。首次响应文件提交截止时间前未完成上传、提交的，视为撤回响应文件。首次响应文件提交截止时间以后上传提交的响应文件，广西政府采购云平台将予以拒收。</w:t>
      </w:r>
    </w:p>
    <w:p w14:paraId="5A9D7E6E">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bookmarkStart w:id="28" w:name="_Hlk45702405"/>
      <w:r>
        <w:rPr>
          <w:rFonts w:hint="eastAsia" w:asciiTheme="minorEastAsia" w:hAnsiTheme="minorEastAsia" w:eastAsiaTheme="minorEastAsia" w:cstheme="minorEastAsia"/>
          <w:b/>
          <w:bCs/>
          <w:color w:val="auto"/>
          <w:sz w:val="24"/>
          <w:highlight w:val="none"/>
        </w:rPr>
        <w:t>22.首次响应文件的退回</w:t>
      </w:r>
    </w:p>
    <w:p w14:paraId="2D1FE92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2130A4EB">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23.截止时间后的撤回</w:t>
      </w:r>
    </w:p>
    <w:p w14:paraId="219E68F6">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23.1供应商在首次响应文件提交截止时间后书面通知采购人、采购代理机构书面撤回响应文件的，将根据本磋商文件《供应商须知正文》第17.4条的规定不予退还其磋商保证金。</w:t>
      </w:r>
    </w:p>
    <w:bookmarkEnd w:id="28"/>
    <w:p w14:paraId="738E09AB">
      <w:pPr>
        <w:keepNext w:val="0"/>
        <w:keepLines w:val="0"/>
        <w:pageBreakBefore w:val="0"/>
        <w:kinsoku/>
        <w:wordWrap/>
        <w:overflowPunct/>
        <w:topLinePunct w:val="0"/>
        <w:autoSpaceDE/>
        <w:autoSpaceDN/>
        <w:bidi w:val="0"/>
        <w:adjustRightInd/>
        <w:snapToGrid/>
        <w:spacing w:line="400" w:lineRule="exact"/>
        <w:jc w:val="center"/>
        <w:outlineLvl w:val="1"/>
        <w:rPr>
          <w:rFonts w:hint="eastAsia"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四、评审及磋商</w:t>
      </w:r>
    </w:p>
    <w:p w14:paraId="1CE73E67">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24.磋商小组成立</w:t>
      </w:r>
    </w:p>
    <w:p w14:paraId="2542AAD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EC72D73">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EFB0CC9">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25.首次响应文件的开启</w:t>
      </w:r>
    </w:p>
    <w:p w14:paraId="631A6F1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25.1首次响应文件由磋商小组或者采购代理机构在“供应商须知前附表”规定的时间开启。</w:t>
      </w:r>
    </w:p>
    <w:p w14:paraId="29B02DE1">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25.2响应文件解密：采购代理机构将在“供应商须知前附表”规定的时间通过电子交易平台组织响应文件开启，采购代理机构将依托电子交易平台发起开始解密指令，</w:t>
      </w:r>
      <w:r>
        <w:rPr>
          <w:rFonts w:hint="eastAsia" w:asciiTheme="minorEastAsia" w:hAnsiTheme="minorEastAsia" w:eastAsiaTheme="minorEastAsia" w:cstheme="minorEastAsia"/>
          <w:b/>
          <w:color w:val="auto"/>
          <w:sz w:val="24"/>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Theme="minorEastAsia" w:hAnsiTheme="minorEastAsia" w:eastAsiaTheme="minorEastAsia" w:cstheme="minorEastAsia"/>
          <w:b/>
          <w:bCs/>
          <w:color w:val="auto"/>
          <w:sz w:val="24"/>
          <w:highlight w:val="none"/>
        </w:rPr>
        <w:t>响应文件未按时解密的，</w:t>
      </w:r>
      <w:r>
        <w:rPr>
          <w:rFonts w:hint="eastAsia" w:asciiTheme="minorEastAsia" w:hAnsiTheme="minorEastAsia" w:eastAsiaTheme="minorEastAsia" w:cstheme="minorEastAsia"/>
          <w:b/>
          <w:color w:val="auto"/>
          <w:sz w:val="24"/>
          <w:highlight w:val="none"/>
        </w:rPr>
        <w:t>视为响应</w:t>
      </w:r>
      <w:r>
        <w:rPr>
          <w:rFonts w:hint="eastAsia" w:asciiTheme="minorEastAsia" w:hAnsiTheme="minorEastAsia" w:eastAsiaTheme="minorEastAsia" w:cstheme="minorEastAsia"/>
          <w:b/>
          <w:bCs/>
          <w:color w:val="auto"/>
          <w:sz w:val="24"/>
          <w:highlight w:val="none"/>
        </w:rPr>
        <w:t>文件无效。</w:t>
      </w:r>
      <w:r>
        <w:rPr>
          <w:rFonts w:hint="eastAsia" w:asciiTheme="minorEastAsia" w:hAnsiTheme="minorEastAsia" w:eastAsiaTheme="minorEastAsia" w:cstheme="minorEastAsia"/>
          <w:color w:val="auto"/>
          <w:sz w:val="24"/>
          <w:highlight w:val="none"/>
        </w:rPr>
        <w:t>（解密异常情况处理：详见本章26.3电子交易活动的中止。）</w:t>
      </w:r>
    </w:p>
    <w:p w14:paraId="164B2DE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25.3成功解密响应文件的供应商不足3家的，不得磋商。</w:t>
      </w:r>
    </w:p>
    <w:p w14:paraId="222F8385">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26.评审程序、评审方法和评审标准</w:t>
      </w:r>
    </w:p>
    <w:p w14:paraId="52AFA5EB">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26.1磋商小组按照“第四章 评审程序、评审方法和评审标准”规定的方法、评审因素、标准和程序对响应文件进行评审。</w:t>
      </w:r>
    </w:p>
    <w:p w14:paraId="1755FCF6">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26.2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B5288B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26.3电子交易活动的中止。采购过程中出现以下情形，导致电子交易平台无法正常运行，或者无法保证电子交易的公平、公正和安全时，采购机构可中止电子交易活动：</w:t>
      </w:r>
    </w:p>
    <w:p w14:paraId="2A851F89">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（1）电子交易平台发生故障而无法登录访问的； </w:t>
      </w:r>
    </w:p>
    <w:p w14:paraId="33C1A381">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（2）电子交易平台应用或数据库出现错误，不能进行正常操作的；</w:t>
      </w:r>
    </w:p>
    <w:p w14:paraId="7F2DF4A7">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（3）电子交易平台发现严重安全漏洞，有潜在泄密危险的；</w:t>
      </w:r>
    </w:p>
    <w:p w14:paraId="7EBFA16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（4）病毒发作导致不能进行正常操作的； </w:t>
      </w:r>
    </w:p>
    <w:p w14:paraId="50C5222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（5）其他无法保证电子交易的公平、公正和安全的情况。</w:t>
      </w:r>
    </w:p>
    <w:p w14:paraId="144BA9B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26.4出现以上情形，不影响采购公平、公正性的，采购代理机构可以待上述情形消除后继续组织电子交易活动；影响或可能影响采购公平、公正性的，经采购代理机构确认后，应当重新采购。</w:t>
      </w:r>
    </w:p>
    <w:p w14:paraId="69D47421">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27.确定成交供应商及结果公告</w:t>
      </w:r>
    </w:p>
    <w:p w14:paraId="38AF0A4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4EEB88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27.2采购代理机构应当在</w:t>
      </w:r>
      <w:r>
        <w:rPr>
          <w:rFonts w:hint="eastAsia" w:asciiTheme="minorEastAsia" w:hAnsiTheme="minorEastAsia" w:eastAsiaTheme="minorEastAsia" w:cstheme="minorEastAsia"/>
          <w:color w:val="auto"/>
          <w:kern w:val="0"/>
          <w:sz w:val="24"/>
          <w:highlight w:val="none"/>
        </w:rPr>
        <w:t>成交</w:t>
      </w:r>
      <w:r>
        <w:rPr>
          <w:rFonts w:hint="eastAsia" w:asciiTheme="minorEastAsia" w:hAnsiTheme="minorEastAsia" w:eastAsiaTheme="minorEastAsia" w:cstheme="minorEastAsia"/>
          <w:color w:val="auto"/>
          <w:sz w:val="24"/>
          <w:highlight w:val="none"/>
        </w:rPr>
        <w:t>供应商确定后2个工作日内，在省级以上财政部门指定的媒体上公告成交结果，同时向成交供应商发出成交通知书。</w:t>
      </w:r>
      <w:r>
        <w:rPr>
          <w:rFonts w:hint="eastAsia" w:asciiTheme="minorEastAsia" w:hAnsiTheme="minorEastAsia" w:eastAsiaTheme="minorEastAsia" w:cstheme="minorEastAsia"/>
          <w:b/>
          <w:color w:val="auto"/>
          <w:sz w:val="24"/>
          <w:highlight w:val="none"/>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r>
        <w:rPr>
          <w:rFonts w:hint="eastAsia" w:asciiTheme="minorEastAsia" w:hAnsiTheme="minorEastAsia" w:eastAsiaTheme="minorEastAsia" w:cstheme="minorEastAsia"/>
          <w:color w:val="auto"/>
          <w:sz w:val="24"/>
          <w:highlight w:val="none"/>
        </w:rPr>
        <w:t>排名第二的成交候选人因上述规定的同样原因被取消成交资格的，采购人可以确定排名第三的成交候选人为成交供应商，以此类推。以上信息查询记录及相关证据与磋商文件一并保存。</w:t>
      </w:r>
      <w:bookmarkStart w:id="29" w:name="_Hlk66782294"/>
      <w:r>
        <w:rPr>
          <w:rFonts w:hint="eastAsia" w:asciiTheme="minorEastAsia" w:hAnsiTheme="minorEastAsia" w:eastAsiaTheme="minorEastAsia" w:cstheme="minorEastAsia"/>
          <w:color w:val="auto"/>
          <w:sz w:val="24"/>
          <w:highlight w:val="none"/>
        </w:rPr>
        <w:t>成交供应商享受《政府采购促进中小企业发展管理办法》（财库〔2020〕46号）及《关于进一步加大政府采购支持中小企业力度的通知》（财库〔2022〕19号）规定的中小企业扶持政策的，采购人、采购代理机构应当随成交结果公开成交供应商的《中小企业声明函》。</w:t>
      </w:r>
      <w:bookmarkEnd w:id="29"/>
    </w:p>
    <w:p w14:paraId="56061A3B">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27.3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18E5B11A">
      <w:pPr>
        <w:pStyle w:val="12"/>
        <w:keepNext w:val="0"/>
        <w:keepLines w:val="0"/>
        <w:pageBreakBefore w:val="0"/>
        <w:kinsoku/>
        <w:wordWrap/>
        <w:overflowPunct/>
        <w:topLinePunct w:val="0"/>
        <w:autoSpaceDE/>
        <w:autoSpaceDN/>
        <w:bidi w:val="0"/>
        <w:adjustRightInd/>
        <w:snapToGrid/>
        <w:spacing w:line="400" w:lineRule="exact"/>
        <w:ind w:firstLine="482" w:firstLineChars="200"/>
        <w:jc w:val="both"/>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highlight w:val="none"/>
        </w:rPr>
        <w:t>成交供应商拒绝与采购人签订合同的，其投标保证金不予退还，并上缴国库。给采购人造成损失，或（并）因此延误采购人教学科研计划的，须依据《中华人民共和国民法典》第五百条、《政府采购非招标采购方式管理办法（财政部令第74号）》第二十二条、第五十四条规定承担赔偿损失等法律责任，采购人有权将成交供应商的失信行为报财政部门记入诚信档案，以示惩戒。</w:t>
      </w:r>
    </w:p>
    <w:p w14:paraId="24DAD6BD">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27.4出现下列情形之一的，采购人或者采购代理机构应当终止竞争性磋商采购活动，发布项目终止公告并说明原因，重新开展采购活动：</w:t>
      </w:r>
    </w:p>
    <w:p w14:paraId="308AF2A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（1）因情况变化，不再符合规定的竞争性磋商采购方式适用情形的；</w:t>
      </w:r>
    </w:p>
    <w:p w14:paraId="589E143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（2）出现影响采购公正的违法、违规行为的；</w:t>
      </w:r>
    </w:p>
    <w:p w14:paraId="64B5354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（3）除“第四章 评审程序、评审方法和评审标准”第4.3条规定的情形外，在采购过程中符合要求的供应商或者报价未超过采购预算的供应商不足3家的。</w:t>
      </w:r>
    </w:p>
    <w:p w14:paraId="4F8D19C9">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27.5 在采购活动中因重大变故，采购任务取消的，采购人或者采购代理机构应当终止采购活动，通知所有参加采购活动的供应商，并将项目实施情况和采购任务取消原因报送本级财政部门。</w:t>
      </w:r>
    </w:p>
    <w:p w14:paraId="026D3C0D">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28.履约保证金</w:t>
      </w:r>
    </w:p>
    <w:p w14:paraId="18167B25">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28.1 履约保证金的金额、提交方式、退付的时间和条件详见 “供应商须知前附表”。成交供应商未按规定提交履约保证金的，视为拒绝与采购人签订合同。</w:t>
      </w:r>
    </w:p>
    <w:p w14:paraId="7E444458">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28.2在履约保证金退还日期前，若成交供应商的开户名称、开户银行、账号有变动的，请以书面形式通知履约保证金收取单位，否则由此产生的后果由成交供应商自行承担。</w:t>
      </w:r>
    </w:p>
    <w:p w14:paraId="455E9A6B">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29.签订合同</w:t>
      </w:r>
    </w:p>
    <w:p w14:paraId="2294296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29.1成交供应商在收到成交通知书（书面或电子）后，应当在签订合同时向采购人出示相关证明材料，具体内容详见 “供应商须知前附表”，经采购人核验合格后方可签订合同（书面或电子）。如成交供应商为联合体的，联合体各方应当共同与采购人签订采购合同，就采购合同约定的事项对采购人承担连带责任。</w:t>
      </w:r>
    </w:p>
    <w:p w14:paraId="780AE50E">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29.2签订合同时间：按成交通知书规定的时间与采购人签订政府采购合同（最长不能超过25日）。</w:t>
      </w:r>
    </w:p>
    <w:p w14:paraId="2702F116">
      <w:pPr>
        <w:keepNext w:val="0"/>
        <w:keepLines w:val="0"/>
        <w:pageBreakBefore w:val="0"/>
        <w:kinsoku/>
        <w:wordWrap/>
        <w:overflowPunct/>
        <w:topLinePunct w:val="0"/>
        <w:autoSpaceDE/>
        <w:autoSpaceDN/>
        <w:bidi w:val="0"/>
        <w:adjustRightInd/>
        <w:snapToGrid/>
        <w:spacing w:line="400" w:lineRule="exact"/>
        <w:ind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29.3成交供应商拒绝与采购人签订合同的，按照本磋商文件之《供应商须知正文》第27.3条的规定执行。</w:t>
      </w:r>
    </w:p>
    <w:p w14:paraId="41A8F7B6">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BBCBB5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136D63A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29.6如签订合同并生效后，供应商无故拒绝或延期，除按照合同条款处理外，将承担相应的法律责任。</w:t>
      </w:r>
    </w:p>
    <w:p w14:paraId="77ED30E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4AFA951B">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30.政府采购合同公告</w:t>
      </w:r>
    </w:p>
    <w:p w14:paraId="72BED8B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4740D65">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31.询问、质疑和投诉</w:t>
      </w:r>
    </w:p>
    <w:p w14:paraId="6E9D302E">
      <w:pPr>
        <w:pStyle w:val="7"/>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31.1供应商对政府采购活动事项有疑问的，可以向采购人、采购代理机构提出询问，采购人或者采购代理机构应当在3个工作日内对供应商依法提出的询问做出答复，但答复的内容不得涉及商业秘密。</w:t>
      </w:r>
    </w:p>
    <w:p w14:paraId="2D7AB21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31.2供应商认为磋商文件、采购过程或者成交结果使自己的合法权益受到损害的，应当在知道或者应知其权益受到损害之日起7个工作日内，以纸质书面形式向采购人、采购代理机构提出质疑，接收质疑函的方式、联系部门、联系电话和通讯地址等信息详见“供应商须知前附表”。具体质疑起算时间如下：</w:t>
      </w:r>
    </w:p>
    <w:p w14:paraId="54A0F08E">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（1）对可以质疑的磋商文件提出质疑的，为收到磋商文件之日或者竞争性磋商公告期限届满之日；</w:t>
      </w:r>
    </w:p>
    <w:p w14:paraId="77A87EE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（2）对采购过程提出质疑的，为各采购程序环节结束之日；</w:t>
      </w:r>
    </w:p>
    <w:p w14:paraId="0F837A97">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（3）对成交结果提出质疑的，为成交结果公告期限届满之日。</w:t>
      </w:r>
    </w:p>
    <w:p w14:paraId="13F6DD10">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4140533">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31.4供应商提出质疑应当提交质疑函和必要的证明材料，针对同一采购程序环节的质疑必须在法定质疑期内一次性提出。质疑函应当包括下列内容</w:t>
      </w:r>
      <w:r>
        <w:rPr>
          <w:rFonts w:hint="eastAsia" w:asciiTheme="minorEastAsia" w:hAnsiTheme="minorEastAsia" w:eastAsiaTheme="minorEastAsia" w:cstheme="minorEastAsia"/>
          <w:bCs/>
          <w:color w:val="auto"/>
          <w:sz w:val="24"/>
          <w:highlight w:val="none"/>
        </w:rPr>
        <w:t>（质疑函格式后附）</w:t>
      </w:r>
      <w:r>
        <w:rPr>
          <w:rFonts w:hint="eastAsia" w:asciiTheme="minorEastAsia" w:hAnsiTheme="minorEastAsia" w:eastAsiaTheme="minorEastAsia" w:cstheme="minorEastAsia"/>
          <w:color w:val="auto"/>
          <w:sz w:val="24"/>
          <w:highlight w:val="none"/>
        </w:rPr>
        <w:t>：</w:t>
      </w:r>
    </w:p>
    <w:p w14:paraId="7C4F06E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（1）供应商的姓名或者名称、地址、邮编、联系人及联系电话；</w:t>
      </w:r>
    </w:p>
    <w:p w14:paraId="0E0A1D9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（2）质疑项目的名称、编号；</w:t>
      </w:r>
    </w:p>
    <w:p w14:paraId="025F0CF7">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（3）具体、明确的质疑事项和与质疑事项相关的请求；</w:t>
      </w:r>
    </w:p>
    <w:p w14:paraId="1F9273A2">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（4）事实依据；</w:t>
      </w:r>
    </w:p>
    <w:p w14:paraId="421E19B5">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（5）必要的法律依据；</w:t>
      </w:r>
    </w:p>
    <w:p w14:paraId="2262573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（6）提出质疑的日期。</w:t>
      </w:r>
    </w:p>
    <w:p w14:paraId="4ADDBD8C">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供应商为自然人的，应当由本人签字；供应商为法人或者其他组织的，应当由法定代表人、主要负责人，或者其委托代理人签字或者盖章，并加盖公章。</w:t>
      </w:r>
    </w:p>
    <w:p w14:paraId="10AAAF1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4BF8B87D">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（1）对采购文件提出的质疑，依法通过澄清或者修改可以继续开展采购活动的，澄清或者修改采购文件后继续开展采购活动；否则应当修改采购文件后重新开展采购活动。</w:t>
      </w:r>
    </w:p>
    <w:p w14:paraId="6532A258">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（2）对采购过程或者成交结果提出的质疑，合格供应商符合法定数量时，可以从合格的成交候选人中另行确定成交供应商的，应当依法另行确定成交供应商；否则应当重新开展采购活动。</w:t>
      </w:r>
    </w:p>
    <w:p w14:paraId="0BAF617A">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质疑答复导致成交结果改变的，采购人或者采购代理机构应当将有关情况书面报告本级财政部门。</w:t>
      </w:r>
    </w:p>
    <w:p w14:paraId="588C0083">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14D2316">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32.其他内容</w:t>
      </w:r>
    </w:p>
    <w:p w14:paraId="647AF03E">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32.1代理服务费：代理服务收取标准及缴费账户详见“供应商须知前附表”，供应商为联合体的，可以由联合体中的一方或者多方共同交纳代理服务费。</w:t>
      </w:r>
    </w:p>
    <w:p w14:paraId="0BC3559F">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32.2代理服务费收费计算标准：</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3933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tcBorders>
              <w:tl2br w:val="single" w:color="auto" w:sz="4" w:space="0"/>
            </w:tcBorders>
            <w:vAlign w:val="center"/>
          </w:tcPr>
          <w:p w14:paraId="490EAA72">
            <w:pPr>
              <w:keepNext w:val="0"/>
              <w:keepLines w:val="0"/>
              <w:pageBreakBefore w:val="0"/>
              <w:kinsoku/>
              <w:wordWrap/>
              <w:overflowPunct/>
              <w:topLinePunct w:val="0"/>
              <w:autoSpaceDE/>
              <w:autoSpaceDN/>
              <w:bidi w:val="0"/>
              <w:adjustRightInd/>
              <w:snapToGrid/>
              <w:spacing w:line="400" w:lineRule="exact"/>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费率</w:t>
            </w:r>
          </w:p>
          <w:p w14:paraId="06BBB785">
            <w:pPr>
              <w:keepNext w:val="0"/>
              <w:keepLines w:val="0"/>
              <w:pageBreakBefore w:val="0"/>
              <w:kinsoku/>
              <w:wordWrap/>
              <w:overflowPunct/>
              <w:topLinePunct w:val="0"/>
              <w:autoSpaceDE/>
              <w:autoSpaceDN/>
              <w:bidi w:val="0"/>
              <w:adjustRightInd/>
              <w:snapToGrid/>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金额（人民币）</w:t>
            </w:r>
          </w:p>
        </w:tc>
        <w:tc>
          <w:tcPr>
            <w:tcW w:w="1659" w:type="dxa"/>
            <w:vAlign w:val="center"/>
          </w:tcPr>
          <w:p w14:paraId="14328B02">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货物类</w:t>
            </w:r>
          </w:p>
        </w:tc>
        <w:tc>
          <w:tcPr>
            <w:tcW w:w="1532" w:type="dxa"/>
            <w:vAlign w:val="center"/>
          </w:tcPr>
          <w:p w14:paraId="79D0BC72">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服务类</w:t>
            </w:r>
          </w:p>
        </w:tc>
        <w:tc>
          <w:tcPr>
            <w:tcW w:w="1546" w:type="dxa"/>
            <w:vAlign w:val="center"/>
          </w:tcPr>
          <w:p w14:paraId="27E60F42">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工程类</w:t>
            </w:r>
          </w:p>
        </w:tc>
      </w:tr>
      <w:tr w14:paraId="75BB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472" w:type="dxa"/>
            <w:vAlign w:val="center"/>
          </w:tcPr>
          <w:p w14:paraId="34036F61">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100万元以下</w:t>
            </w:r>
          </w:p>
        </w:tc>
        <w:tc>
          <w:tcPr>
            <w:tcW w:w="1659" w:type="dxa"/>
            <w:vAlign w:val="center"/>
          </w:tcPr>
          <w:p w14:paraId="3E5999B4">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1.5%</w:t>
            </w:r>
          </w:p>
        </w:tc>
        <w:tc>
          <w:tcPr>
            <w:tcW w:w="1532" w:type="dxa"/>
            <w:vAlign w:val="center"/>
          </w:tcPr>
          <w:p w14:paraId="1FE07836">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1.5%</w:t>
            </w:r>
          </w:p>
        </w:tc>
        <w:tc>
          <w:tcPr>
            <w:tcW w:w="1546" w:type="dxa"/>
            <w:vAlign w:val="center"/>
          </w:tcPr>
          <w:p w14:paraId="14087AFE">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1.0%</w:t>
            </w:r>
          </w:p>
        </w:tc>
      </w:tr>
      <w:tr w14:paraId="5EB3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vAlign w:val="center"/>
          </w:tcPr>
          <w:p w14:paraId="0B336F27">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100～500万元</w:t>
            </w:r>
          </w:p>
        </w:tc>
        <w:tc>
          <w:tcPr>
            <w:tcW w:w="1659" w:type="dxa"/>
            <w:vAlign w:val="center"/>
          </w:tcPr>
          <w:p w14:paraId="18EDFF62">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1.1%</w:t>
            </w:r>
          </w:p>
        </w:tc>
        <w:tc>
          <w:tcPr>
            <w:tcW w:w="1532" w:type="dxa"/>
            <w:vAlign w:val="center"/>
          </w:tcPr>
          <w:p w14:paraId="607DF7AD">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0.8%</w:t>
            </w:r>
          </w:p>
        </w:tc>
        <w:tc>
          <w:tcPr>
            <w:tcW w:w="1546" w:type="dxa"/>
            <w:vAlign w:val="center"/>
          </w:tcPr>
          <w:p w14:paraId="71D6F9BA">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0.7%</w:t>
            </w:r>
          </w:p>
        </w:tc>
      </w:tr>
      <w:tr w14:paraId="0AAB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vAlign w:val="center"/>
          </w:tcPr>
          <w:p w14:paraId="26EA6600">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500～1000万元</w:t>
            </w:r>
          </w:p>
        </w:tc>
        <w:tc>
          <w:tcPr>
            <w:tcW w:w="1659" w:type="dxa"/>
            <w:vAlign w:val="center"/>
          </w:tcPr>
          <w:p w14:paraId="5D3F361C">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0.8%</w:t>
            </w:r>
          </w:p>
        </w:tc>
        <w:tc>
          <w:tcPr>
            <w:tcW w:w="1532" w:type="dxa"/>
            <w:vAlign w:val="center"/>
          </w:tcPr>
          <w:p w14:paraId="3C485A53">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0.45%</w:t>
            </w:r>
          </w:p>
        </w:tc>
        <w:tc>
          <w:tcPr>
            <w:tcW w:w="1546" w:type="dxa"/>
            <w:vAlign w:val="center"/>
          </w:tcPr>
          <w:p w14:paraId="030E52AE">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0.55%</w:t>
            </w:r>
          </w:p>
        </w:tc>
      </w:tr>
      <w:tr w14:paraId="68F8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vAlign w:val="center"/>
          </w:tcPr>
          <w:p w14:paraId="4B361A26">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1000～5000万元</w:t>
            </w:r>
          </w:p>
        </w:tc>
        <w:tc>
          <w:tcPr>
            <w:tcW w:w="1659" w:type="dxa"/>
            <w:vAlign w:val="center"/>
          </w:tcPr>
          <w:p w14:paraId="34B838D2">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0.5%</w:t>
            </w:r>
          </w:p>
        </w:tc>
        <w:tc>
          <w:tcPr>
            <w:tcW w:w="1532" w:type="dxa"/>
            <w:vAlign w:val="center"/>
          </w:tcPr>
          <w:p w14:paraId="62C20E81">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0.25%</w:t>
            </w:r>
          </w:p>
        </w:tc>
        <w:tc>
          <w:tcPr>
            <w:tcW w:w="1546" w:type="dxa"/>
            <w:vAlign w:val="center"/>
          </w:tcPr>
          <w:p w14:paraId="219E025F">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0.35%</w:t>
            </w:r>
          </w:p>
        </w:tc>
      </w:tr>
      <w:tr w14:paraId="7958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vAlign w:val="center"/>
          </w:tcPr>
          <w:p w14:paraId="6C1288AD">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5000万元～1亿元</w:t>
            </w:r>
          </w:p>
        </w:tc>
        <w:tc>
          <w:tcPr>
            <w:tcW w:w="1659" w:type="dxa"/>
            <w:vAlign w:val="center"/>
          </w:tcPr>
          <w:p w14:paraId="425E4821">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0.25%</w:t>
            </w:r>
          </w:p>
        </w:tc>
        <w:tc>
          <w:tcPr>
            <w:tcW w:w="1532" w:type="dxa"/>
            <w:vAlign w:val="center"/>
          </w:tcPr>
          <w:p w14:paraId="75183A6E">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0.1%</w:t>
            </w:r>
          </w:p>
        </w:tc>
        <w:tc>
          <w:tcPr>
            <w:tcW w:w="1546" w:type="dxa"/>
            <w:vAlign w:val="center"/>
          </w:tcPr>
          <w:p w14:paraId="54F1398D">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0.2%</w:t>
            </w:r>
          </w:p>
        </w:tc>
      </w:tr>
      <w:tr w14:paraId="5EC2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vAlign w:val="center"/>
          </w:tcPr>
          <w:p w14:paraId="50614E4C">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1～5亿元</w:t>
            </w:r>
          </w:p>
        </w:tc>
        <w:tc>
          <w:tcPr>
            <w:tcW w:w="1659" w:type="dxa"/>
            <w:vAlign w:val="center"/>
          </w:tcPr>
          <w:p w14:paraId="7EA9F60F">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0.05%</w:t>
            </w:r>
          </w:p>
        </w:tc>
        <w:tc>
          <w:tcPr>
            <w:tcW w:w="1532" w:type="dxa"/>
            <w:vAlign w:val="center"/>
          </w:tcPr>
          <w:p w14:paraId="2E00A479">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0.05%</w:t>
            </w:r>
          </w:p>
        </w:tc>
        <w:tc>
          <w:tcPr>
            <w:tcW w:w="1546" w:type="dxa"/>
            <w:vAlign w:val="center"/>
          </w:tcPr>
          <w:p w14:paraId="0C3E7418">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0.05%</w:t>
            </w:r>
          </w:p>
        </w:tc>
      </w:tr>
      <w:tr w14:paraId="146F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vAlign w:val="center"/>
          </w:tcPr>
          <w:p w14:paraId="01049EBD">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5～10亿元</w:t>
            </w:r>
          </w:p>
        </w:tc>
        <w:tc>
          <w:tcPr>
            <w:tcW w:w="1659" w:type="dxa"/>
            <w:vAlign w:val="center"/>
          </w:tcPr>
          <w:p w14:paraId="25B08F75">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0.035%</w:t>
            </w:r>
          </w:p>
        </w:tc>
        <w:tc>
          <w:tcPr>
            <w:tcW w:w="1532" w:type="dxa"/>
            <w:vAlign w:val="center"/>
          </w:tcPr>
          <w:p w14:paraId="7554C62E">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0.035%</w:t>
            </w:r>
          </w:p>
        </w:tc>
        <w:tc>
          <w:tcPr>
            <w:tcW w:w="1546" w:type="dxa"/>
            <w:vAlign w:val="center"/>
          </w:tcPr>
          <w:p w14:paraId="65683F7B">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0.035%</w:t>
            </w:r>
          </w:p>
        </w:tc>
      </w:tr>
      <w:tr w14:paraId="2F6D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vAlign w:val="center"/>
          </w:tcPr>
          <w:p w14:paraId="37D62E29">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10～50亿元</w:t>
            </w:r>
          </w:p>
        </w:tc>
        <w:tc>
          <w:tcPr>
            <w:tcW w:w="1659" w:type="dxa"/>
            <w:vAlign w:val="center"/>
          </w:tcPr>
          <w:p w14:paraId="0E9CC00C">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0.008%</w:t>
            </w:r>
          </w:p>
        </w:tc>
        <w:tc>
          <w:tcPr>
            <w:tcW w:w="1532" w:type="dxa"/>
            <w:vAlign w:val="center"/>
          </w:tcPr>
          <w:p w14:paraId="7C9753C0">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0.008%</w:t>
            </w:r>
          </w:p>
        </w:tc>
        <w:tc>
          <w:tcPr>
            <w:tcW w:w="1546" w:type="dxa"/>
            <w:vAlign w:val="center"/>
          </w:tcPr>
          <w:p w14:paraId="0B6EF51F">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0.008%</w:t>
            </w:r>
          </w:p>
        </w:tc>
      </w:tr>
      <w:tr w14:paraId="58C0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vAlign w:val="center"/>
          </w:tcPr>
          <w:p w14:paraId="4CDC5627">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50～100亿元</w:t>
            </w:r>
          </w:p>
        </w:tc>
        <w:tc>
          <w:tcPr>
            <w:tcW w:w="1659" w:type="dxa"/>
            <w:vAlign w:val="center"/>
          </w:tcPr>
          <w:p w14:paraId="41C7B5EC">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0.006%</w:t>
            </w:r>
          </w:p>
        </w:tc>
        <w:tc>
          <w:tcPr>
            <w:tcW w:w="1532" w:type="dxa"/>
            <w:vAlign w:val="center"/>
          </w:tcPr>
          <w:p w14:paraId="7B7D41E8">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0.006%</w:t>
            </w:r>
          </w:p>
        </w:tc>
        <w:tc>
          <w:tcPr>
            <w:tcW w:w="1546" w:type="dxa"/>
            <w:vAlign w:val="center"/>
          </w:tcPr>
          <w:p w14:paraId="61C03C91">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0.006%</w:t>
            </w:r>
          </w:p>
        </w:tc>
      </w:tr>
      <w:tr w14:paraId="6746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72" w:type="dxa"/>
            <w:vAlign w:val="center"/>
          </w:tcPr>
          <w:p w14:paraId="43B892FD">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100亿元以上</w:t>
            </w:r>
          </w:p>
        </w:tc>
        <w:tc>
          <w:tcPr>
            <w:tcW w:w="1659" w:type="dxa"/>
            <w:vAlign w:val="center"/>
          </w:tcPr>
          <w:p w14:paraId="4DA4C603">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0.004%</w:t>
            </w:r>
          </w:p>
        </w:tc>
        <w:tc>
          <w:tcPr>
            <w:tcW w:w="1532" w:type="dxa"/>
            <w:vAlign w:val="center"/>
          </w:tcPr>
          <w:p w14:paraId="4FDACC45">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0.004%</w:t>
            </w:r>
          </w:p>
        </w:tc>
        <w:tc>
          <w:tcPr>
            <w:tcW w:w="1546" w:type="dxa"/>
            <w:vAlign w:val="center"/>
          </w:tcPr>
          <w:p w14:paraId="5A94233F">
            <w:pPr>
              <w:keepNext w:val="0"/>
              <w:keepLines w:val="0"/>
              <w:pageBreakBefore w:val="0"/>
              <w:kinsoku/>
              <w:wordWrap/>
              <w:overflowPunct/>
              <w:topLinePunct w:val="0"/>
              <w:autoSpaceDE/>
              <w:autoSpaceDN/>
              <w:bidi w:val="0"/>
              <w:adjustRightInd/>
              <w:snapToGrid/>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0.004%</w:t>
            </w:r>
          </w:p>
        </w:tc>
      </w:tr>
    </w:tbl>
    <w:p w14:paraId="36482586">
      <w:pPr>
        <w:keepNext w:val="0"/>
        <w:keepLines w:val="0"/>
        <w:pageBreakBefore w:val="0"/>
        <w:kinsoku/>
        <w:wordWrap/>
        <w:overflowPunct/>
        <w:topLinePunct w:val="0"/>
        <w:autoSpaceDE/>
        <w:autoSpaceDN/>
        <w:bidi w:val="0"/>
        <w:adjustRightInd/>
        <w:snapToGrid/>
        <w:spacing w:line="400" w:lineRule="exact"/>
        <w:ind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w:t>
      </w:r>
    </w:p>
    <w:p w14:paraId="71C6CDC4">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（1）按本表费率计算的收费标准为采购代理的收费价格；</w:t>
      </w:r>
    </w:p>
    <w:p w14:paraId="5F86D457">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（2）采购代理收费按差额定率累进法计算。</w:t>
      </w:r>
    </w:p>
    <w:p w14:paraId="07A09312">
      <w:pPr>
        <w:keepNext w:val="0"/>
        <w:keepLines w:val="0"/>
        <w:pageBreakBefore w:val="0"/>
        <w:kinsoku/>
        <w:wordWrap/>
        <w:overflowPunct/>
        <w:topLinePunct w:val="0"/>
        <w:autoSpaceDE/>
        <w:autoSpaceDN/>
        <w:bidi w:val="0"/>
        <w:adjustRightInd/>
        <w:snapToGrid/>
        <w:spacing w:line="400" w:lineRule="exact"/>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32.3代理服务费交纳银行账号信息</w:t>
      </w:r>
    </w:p>
    <w:p w14:paraId="6149EA59">
      <w:pPr>
        <w:pStyle w:val="2"/>
        <w:keepNext w:val="0"/>
        <w:keepLines w:val="0"/>
        <w:pageBreakBefore w:val="0"/>
        <w:kinsoku/>
        <w:wordWrap/>
        <w:overflowPunct/>
        <w:topLinePunct w:val="0"/>
        <w:autoSpaceDE/>
        <w:autoSpaceDN/>
        <w:bidi w:val="0"/>
        <w:adjustRightInd/>
        <w:snapToGrid/>
        <w:spacing w:after="0" w:line="400" w:lineRule="exact"/>
        <w:ind w:firstLine="480" w:firstLine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xml:space="preserve">开户名称：广西建设工程机电设备招标中心有限公司 </w:t>
      </w:r>
    </w:p>
    <w:p w14:paraId="387CC3D0">
      <w:pPr>
        <w:pStyle w:val="2"/>
        <w:keepNext w:val="0"/>
        <w:keepLines w:val="0"/>
        <w:pageBreakBefore w:val="0"/>
        <w:kinsoku/>
        <w:wordWrap/>
        <w:overflowPunct/>
        <w:topLinePunct w:val="0"/>
        <w:autoSpaceDE/>
        <w:autoSpaceDN/>
        <w:bidi w:val="0"/>
        <w:adjustRightInd/>
        <w:snapToGrid/>
        <w:spacing w:after="0" w:line="400" w:lineRule="exact"/>
        <w:ind w:firstLine="480" w:firstLine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开户银行：招商银行南宁分行营业部</w:t>
      </w:r>
    </w:p>
    <w:p w14:paraId="09CDE375">
      <w:pPr>
        <w:pStyle w:val="2"/>
        <w:keepNext w:val="0"/>
        <w:keepLines w:val="0"/>
        <w:pageBreakBefore w:val="0"/>
        <w:kinsoku/>
        <w:wordWrap/>
        <w:overflowPunct/>
        <w:topLinePunct w:val="0"/>
        <w:autoSpaceDE/>
        <w:autoSpaceDN/>
        <w:bidi w:val="0"/>
        <w:adjustRightInd/>
        <w:snapToGrid/>
        <w:spacing w:after="0" w:line="400" w:lineRule="exact"/>
        <w:ind w:firstLine="480" w:firstLine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银行账号：7719 0142 3310 201</w:t>
      </w:r>
    </w:p>
    <w:p w14:paraId="127BC7DE">
      <w:pPr>
        <w:keepNext w:val="0"/>
        <w:keepLines w:val="0"/>
        <w:pageBreakBefore w:val="0"/>
        <w:kinsoku/>
        <w:wordWrap/>
        <w:overflowPunct/>
        <w:topLinePunct w:val="0"/>
        <w:autoSpaceDE/>
        <w:autoSpaceDN/>
        <w:bidi w:val="0"/>
        <w:adjustRightInd/>
        <w:snapToGrid/>
        <w:spacing w:line="400" w:lineRule="exact"/>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33.需要补充的其他内容</w:t>
      </w:r>
    </w:p>
    <w:p w14:paraId="5AAE4360">
      <w:pPr>
        <w:pStyle w:val="17"/>
        <w:keepNext w:val="0"/>
        <w:keepLines w:val="0"/>
        <w:pageBreakBefore w:val="0"/>
        <w:kinsoku/>
        <w:wordWrap/>
        <w:overflowPunct/>
        <w:topLinePunct w:val="0"/>
        <w:autoSpaceDE/>
        <w:autoSpaceDN/>
        <w:bidi w:val="0"/>
        <w:adjustRightInd/>
        <w:snapToGrid/>
        <w:spacing w:line="400" w:lineRule="exact"/>
        <w:ind w:firstLine="480" w:firstLineChars="200"/>
        <w:textAlignment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33.1本磋商文件解释规则详见“供应商须知前附表”。</w:t>
      </w:r>
    </w:p>
    <w:p w14:paraId="47DFC955">
      <w:pPr>
        <w:pStyle w:val="17"/>
        <w:keepNext w:val="0"/>
        <w:keepLines w:val="0"/>
        <w:pageBreakBefore w:val="0"/>
        <w:kinsoku/>
        <w:wordWrap/>
        <w:overflowPunct/>
        <w:topLinePunct w:val="0"/>
        <w:autoSpaceDE/>
        <w:autoSpaceDN/>
        <w:bidi w:val="0"/>
        <w:adjustRightInd/>
        <w:snapToGrid/>
        <w:spacing w:line="400" w:lineRule="exact"/>
        <w:ind w:firstLine="480" w:firstLineChars="200"/>
        <w:textAlignment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33.2其他事项详见“供应商须知前附表”。</w:t>
      </w:r>
    </w:p>
    <w:p w14:paraId="7079193A">
      <w:pPr>
        <w:pStyle w:val="17"/>
        <w:keepNext w:val="0"/>
        <w:keepLines w:val="0"/>
        <w:pageBreakBefore w:val="0"/>
        <w:kinsoku/>
        <w:wordWrap/>
        <w:overflowPunct/>
        <w:topLinePunct w:val="0"/>
        <w:autoSpaceDE/>
        <w:autoSpaceDN/>
        <w:bidi w:val="0"/>
        <w:adjustRightInd/>
        <w:snapToGrid/>
        <w:spacing w:line="400" w:lineRule="exact"/>
        <w:ind w:firstLine="480" w:firstLineChars="200"/>
        <w:textAlignment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8226F03">
      <w:pPr>
        <w:pStyle w:val="17"/>
        <w:keepNext w:val="0"/>
        <w:keepLines w:val="0"/>
        <w:pageBreakBefore w:val="0"/>
        <w:kinsoku/>
        <w:wordWrap/>
        <w:overflowPunct/>
        <w:topLinePunct w:val="0"/>
        <w:autoSpaceDE/>
        <w:autoSpaceDN/>
        <w:bidi w:val="0"/>
        <w:adjustRightInd/>
        <w:snapToGrid/>
        <w:spacing w:line="40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（1）在货物采购项目中，货物由中小企业制造，即货物由中小企业生产且使用该中小企业商号或者注册商标，不对其中涉及的工程承建商和服务的承接商作出要求；</w:t>
      </w:r>
    </w:p>
    <w:p w14:paraId="26999BE3">
      <w:pPr>
        <w:pStyle w:val="17"/>
        <w:keepNext w:val="0"/>
        <w:keepLines w:val="0"/>
        <w:pageBreakBefore w:val="0"/>
        <w:kinsoku/>
        <w:wordWrap/>
        <w:overflowPunct/>
        <w:topLinePunct w:val="0"/>
        <w:autoSpaceDE/>
        <w:autoSpaceDN/>
        <w:bidi w:val="0"/>
        <w:adjustRightInd/>
        <w:snapToGrid/>
        <w:spacing w:line="40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（2）在工程采购项目中，工程由中小企业承建，即工程施工单位为中小企业，不对其中涉及的货物的制造商和服务的承接商作出要求；</w:t>
      </w:r>
    </w:p>
    <w:p w14:paraId="139BF882">
      <w:pPr>
        <w:pStyle w:val="17"/>
        <w:keepNext w:val="0"/>
        <w:keepLines w:val="0"/>
        <w:pageBreakBefore w:val="0"/>
        <w:kinsoku/>
        <w:wordWrap/>
        <w:overflowPunct/>
        <w:topLinePunct w:val="0"/>
        <w:autoSpaceDE/>
        <w:autoSpaceDN/>
        <w:bidi w:val="0"/>
        <w:adjustRightInd/>
        <w:snapToGrid/>
        <w:spacing w:line="400" w:lineRule="exact"/>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BBF9ABB">
      <w:pPr>
        <w:pStyle w:val="17"/>
        <w:keepNext w:val="0"/>
        <w:keepLines w:val="0"/>
        <w:pageBreakBefore w:val="0"/>
        <w:kinsoku/>
        <w:wordWrap/>
        <w:overflowPunct/>
        <w:topLinePunct w:val="0"/>
        <w:autoSpaceDE/>
        <w:autoSpaceDN/>
        <w:bidi w:val="0"/>
        <w:adjustRightInd/>
        <w:snapToGrid/>
        <w:spacing w:line="400" w:lineRule="exact"/>
        <w:ind w:firstLine="480" w:firstLineChars="200"/>
        <w:textAlignment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5C0B8E03">
      <w:pPr>
        <w:pStyle w:val="17"/>
        <w:keepNext w:val="0"/>
        <w:keepLines w:val="0"/>
        <w:pageBreakBefore w:val="0"/>
        <w:kinsoku/>
        <w:wordWrap/>
        <w:overflowPunct/>
        <w:topLinePunct w:val="0"/>
        <w:autoSpaceDE/>
        <w:autoSpaceDN/>
        <w:bidi w:val="0"/>
        <w:adjustRightInd/>
        <w:snapToGrid/>
        <w:spacing w:line="400" w:lineRule="exact"/>
        <w:ind w:firstLine="480" w:firstLineChars="200"/>
        <w:textAlignment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kern w:val="2"/>
          <w:sz w:val="24"/>
          <w:szCs w:val="24"/>
          <w:highlight w:val="none"/>
        </w:rPr>
        <w:t>依据本磋商文件规定享受扶持政策获得政府采购合同的，小微企业不得将合同分包给大中型企业，中型企业不得将合同分包给大型企业。</w:t>
      </w:r>
    </w:p>
    <w:p w14:paraId="48F4A9B1">
      <w:pPr>
        <w:pStyle w:val="3"/>
        <w:spacing w:before="0" w:after="0"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bookmarkStart w:id="30" w:name="_Toc10746"/>
      <w:r>
        <w:rPr>
          <w:rFonts w:hint="eastAsia" w:asciiTheme="minorEastAsia" w:hAnsiTheme="minorEastAsia" w:eastAsiaTheme="minorEastAsia" w:cstheme="minorEastAsia"/>
          <w:color w:val="auto"/>
          <w:highlight w:val="none"/>
        </w:rPr>
        <w:t>第三章 采购需求</w:t>
      </w:r>
      <w:bookmarkEnd w:id="30"/>
    </w:p>
    <w:p w14:paraId="403DB72A">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说明：</w:t>
      </w:r>
    </w:p>
    <w:p w14:paraId="6AA5E5E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1.为落实政府采购政策需满足的要求：</w:t>
      </w:r>
    </w:p>
    <w:p w14:paraId="6A5189A5">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本竞争性磋商采购文件所称中小企业必须符合《政府采购促进中小企业发展管理办法》（财库〔2020〕46号）的规定。</w:t>
      </w:r>
    </w:p>
    <w:p w14:paraId="31F794D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应根据自身实际情况如实响应磋商文件，不得仅将磋商文件内容简单复制粘贴作为竞争性磋商响应，还应当提供相关证明材料，否则将按无效响应处理（定制采购不适用本条款）。对于重要技术条款或技术参数应当在响应文件中提供技术支持资料，技术支持资料以磋商文件中规定的形式为准，否则将视为无效技术支持资料。</w:t>
      </w:r>
    </w:p>
    <w:p w14:paraId="4F84094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3.供应商必须自行为其参加竞争性磋商的产品侵犯他人的知识产权或者专利成果的行为承担相应法律责任。</w:t>
      </w:r>
    </w:p>
    <w:p w14:paraId="723B437C">
      <w:pPr>
        <w:spacing w:line="360" w:lineRule="auto"/>
        <w:ind w:firstLine="480" w:firstLineChars="20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4．“实质性要求”是指采购文件中已经指明不满足则</w:t>
      </w:r>
      <w:r>
        <w:rPr>
          <w:rFonts w:hint="eastAsia" w:asciiTheme="minorEastAsia" w:hAnsiTheme="minorEastAsia" w:eastAsiaTheme="minorEastAsia" w:cstheme="minorEastAsia"/>
          <w:color w:val="auto"/>
          <w:sz w:val="24"/>
          <w:highlight w:val="none"/>
        </w:rPr>
        <w:t>竞争性磋商</w:t>
      </w:r>
      <w:r>
        <w:rPr>
          <w:rFonts w:hint="eastAsia" w:asciiTheme="minorEastAsia" w:hAnsiTheme="minorEastAsia" w:eastAsiaTheme="minorEastAsia" w:cstheme="minorEastAsia"/>
          <w:bCs/>
          <w:color w:val="auto"/>
          <w:sz w:val="24"/>
          <w:highlight w:val="none"/>
        </w:rPr>
        <w:t>无效的条款，或者不能负偏离的条款，或者采购需求中带“▲”的条款</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b/>
          <w:color w:val="auto"/>
          <w:sz w:val="24"/>
          <w:highlight w:val="none"/>
        </w:rPr>
        <w:t>服务要求中▲条款需提供对应截图证明，否则视为负偏离无效应标</w:t>
      </w:r>
      <w:r>
        <w:rPr>
          <w:rFonts w:hint="eastAsia" w:asciiTheme="minorEastAsia" w:hAnsiTheme="minorEastAsia" w:eastAsiaTheme="minorEastAsia" w:cstheme="minorEastAsia"/>
          <w:bCs/>
          <w:color w:val="auto"/>
          <w:sz w:val="24"/>
          <w:highlight w:val="none"/>
        </w:rPr>
        <w:t>。未标注“▲”号的非实质性条款要求可允许</w:t>
      </w:r>
      <w:r>
        <w:rPr>
          <w:rFonts w:hint="eastAsia" w:asciiTheme="minorEastAsia" w:hAnsiTheme="minorEastAsia" w:eastAsiaTheme="minorEastAsia" w:cstheme="minorEastAsia"/>
          <w:bCs/>
          <w:color w:val="auto"/>
          <w:sz w:val="24"/>
          <w:highlight w:val="none"/>
          <w:u w:val="single"/>
        </w:rPr>
        <w:t>1</w:t>
      </w:r>
      <w:r>
        <w:rPr>
          <w:rFonts w:hint="eastAsia" w:asciiTheme="minorEastAsia" w:hAnsiTheme="minorEastAsia" w:eastAsiaTheme="minorEastAsia" w:cstheme="minorEastAsia"/>
          <w:bCs/>
          <w:color w:val="auto"/>
          <w:sz w:val="24"/>
          <w:highlight w:val="none"/>
        </w:rPr>
        <w:t>项负偏离，</w:t>
      </w:r>
      <w:r>
        <w:rPr>
          <w:rFonts w:hint="eastAsia" w:asciiTheme="minorEastAsia" w:hAnsiTheme="minorEastAsia" w:eastAsiaTheme="minorEastAsia" w:cstheme="minorEastAsia"/>
          <w:bCs/>
          <w:color w:val="auto"/>
          <w:sz w:val="24"/>
          <w:highlight w:val="none"/>
          <w:u w:val="single"/>
        </w:rPr>
        <w:t>2</w:t>
      </w:r>
      <w:r>
        <w:rPr>
          <w:rFonts w:hint="eastAsia" w:asciiTheme="minorEastAsia" w:hAnsiTheme="minorEastAsia" w:eastAsiaTheme="minorEastAsia" w:cstheme="minorEastAsia"/>
          <w:bCs/>
          <w:color w:val="auto"/>
          <w:sz w:val="24"/>
          <w:highlight w:val="none"/>
        </w:rPr>
        <w:t>项以上</w:t>
      </w:r>
      <w:r>
        <w:rPr>
          <w:rFonts w:hint="eastAsia" w:asciiTheme="minorEastAsia" w:hAnsiTheme="minorEastAsia" w:eastAsiaTheme="minorEastAsia" w:cstheme="minorEastAsia"/>
          <w:bCs/>
          <w:strike w:val="0"/>
          <w:dstrike w:val="0"/>
          <w:color w:val="auto"/>
          <w:sz w:val="24"/>
          <w:highlight w:val="none"/>
        </w:rPr>
        <w:t>（含</w:t>
      </w:r>
      <w:r>
        <w:rPr>
          <w:rFonts w:hint="eastAsia" w:asciiTheme="minorEastAsia" w:hAnsiTheme="minorEastAsia" w:eastAsiaTheme="minorEastAsia" w:cstheme="minorEastAsia"/>
          <w:bCs/>
          <w:strike w:val="0"/>
          <w:dstrike w:val="0"/>
          <w:color w:val="auto"/>
          <w:sz w:val="24"/>
          <w:highlight w:val="none"/>
          <w:lang w:val="en-US" w:eastAsia="zh-CN"/>
        </w:rPr>
        <w:t>2</w:t>
      </w:r>
      <w:r>
        <w:rPr>
          <w:rFonts w:hint="eastAsia" w:asciiTheme="minorEastAsia" w:hAnsiTheme="minorEastAsia" w:eastAsiaTheme="minorEastAsia" w:cstheme="minorEastAsia"/>
          <w:bCs/>
          <w:strike w:val="0"/>
          <w:dstrike w:val="0"/>
          <w:color w:val="auto"/>
          <w:sz w:val="24"/>
          <w:highlight w:val="none"/>
        </w:rPr>
        <w:t>项）负</w:t>
      </w:r>
      <w:r>
        <w:rPr>
          <w:rFonts w:hint="eastAsia" w:asciiTheme="minorEastAsia" w:hAnsiTheme="minorEastAsia" w:eastAsiaTheme="minorEastAsia" w:cstheme="minorEastAsia"/>
          <w:bCs/>
          <w:color w:val="auto"/>
          <w:sz w:val="24"/>
          <w:highlight w:val="none"/>
        </w:rPr>
        <w:t>偏离的</w:t>
      </w:r>
      <w:r>
        <w:rPr>
          <w:rFonts w:hint="eastAsia" w:asciiTheme="minorEastAsia" w:hAnsiTheme="minorEastAsia" w:eastAsiaTheme="minorEastAsia" w:cstheme="minorEastAsia"/>
          <w:color w:val="auto"/>
          <w:sz w:val="24"/>
          <w:highlight w:val="none"/>
        </w:rPr>
        <w:t>竞争性磋商</w:t>
      </w:r>
      <w:r>
        <w:rPr>
          <w:rFonts w:hint="eastAsia" w:asciiTheme="minorEastAsia" w:hAnsiTheme="minorEastAsia" w:eastAsiaTheme="minorEastAsia" w:cstheme="minorEastAsia"/>
          <w:bCs/>
          <w:color w:val="auto"/>
          <w:sz w:val="24"/>
          <w:highlight w:val="none"/>
        </w:rPr>
        <w:t>无效。</w:t>
      </w:r>
    </w:p>
    <w:p w14:paraId="650E0AA8">
      <w:pPr>
        <w:spacing w:line="360" w:lineRule="auto"/>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采购预算：详见采购公告</w:t>
      </w:r>
    </w:p>
    <w:p w14:paraId="305758E6">
      <w:pPr>
        <w:spacing w:line="360" w:lineRule="auto"/>
        <w:ind w:firstLine="480" w:firstLineChars="2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所属行业：</w:t>
      </w:r>
      <w:r>
        <w:rPr>
          <w:rFonts w:hint="eastAsia" w:asciiTheme="minorEastAsia" w:hAnsiTheme="minorEastAsia" w:eastAsiaTheme="minorEastAsia" w:cstheme="minorEastAsia"/>
          <w:bCs/>
          <w:color w:val="auto"/>
          <w:sz w:val="24"/>
          <w:highlight w:val="none"/>
          <w:u w:val="single"/>
        </w:rPr>
        <w:t>批发业</w:t>
      </w:r>
    </w:p>
    <w:tbl>
      <w:tblPr>
        <w:tblStyle w:val="31"/>
        <w:tblW w:w="99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5"/>
        <w:gridCol w:w="1229"/>
        <w:gridCol w:w="598"/>
        <w:gridCol w:w="152"/>
        <w:gridCol w:w="4988"/>
        <w:gridCol w:w="1203"/>
        <w:gridCol w:w="1204"/>
      </w:tblGrid>
      <w:tr w14:paraId="560C9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95" w:type="dxa"/>
            <w:vAlign w:val="center"/>
          </w:tcPr>
          <w:p w14:paraId="4C3343C3">
            <w:pPr>
              <w:tabs>
                <w:tab w:val="left" w:pos="180"/>
                <w:tab w:val="left" w:pos="1620"/>
              </w:tabs>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1229" w:type="dxa"/>
            <w:vAlign w:val="center"/>
          </w:tcPr>
          <w:p w14:paraId="443FE831">
            <w:pPr>
              <w:tabs>
                <w:tab w:val="left" w:pos="180"/>
                <w:tab w:val="left" w:pos="1620"/>
              </w:tabs>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服务</w:t>
            </w:r>
          </w:p>
          <w:p w14:paraId="34FB961C">
            <w:pPr>
              <w:tabs>
                <w:tab w:val="left" w:pos="180"/>
                <w:tab w:val="left" w:pos="1620"/>
              </w:tabs>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名称</w:t>
            </w:r>
          </w:p>
        </w:tc>
        <w:tc>
          <w:tcPr>
            <w:tcW w:w="750" w:type="dxa"/>
            <w:gridSpan w:val="2"/>
            <w:vAlign w:val="center"/>
          </w:tcPr>
          <w:p w14:paraId="770FC1E7">
            <w:pPr>
              <w:tabs>
                <w:tab w:val="left" w:pos="180"/>
                <w:tab w:val="left" w:pos="1620"/>
              </w:tabs>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数量及单位</w:t>
            </w:r>
          </w:p>
        </w:tc>
        <w:tc>
          <w:tcPr>
            <w:tcW w:w="4988" w:type="dxa"/>
            <w:vAlign w:val="center"/>
          </w:tcPr>
          <w:p w14:paraId="2856FEBF">
            <w:pPr>
              <w:tabs>
                <w:tab w:val="left" w:pos="180"/>
                <w:tab w:val="left" w:pos="1620"/>
              </w:tabs>
              <w:spacing w:line="40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服务要求</w:t>
            </w:r>
          </w:p>
        </w:tc>
        <w:tc>
          <w:tcPr>
            <w:tcW w:w="1203" w:type="dxa"/>
            <w:vAlign w:val="center"/>
          </w:tcPr>
          <w:p w14:paraId="3092C001">
            <w:pPr>
              <w:tabs>
                <w:tab w:val="left" w:pos="180"/>
                <w:tab w:val="left" w:pos="1620"/>
              </w:tabs>
              <w:spacing w:line="40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预算单价（万元/人民币/年）</w:t>
            </w:r>
          </w:p>
        </w:tc>
        <w:tc>
          <w:tcPr>
            <w:tcW w:w="1204" w:type="dxa"/>
            <w:vAlign w:val="center"/>
          </w:tcPr>
          <w:p w14:paraId="35198F04">
            <w:pPr>
              <w:tabs>
                <w:tab w:val="left" w:pos="180"/>
                <w:tab w:val="left" w:pos="1620"/>
              </w:tabs>
              <w:spacing w:line="400" w:lineRule="exact"/>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单项预算合计（万元/人民币/年）</w:t>
            </w:r>
          </w:p>
        </w:tc>
      </w:tr>
      <w:tr w14:paraId="5B8E7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95" w:type="dxa"/>
            <w:vAlign w:val="center"/>
          </w:tcPr>
          <w:p w14:paraId="3AD176B4">
            <w:pPr>
              <w:tabs>
                <w:tab w:val="left" w:pos="180"/>
                <w:tab w:val="left" w:pos="1620"/>
              </w:tabs>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1229" w:type="dxa"/>
            <w:vAlign w:val="center"/>
          </w:tcPr>
          <w:p w14:paraId="31C7516C">
            <w:pPr>
              <w:widowControl/>
              <w:snapToGrid w:val="0"/>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灵山县人民医院营养饭堂营养品供应服务</w:t>
            </w:r>
          </w:p>
        </w:tc>
        <w:tc>
          <w:tcPr>
            <w:tcW w:w="750" w:type="dxa"/>
            <w:gridSpan w:val="2"/>
            <w:vAlign w:val="center"/>
          </w:tcPr>
          <w:p w14:paraId="5F5791C7">
            <w:pPr>
              <w:widowControl/>
              <w:snapToGrid w:val="0"/>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1项</w:t>
            </w:r>
          </w:p>
        </w:tc>
        <w:tc>
          <w:tcPr>
            <w:tcW w:w="4988" w:type="dxa"/>
            <w:vAlign w:val="center"/>
          </w:tcPr>
          <w:p w14:paraId="34E818F3">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（一）营养品采购目录及参数</w:t>
            </w:r>
          </w:p>
          <w:p w14:paraId="5AA806B1">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详见附表，包含产品名称、技术参数及控制单价。</w:t>
            </w:r>
          </w:p>
          <w:p w14:paraId="31E20CBD">
            <w:pPr>
              <w:spacing w:line="400" w:lineRule="exac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▲（二）供应商资质要求</w:t>
            </w:r>
          </w:p>
          <w:p w14:paraId="3CFBFAB8">
            <w:pPr>
              <w:spacing w:line="400" w:lineRule="exac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1.供应商必须是所投产品的生产商、代理商或授权经销商，生产厂家须具有食品生产许可证，代理商或授权经销商须具有本次招标货物经营范围的食品经营许可证或仅销售预包装食品经营许可备案证。</w:t>
            </w:r>
          </w:p>
          <w:p w14:paraId="60165A79">
            <w:pPr>
              <w:spacing w:line="400" w:lineRule="exac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（三）服务要求</w:t>
            </w:r>
          </w:p>
          <w:p w14:paraId="399BCF98">
            <w:pPr>
              <w:spacing w:line="400" w:lineRule="exact"/>
              <w:rPr>
                <w:rFonts w:hint="eastAsia" w:asciiTheme="minorEastAsia" w:hAnsiTheme="minorEastAsia" w:eastAsiaTheme="minorEastAsia" w:cstheme="minorEastAsia"/>
                <w:b/>
                <w:bCs w:val="0"/>
                <w:color w:val="auto"/>
                <w:sz w:val="24"/>
                <w:highlight w:val="none"/>
              </w:rPr>
            </w:pPr>
            <w:r>
              <w:rPr>
                <w:rFonts w:hint="eastAsia" w:asciiTheme="minorEastAsia" w:hAnsiTheme="minorEastAsia" w:eastAsiaTheme="minorEastAsia" w:cstheme="minorEastAsia"/>
                <w:b/>
                <w:bCs w:val="0"/>
                <w:color w:val="auto"/>
                <w:sz w:val="24"/>
                <w:highlight w:val="none"/>
              </w:rPr>
              <w:t>▲1.所提供的产品必须是具备厂家合法渠道的全新产品，符合国家各类质量检测标准。</w:t>
            </w:r>
          </w:p>
          <w:p w14:paraId="0B4678AE">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.按国家有关产品“三包”规定执行“三包”，所送货物应明确标示批号、生产日期和有效期（质量保证期按国家及行业标准实行）。</w:t>
            </w:r>
          </w:p>
          <w:p w14:paraId="32E8C553">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.接到</w:t>
            </w:r>
            <w:r>
              <w:rPr>
                <w:rFonts w:hint="eastAsia" w:asciiTheme="minorEastAsia" w:hAnsiTheme="minorEastAsia" w:eastAsiaTheme="minorEastAsia" w:cstheme="minorEastAsia"/>
                <w:color w:val="auto"/>
                <w:sz w:val="24"/>
                <w:highlight w:val="none"/>
                <w:lang w:val="en-US" w:eastAsia="zh-CN"/>
              </w:rPr>
              <w:t>采购人</w:t>
            </w:r>
            <w:r>
              <w:rPr>
                <w:rFonts w:hint="eastAsia" w:asciiTheme="minorEastAsia" w:hAnsiTheme="minorEastAsia" w:eastAsiaTheme="minorEastAsia" w:cstheme="minorEastAsia"/>
                <w:color w:val="auto"/>
                <w:sz w:val="24"/>
                <w:highlight w:val="none"/>
              </w:rPr>
              <w:t>采购需求</w:t>
            </w:r>
            <w:r>
              <w:rPr>
                <w:rFonts w:hint="eastAsia" w:asciiTheme="minorEastAsia" w:hAnsiTheme="minorEastAsia" w:eastAsiaTheme="minorEastAsia" w:cstheme="minorEastAsia"/>
                <w:color w:val="auto"/>
                <w:sz w:val="24"/>
                <w:highlight w:val="none"/>
                <w:lang w:val="en-US" w:eastAsia="zh-CN"/>
              </w:rPr>
              <w:t>通知</w:t>
            </w:r>
            <w:r>
              <w:rPr>
                <w:rFonts w:hint="eastAsia" w:asciiTheme="minorEastAsia" w:hAnsiTheme="minorEastAsia" w:eastAsiaTheme="minorEastAsia" w:cstheme="minorEastAsia"/>
                <w:color w:val="auto"/>
                <w:sz w:val="24"/>
                <w:highlight w:val="none"/>
              </w:rPr>
              <w:t>后24小时内发货，不管需求量的多少，不得以任何理由拒绝供货。免费送货上门，行政上班时间外、周末、节假日做好备货、送货供应。</w:t>
            </w:r>
          </w:p>
          <w:p w14:paraId="042F92CA">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.为确保采购的原装货品的正品性，供应商需配合采购人对相关货品进行电话或二维码查询等正品验证，通过验证方可验收。在验证过程中如发现有假货的，采购人将拒绝验收该产品并报相关采购监督管理部门。</w:t>
            </w:r>
          </w:p>
          <w:p w14:paraId="0109F6A7">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.试用不合格则退货，累计退货量超过总供量的20%，则给予10个工作日的停供整改期限，整改完成后开始，两次出现累计退货量超过总供应量的20%，采购人可终止合同。</w:t>
            </w:r>
          </w:p>
          <w:p w14:paraId="2D0BDB1D">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若合同期内出现二次供应不上，采购人可终止合同。“供应不上”包括但不限于：因质量问题须退换货,但无法按期提供新批次合格品；合格库存量低于安全库存要求；产能、配送能力、库存原材料不足等因素等等。</w:t>
            </w:r>
          </w:p>
        </w:tc>
        <w:tc>
          <w:tcPr>
            <w:tcW w:w="1203" w:type="dxa"/>
            <w:vAlign w:val="center"/>
          </w:tcPr>
          <w:p w14:paraId="31D0FCE3">
            <w:pPr>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55</w:t>
            </w:r>
          </w:p>
        </w:tc>
        <w:tc>
          <w:tcPr>
            <w:tcW w:w="1204" w:type="dxa"/>
            <w:vAlign w:val="center"/>
          </w:tcPr>
          <w:p w14:paraId="7A4386BA">
            <w:pPr>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55</w:t>
            </w:r>
          </w:p>
        </w:tc>
      </w:tr>
      <w:tr w14:paraId="64FEB4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969" w:type="dxa"/>
            <w:gridSpan w:val="7"/>
            <w:tcBorders>
              <w:top w:val="single" w:color="auto" w:sz="4" w:space="0"/>
              <w:left w:val="single" w:color="auto" w:sz="4" w:space="0"/>
              <w:bottom w:val="single" w:color="auto" w:sz="4" w:space="0"/>
              <w:right w:val="single" w:color="auto" w:sz="4" w:space="0"/>
            </w:tcBorders>
            <w:vAlign w:val="center"/>
          </w:tcPr>
          <w:p w14:paraId="0D687011">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color w:val="auto"/>
                <w:sz w:val="24"/>
                <w:highlight w:val="none"/>
              </w:rPr>
              <w:t>商务要求</w:t>
            </w:r>
          </w:p>
        </w:tc>
      </w:tr>
      <w:tr w14:paraId="7033C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22" w:type="dxa"/>
            <w:gridSpan w:val="3"/>
            <w:tcBorders>
              <w:top w:val="single" w:color="auto" w:sz="4" w:space="0"/>
              <w:left w:val="single" w:color="auto" w:sz="4" w:space="0"/>
              <w:bottom w:val="single" w:color="auto" w:sz="4" w:space="0"/>
              <w:right w:val="single" w:color="auto" w:sz="4" w:space="0"/>
            </w:tcBorders>
            <w:vAlign w:val="center"/>
          </w:tcPr>
          <w:p w14:paraId="178F802D">
            <w:pPr>
              <w:snapToGrid w:val="0"/>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合同签订时间</w:t>
            </w:r>
          </w:p>
        </w:tc>
        <w:tc>
          <w:tcPr>
            <w:tcW w:w="7547" w:type="dxa"/>
            <w:gridSpan w:val="4"/>
            <w:tcBorders>
              <w:top w:val="single" w:color="auto" w:sz="4" w:space="0"/>
              <w:left w:val="single" w:color="auto" w:sz="4" w:space="0"/>
              <w:bottom w:val="single" w:color="auto" w:sz="4" w:space="0"/>
              <w:right w:val="single" w:color="auto" w:sz="4" w:space="0"/>
            </w:tcBorders>
            <w:vAlign w:val="center"/>
          </w:tcPr>
          <w:p w14:paraId="71339055">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自成交通知书发出之日起25日内。</w:t>
            </w:r>
          </w:p>
        </w:tc>
      </w:tr>
      <w:tr w14:paraId="76F9C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22" w:type="dxa"/>
            <w:gridSpan w:val="3"/>
            <w:tcBorders>
              <w:top w:val="single" w:color="auto" w:sz="4" w:space="0"/>
              <w:left w:val="single" w:color="auto" w:sz="4" w:space="0"/>
              <w:bottom w:val="single" w:color="auto" w:sz="4" w:space="0"/>
              <w:right w:val="single" w:color="auto" w:sz="4" w:space="0"/>
            </w:tcBorders>
            <w:vAlign w:val="center"/>
          </w:tcPr>
          <w:p w14:paraId="7BBEC2E8">
            <w:pPr>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▲服务期限及地点</w:t>
            </w:r>
          </w:p>
        </w:tc>
        <w:tc>
          <w:tcPr>
            <w:tcW w:w="7547" w:type="dxa"/>
            <w:gridSpan w:val="4"/>
            <w:tcBorders>
              <w:top w:val="single" w:color="auto" w:sz="4" w:space="0"/>
              <w:left w:val="single" w:color="auto" w:sz="4" w:space="0"/>
              <w:bottom w:val="single" w:color="auto" w:sz="4" w:space="0"/>
              <w:right w:val="single" w:color="auto" w:sz="4" w:space="0"/>
            </w:tcBorders>
            <w:vAlign w:val="center"/>
          </w:tcPr>
          <w:p w14:paraId="7D6B0F17">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1.服务期限：自合同签订之日起一年或者一年内审核结算金额累计达到55万元合同自动终止。</w:t>
            </w:r>
          </w:p>
          <w:p w14:paraId="04D0A503">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2.交付地点：灵山县内采购人指定地点。</w:t>
            </w:r>
          </w:p>
        </w:tc>
      </w:tr>
      <w:tr w14:paraId="53E05B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22" w:type="dxa"/>
            <w:gridSpan w:val="3"/>
            <w:tcBorders>
              <w:top w:val="single" w:color="auto" w:sz="4" w:space="0"/>
              <w:left w:val="single" w:color="auto" w:sz="4" w:space="0"/>
              <w:bottom w:val="single" w:color="auto" w:sz="4" w:space="0"/>
              <w:right w:val="single" w:color="auto" w:sz="4" w:space="0"/>
            </w:tcBorders>
            <w:vAlign w:val="center"/>
          </w:tcPr>
          <w:p w14:paraId="498C2D56">
            <w:pPr>
              <w:pStyle w:val="79"/>
              <w:spacing w:line="400" w:lineRule="exact"/>
              <w:ind w:firstLine="0" w:firstLineChars="0"/>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▲付款方式</w:t>
            </w:r>
          </w:p>
        </w:tc>
        <w:tc>
          <w:tcPr>
            <w:tcW w:w="7547" w:type="dxa"/>
            <w:gridSpan w:val="4"/>
            <w:tcBorders>
              <w:top w:val="single" w:color="auto" w:sz="4" w:space="0"/>
              <w:left w:val="single" w:color="auto" w:sz="4" w:space="0"/>
              <w:bottom w:val="single" w:color="auto" w:sz="4" w:space="0"/>
              <w:right w:val="single" w:color="auto" w:sz="4" w:space="0"/>
            </w:tcBorders>
            <w:vAlign w:val="center"/>
          </w:tcPr>
          <w:p w14:paraId="555BF55B">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按月和实际供货数量结算，成交人于次月将上月提供的具体货物数量与采购人核对，每项货物的结算金额=每项货物的供货数量×参考单价×（1-成交优惠率）。成交人应及时向采购人开具相应金额的正规发票（如有扣除金额的，按扣除后的金额开具），采购人自收到经双方确认的具体供货数量对账表及发票后30日内通过银行转账支付相应费用。</w:t>
            </w:r>
          </w:p>
        </w:tc>
      </w:tr>
      <w:tr w14:paraId="7F552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22" w:type="dxa"/>
            <w:gridSpan w:val="3"/>
            <w:tcBorders>
              <w:top w:val="single" w:color="auto" w:sz="4" w:space="0"/>
              <w:left w:val="single" w:color="auto" w:sz="4" w:space="0"/>
              <w:bottom w:val="single" w:color="auto" w:sz="4" w:space="0"/>
              <w:right w:val="single" w:color="auto" w:sz="4" w:space="0"/>
            </w:tcBorders>
            <w:vAlign w:val="center"/>
          </w:tcPr>
          <w:p w14:paraId="489AF87D">
            <w:pPr>
              <w:pStyle w:val="79"/>
              <w:spacing w:line="400" w:lineRule="exact"/>
              <w:ind w:firstLine="0" w:firstLineChars="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▲报价要求</w:t>
            </w:r>
          </w:p>
        </w:tc>
        <w:tc>
          <w:tcPr>
            <w:tcW w:w="7547" w:type="dxa"/>
            <w:gridSpan w:val="4"/>
            <w:tcBorders>
              <w:top w:val="single" w:color="auto" w:sz="4" w:space="0"/>
              <w:left w:val="single" w:color="auto" w:sz="4" w:space="0"/>
              <w:bottom w:val="single" w:color="auto" w:sz="4" w:space="0"/>
              <w:right w:val="single" w:color="auto" w:sz="4" w:space="0"/>
            </w:tcBorders>
            <w:vAlign w:val="center"/>
          </w:tcPr>
          <w:p w14:paraId="12E2F849">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1.本项目采用优惠率进行报价，优惠率≥</w:t>
            </w:r>
            <w:r>
              <w:rPr>
                <w:rFonts w:hint="eastAsia" w:asciiTheme="minorEastAsia" w:hAnsiTheme="minorEastAsia" w:eastAsiaTheme="minorEastAsia" w:cstheme="minorEastAsia"/>
                <w:b/>
                <w:bCs/>
                <w:color w:val="auto"/>
                <w:sz w:val="24"/>
                <w:highlight w:val="none"/>
                <w:lang w:val="en-US" w:eastAsia="zh-CN"/>
              </w:rPr>
              <w:t>0</w:t>
            </w:r>
            <w:r>
              <w:rPr>
                <w:rFonts w:hint="eastAsia" w:asciiTheme="minorEastAsia" w:hAnsiTheme="minorEastAsia" w:eastAsiaTheme="minorEastAsia" w:cstheme="minorEastAsia"/>
                <w:b/>
                <w:bCs/>
                <w:color w:val="auto"/>
                <w:sz w:val="24"/>
                <w:highlight w:val="none"/>
              </w:rPr>
              <w:t>%。</w:t>
            </w:r>
          </w:p>
          <w:p w14:paraId="4F84213F">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报价必须包含以下部分，采购人指定地点的现场交货价以及合同履约包含的所有风险、责任等各项应有费用，原则上采购人不再支付任何费用，包括：</w:t>
            </w:r>
          </w:p>
          <w:p w14:paraId="65BEC349">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（1）产品及标准附件、专用工具、包装、保鲜、加工、保质期内服务价格；</w:t>
            </w:r>
          </w:p>
          <w:p w14:paraId="53E46639">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（2）仓储、包装、运输、搬运、深加工、检验检测、售后服务等相关费用；</w:t>
            </w:r>
          </w:p>
          <w:p w14:paraId="35BA63A4">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（3）人员的工资、加班费及必要的保险费用、招标代理服务费以及各种税费；</w:t>
            </w:r>
          </w:p>
          <w:p w14:paraId="70E23871">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（4）验收过程当中所产生的一切费用，有检测资质的机构出具检测报告费用；</w:t>
            </w:r>
          </w:p>
          <w:p w14:paraId="0417BA46">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（5）货物、服务的价格。</w:t>
            </w:r>
          </w:p>
          <w:p w14:paraId="1D5E534E">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2.结算单价=采购控制价×（1-成交优惠率）。</w:t>
            </w:r>
          </w:p>
          <w:p w14:paraId="56457BBC">
            <w:pPr>
              <w:spacing w:line="400" w:lineRule="exact"/>
              <w:rPr>
                <w:rFonts w:hint="default" w:asciiTheme="minorEastAsia" w:hAnsiTheme="minorEastAsia" w:eastAsiaTheme="minorEastAsia" w:cstheme="minorEastAsia"/>
                <w:b/>
                <w:bCs/>
                <w:color w:val="auto"/>
                <w:sz w:val="24"/>
                <w:highlight w:val="none"/>
                <w:lang w:val="en-US" w:eastAsia="zh-CN"/>
              </w:rPr>
            </w:pPr>
            <w:r>
              <w:rPr>
                <w:rFonts w:hint="eastAsia" w:asciiTheme="minorEastAsia" w:hAnsiTheme="minorEastAsia" w:eastAsiaTheme="minorEastAsia" w:cstheme="minorEastAsia"/>
                <w:b/>
                <w:bCs/>
                <w:color w:val="auto"/>
                <w:sz w:val="24"/>
                <w:highlight w:val="none"/>
              </w:rPr>
              <w:t>3.实际采购数量根据采购人的实际需求确定。</w:t>
            </w:r>
          </w:p>
        </w:tc>
      </w:tr>
      <w:tr w14:paraId="0FDEF1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22" w:type="dxa"/>
            <w:gridSpan w:val="3"/>
            <w:tcBorders>
              <w:top w:val="single" w:color="auto" w:sz="4" w:space="0"/>
              <w:left w:val="single" w:color="auto" w:sz="4" w:space="0"/>
              <w:bottom w:val="single" w:color="auto" w:sz="4" w:space="0"/>
              <w:right w:val="single" w:color="auto" w:sz="4" w:space="0"/>
            </w:tcBorders>
            <w:vAlign w:val="center"/>
          </w:tcPr>
          <w:p w14:paraId="7E38F1B8">
            <w:pPr>
              <w:pStyle w:val="2"/>
              <w:spacing w:after="0"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▲验收要求</w:t>
            </w:r>
          </w:p>
        </w:tc>
        <w:tc>
          <w:tcPr>
            <w:tcW w:w="7547" w:type="dxa"/>
            <w:gridSpan w:val="4"/>
            <w:tcBorders>
              <w:top w:val="single" w:color="auto" w:sz="4" w:space="0"/>
              <w:left w:val="single" w:color="auto" w:sz="4" w:space="0"/>
              <w:bottom w:val="single" w:color="auto" w:sz="4" w:space="0"/>
              <w:right w:val="single" w:color="auto" w:sz="4" w:space="0"/>
            </w:tcBorders>
            <w:vAlign w:val="center"/>
          </w:tcPr>
          <w:p w14:paraId="061AB079">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1.要求履约过程中所有服务行为等均不涉及任何法律纠纷。</w:t>
            </w:r>
          </w:p>
          <w:p w14:paraId="13E7A359">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w:t>
            </w:r>
            <w:r>
              <w:rPr>
                <w:rFonts w:asciiTheme="minorEastAsia" w:hAnsiTheme="minorEastAsia" w:eastAsiaTheme="minorEastAsia" w:cstheme="minorEastAsia"/>
                <w:b/>
                <w:bCs/>
                <w:color w:val="auto"/>
                <w:sz w:val="24"/>
                <w:highlight w:val="none"/>
              </w:rPr>
              <w:t>验收工作由采购人依据采购文件及成交供应商响应文件载明的技术参数逐项核对查验；若供货、服务内容不符合采购文件技术需求，或成交供应商存在提供虚假承诺情形的，采购人有权不予通过验收，相关全部责任与产生的各项费用均由成交供应商自行承担，采购人可单方解除合同，并保留依法继续追责的权利。</w:t>
            </w:r>
          </w:p>
          <w:p w14:paraId="5FEB483E">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3.本项目须严格执行国家、地方及行业相关验收标准及规</w:t>
            </w:r>
            <w:r>
              <w:rPr>
                <w:rFonts w:hint="eastAsia" w:asciiTheme="minorEastAsia" w:hAnsiTheme="minorEastAsia" w:eastAsiaTheme="minorEastAsia" w:cstheme="minorEastAsia"/>
                <w:b/>
                <w:bCs/>
                <w:color w:val="auto"/>
                <w:sz w:val="24"/>
                <w:highlight w:val="none"/>
              </w:rPr>
              <w:t>范。</w:t>
            </w:r>
          </w:p>
          <w:p w14:paraId="0599DF8F">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4.验收过程中所产生的一切费用均由成交供应商承担，报价时应考虑相关费用。</w:t>
            </w:r>
          </w:p>
        </w:tc>
      </w:tr>
      <w:tr w14:paraId="0A397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22" w:type="dxa"/>
            <w:gridSpan w:val="3"/>
            <w:tcBorders>
              <w:top w:val="single" w:color="auto" w:sz="4" w:space="0"/>
              <w:left w:val="single" w:color="auto" w:sz="4" w:space="0"/>
              <w:bottom w:val="single" w:color="auto" w:sz="4" w:space="0"/>
              <w:right w:val="single" w:color="auto" w:sz="4" w:space="0"/>
            </w:tcBorders>
            <w:vAlign w:val="center"/>
          </w:tcPr>
          <w:p w14:paraId="47691F21">
            <w:pPr>
              <w:pStyle w:val="79"/>
              <w:spacing w:line="400" w:lineRule="exact"/>
              <w:ind w:firstLine="0" w:firstLineChars="0"/>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履约保证金的收取与退付</w:t>
            </w:r>
          </w:p>
        </w:tc>
        <w:tc>
          <w:tcPr>
            <w:tcW w:w="7547" w:type="dxa"/>
            <w:gridSpan w:val="4"/>
            <w:tcBorders>
              <w:top w:val="single" w:color="auto" w:sz="4" w:space="0"/>
              <w:left w:val="single" w:color="auto" w:sz="4" w:space="0"/>
              <w:bottom w:val="single" w:color="auto" w:sz="4" w:space="0"/>
              <w:right w:val="single" w:color="auto" w:sz="4" w:space="0"/>
            </w:tcBorders>
            <w:vAlign w:val="center"/>
          </w:tcPr>
          <w:p w14:paraId="35E58B79">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本项目不收取履约保证金。</w:t>
            </w:r>
          </w:p>
        </w:tc>
      </w:tr>
      <w:tr w14:paraId="1FB3E0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22" w:type="dxa"/>
            <w:gridSpan w:val="3"/>
            <w:tcBorders>
              <w:top w:val="single" w:color="auto" w:sz="4" w:space="0"/>
              <w:bottom w:val="single" w:color="auto" w:sz="4" w:space="0"/>
              <w:right w:val="single" w:color="auto" w:sz="4" w:space="0"/>
            </w:tcBorders>
            <w:vAlign w:val="center"/>
          </w:tcPr>
          <w:p w14:paraId="273D98C7">
            <w:pPr>
              <w:pStyle w:val="79"/>
              <w:spacing w:line="400" w:lineRule="exact"/>
              <w:ind w:firstLine="0" w:firstLineChars="0"/>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▲其他要求</w:t>
            </w:r>
          </w:p>
        </w:tc>
        <w:tc>
          <w:tcPr>
            <w:tcW w:w="7547" w:type="dxa"/>
            <w:gridSpan w:val="4"/>
            <w:tcBorders>
              <w:top w:val="single" w:color="auto" w:sz="4" w:space="0"/>
              <w:left w:val="single" w:color="auto" w:sz="4" w:space="0"/>
              <w:bottom w:val="single" w:color="auto" w:sz="4" w:space="0"/>
            </w:tcBorders>
            <w:vAlign w:val="center"/>
          </w:tcPr>
          <w:p w14:paraId="75401360">
            <w:pPr>
              <w:spacing w:line="400" w:lineRule="exac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1.成交供应商须为本项目服务实施投入充足的服务人员和硬件设备，并确保竞标文件中的人员信息真实、有效。响应文件承诺的人员、设备必须如实投入到项目实施中，未经采购人同意不允许更换。</w:t>
            </w:r>
          </w:p>
          <w:p w14:paraId="32DB2540">
            <w:pPr>
              <w:pStyle w:val="79"/>
              <w:spacing w:line="400" w:lineRule="exact"/>
              <w:ind w:firstLine="0" w:firstLineChars="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2.采购人使用成交供应商提供的产品及服务时免受第三方提出的侵犯其专利权或其它知识产权的起诉。如果第三方提出侵权指控，成交供应商应承担由此而引起的一切法律责任和费用。</w:t>
            </w:r>
          </w:p>
        </w:tc>
      </w:tr>
    </w:tbl>
    <w:p w14:paraId="1B59B24F">
      <w:pPr>
        <w:rPr>
          <w:color w:val="auto"/>
          <w:highlight w:val="none"/>
        </w:rPr>
      </w:pPr>
    </w:p>
    <w:p w14:paraId="57F749F1">
      <w:pPr>
        <w:rPr>
          <w:color w:val="auto"/>
          <w:highlight w:val="none"/>
        </w:rPr>
      </w:pPr>
    </w:p>
    <w:p w14:paraId="2582551F">
      <w:pPr>
        <w:rPr>
          <w:color w:val="auto"/>
          <w:highlight w:val="none"/>
        </w:rPr>
      </w:pPr>
    </w:p>
    <w:p w14:paraId="3BA8D902">
      <w:pPr>
        <w:rPr>
          <w:color w:val="auto"/>
          <w:highlight w:val="none"/>
        </w:rPr>
      </w:pPr>
    </w:p>
    <w:p w14:paraId="0ED1B295">
      <w:pP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br w:type="page"/>
      </w:r>
    </w:p>
    <w:p w14:paraId="4247A725">
      <w:pP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附表</w:t>
      </w:r>
    </w:p>
    <w:p w14:paraId="28807596">
      <w:pPr>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营养品采购目录及参数表</w:t>
      </w:r>
    </w:p>
    <w:p w14:paraId="06DD32D5">
      <w:pP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单位：元</w:t>
      </w:r>
    </w:p>
    <w:tbl>
      <w:tblPr>
        <w:tblStyle w:val="32"/>
        <w:tblW w:w="51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498"/>
        <w:gridCol w:w="6345"/>
        <w:gridCol w:w="1558"/>
      </w:tblGrid>
      <w:tr w14:paraId="5267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40" w:type="pct"/>
            <w:vAlign w:val="center"/>
          </w:tcPr>
          <w:p w14:paraId="717426AD">
            <w:pPr>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序号</w:t>
            </w:r>
          </w:p>
        </w:tc>
        <w:tc>
          <w:tcPr>
            <w:tcW w:w="743" w:type="pct"/>
            <w:vAlign w:val="center"/>
          </w:tcPr>
          <w:p w14:paraId="693D8A74">
            <w:pPr>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营养品名称</w:t>
            </w:r>
          </w:p>
        </w:tc>
        <w:tc>
          <w:tcPr>
            <w:tcW w:w="3144" w:type="pct"/>
            <w:vAlign w:val="center"/>
          </w:tcPr>
          <w:p w14:paraId="2EBEF28F">
            <w:pPr>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质量及技术参数要求</w:t>
            </w:r>
          </w:p>
        </w:tc>
        <w:tc>
          <w:tcPr>
            <w:tcW w:w="772" w:type="pct"/>
            <w:vAlign w:val="center"/>
          </w:tcPr>
          <w:p w14:paraId="6E2D94F8">
            <w:pPr>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采购控制价</w:t>
            </w:r>
          </w:p>
          <w:p w14:paraId="33356C58">
            <w:pPr>
              <w:pStyle w:val="21"/>
              <w:spacing w:line="40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（每克单价）</w:t>
            </w:r>
          </w:p>
        </w:tc>
      </w:tr>
      <w:tr w14:paraId="3873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340" w:type="pct"/>
            <w:vMerge w:val="restart"/>
            <w:vAlign w:val="center"/>
          </w:tcPr>
          <w:p w14:paraId="7767E226">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743" w:type="pct"/>
            <w:vMerge w:val="restart"/>
            <w:vAlign w:val="center"/>
          </w:tcPr>
          <w:p w14:paraId="37BF1AD3">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肾病匀浆膳</w:t>
            </w:r>
          </w:p>
        </w:tc>
        <w:tc>
          <w:tcPr>
            <w:tcW w:w="3144" w:type="pct"/>
            <w:vAlign w:val="center"/>
          </w:tcPr>
          <w:p w14:paraId="2BB3B41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每100g产品含：能量≥1779KJ(425kcal)、蛋白质≥4.8g（95%以上为富含必需氨基酸的高生物效价的蛋白质）、脂肪≥11g、膳食纤维≥2.5g、碳水化合物≥74.7g、钠≤100mg、钾≤100mg、磷≥90mg</w:t>
            </w:r>
          </w:p>
        </w:tc>
        <w:tc>
          <w:tcPr>
            <w:tcW w:w="772" w:type="pct"/>
            <w:vMerge w:val="restart"/>
            <w:vAlign w:val="center"/>
          </w:tcPr>
          <w:p w14:paraId="0E9D0C42">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0.12</w:t>
            </w:r>
          </w:p>
        </w:tc>
      </w:tr>
      <w:tr w14:paraId="5682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40" w:type="pct"/>
            <w:vMerge w:val="continue"/>
            <w:vAlign w:val="center"/>
          </w:tcPr>
          <w:p w14:paraId="6FD4141D">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1979C820">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30930E3B">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7718-2011食品安全国家标准-预包装食品标签通则要求，按《国家食品安全法》和有关国家标准执行。适用于需控制蛋白质摄入的人群（如急慢性肾炎、急慢性肾功能衰竭、透析等人群）。</w:t>
            </w:r>
          </w:p>
        </w:tc>
        <w:tc>
          <w:tcPr>
            <w:tcW w:w="772" w:type="pct"/>
            <w:vMerge w:val="continue"/>
            <w:vAlign w:val="center"/>
          </w:tcPr>
          <w:p w14:paraId="05693A99">
            <w:pPr>
              <w:spacing w:line="400" w:lineRule="exact"/>
              <w:jc w:val="center"/>
              <w:rPr>
                <w:rFonts w:hint="eastAsia" w:asciiTheme="minorEastAsia" w:hAnsiTheme="minorEastAsia" w:eastAsiaTheme="minorEastAsia" w:cstheme="minorEastAsia"/>
                <w:color w:val="auto"/>
                <w:sz w:val="24"/>
                <w:highlight w:val="none"/>
              </w:rPr>
            </w:pPr>
          </w:p>
        </w:tc>
      </w:tr>
      <w:tr w14:paraId="4C86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40" w:type="pct"/>
            <w:vMerge w:val="restart"/>
            <w:vAlign w:val="center"/>
          </w:tcPr>
          <w:p w14:paraId="158F8869">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743" w:type="pct"/>
            <w:vMerge w:val="restart"/>
            <w:vAlign w:val="center"/>
          </w:tcPr>
          <w:p w14:paraId="515AFD7E">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无糖型匀浆膳</w:t>
            </w:r>
          </w:p>
        </w:tc>
        <w:tc>
          <w:tcPr>
            <w:tcW w:w="3144" w:type="pct"/>
            <w:vAlign w:val="center"/>
          </w:tcPr>
          <w:p w14:paraId="14290EE2">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每100g产品含：能量≥1784KJ(426kcal)、蛋白质≥20g、脂肪≥12g、碳水化合物≥56g、膳食纤维≥6g、GI≤55</w:t>
            </w:r>
          </w:p>
        </w:tc>
        <w:tc>
          <w:tcPr>
            <w:tcW w:w="772" w:type="pct"/>
            <w:vMerge w:val="restart"/>
            <w:vAlign w:val="center"/>
          </w:tcPr>
          <w:p w14:paraId="0E4FDB3B">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0.09</w:t>
            </w:r>
          </w:p>
        </w:tc>
      </w:tr>
      <w:tr w14:paraId="23CC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40" w:type="pct"/>
            <w:vMerge w:val="continue"/>
            <w:vAlign w:val="center"/>
          </w:tcPr>
          <w:p w14:paraId="56BAC6CB">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62826839">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248BC83A">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7718-2011食品安全国家标准-预包装食品标签通则要求，按《国家食品安全法》和有关国家标准执行。适用于糖尿病患者、应激性高血糖患者。需控制餐后血糖及便秘的人群食用。</w:t>
            </w:r>
          </w:p>
        </w:tc>
        <w:tc>
          <w:tcPr>
            <w:tcW w:w="772" w:type="pct"/>
            <w:vMerge w:val="continue"/>
            <w:vAlign w:val="center"/>
          </w:tcPr>
          <w:p w14:paraId="118451FD">
            <w:pPr>
              <w:spacing w:line="400" w:lineRule="exact"/>
              <w:jc w:val="center"/>
              <w:rPr>
                <w:rFonts w:hint="eastAsia" w:asciiTheme="minorEastAsia" w:hAnsiTheme="minorEastAsia" w:eastAsiaTheme="minorEastAsia" w:cstheme="minorEastAsia"/>
                <w:color w:val="auto"/>
                <w:sz w:val="24"/>
                <w:highlight w:val="none"/>
              </w:rPr>
            </w:pPr>
          </w:p>
        </w:tc>
      </w:tr>
      <w:tr w14:paraId="0601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40" w:type="pct"/>
            <w:vMerge w:val="restart"/>
            <w:vAlign w:val="center"/>
          </w:tcPr>
          <w:p w14:paraId="60069256">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743" w:type="pct"/>
            <w:vMerge w:val="restart"/>
            <w:vAlign w:val="center"/>
          </w:tcPr>
          <w:p w14:paraId="743CA939">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低渗型匀浆膳</w:t>
            </w:r>
          </w:p>
        </w:tc>
        <w:tc>
          <w:tcPr>
            <w:tcW w:w="3144" w:type="pct"/>
            <w:vAlign w:val="center"/>
          </w:tcPr>
          <w:p w14:paraId="23062ED8">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每100g产品含：能量≥1721KJ(411kcal)、蛋白质≥14g（80%以上为富含必需氨基酸的高生物效价的蛋白质）、脂肪≥7.1g、碳水化合物≥70g、钠≥152mg、膳食纤维≥3.8g、渗透压≤250mosm/L</w:t>
            </w:r>
          </w:p>
        </w:tc>
        <w:tc>
          <w:tcPr>
            <w:tcW w:w="772" w:type="pct"/>
            <w:vMerge w:val="restart"/>
            <w:vAlign w:val="center"/>
          </w:tcPr>
          <w:p w14:paraId="77B60A98">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0.1</w:t>
            </w:r>
          </w:p>
        </w:tc>
      </w:tr>
      <w:tr w14:paraId="7AD4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340" w:type="pct"/>
            <w:vMerge w:val="continue"/>
            <w:vAlign w:val="center"/>
          </w:tcPr>
          <w:p w14:paraId="6348635D">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1B034B9A">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52CE10A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7718-2011食品安全国家标准-预包装食品标签通则要求，按《国家食品安全法》和有关国家标准执行。适用于胃肠功能耐受力差、使用常规肠内营养品容易发生腹泻、腹胀等并发症的人群。</w:t>
            </w:r>
          </w:p>
        </w:tc>
        <w:tc>
          <w:tcPr>
            <w:tcW w:w="772" w:type="pct"/>
            <w:vMerge w:val="continue"/>
            <w:vAlign w:val="center"/>
          </w:tcPr>
          <w:p w14:paraId="52B70110">
            <w:pPr>
              <w:spacing w:line="400" w:lineRule="exact"/>
              <w:jc w:val="center"/>
              <w:rPr>
                <w:rFonts w:hint="eastAsia" w:asciiTheme="minorEastAsia" w:hAnsiTheme="minorEastAsia" w:eastAsiaTheme="minorEastAsia" w:cstheme="minorEastAsia"/>
                <w:color w:val="auto"/>
                <w:sz w:val="24"/>
                <w:highlight w:val="none"/>
              </w:rPr>
            </w:pPr>
          </w:p>
        </w:tc>
      </w:tr>
      <w:tr w14:paraId="408C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40" w:type="pct"/>
            <w:vMerge w:val="restart"/>
            <w:vAlign w:val="center"/>
          </w:tcPr>
          <w:p w14:paraId="313A8966">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743" w:type="pct"/>
            <w:vMerge w:val="restart"/>
            <w:vAlign w:val="center"/>
          </w:tcPr>
          <w:p w14:paraId="51374175">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短肽型匀浆膳</w:t>
            </w:r>
          </w:p>
        </w:tc>
        <w:tc>
          <w:tcPr>
            <w:tcW w:w="3144" w:type="pct"/>
            <w:vAlign w:val="center"/>
          </w:tcPr>
          <w:p w14:paraId="659E2AE5">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每100g产品含：能量≥1638KJ(391kcal)、蛋白质≥16g（水解乳清乳清蛋白+鱼胶原蛋白肽，85%短肽+15%氨基酸）、脂肪≥2g（50%MCT+50%LCT）、碳水化合物≥76g、添加酪蛋白磷酸肽（CPP）</w:t>
            </w:r>
          </w:p>
        </w:tc>
        <w:tc>
          <w:tcPr>
            <w:tcW w:w="772" w:type="pct"/>
            <w:vMerge w:val="restart"/>
            <w:vAlign w:val="center"/>
          </w:tcPr>
          <w:p w14:paraId="3FE74226">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0.46</w:t>
            </w:r>
          </w:p>
        </w:tc>
      </w:tr>
      <w:tr w14:paraId="0DAA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40" w:type="pct"/>
            <w:vMerge w:val="continue"/>
            <w:vAlign w:val="center"/>
          </w:tcPr>
          <w:p w14:paraId="632DC018">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5F18F5FC">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71518DBF">
            <w:pPr>
              <w:spacing w:line="40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                                                                                                                                                                                        适用于胃肠功能受损人群、危重病人的营养补充(胰腺炎、短肠、炎性肠道疾病、肠癭、化学性及放射性肠炎、胆疾、围手术期患者)及整蛋白、特异性蛋白过敏（3岁以上人群）者营养补充。</w:t>
            </w:r>
          </w:p>
        </w:tc>
        <w:tc>
          <w:tcPr>
            <w:tcW w:w="772" w:type="pct"/>
            <w:vMerge w:val="continue"/>
            <w:vAlign w:val="center"/>
          </w:tcPr>
          <w:p w14:paraId="0F65667C">
            <w:pPr>
              <w:spacing w:line="400" w:lineRule="exact"/>
              <w:jc w:val="center"/>
              <w:rPr>
                <w:rFonts w:hint="eastAsia" w:asciiTheme="minorEastAsia" w:hAnsiTheme="minorEastAsia" w:eastAsiaTheme="minorEastAsia" w:cstheme="minorEastAsia"/>
                <w:color w:val="auto"/>
                <w:sz w:val="24"/>
                <w:highlight w:val="none"/>
              </w:rPr>
            </w:pPr>
          </w:p>
        </w:tc>
      </w:tr>
      <w:tr w14:paraId="0BAF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40" w:type="pct"/>
            <w:vMerge w:val="restart"/>
            <w:vAlign w:val="center"/>
          </w:tcPr>
          <w:p w14:paraId="06A160EB">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p>
        </w:tc>
        <w:tc>
          <w:tcPr>
            <w:tcW w:w="743" w:type="pct"/>
            <w:vMerge w:val="restart"/>
            <w:vAlign w:val="center"/>
          </w:tcPr>
          <w:p w14:paraId="1EB2843E">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精蛋白型匀浆膳</w:t>
            </w:r>
          </w:p>
        </w:tc>
        <w:tc>
          <w:tcPr>
            <w:tcW w:w="3144" w:type="pct"/>
            <w:vAlign w:val="center"/>
          </w:tcPr>
          <w:p w14:paraId="0957408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w:t>
            </w:r>
            <w:r>
              <w:rPr>
                <w:rFonts w:hint="eastAsia" w:asciiTheme="minorEastAsia" w:hAnsiTheme="minorEastAsia" w:eastAsiaTheme="minorEastAsia" w:cstheme="minorEastAsia"/>
                <w:color w:val="auto"/>
                <w:kern w:val="0"/>
                <w:sz w:val="24"/>
                <w:highlight w:val="none"/>
              </w:rPr>
              <w:t>能量</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1708KJ、蛋白质</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23.5g、脂肪</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8.1g、碳水化合物</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57g 、膳食纤维</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5g、钠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175mg。</w:t>
            </w:r>
          </w:p>
        </w:tc>
        <w:tc>
          <w:tcPr>
            <w:tcW w:w="772" w:type="pct"/>
            <w:vMerge w:val="restart"/>
            <w:vAlign w:val="center"/>
          </w:tcPr>
          <w:p w14:paraId="05F041EE">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0.46</w:t>
            </w:r>
          </w:p>
        </w:tc>
      </w:tr>
      <w:tr w14:paraId="0547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40" w:type="pct"/>
            <w:vMerge w:val="continue"/>
            <w:vAlign w:val="center"/>
          </w:tcPr>
          <w:p w14:paraId="07D32012">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59342141">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35E291DB">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包装符合GB 7718食品安全国家标准-预包装食品标签通则要求，按《国家食品安全法》和有关国家标准执行。适用于肝硬化、肝功能衰竭，包括肝性脑病、肝昏迷等急慢性肝病患者的营养补充。                                                           </w:t>
            </w:r>
          </w:p>
        </w:tc>
        <w:tc>
          <w:tcPr>
            <w:tcW w:w="772" w:type="pct"/>
            <w:vMerge w:val="continue"/>
            <w:vAlign w:val="center"/>
          </w:tcPr>
          <w:p w14:paraId="5B49567B">
            <w:pPr>
              <w:spacing w:line="400" w:lineRule="exact"/>
              <w:jc w:val="center"/>
              <w:rPr>
                <w:rFonts w:hint="eastAsia" w:asciiTheme="minorEastAsia" w:hAnsiTheme="minorEastAsia" w:eastAsiaTheme="minorEastAsia" w:cstheme="minorEastAsia"/>
                <w:color w:val="auto"/>
                <w:sz w:val="24"/>
                <w:highlight w:val="none"/>
              </w:rPr>
            </w:pPr>
          </w:p>
        </w:tc>
      </w:tr>
      <w:tr w14:paraId="0153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340" w:type="pct"/>
            <w:vMerge w:val="restart"/>
            <w:vAlign w:val="center"/>
          </w:tcPr>
          <w:p w14:paraId="0AA39DB9">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w:t>
            </w:r>
          </w:p>
        </w:tc>
        <w:tc>
          <w:tcPr>
            <w:tcW w:w="743" w:type="pct"/>
            <w:vMerge w:val="restart"/>
            <w:vAlign w:val="center"/>
          </w:tcPr>
          <w:p w14:paraId="089C0A23">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谷安纤素</w:t>
            </w:r>
          </w:p>
        </w:tc>
        <w:tc>
          <w:tcPr>
            <w:tcW w:w="3144" w:type="pct"/>
            <w:vAlign w:val="center"/>
          </w:tcPr>
          <w:p w14:paraId="023EEFB3">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每100g产品含：能量≥1641KJ(392kcal)、蛋白质≥95g（Gln≥95%）、脂肪0g、碳水化合物≥1.5g、钠0mg</w:t>
            </w:r>
          </w:p>
        </w:tc>
        <w:tc>
          <w:tcPr>
            <w:tcW w:w="772" w:type="pct"/>
            <w:vMerge w:val="restart"/>
            <w:vAlign w:val="center"/>
          </w:tcPr>
          <w:p w14:paraId="7BED3F5D">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1.11</w:t>
            </w:r>
          </w:p>
        </w:tc>
      </w:tr>
      <w:tr w14:paraId="63DA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Merge w:val="continue"/>
            <w:vAlign w:val="center"/>
          </w:tcPr>
          <w:p w14:paraId="1B0ADC94">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178486C9">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44416060">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7718-2011食品安全国家标准-预包装食品标签通则要求，按《国家食品安全法》和有关国家标准执行。适用于胃肠道、肝脏疾病患者及肌少症、运动员预赛准备。</w:t>
            </w:r>
          </w:p>
        </w:tc>
        <w:tc>
          <w:tcPr>
            <w:tcW w:w="772" w:type="pct"/>
            <w:vMerge w:val="continue"/>
            <w:vAlign w:val="center"/>
          </w:tcPr>
          <w:p w14:paraId="01A086A8">
            <w:pPr>
              <w:spacing w:line="400" w:lineRule="exact"/>
              <w:jc w:val="center"/>
              <w:rPr>
                <w:rFonts w:hint="eastAsia" w:asciiTheme="minorEastAsia" w:hAnsiTheme="minorEastAsia" w:eastAsiaTheme="minorEastAsia" w:cstheme="minorEastAsia"/>
                <w:color w:val="auto"/>
                <w:sz w:val="24"/>
                <w:highlight w:val="none"/>
              </w:rPr>
            </w:pPr>
          </w:p>
        </w:tc>
      </w:tr>
      <w:tr w14:paraId="0D8D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40" w:type="pct"/>
            <w:vMerge w:val="restart"/>
            <w:vAlign w:val="center"/>
          </w:tcPr>
          <w:p w14:paraId="6D8144F5">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p>
        </w:tc>
        <w:tc>
          <w:tcPr>
            <w:tcW w:w="743" w:type="pct"/>
            <w:vMerge w:val="restart"/>
            <w:vAlign w:val="center"/>
          </w:tcPr>
          <w:p w14:paraId="27CE43BD">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全乳清蛋白粉</w:t>
            </w:r>
          </w:p>
        </w:tc>
        <w:tc>
          <w:tcPr>
            <w:tcW w:w="3144" w:type="pct"/>
            <w:vAlign w:val="center"/>
          </w:tcPr>
          <w:p w14:paraId="6FD1C3E7">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每100g产品含：能量≥1700KJ(406kcal)、蛋白质≥82g、脂肪≥5.5g、碳水化合物≥6g、钙≥320mg、钠≥200mg、添加B族维生素</w:t>
            </w:r>
          </w:p>
        </w:tc>
        <w:tc>
          <w:tcPr>
            <w:tcW w:w="772" w:type="pct"/>
            <w:vMerge w:val="restart"/>
            <w:vAlign w:val="center"/>
          </w:tcPr>
          <w:p w14:paraId="72230E39">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0.5</w:t>
            </w:r>
          </w:p>
        </w:tc>
      </w:tr>
      <w:tr w14:paraId="63C9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40" w:type="pct"/>
            <w:vMerge w:val="continue"/>
            <w:vAlign w:val="center"/>
          </w:tcPr>
          <w:p w14:paraId="530E55CA">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28466369">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7C4C9DB1">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普通领域适用于美肤、增肌、助孕、孕产期、亚健康调节、提高免疫。临床应用适用于胃肠道炎性疾病、糖尿病、高血压、高血脂、肿瘤、生长发育迟缓、低蛋白血症，肌少症，肥胖症等。</w:t>
            </w:r>
          </w:p>
        </w:tc>
        <w:tc>
          <w:tcPr>
            <w:tcW w:w="772" w:type="pct"/>
            <w:vMerge w:val="continue"/>
            <w:vAlign w:val="center"/>
          </w:tcPr>
          <w:p w14:paraId="1CB26B42">
            <w:pPr>
              <w:spacing w:line="400" w:lineRule="exact"/>
              <w:jc w:val="center"/>
              <w:rPr>
                <w:rFonts w:hint="eastAsia" w:asciiTheme="minorEastAsia" w:hAnsiTheme="minorEastAsia" w:eastAsiaTheme="minorEastAsia" w:cstheme="minorEastAsia"/>
                <w:color w:val="auto"/>
                <w:sz w:val="24"/>
                <w:highlight w:val="none"/>
              </w:rPr>
            </w:pPr>
          </w:p>
        </w:tc>
      </w:tr>
      <w:tr w14:paraId="6F0E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40" w:type="pct"/>
            <w:vMerge w:val="restart"/>
            <w:vAlign w:val="center"/>
          </w:tcPr>
          <w:p w14:paraId="77FBAF8B">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w:t>
            </w:r>
          </w:p>
        </w:tc>
        <w:tc>
          <w:tcPr>
            <w:tcW w:w="743" w:type="pct"/>
            <w:vMerge w:val="restart"/>
            <w:vAlign w:val="center"/>
          </w:tcPr>
          <w:p w14:paraId="10A060C2">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糊化米粉</w:t>
            </w:r>
          </w:p>
        </w:tc>
        <w:tc>
          <w:tcPr>
            <w:tcW w:w="3144" w:type="pct"/>
            <w:vAlign w:val="center"/>
          </w:tcPr>
          <w:p w14:paraId="37D4E0B7">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每100g产品含：能量≥1543KJ(369kcal)、蛋白质≥8.0g、脂肪≥1.5g、碳水化合物≥79.0g、含米粉、麦精（大麦+麦芽），产品工艺：将优质大米粉(主)焦化、挤压、膨化+麦精；</w:t>
            </w:r>
          </w:p>
        </w:tc>
        <w:tc>
          <w:tcPr>
            <w:tcW w:w="772" w:type="pct"/>
            <w:vMerge w:val="restart"/>
            <w:vAlign w:val="center"/>
          </w:tcPr>
          <w:p w14:paraId="0EBBD223">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0.12</w:t>
            </w:r>
          </w:p>
        </w:tc>
      </w:tr>
      <w:tr w14:paraId="10F2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40" w:type="pct"/>
            <w:vMerge w:val="continue"/>
            <w:vAlign w:val="center"/>
          </w:tcPr>
          <w:p w14:paraId="48D9B82E">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231A1105">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1228E829">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7718-2011食品安全国家标准-预包装食品标签通则要求，按《国家食品安全法》和有关国家标准执行。适用于急慢性腹泻止泻(解水样便)患者(包含4个月以上儿童&amp;成人)以及由腹泻导致的(乳糖不耐受腹泻的)饮奶者</w:t>
            </w:r>
          </w:p>
        </w:tc>
        <w:tc>
          <w:tcPr>
            <w:tcW w:w="772" w:type="pct"/>
            <w:vMerge w:val="continue"/>
            <w:vAlign w:val="center"/>
          </w:tcPr>
          <w:p w14:paraId="116F803A">
            <w:pPr>
              <w:spacing w:line="400" w:lineRule="exact"/>
              <w:jc w:val="center"/>
              <w:rPr>
                <w:rFonts w:hint="eastAsia" w:asciiTheme="minorEastAsia" w:hAnsiTheme="minorEastAsia" w:eastAsiaTheme="minorEastAsia" w:cstheme="minorEastAsia"/>
                <w:color w:val="auto"/>
                <w:sz w:val="24"/>
                <w:highlight w:val="none"/>
              </w:rPr>
            </w:pPr>
          </w:p>
        </w:tc>
      </w:tr>
      <w:tr w14:paraId="67EC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40" w:type="pct"/>
            <w:vMerge w:val="restart"/>
            <w:vAlign w:val="center"/>
          </w:tcPr>
          <w:p w14:paraId="48D74CC3">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w:t>
            </w:r>
          </w:p>
        </w:tc>
        <w:tc>
          <w:tcPr>
            <w:tcW w:w="743" w:type="pct"/>
            <w:vMerge w:val="restart"/>
            <w:vAlign w:val="center"/>
          </w:tcPr>
          <w:p w14:paraId="14F65F67">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水解乳清蛋白粉</w:t>
            </w:r>
          </w:p>
        </w:tc>
        <w:tc>
          <w:tcPr>
            <w:tcW w:w="3144" w:type="pct"/>
            <w:vAlign w:val="center"/>
          </w:tcPr>
          <w:p w14:paraId="24DEE31F">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每100g产品含：能量≥1630KJ(390kcal)、蛋白质≥82g、脂肪≥5g、碳水化合物≥3g、添加B族维生素</w:t>
            </w:r>
          </w:p>
        </w:tc>
        <w:tc>
          <w:tcPr>
            <w:tcW w:w="772" w:type="pct"/>
            <w:vMerge w:val="restart"/>
            <w:vAlign w:val="center"/>
          </w:tcPr>
          <w:p w14:paraId="3345C763">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0.8</w:t>
            </w:r>
          </w:p>
        </w:tc>
      </w:tr>
      <w:tr w14:paraId="7856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40" w:type="pct"/>
            <w:vMerge w:val="continue"/>
            <w:vAlign w:val="center"/>
          </w:tcPr>
          <w:p w14:paraId="6D9A4BD8">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6A3D55DC">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4956899D">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7718-2011食品安全国家标准-预包装食品标签通则要求，按《国家食品安全法》和有关国家标准执行。适用于胃肠道、糖尿病、高血压、高血脂、肿瘤、生长发育、低蛋白血症，肌少症，肥胖症等。</w:t>
            </w:r>
          </w:p>
        </w:tc>
        <w:tc>
          <w:tcPr>
            <w:tcW w:w="772" w:type="pct"/>
            <w:vMerge w:val="continue"/>
            <w:vAlign w:val="center"/>
          </w:tcPr>
          <w:p w14:paraId="1A9D7BCE">
            <w:pPr>
              <w:spacing w:line="400" w:lineRule="exact"/>
              <w:jc w:val="center"/>
              <w:rPr>
                <w:rFonts w:hint="eastAsia" w:asciiTheme="minorEastAsia" w:hAnsiTheme="minorEastAsia" w:eastAsiaTheme="minorEastAsia" w:cstheme="minorEastAsia"/>
                <w:color w:val="auto"/>
                <w:sz w:val="24"/>
                <w:highlight w:val="none"/>
              </w:rPr>
            </w:pPr>
          </w:p>
        </w:tc>
      </w:tr>
      <w:tr w14:paraId="36D4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40" w:type="pct"/>
            <w:vMerge w:val="restart"/>
            <w:vAlign w:val="center"/>
          </w:tcPr>
          <w:p w14:paraId="00F0CE42">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w:t>
            </w:r>
          </w:p>
        </w:tc>
        <w:tc>
          <w:tcPr>
            <w:tcW w:w="743" w:type="pct"/>
            <w:vMerge w:val="restart"/>
            <w:vAlign w:val="center"/>
          </w:tcPr>
          <w:p w14:paraId="25976CAD">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酶解米粉</w:t>
            </w:r>
          </w:p>
        </w:tc>
        <w:tc>
          <w:tcPr>
            <w:tcW w:w="3144" w:type="pct"/>
            <w:vAlign w:val="center"/>
          </w:tcPr>
          <w:p w14:paraId="5776FE9B">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每100g产品含：能量≥1615KJ(385kcal)、蛋白质0g、脂肪0g、碳水化合物≥95g、含米粉、麦芽糊精，无污染大米作为原料。</w:t>
            </w:r>
          </w:p>
        </w:tc>
        <w:tc>
          <w:tcPr>
            <w:tcW w:w="772" w:type="pct"/>
            <w:vMerge w:val="restart"/>
            <w:vAlign w:val="center"/>
          </w:tcPr>
          <w:p w14:paraId="54A82157">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0.15</w:t>
            </w:r>
          </w:p>
        </w:tc>
      </w:tr>
      <w:tr w14:paraId="7793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40" w:type="pct"/>
            <w:vMerge w:val="continue"/>
            <w:vAlign w:val="center"/>
          </w:tcPr>
          <w:p w14:paraId="43646371">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5B0CC3B6">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513693D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7718-2011食品安全国家标准-预包装食品标签通则要求，按《国家食品安全法》和有关国家标准执行。适用于腹泻、围手术期患者、 胃肠功能紊乱患者、消化不良患者、胃肠并发症患者的营养支持。</w:t>
            </w:r>
          </w:p>
        </w:tc>
        <w:tc>
          <w:tcPr>
            <w:tcW w:w="772" w:type="pct"/>
            <w:vMerge w:val="continue"/>
            <w:vAlign w:val="center"/>
          </w:tcPr>
          <w:p w14:paraId="38C9E2B2">
            <w:pPr>
              <w:spacing w:line="400" w:lineRule="exact"/>
              <w:jc w:val="center"/>
              <w:rPr>
                <w:rFonts w:hint="eastAsia" w:asciiTheme="minorEastAsia" w:hAnsiTheme="minorEastAsia" w:eastAsiaTheme="minorEastAsia" w:cstheme="minorEastAsia"/>
                <w:color w:val="auto"/>
                <w:sz w:val="24"/>
                <w:highlight w:val="none"/>
              </w:rPr>
            </w:pPr>
          </w:p>
        </w:tc>
      </w:tr>
      <w:tr w14:paraId="67AB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340" w:type="pct"/>
            <w:vMerge w:val="restart"/>
            <w:vAlign w:val="center"/>
          </w:tcPr>
          <w:p w14:paraId="1E6FD064">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w:t>
            </w:r>
          </w:p>
        </w:tc>
        <w:tc>
          <w:tcPr>
            <w:tcW w:w="743" w:type="pct"/>
            <w:vMerge w:val="restart"/>
            <w:vAlign w:val="center"/>
          </w:tcPr>
          <w:p w14:paraId="2A7E67D8">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全营养素</w:t>
            </w:r>
          </w:p>
        </w:tc>
        <w:tc>
          <w:tcPr>
            <w:tcW w:w="3144" w:type="pct"/>
            <w:vAlign w:val="center"/>
          </w:tcPr>
          <w:p w14:paraId="4F775B9D">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每100g产品含：能量≥1777KJ(425kcal)、蛋白质≥16g、脂肪≥12g、碳水化合物≥60.5g、膳食纤维≥4g。</w:t>
            </w:r>
          </w:p>
        </w:tc>
        <w:tc>
          <w:tcPr>
            <w:tcW w:w="772" w:type="pct"/>
            <w:vMerge w:val="restart"/>
            <w:vAlign w:val="center"/>
          </w:tcPr>
          <w:p w14:paraId="64952F0C">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0.178</w:t>
            </w:r>
          </w:p>
        </w:tc>
      </w:tr>
      <w:tr w14:paraId="35F6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0" w:type="pct"/>
            <w:vMerge w:val="continue"/>
            <w:vAlign w:val="center"/>
          </w:tcPr>
          <w:p w14:paraId="5AF5648B">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1041F912">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24975A2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7718-2011食品安全国家标准-预包装食品标签通则要求，按《国家食品安全法》和有关国家标准执行。适用于正常人、吞咽和咀嚼困难者、 意识障碍或昏迷者、慢性消耗性疾病、营养不良患者的手术前后喂养、疾病康复期、癌症放、化疗期的人群全面营养补充。</w:t>
            </w:r>
          </w:p>
        </w:tc>
        <w:tc>
          <w:tcPr>
            <w:tcW w:w="772" w:type="pct"/>
            <w:vMerge w:val="continue"/>
            <w:vAlign w:val="center"/>
          </w:tcPr>
          <w:p w14:paraId="7322DD44">
            <w:pPr>
              <w:spacing w:line="400" w:lineRule="exact"/>
              <w:jc w:val="center"/>
              <w:rPr>
                <w:rFonts w:hint="eastAsia" w:asciiTheme="minorEastAsia" w:hAnsiTheme="minorEastAsia" w:eastAsiaTheme="minorEastAsia" w:cstheme="minorEastAsia"/>
                <w:color w:val="auto"/>
                <w:sz w:val="24"/>
                <w:highlight w:val="none"/>
              </w:rPr>
            </w:pPr>
          </w:p>
        </w:tc>
      </w:tr>
      <w:tr w14:paraId="1B3D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40" w:type="pct"/>
            <w:vMerge w:val="restart"/>
            <w:vAlign w:val="center"/>
          </w:tcPr>
          <w:p w14:paraId="7EF718AD">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w:t>
            </w:r>
          </w:p>
        </w:tc>
        <w:tc>
          <w:tcPr>
            <w:tcW w:w="743" w:type="pct"/>
            <w:vMerge w:val="restart"/>
            <w:vAlign w:val="center"/>
          </w:tcPr>
          <w:p w14:paraId="1539651B">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赖氨酸</w:t>
            </w:r>
          </w:p>
        </w:tc>
        <w:tc>
          <w:tcPr>
            <w:tcW w:w="3144" w:type="pct"/>
            <w:vAlign w:val="center"/>
          </w:tcPr>
          <w:p w14:paraId="53AC9F8A">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每100g产品含：L-赖氨酸≥50%，L-苏氨酸≥18.7%</w:t>
            </w:r>
          </w:p>
        </w:tc>
        <w:tc>
          <w:tcPr>
            <w:tcW w:w="772" w:type="pct"/>
            <w:vMerge w:val="restart"/>
            <w:vAlign w:val="center"/>
          </w:tcPr>
          <w:p w14:paraId="266184E8">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p>
        </w:tc>
      </w:tr>
      <w:tr w14:paraId="67E3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40" w:type="pct"/>
            <w:vMerge w:val="continue"/>
            <w:vAlign w:val="center"/>
          </w:tcPr>
          <w:p w14:paraId="53C94624">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79C8DDDD">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44E10133">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7718-2011食品安全国家标准-预包装食品标签通则要求，按《国家食品安全法》和有关国家标准执行。适用于需要补充赖氨酸人群。</w:t>
            </w:r>
          </w:p>
        </w:tc>
        <w:tc>
          <w:tcPr>
            <w:tcW w:w="772" w:type="pct"/>
            <w:vMerge w:val="continue"/>
            <w:vAlign w:val="center"/>
          </w:tcPr>
          <w:p w14:paraId="095B67A7">
            <w:pPr>
              <w:spacing w:line="400" w:lineRule="exact"/>
              <w:jc w:val="center"/>
              <w:rPr>
                <w:rFonts w:hint="eastAsia" w:asciiTheme="minorEastAsia" w:hAnsiTheme="minorEastAsia" w:eastAsiaTheme="minorEastAsia" w:cstheme="minorEastAsia"/>
                <w:color w:val="auto"/>
                <w:sz w:val="24"/>
                <w:highlight w:val="none"/>
              </w:rPr>
            </w:pPr>
          </w:p>
        </w:tc>
      </w:tr>
      <w:tr w14:paraId="6BE6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340" w:type="pct"/>
            <w:vMerge w:val="restart"/>
            <w:vAlign w:val="center"/>
          </w:tcPr>
          <w:p w14:paraId="7FE431A6">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w:t>
            </w:r>
          </w:p>
        </w:tc>
        <w:tc>
          <w:tcPr>
            <w:tcW w:w="743" w:type="pct"/>
            <w:vMerge w:val="restart"/>
            <w:vAlign w:val="center"/>
          </w:tcPr>
          <w:p w14:paraId="6BE95CE8">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微量元素</w:t>
            </w:r>
          </w:p>
        </w:tc>
        <w:tc>
          <w:tcPr>
            <w:tcW w:w="3144" w:type="pct"/>
            <w:vAlign w:val="center"/>
          </w:tcPr>
          <w:p w14:paraId="302B046E">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每5g产品含：能量≤78kJ、蛋白质0g、碳水≤4.6g、脂肪0g、钠≤1mg、铁≥14.5mg、锌≥14.7mg、碘≥150μg、硒≥50μg、铜≥1.45mg、锰≥3mg。</w:t>
            </w:r>
          </w:p>
        </w:tc>
        <w:tc>
          <w:tcPr>
            <w:tcW w:w="772" w:type="pct"/>
            <w:vMerge w:val="restart"/>
            <w:vAlign w:val="center"/>
          </w:tcPr>
          <w:p w14:paraId="045B333E">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0.387</w:t>
            </w:r>
          </w:p>
        </w:tc>
      </w:tr>
      <w:tr w14:paraId="799D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340" w:type="pct"/>
            <w:vMerge w:val="continue"/>
            <w:vAlign w:val="center"/>
          </w:tcPr>
          <w:p w14:paraId="2463DF2A">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18126466">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32655BEC">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7718-2011食品安全国家标准-预包装食品标签通则要求，按《国家食品安全法》和有关国家标准执行。适用于需补充微量元素者。</w:t>
            </w:r>
          </w:p>
        </w:tc>
        <w:tc>
          <w:tcPr>
            <w:tcW w:w="772" w:type="pct"/>
            <w:vMerge w:val="continue"/>
            <w:vAlign w:val="center"/>
          </w:tcPr>
          <w:p w14:paraId="2190AE91">
            <w:pPr>
              <w:spacing w:line="400" w:lineRule="exact"/>
              <w:jc w:val="center"/>
              <w:rPr>
                <w:rFonts w:hint="eastAsia" w:asciiTheme="minorEastAsia" w:hAnsiTheme="minorEastAsia" w:eastAsiaTheme="minorEastAsia" w:cstheme="minorEastAsia"/>
                <w:color w:val="auto"/>
                <w:sz w:val="24"/>
                <w:highlight w:val="none"/>
              </w:rPr>
            </w:pPr>
          </w:p>
        </w:tc>
      </w:tr>
      <w:tr w14:paraId="07C7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1F8237F1">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w:t>
            </w:r>
          </w:p>
        </w:tc>
        <w:tc>
          <w:tcPr>
            <w:tcW w:w="743" w:type="pct"/>
            <w:vMerge w:val="restart"/>
            <w:vAlign w:val="center"/>
          </w:tcPr>
          <w:p w14:paraId="608972CA">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铁元素</w:t>
            </w:r>
          </w:p>
        </w:tc>
        <w:tc>
          <w:tcPr>
            <w:tcW w:w="3144" w:type="pct"/>
            <w:vAlign w:val="center"/>
          </w:tcPr>
          <w:p w14:paraId="64C949A8">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每100g产品含：能量≥1530kJ、碳水化合物≥90g、铁≥530mg</w:t>
            </w:r>
          </w:p>
        </w:tc>
        <w:tc>
          <w:tcPr>
            <w:tcW w:w="772" w:type="pct"/>
            <w:vMerge w:val="restart"/>
            <w:vAlign w:val="center"/>
          </w:tcPr>
          <w:p w14:paraId="4BC18EBE">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1.425</w:t>
            </w:r>
          </w:p>
        </w:tc>
      </w:tr>
      <w:tr w14:paraId="3532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340" w:type="pct"/>
            <w:vMerge w:val="continue"/>
            <w:vAlign w:val="center"/>
          </w:tcPr>
          <w:p w14:paraId="416F1938">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307BFC65">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7D81B3BC">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7718-2011食品安全国家标准-预包装食品标签通则要求，按《国家食品安全法》和有关国家标准执行。适用于缺铁性贫血人群。</w:t>
            </w:r>
          </w:p>
        </w:tc>
        <w:tc>
          <w:tcPr>
            <w:tcW w:w="772" w:type="pct"/>
            <w:vMerge w:val="continue"/>
            <w:vAlign w:val="center"/>
          </w:tcPr>
          <w:p w14:paraId="1DC35A05">
            <w:pPr>
              <w:spacing w:line="400" w:lineRule="exact"/>
              <w:jc w:val="center"/>
              <w:rPr>
                <w:rFonts w:hint="eastAsia" w:asciiTheme="minorEastAsia" w:hAnsiTheme="minorEastAsia" w:eastAsiaTheme="minorEastAsia" w:cstheme="minorEastAsia"/>
                <w:color w:val="auto"/>
                <w:sz w:val="24"/>
                <w:highlight w:val="none"/>
              </w:rPr>
            </w:pPr>
          </w:p>
        </w:tc>
      </w:tr>
      <w:tr w14:paraId="70E2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194B4290">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w:t>
            </w:r>
          </w:p>
        </w:tc>
        <w:tc>
          <w:tcPr>
            <w:tcW w:w="743" w:type="pct"/>
            <w:vMerge w:val="restart"/>
            <w:vAlign w:val="center"/>
          </w:tcPr>
          <w:p w14:paraId="07B8AAAC">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脂溶性维生素</w:t>
            </w:r>
          </w:p>
        </w:tc>
        <w:tc>
          <w:tcPr>
            <w:tcW w:w="3144" w:type="pct"/>
            <w:vAlign w:val="center"/>
          </w:tcPr>
          <w:p w14:paraId="6B706BFE">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每5g产品含：能量≥78kJ、蛋白质0g、脂肪0g、碳水≥4.6g、维生素A≥800μgRE、维生素D≥5μg、维生素E≥14mg α-TE、维生素K≥80μg</w:t>
            </w:r>
          </w:p>
        </w:tc>
        <w:tc>
          <w:tcPr>
            <w:tcW w:w="772" w:type="pct"/>
            <w:vMerge w:val="restart"/>
            <w:vAlign w:val="center"/>
          </w:tcPr>
          <w:p w14:paraId="379376F5">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0.387</w:t>
            </w:r>
          </w:p>
        </w:tc>
      </w:tr>
      <w:tr w14:paraId="7850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340" w:type="pct"/>
            <w:vMerge w:val="continue"/>
            <w:vAlign w:val="center"/>
          </w:tcPr>
          <w:p w14:paraId="723584EF">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4C8E5024">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7C11A8FC">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7718-2011食品安全国家标准-预包装食品标签通则要求，按《国家食品安全法》和有关国家标准执行。适用于需补充脂溶性维生素者。</w:t>
            </w:r>
          </w:p>
        </w:tc>
        <w:tc>
          <w:tcPr>
            <w:tcW w:w="772" w:type="pct"/>
            <w:vMerge w:val="continue"/>
            <w:vAlign w:val="center"/>
          </w:tcPr>
          <w:p w14:paraId="0605D2B8">
            <w:pPr>
              <w:spacing w:line="400" w:lineRule="exact"/>
              <w:jc w:val="center"/>
              <w:rPr>
                <w:rFonts w:hint="eastAsia" w:asciiTheme="minorEastAsia" w:hAnsiTheme="minorEastAsia" w:eastAsiaTheme="minorEastAsia" w:cstheme="minorEastAsia"/>
                <w:color w:val="auto"/>
                <w:sz w:val="24"/>
                <w:highlight w:val="none"/>
              </w:rPr>
            </w:pPr>
          </w:p>
        </w:tc>
      </w:tr>
      <w:tr w14:paraId="4A2E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5110EB21">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w:t>
            </w:r>
          </w:p>
        </w:tc>
        <w:tc>
          <w:tcPr>
            <w:tcW w:w="743" w:type="pct"/>
            <w:vMerge w:val="restart"/>
            <w:vAlign w:val="center"/>
          </w:tcPr>
          <w:p w14:paraId="5E4A9F23">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麦芽糊精</w:t>
            </w:r>
          </w:p>
        </w:tc>
        <w:tc>
          <w:tcPr>
            <w:tcW w:w="3144" w:type="pct"/>
            <w:vAlign w:val="center"/>
          </w:tcPr>
          <w:p w14:paraId="35D33965">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每100g产品含：能量≥1618KJ（386.5kcal)、蛋白质0g、脂肪0g、碳水化合物≥95.2g、钠0mg</w:t>
            </w:r>
          </w:p>
        </w:tc>
        <w:tc>
          <w:tcPr>
            <w:tcW w:w="772" w:type="pct"/>
            <w:vMerge w:val="restart"/>
            <w:vAlign w:val="center"/>
          </w:tcPr>
          <w:p w14:paraId="36928299">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0.05</w:t>
            </w:r>
          </w:p>
        </w:tc>
      </w:tr>
      <w:tr w14:paraId="5669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607F4745">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3AF12EB1">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42172B58">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7718-2011食品安全国家标准-预包装食品标签通则要求，按《国家食品安全法》和有关国家标准执行。适用于各类人群的碳水化合物补充。</w:t>
            </w:r>
          </w:p>
        </w:tc>
        <w:tc>
          <w:tcPr>
            <w:tcW w:w="772" w:type="pct"/>
            <w:vMerge w:val="continue"/>
            <w:vAlign w:val="center"/>
          </w:tcPr>
          <w:p w14:paraId="3E6BA1BA">
            <w:pPr>
              <w:spacing w:line="400" w:lineRule="exact"/>
              <w:jc w:val="center"/>
              <w:rPr>
                <w:rFonts w:hint="eastAsia" w:asciiTheme="minorEastAsia" w:hAnsiTheme="minorEastAsia" w:eastAsiaTheme="minorEastAsia" w:cstheme="minorEastAsia"/>
                <w:color w:val="auto"/>
                <w:sz w:val="24"/>
                <w:highlight w:val="none"/>
              </w:rPr>
            </w:pPr>
          </w:p>
        </w:tc>
      </w:tr>
      <w:tr w14:paraId="30CE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3F3756BE">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w:t>
            </w:r>
          </w:p>
        </w:tc>
        <w:tc>
          <w:tcPr>
            <w:tcW w:w="743" w:type="pct"/>
            <w:vMerge w:val="restart"/>
            <w:vAlign w:val="center"/>
          </w:tcPr>
          <w:p w14:paraId="6F5E292F">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益生菌</w:t>
            </w:r>
          </w:p>
        </w:tc>
        <w:tc>
          <w:tcPr>
            <w:tcW w:w="3144" w:type="pct"/>
            <w:vAlign w:val="center"/>
          </w:tcPr>
          <w:p w14:paraId="1311DBE0">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每100g产品含：能量≥1346KJ(321.5kcal)、蛋白质0g、脂肪0g、碳水化合物≥95.4g、钠≥120mg、8种益生菌+5种益生元、出厂时含300亿CFU活菌/袋 。</w:t>
            </w:r>
          </w:p>
        </w:tc>
        <w:tc>
          <w:tcPr>
            <w:tcW w:w="772" w:type="pct"/>
            <w:vMerge w:val="restart"/>
            <w:vAlign w:val="center"/>
          </w:tcPr>
          <w:p w14:paraId="4C7A0B63">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r>
      <w:tr w14:paraId="4173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001E32D3">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35E28FF1">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62464DC8">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适用于腹泻、便秘、消化不良、过敏、食物不耐受、胃肠道炎性病、肠道菌群失调、肝/胆/肾疾病需促排等病患</w:t>
            </w:r>
          </w:p>
        </w:tc>
        <w:tc>
          <w:tcPr>
            <w:tcW w:w="772" w:type="pct"/>
            <w:vMerge w:val="continue"/>
            <w:vAlign w:val="center"/>
          </w:tcPr>
          <w:p w14:paraId="5D4DBFE1">
            <w:pPr>
              <w:spacing w:line="400" w:lineRule="exact"/>
              <w:jc w:val="center"/>
              <w:rPr>
                <w:rFonts w:hint="eastAsia" w:asciiTheme="minorEastAsia" w:hAnsiTheme="minorEastAsia" w:eastAsiaTheme="minorEastAsia" w:cstheme="minorEastAsia"/>
                <w:color w:val="auto"/>
                <w:sz w:val="24"/>
                <w:highlight w:val="none"/>
              </w:rPr>
            </w:pPr>
          </w:p>
        </w:tc>
      </w:tr>
      <w:tr w14:paraId="39B1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09DFC0F0">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18</w:t>
            </w:r>
          </w:p>
        </w:tc>
        <w:tc>
          <w:tcPr>
            <w:tcW w:w="743" w:type="pct"/>
            <w:vMerge w:val="restart"/>
            <w:vAlign w:val="center"/>
          </w:tcPr>
          <w:p w14:paraId="78DB1DEE">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MCT中链脂肪酸</w:t>
            </w:r>
          </w:p>
        </w:tc>
        <w:tc>
          <w:tcPr>
            <w:tcW w:w="3144" w:type="pct"/>
            <w:vAlign w:val="center"/>
          </w:tcPr>
          <w:p w14:paraId="664E797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每100g产品含：能量≥2964KJ(708kcal)、蛋白质≥4g，脂肪≥70g（C8 + C10 ），碳水化合物≥18g、钠≥120mg，配以抗性糊精</w:t>
            </w:r>
          </w:p>
        </w:tc>
        <w:tc>
          <w:tcPr>
            <w:tcW w:w="772" w:type="pct"/>
            <w:vMerge w:val="restart"/>
            <w:vAlign w:val="center"/>
          </w:tcPr>
          <w:p w14:paraId="2D4AC13D">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0.853</w:t>
            </w:r>
          </w:p>
        </w:tc>
      </w:tr>
      <w:tr w14:paraId="36F8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7F461830">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066B9800">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67858DDF">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7718-2011食品安全国家标准-预包装食品标签通则要求，按《国家食品安全法》和有关国家标准执行。适用于吸收不良综合症人群(乳糜泻、脂肪痢、慢性胰腺功能不全。胃切除、肠切除、胆管阻塞和其他相关疾病) ; 肿瘤、恶病质患者。</w:t>
            </w:r>
          </w:p>
        </w:tc>
        <w:tc>
          <w:tcPr>
            <w:tcW w:w="772" w:type="pct"/>
            <w:vMerge w:val="continue"/>
            <w:vAlign w:val="center"/>
          </w:tcPr>
          <w:p w14:paraId="3BABD42D">
            <w:pPr>
              <w:spacing w:line="400" w:lineRule="exact"/>
              <w:jc w:val="center"/>
              <w:rPr>
                <w:rFonts w:hint="eastAsia" w:asciiTheme="minorEastAsia" w:hAnsiTheme="minorEastAsia" w:eastAsiaTheme="minorEastAsia" w:cstheme="minorEastAsia"/>
                <w:color w:val="auto"/>
                <w:sz w:val="24"/>
                <w:highlight w:val="none"/>
              </w:rPr>
            </w:pPr>
          </w:p>
        </w:tc>
      </w:tr>
      <w:tr w14:paraId="69C2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05C8C5DB">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19</w:t>
            </w:r>
          </w:p>
        </w:tc>
        <w:tc>
          <w:tcPr>
            <w:tcW w:w="743" w:type="pct"/>
            <w:vMerge w:val="restart"/>
            <w:vAlign w:val="center"/>
          </w:tcPr>
          <w:p w14:paraId="6D2EBDBD">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水溶性维生素</w:t>
            </w:r>
          </w:p>
        </w:tc>
        <w:tc>
          <w:tcPr>
            <w:tcW w:w="3144" w:type="pct"/>
            <w:vAlign w:val="center"/>
          </w:tcPr>
          <w:p w14:paraId="1A53BD4A">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每5g产品含：能量≥77kJ、蛋白质0g、脂肪0g、碳水≥4.5g、维生素B1≥1.4mg、维生素B2≥1.4mg、维生素B6≥1.4mg、维生素B12≥2.4μg、维生素C≥100mg、生物素≥30μg、烟酸≥14mg、叶酸≥400μgDFE、泛酸≥5mg</w:t>
            </w:r>
          </w:p>
        </w:tc>
        <w:tc>
          <w:tcPr>
            <w:tcW w:w="772" w:type="pct"/>
            <w:vMerge w:val="restart"/>
            <w:vAlign w:val="center"/>
          </w:tcPr>
          <w:p w14:paraId="6FAC20C8">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0.4</w:t>
            </w:r>
          </w:p>
        </w:tc>
      </w:tr>
      <w:tr w14:paraId="436E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04E2BFD4">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1A108DF7">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25A153D9">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 7718-2011食品安全国家标准-预包装食品标签通则要求，按《国家食品安全法》和有关国家标准执行。适用于需补充水溶性维生素者</w:t>
            </w:r>
          </w:p>
        </w:tc>
        <w:tc>
          <w:tcPr>
            <w:tcW w:w="772" w:type="pct"/>
            <w:vMerge w:val="continue"/>
            <w:vAlign w:val="center"/>
          </w:tcPr>
          <w:p w14:paraId="33F4BB9B">
            <w:pPr>
              <w:spacing w:line="400" w:lineRule="exact"/>
              <w:jc w:val="center"/>
              <w:rPr>
                <w:rFonts w:hint="eastAsia" w:asciiTheme="minorEastAsia" w:hAnsiTheme="minorEastAsia" w:eastAsiaTheme="minorEastAsia" w:cstheme="minorEastAsia"/>
                <w:color w:val="auto"/>
                <w:sz w:val="24"/>
                <w:highlight w:val="none"/>
              </w:rPr>
            </w:pPr>
          </w:p>
        </w:tc>
      </w:tr>
      <w:tr w14:paraId="4B02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63C0EF3C">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w:t>
            </w:r>
          </w:p>
        </w:tc>
        <w:tc>
          <w:tcPr>
            <w:tcW w:w="743" w:type="pct"/>
            <w:vMerge w:val="restart"/>
            <w:vAlign w:val="center"/>
          </w:tcPr>
          <w:p w14:paraId="3FE167E4">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减脂配方</w:t>
            </w:r>
          </w:p>
        </w:tc>
        <w:tc>
          <w:tcPr>
            <w:tcW w:w="3144" w:type="pct"/>
            <w:vAlign w:val="center"/>
          </w:tcPr>
          <w:p w14:paraId="753068A3">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每100g产品含：能量≥1594kJ、蛋白质≥17g、脂肪≤2g、膳食纤维≥4g、碳水化合物≥70.5g</w:t>
            </w:r>
          </w:p>
        </w:tc>
        <w:tc>
          <w:tcPr>
            <w:tcW w:w="772" w:type="pct"/>
            <w:vMerge w:val="restart"/>
            <w:vAlign w:val="center"/>
          </w:tcPr>
          <w:p w14:paraId="038554E1">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0.208</w:t>
            </w:r>
          </w:p>
        </w:tc>
      </w:tr>
      <w:tr w14:paraId="66CC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4F4DD7DB">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2953E263">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1A259B3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包装符合GB/T29602食品安全国家标准-预包装食品标签通则要求，按《国家食品安全法》和有关国家标准执行。适用于脂代谢异常的需低脂营养补充的人群</w:t>
            </w:r>
          </w:p>
        </w:tc>
        <w:tc>
          <w:tcPr>
            <w:tcW w:w="772" w:type="pct"/>
            <w:vMerge w:val="continue"/>
            <w:vAlign w:val="center"/>
          </w:tcPr>
          <w:p w14:paraId="38CF2F93">
            <w:pPr>
              <w:spacing w:line="400" w:lineRule="exact"/>
              <w:jc w:val="center"/>
              <w:rPr>
                <w:rFonts w:hint="eastAsia" w:asciiTheme="minorEastAsia" w:hAnsiTheme="minorEastAsia" w:eastAsiaTheme="minorEastAsia" w:cstheme="minorEastAsia"/>
                <w:color w:val="auto"/>
                <w:sz w:val="24"/>
                <w:highlight w:val="none"/>
              </w:rPr>
            </w:pPr>
          </w:p>
        </w:tc>
      </w:tr>
      <w:tr w14:paraId="405F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1B1D9332">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w:t>
            </w:r>
          </w:p>
        </w:tc>
        <w:tc>
          <w:tcPr>
            <w:tcW w:w="743" w:type="pct"/>
            <w:vMerge w:val="restart"/>
            <w:vAlign w:val="center"/>
          </w:tcPr>
          <w:p w14:paraId="0E2DDF8D">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肿瘤型营养粉</w:t>
            </w:r>
          </w:p>
        </w:tc>
        <w:tc>
          <w:tcPr>
            <w:tcW w:w="3144" w:type="pct"/>
            <w:vAlign w:val="center"/>
          </w:tcPr>
          <w:p w14:paraId="3A34BF51">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每100g产品含：能量≥1912kJ、蛋白质≥20.5g、脂肪≥18g、碳水化合物≥49.5g、含鱼胶原蛋白肽、香菇粉、鱼油粉。</w:t>
            </w:r>
          </w:p>
        </w:tc>
        <w:tc>
          <w:tcPr>
            <w:tcW w:w="772" w:type="pct"/>
            <w:vMerge w:val="restart"/>
            <w:vAlign w:val="center"/>
          </w:tcPr>
          <w:p w14:paraId="341E1281">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0.61</w:t>
            </w:r>
          </w:p>
        </w:tc>
      </w:tr>
      <w:tr w14:paraId="234E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10FA1365">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370B33C7">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59DA663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包装符合GB/T29602食品安全国家标准-预包装食品标签通则要求，按《国家食品安全法》和有关国家标准执行。适用人群：肿瘤人群；需要补充蛋白质、肽类，以满足机体恢复的人群。</w:t>
            </w:r>
          </w:p>
        </w:tc>
        <w:tc>
          <w:tcPr>
            <w:tcW w:w="772" w:type="pct"/>
            <w:vMerge w:val="continue"/>
            <w:vAlign w:val="center"/>
          </w:tcPr>
          <w:p w14:paraId="0D09E3E3">
            <w:pPr>
              <w:spacing w:line="400" w:lineRule="exact"/>
              <w:jc w:val="center"/>
              <w:rPr>
                <w:rFonts w:hint="eastAsia" w:asciiTheme="minorEastAsia" w:hAnsiTheme="minorEastAsia" w:eastAsiaTheme="minorEastAsia" w:cstheme="minorEastAsia"/>
                <w:color w:val="auto"/>
                <w:sz w:val="24"/>
                <w:highlight w:val="none"/>
              </w:rPr>
            </w:pPr>
          </w:p>
        </w:tc>
      </w:tr>
      <w:tr w14:paraId="4B08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1F2F6B96">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w:t>
            </w:r>
          </w:p>
        </w:tc>
        <w:tc>
          <w:tcPr>
            <w:tcW w:w="743" w:type="pct"/>
            <w:vMerge w:val="restart"/>
            <w:vAlign w:val="center"/>
          </w:tcPr>
          <w:p w14:paraId="393B3115">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水溶性膳食纤维</w:t>
            </w:r>
          </w:p>
        </w:tc>
        <w:tc>
          <w:tcPr>
            <w:tcW w:w="3144" w:type="pct"/>
            <w:vAlign w:val="center"/>
          </w:tcPr>
          <w:p w14:paraId="0FFBA075">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每100g产品含：能量≥895 KJ、蛋白质0g、碳水化合物≥15g、脂肪0g、钠≥25mg、膳食纤维≥80g，含抗性糊精。</w:t>
            </w:r>
          </w:p>
        </w:tc>
        <w:tc>
          <w:tcPr>
            <w:tcW w:w="772" w:type="pct"/>
            <w:vMerge w:val="restart"/>
            <w:vAlign w:val="center"/>
          </w:tcPr>
          <w:p w14:paraId="5E74E998">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w:t>
            </w:r>
          </w:p>
        </w:tc>
      </w:tr>
      <w:tr w14:paraId="76CE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0F81A3F3">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15F8AD08">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523C42C1">
            <w:pPr>
              <w:widowControl/>
              <w:spacing w:line="400" w:lineRule="exact"/>
              <w:textAlignment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包装符合GB 7718食品安全国家标准-预包装食品标签通则要求。</w:t>
            </w:r>
          </w:p>
        </w:tc>
        <w:tc>
          <w:tcPr>
            <w:tcW w:w="772" w:type="pct"/>
            <w:vMerge w:val="continue"/>
            <w:vAlign w:val="center"/>
          </w:tcPr>
          <w:p w14:paraId="4DB028C5">
            <w:pPr>
              <w:widowControl/>
              <w:spacing w:line="400" w:lineRule="exact"/>
              <w:jc w:val="center"/>
              <w:textAlignment w:val="center"/>
              <w:rPr>
                <w:rFonts w:hint="eastAsia" w:asciiTheme="minorEastAsia" w:hAnsiTheme="minorEastAsia" w:eastAsiaTheme="minorEastAsia" w:cstheme="minorEastAsia"/>
                <w:color w:val="auto"/>
                <w:kern w:val="0"/>
                <w:sz w:val="24"/>
                <w:highlight w:val="none"/>
              </w:rPr>
            </w:pPr>
          </w:p>
        </w:tc>
      </w:tr>
      <w:tr w14:paraId="653C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0A23F556">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w:t>
            </w:r>
          </w:p>
        </w:tc>
        <w:tc>
          <w:tcPr>
            <w:tcW w:w="743" w:type="pct"/>
            <w:vMerge w:val="restart"/>
            <w:vAlign w:val="center"/>
          </w:tcPr>
          <w:p w14:paraId="5BA6CE02">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高脂配方（肺病）</w:t>
            </w:r>
          </w:p>
        </w:tc>
        <w:tc>
          <w:tcPr>
            <w:tcW w:w="3144" w:type="pct"/>
            <w:vAlign w:val="center"/>
          </w:tcPr>
          <w:p w14:paraId="6A10FACD">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每100g产品含：能量≥2025kJ、蛋白质≥22g、脂肪≥24g，碳水化合物≥43g、膳食纤维≥4g.</w:t>
            </w:r>
          </w:p>
        </w:tc>
        <w:tc>
          <w:tcPr>
            <w:tcW w:w="772" w:type="pct"/>
            <w:vMerge w:val="restart"/>
            <w:vAlign w:val="center"/>
          </w:tcPr>
          <w:p w14:paraId="07360D55">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0.48</w:t>
            </w:r>
          </w:p>
        </w:tc>
      </w:tr>
      <w:tr w14:paraId="2102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6D3565D7">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037D569B">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46142738">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包装符合GB/T29602食品安全国家标准-预包装食品标签通则要求，按《国家食品安全法》和有关国家标准执行。适用于慢性阻塞性肺部疾病(COPD)。 呼吸衰竭。呼吸机依赖、囊性纤维化的肺部表现患者的营养补充。</w:t>
            </w:r>
          </w:p>
        </w:tc>
        <w:tc>
          <w:tcPr>
            <w:tcW w:w="772" w:type="pct"/>
            <w:vMerge w:val="continue"/>
            <w:vAlign w:val="center"/>
          </w:tcPr>
          <w:p w14:paraId="6801C45C">
            <w:pPr>
              <w:spacing w:line="400" w:lineRule="exact"/>
              <w:jc w:val="center"/>
              <w:rPr>
                <w:rFonts w:hint="eastAsia" w:asciiTheme="minorEastAsia" w:hAnsiTheme="minorEastAsia" w:eastAsiaTheme="minorEastAsia" w:cstheme="minorEastAsia"/>
                <w:color w:val="auto"/>
                <w:sz w:val="24"/>
                <w:highlight w:val="none"/>
              </w:rPr>
            </w:pPr>
          </w:p>
        </w:tc>
      </w:tr>
      <w:tr w14:paraId="162D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11ACBC64">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w:t>
            </w:r>
          </w:p>
        </w:tc>
        <w:tc>
          <w:tcPr>
            <w:tcW w:w="743" w:type="pct"/>
            <w:vMerge w:val="restart"/>
            <w:vAlign w:val="center"/>
          </w:tcPr>
          <w:p w14:paraId="213BDE4D">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孕妇营养粉</w:t>
            </w:r>
          </w:p>
        </w:tc>
        <w:tc>
          <w:tcPr>
            <w:tcW w:w="3144" w:type="pct"/>
            <w:vAlign w:val="center"/>
          </w:tcPr>
          <w:p w14:paraId="0C13F947">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每100g产品含：动植物双蛋白，添加DHA 、能量≥1753kJ、蛋白质≥20g、脂肪≥12g、碳水化合物（g/100g）≥55.1g。</w:t>
            </w:r>
          </w:p>
        </w:tc>
        <w:tc>
          <w:tcPr>
            <w:tcW w:w="772" w:type="pct"/>
            <w:vMerge w:val="restart"/>
            <w:vAlign w:val="center"/>
          </w:tcPr>
          <w:p w14:paraId="1B561F37">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0.45</w:t>
            </w:r>
          </w:p>
        </w:tc>
      </w:tr>
      <w:tr w14:paraId="062A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5ED6DD6D">
            <w:pPr>
              <w:spacing w:line="400" w:lineRule="exact"/>
              <w:jc w:val="center"/>
              <w:rPr>
                <w:rFonts w:hint="eastAsia" w:asciiTheme="minorEastAsia" w:hAnsiTheme="minorEastAsia" w:eastAsiaTheme="minorEastAsia" w:cstheme="minorEastAsia"/>
                <w:color w:val="auto"/>
                <w:sz w:val="24"/>
                <w:highlight w:val="none"/>
              </w:rPr>
            </w:pPr>
          </w:p>
        </w:tc>
        <w:tc>
          <w:tcPr>
            <w:tcW w:w="743" w:type="pct"/>
            <w:vMerge w:val="continue"/>
            <w:vAlign w:val="center"/>
          </w:tcPr>
          <w:p w14:paraId="3E782516">
            <w:pPr>
              <w:spacing w:line="400" w:lineRule="exact"/>
              <w:jc w:val="center"/>
              <w:rPr>
                <w:rFonts w:hint="eastAsia" w:asciiTheme="minorEastAsia" w:hAnsiTheme="minorEastAsia" w:eastAsiaTheme="minorEastAsia" w:cstheme="minorEastAsia"/>
                <w:color w:val="auto"/>
                <w:sz w:val="24"/>
                <w:highlight w:val="none"/>
              </w:rPr>
            </w:pPr>
          </w:p>
        </w:tc>
        <w:tc>
          <w:tcPr>
            <w:tcW w:w="3144" w:type="pct"/>
            <w:vAlign w:val="center"/>
          </w:tcPr>
          <w:p w14:paraId="78B8871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包装符合GB 7718食品安全国家标准-预包装食品标签通则要求。</w:t>
            </w:r>
            <w:r>
              <w:rPr>
                <w:rFonts w:hint="eastAsia" w:asciiTheme="minorEastAsia" w:hAnsiTheme="minorEastAsia" w:eastAsiaTheme="minorEastAsia" w:cstheme="minorEastAsia"/>
                <w:color w:val="auto"/>
                <w:sz w:val="24"/>
                <w:highlight w:val="none"/>
              </w:rPr>
              <w:t>适用人群：孕妇</w:t>
            </w:r>
          </w:p>
        </w:tc>
        <w:tc>
          <w:tcPr>
            <w:tcW w:w="772" w:type="pct"/>
            <w:vMerge w:val="continue"/>
            <w:vAlign w:val="center"/>
          </w:tcPr>
          <w:p w14:paraId="2CD04D61">
            <w:pPr>
              <w:spacing w:line="400" w:lineRule="exact"/>
              <w:jc w:val="center"/>
              <w:rPr>
                <w:rFonts w:hint="eastAsia" w:asciiTheme="minorEastAsia" w:hAnsiTheme="minorEastAsia" w:eastAsiaTheme="minorEastAsia" w:cstheme="minorEastAsia"/>
                <w:color w:val="auto"/>
                <w:sz w:val="24"/>
                <w:highlight w:val="none"/>
              </w:rPr>
            </w:pPr>
          </w:p>
        </w:tc>
      </w:tr>
      <w:tr w14:paraId="361E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16EA1C16">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w:t>
            </w:r>
          </w:p>
        </w:tc>
        <w:tc>
          <w:tcPr>
            <w:tcW w:w="743" w:type="pct"/>
            <w:vMerge w:val="restart"/>
            <w:vAlign w:val="center"/>
          </w:tcPr>
          <w:p w14:paraId="0550CA5D">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DHA藻油锌牛磺酸软胶囊</w:t>
            </w:r>
          </w:p>
        </w:tc>
        <w:tc>
          <w:tcPr>
            <w:tcW w:w="3144" w:type="pct"/>
            <w:vAlign w:val="center"/>
          </w:tcPr>
          <w:p w14:paraId="7C463F65">
            <w:pPr>
              <w:pStyle w:val="4"/>
              <w:keepNext w:val="0"/>
              <w:keepLines w:val="0"/>
              <w:spacing w:before="0" w:after="0" w:line="400" w:lineRule="exact"/>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每100g产品含：能量≥1894kJ、蛋白质≥10.5g、脂肪≥18.2g、碳水化合物≥61.3g、DHA ≥2530mg(100mg/条)</w:t>
            </w:r>
          </w:p>
        </w:tc>
        <w:tc>
          <w:tcPr>
            <w:tcW w:w="772" w:type="pct"/>
            <w:vMerge w:val="restart"/>
            <w:vAlign w:val="center"/>
          </w:tcPr>
          <w:p w14:paraId="61A59E3A">
            <w:pPr>
              <w:pStyle w:val="4"/>
              <w:keepNext w:val="0"/>
              <w:keepLines w:val="0"/>
              <w:spacing w:before="0" w:after="0" w:line="400" w:lineRule="exact"/>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2</w:t>
            </w:r>
          </w:p>
        </w:tc>
      </w:tr>
      <w:tr w14:paraId="6F54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continue"/>
            <w:vAlign w:val="center"/>
          </w:tcPr>
          <w:p w14:paraId="58446D57">
            <w:pPr>
              <w:pStyle w:val="4"/>
              <w:keepNext w:val="0"/>
              <w:keepLines w:val="0"/>
              <w:spacing w:before="0" w:after="0" w:line="400" w:lineRule="exact"/>
              <w:jc w:val="center"/>
              <w:rPr>
                <w:rFonts w:hint="eastAsia" w:asciiTheme="minorEastAsia" w:hAnsiTheme="minorEastAsia" w:eastAsiaTheme="minorEastAsia" w:cstheme="minorEastAsia"/>
                <w:color w:val="auto"/>
                <w:sz w:val="24"/>
                <w:szCs w:val="24"/>
                <w:highlight w:val="none"/>
              </w:rPr>
            </w:pPr>
          </w:p>
        </w:tc>
        <w:tc>
          <w:tcPr>
            <w:tcW w:w="743" w:type="pct"/>
            <w:vMerge w:val="continue"/>
            <w:vAlign w:val="center"/>
          </w:tcPr>
          <w:p w14:paraId="63016A55">
            <w:pPr>
              <w:pStyle w:val="4"/>
              <w:keepNext w:val="0"/>
              <w:keepLines w:val="0"/>
              <w:spacing w:before="0" w:after="0" w:line="400" w:lineRule="exact"/>
              <w:jc w:val="center"/>
              <w:rPr>
                <w:rFonts w:hint="eastAsia" w:asciiTheme="minorEastAsia" w:hAnsiTheme="minorEastAsia" w:eastAsiaTheme="minorEastAsia" w:cstheme="minorEastAsia"/>
                <w:b w:val="0"/>
                <w:bCs w:val="0"/>
                <w:color w:val="auto"/>
                <w:sz w:val="24"/>
                <w:szCs w:val="24"/>
                <w:highlight w:val="none"/>
              </w:rPr>
            </w:pPr>
          </w:p>
        </w:tc>
        <w:tc>
          <w:tcPr>
            <w:tcW w:w="3144" w:type="pct"/>
            <w:vAlign w:val="center"/>
          </w:tcPr>
          <w:p w14:paraId="7E4AC107">
            <w:pPr>
              <w:pStyle w:val="4"/>
              <w:keepNext w:val="0"/>
              <w:keepLines w:val="0"/>
              <w:spacing w:before="0" w:after="0" w:line="400" w:lineRule="exact"/>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包装符合GB 7718食品安全国家标准-预包装食品标签通则要求。适用人群：需要改善记忆的4岁以上少年</w:t>
            </w:r>
          </w:p>
        </w:tc>
        <w:tc>
          <w:tcPr>
            <w:tcW w:w="772" w:type="pct"/>
            <w:vMerge w:val="continue"/>
            <w:vAlign w:val="center"/>
          </w:tcPr>
          <w:p w14:paraId="4438D979">
            <w:pPr>
              <w:pStyle w:val="4"/>
              <w:keepNext w:val="0"/>
              <w:keepLines w:val="0"/>
              <w:spacing w:before="0" w:after="0" w:line="400" w:lineRule="exact"/>
              <w:jc w:val="center"/>
              <w:rPr>
                <w:rFonts w:hint="eastAsia" w:asciiTheme="minorEastAsia" w:hAnsiTheme="minorEastAsia" w:eastAsiaTheme="minorEastAsia" w:cstheme="minorEastAsia"/>
                <w:b w:val="0"/>
                <w:bCs w:val="0"/>
                <w:color w:val="auto"/>
                <w:sz w:val="24"/>
                <w:szCs w:val="24"/>
                <w:highlight w:val="none"/>
              </w:rPr>
            </w:pPr>
          </w:p>
        </w:tc>
      </w:tr>
      <w:tr w14:paraId="43E7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0" w:type="pct"/>
            <w:vMerge w:val="restart"/>
            <w:vAlign w:val="center"/>
          </w:tcPr>
          <w:p w14:paraId="138B92D0">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w:t>
            </w:r>
          </w:p>
        </w:tc>
        <w:tc>
          <w:tcPr>
            <w:tcW w:w="743" w:type="pct"/>
            <w:vMerge w:val="restart"/>
            <w:vAlign w:val="center"/>
          </w:tcPr>
          <w:p w14:paraId="608FF72B">
            <w:pPr>
              <w:pStyle w:val="4"/>
              <w:keepNext w:val="0"/>
              <w:keepLines w:val="0"/>
              <w:spacing w:before="0" w:after="0" w:line="400" w:lineRule="exact"/>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特殊医学用途全营养配方粉</w:t>
            </w:r>
          </w:p>
        </w:tc>
        <w:tc>
          <w:tcPr>
            <w:tcW w:w="3144" w:type="pct"/>
            <w:vAlign w:val="center"/>
          </w:tcPr>
          <w:p w14:paraId="0E4A8A63">
            <w:pPr>
              <w:pStyle w:val="4"/>
              <w:keepNext w:val="0"/>
              <w:keepLines w:val="0"/>
              <w:spacing w:before="0" w:after="0" w:line="400" w:lineRule="exact"/>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sz w:val="24"/>
                <w:szCs w:val="24"/>
                <w:highlight w:val="none"/>
              </w:rPr>
              <w:t>每100g产品含：能量≥1827KJ、蛋白质≥17.4g 、脂肪≥14.3g、碳水化合物≥57.3g、膳食纤维≥3.3g、亚油酸≥3.8g、a-亚麻酸≥0.74g。</w:t>
            </w:r>
          </w:p>
        </w:tc>
        <w:tc>
          <w:tcPr>
            <w:tcW w:w="772" w:type="pct"/>
            <w:vMerge w:val="restart"/>
            <w:vAlign w:val="center"/>
          </w:tcPr>
          <w:p w14:paraId="52C99FFA">
            <w:pPr>
              <w:pStyle w:val="4"/>
              <w:keepNext w:val="0"/>
              <w:keepLines w:val="0"/>
              <w:spacing w:before="0" w:after="0" w:line="400" w:lineRule="exact"/>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0.345</w:t>
            </w:r>
          </w:p>
        </w:tc>
      </w:tr>
      <w:tr w14:paraId="3D8A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340" w:type="pct"/>
            <w:vMerge w:val="continue"/>
            <w:vAlign w:val="center"/>
          </w:tcPr>
          <w:p w14:paraId="3D727F55">
            <w:pPr>
              <w:pStyle w:val="4"/>
              <w:keepNext w:val="0"/>
              <w:keepLines w:val="0"/>
              <w:spacing w:before="0" w:after="0" w:line="400" w:lineRule="exact"/>
              <w:rPr>
                <w:rFonts w:hint="eastAsia" w:asciiTheme="minorEastAsia" w:hAnsiTheme="minorEastAsia" w:eastAsiaTheme="minorEastAsia" w:cstheme="minorEastAsia"/>
                <w:color w:val="auto"/>
                <w:sz w:val="24"/>
                <w:szCs w:val="24"/>
                <w:highlight w:val="none"/>
              </w:rPr>
            </w:pPr>
          </w:p>
        </w:tc>
        <w:tc>
          <w:tcPr>
            <w:tcW w:w="743" w:type="pct"/>
            <w:vMerge w:val="continue"/>
            <w:vAlign w:val="center"/>
          </w:tcPr>
          <w:p w14:paraId="6151C4C3">
            <w:pPr>
              <w:pStyle w:val="4"/>
              <w:keepNext w:val="0"/>
              <w:keepLines w:val="0"/>
              <w:spacing w:before="0" w:after="0" w:line="400" w:lineRule="exact"/>
              <w:rPr>
                <w:rFonts w:hint="eastAsia" w:asciiTheme="minorEastAsia" w:hAnsiTheme="minorEastAsia" w:eastAsiaTheme="minorEastAsia" w:cstheme="minorEastAsia"/>
                <w:b w:val="0"/>
                <w:bCs w:val="0"/>
                <w:color w:val="auto"/>
                <w:sz w:val="24"/>
                <w:szCs w:val="24"/>
                <w:highlight w:val="none"/>
              </w:rPr>
            </w:pPr>
          </w:p>
        </w:tc>
        <w:tc>
          <w:tcPr>
            <w:tcW w:w="3144" w:type="pct"/>
            <w:vAlign w:val="center"/>
          </w:tcPr>
          <w:p w14:paraId="53EBEC30">
            <w:pPr>
              <w:pStyle w:val="4"/>
              <w:keepNext w:val="0"/>
              <w:keepLines w:val="0"/>
              <w:spacing w:before="0" w:after="0" w:line="400" w:lineRule="exact"/>
              <w:rPr>
                <w:rFonts w:hint="eastAsia" w:asciiTheme="minorEastAsia" w:hAnsiTheme="minorEastAsia" w:eastAsiaTheme="minorEastAsia" w:cstheme="minorEastAsia"/>
                <w:b w:val="0"/>
                <w:bCs w:val="0"/>
                <w:color w:val="auto"/>
                <w:kern w:val="0"/>
                <w:sz w:val="24"/>
                <w:szCs w:val="24"/>
                <w:highlight w:val="none"/>
              </w:rPr>
            </w:pPr>
            <w:r>
              <w:rPr>
                <w:rFonts w:hint="eastAsia" w:asciiTheme="minorEastAsia" w:hAnsiTheme="minorEastAsia" w:eastAsiaTheme="minorEastAsia" w:cstheme="minorEastAsia"/>
                <w:b w:val="0"/>
                <w:bCs w:val="0"/>
                <w:color w:val="auto"/>
                <w:sz w:val="24"/>
                <w:szCs w:val="24"/>
                <w:highlight w:val="none"/>
              </w:rPr>
              <w:t>包装符合：GB 29922食品安全国家标准-预包装食品标签通则要求，按《国家食品安全法》和有关国家标准执行。适用人群：1-10岁儿童需要补充全营养人群</w:t>
            </w:r>
          </w:p>
        </w:tc>
        <w:tc>
          <w:tcPr>
            <w:tcW w:w="772" w:type="pct"/>
            <w:vMerge w:val="continue"/>
            <w:vAlign w:val="center"/>
          </w:tcPr>
          <w:p w14:paraId="032120A3">
            <w:pPr>
              <w:pStyle w:val="4"/>
              <w:keepNext w:val="0"/>
              <w:keepLines w:val="0"/>
              <w:spacing w:before="0" w:after="0" w:line="400" w:lineRule="exact"/>
              <w:rPr>
                <w:rFonts w:hint="eastAsia" w:asciiTheme="minorEastAsia" w:hAnsiTheme="minorEastAsia" w:eastAsiaTheme="minorEastAsia" w:cstheme="minorEastAsia"/>
                <w:color w:val="auto"/>
                <w:sz w:val="24"/>
                <w:szCs w:val="24"/>
                <w:highlight w:val="none"/>
              </w:rPr>
            </w:pPr>
          </w:p>
        </w:tc>
      </w:tr>
    </w:tbl>
    <w:p w14:paraId="2536982F">
      <w:pPr>
        <w:jc w:val="center"/>
        <w:rPr>
          <w:rFonts w:hint="eastAsia" w:asciiTheme="minorEastAsia" w:hAnsiTheme="minorEastAsia" w:eastAsiaTheme="minorEastAsia" w:cstheme="minorEastAsia"/>
          <w:color w:val="auto"/>
          <w:sz w:val="32"/>
          <w:szCs w:val="32"/>
          <w:highlight w:val="none"/>
        </w:rPr>
      </w:pPr>
    </w:p>
    <w:p w14:paraId="6B68C5B4">
      <w:pP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br w:type="page"/>
      </w:r>
    </w:p>
    <w:p w14:paraId="6A027D7B">
      <w:pPr>
        <w:pStyle w:val="17"/>
        <w:spacing w:line="360" w:lineRule="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附：</w:t>
      </w:r>
    </w:p>
    <w:p w14:paraId="111F9CB6">
      <w:pPr>
        <w:spacing w:line="360" w:lineRule="auto"/>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32"/>
          <w:szCs w:val="32"/>
          <w:highlight w:val="none"/>
        </w:rPr>
        <w:t>中小微企业划型标准</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1800"/>
        <w:gridCol w:w="810"/>
        <w:gridCol w:w="1775"/>
        <w:gridCol w:w="1775"/>
        <w:gridCol w:w="1776"/>
      </w:tblGrid>
      <w:tr w14:paraId="5EBE0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tcBorders>
              <w:tl2br w:val="nil"/>
              <w:tr2bl w:val="nil"/>
            </w:tcBorders>
            <w:vAlign w:val="center"/>
          </w:tcPr>
          <w:p w14:paraId="612E71CE">
            <w:pPr>
              <w:widowControl/>
              <w:spacing w:line="400" w:lineRule="exact"/>
              <w:jc w:val="center"/>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行业名称</w:t>
            </w:r>
          </w:p>
        </w:tc>
        <w:tc>
          <w:tcPr>
            <w:tcW w:w="1800" w:type="dxa"/>
            <w:tcBorders>
              <w:tl2br w:val="nil"/>
              <w:tr2bl w:val="nil"/>
            </w:tcBorders>
            <w:vAlign w:val="center"/>
          </w:tcPr>
          <w:p w14:paraId="225CF1EB">
            <w:pPr>
              <w:widowControl/>
              <w:spacing w:line="400" w:lineRule="exact"/>
              <w:jc w:val="center"/>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指标名称</w:t>
            </w:r>
          </w:p>
        </w:tc>
        <w:tc>
          <w:tcPr>
            <w:tcW w:w="810" w:type="dxa"/>
            <w:tcBorders>
              <w:tl2br w:val="nil"/>
              <w:tr2bl w:val="nil"/>
            </w:tcBorders>
            <w:vAlign w:val="center"/>
          </w:tcPr>
          <w:p w14:paraId="5412BC5F">
            <w:pPr>
              <w:widowControl/>
              <w:spacing w:line="400" w:lineRule="exact"/>
              <w:jc w:val="center"/>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计量单位</w:t>
            </w:r>
          </w:p>
        </w:tc>
        <w:tc>
          <w:tcPr>
            <w:tcW w:w="1775" w:type="dxa"/>
            <w:tcBorders>
              <w:tl2br w:val="nil"/>
              <w:tr2bl w:val="nil"/>
            </w:tcBorders>
            <w:vAlign w:val="center"/>
          </w:tcPr>
          <w:p w14:paraId="48BB23FD">
            <w:pPr>
              <w:widowControl/>
              <w:spacing w:line="400" w:lineRule="exact"/>
              <w:jc w:val="center"/>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中型</w:t>
            </w:r>
          </w:p>
        </w:tc>
        <w:tc>
          <w:tcPr>
            <w:tcW w:w="1775" w:type="dxa"/>
            <w:tcBorders>
              <w:tl2br w:val="nil"/>
              <w:tr2bl w:val="nil"/>
            </w:tcBorders>
            <w:vAlign w:val="center"/>
          </w:tcPr>
          <w:p w14:paraId="36A49691">
            <w:pPr>
              <w:widowControl/>
              <w:spacing w:line="400" w:lineRule="exact"/>
              <w:jc w:val="center"/>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小型</w:t>
            </w:r>
          </w:p>
        </w:tc>
        <w:tc>
          <w:tcPr>
            <w:tcW w:w="1776" w:type="dxa"/>
            <w:tcBorders>
              <w:tl2br w:val="nil"/>
              <w:tr2bl w:val="nil"/>
            </w:tcBorders>
            <w:vAlign w:val="center"/>
          </w:tcPr>
          <w:p w14:paraId="7924643C">
            <w:pPr>
              <w:widowControl/>
              <w:spacing w:line="400" w:lineRule="exact"/>
              <w:jc w:val="center"/>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微型</w:t>
            </w:r>
          </w:p>
        </w:tc>
      </w:tr>
      <w:tr w14:paraId="3023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tcBorders>
              <w:tl2br w:val="nil"/>
              <w:tr2bl w:val="nil"/>
            </w:tcBorders>
            <w:vAlign w:val="center"/>
          </w:tcPr>
          <w:p w14:paraId="78698905">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农、林、牧、渔</w:t>
            </w:r>
          </w:p>
        </w:tc>
        <w:tc>
          <w:tcPr>
            <w:tcW w:w="1800" w:type="dxa"/>
            <w:tcBorders>
              <w:tl2br w:val="nil"/>
              <w:tr2bl w:val="nil"/>
            </w:tcBorders>
            <w:vAlign w:val="center"/>
          </w:tcPr>
          <w:p w14:paraId="6791073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7E7750B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64F7F569">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500≤Y＜20000</w:t>
            </w:r>
          </w:p>
        </w:tc>
        <w:tc>
          <w:tcPr>
            <w:tcW w:w="1775" w:type="dxa"/>
            <w:tcBorders>
              <w:tl2br w:val="nil"/>
              <w:tr2bl w:val="nil"/>
            </w:tcBorders>
            <w:vAlign w:val="center"/>
          </w:tcPr>
          <w:p w14:paraId="24FB783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50≤Y＜500</w:t>
            </w:r>
          </w:p>
        </w:tc>
        <w:tc>
          <w:tcPr>
            <w:tcW w:w="1776" w:type="dxa"/>
            <w:tcBorders>
              <w:tl2br w:val="nil"/>
              <w:tr2bl w:val="nil"/>
            </w:tcBorders>
            <w:vAlign w:val="center"/>
          </w:tcPr>
          <w:p w14:paraId="7FF993C9">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Y＜50</w:t>
            </w:r>
          </w:p>
        </w:tc>
      </w:tr>
      <w:tr w14:paraId="260D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0C7CEFAE">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工业</w:t>
            </w:r>
          </w:p>
        </w:tc>
        <w:tc>
          <w:tcPr>
            <w:tcW w:w="1800" w:type="dxa"/>
            <w:tcBorders>
              <w:tl2br w:val="nil"/>
              <w:tr2bl w:val="nil"/>
            </w:tcBorders>
            <w:vAlign w:val="center"/>
          </w:tcPr>
          <w:p w14:paraId="591F9EB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72F92FA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45FBD03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300≤X＜1000</w:t>
            </w:r>
          </w:p>
        </w:tc>
        <w:tc>
          <w:tcPr>
            <w:tcW w:w="1775" w:type="dxa"/>
            <w:tcBorders>
              <w:tl2br w:val="nil"/>
              <w:tr2bl w:val="nil"/>
            </w:tcBorders>
            <w:vAlign w:val="center"/>
          </w:tcPr>
          <w:p w14:paraId="6D28F4C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20≤X＜300</w:t>
            </w:r>
          </w:p>
        </w:tc>
        <w:tc>
          <w:tcPr>
            <w:tcW w:w="1776" w:type="dxa"/>
            <w:tcBorders>
              <w:tl2br w:val="nil"/>
              <w:tr2bl w:val="nil"/>
            </w:tcBorders>
            <w:vAlign w:val="center"/>
          </w:tcPr>
          <w:p w14:paraId="2606C95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X＜20</w:t>
            </w:r>
          </w:p>
        </w:tc>
      </w:tr>
      <w:tr w14:paraId="1A8A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70595CA7">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66702F8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00BA514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75DCE40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2000≤Y＜40000</w:t>
            </w:r>
          </w:p>
        </w:tc>
        <w:tc>
          <w:tcPr>
            <w:tcW w:w="1775" w:type="dxa"/>
            <w:tcBorders>
              <w:tl2br w:val="nil"/>
              <w:tr2bl w:val="nil"/>
            </w:tcBorders>
            <w:vAlign w:val="center"/>
          </w:tcPr>
          <w:p w14:paraId="1C0ADB3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300≤Y＜2000</w:t>
            </w:r>
          </w:p>
        </w:tc>
        <w:tc>
          <w:tcPr>
            <w:tcW w:w="1776" w:type="dxa"/>
            <w:tcBorders>
              <w:tl2br w:val="nil"/>
              <w:tr2bl w:val="nil"/>
            </w:tcBorders>
            <w:vAlign w:val="center"/>
          </w:tcPr>
          <w:p w14:paraId="44EC6B4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Y＜300</w:t>
            </w:r>
          </w:p>
        </w:tc>
      </w:tr>
      <w:tr w14:paraId="34C5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724269A4">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建筑业</w:t>
            </w:r>
          </w:p>
        </w:tc>
        <w:tc>
          <w:tcPr>
            <w:tcW w:w="1800" w:type="dxa"/>
            <w:tcBorders>
              <w:tl2br w:val="nil"/>
              <w:tr2bl w:val="nil"/>
            </w:tcBorders>
            <w:vAlign w:val="center"/>
          </w:tcPr>
          <w:p w14:paraId="29E1C0A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3E5F224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209BC22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6000≤Y＜80000</w:t>
            </w:r>
          </w:p>
        </w:tc>
        <w:tc>
          <w:tcPr>
            <w:tcW w:w="1775" w:type="dxa"/>
            <w:tcBorders>
              <w:tl2br w:val="nil"/>
              <w:tr2bl w:val="nil"/>
            </w:tcBorders>
            <w:vAlign w:val="center"/>
          </w:tcPr>
          <w:p w14:paraId="19A44B4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300≤Y＜6000</w:t>
            </w:r>
          </w:p>
        </w:tc>
        <w:tc>
          <w:tcPr>
            <w:tcW w:w="1776" w:type="dxa"/>
            <w:tcBorders>
              <w:tl2br w:val="nil"/>
              <w:tr2bl w:val="nil"/>
            </w:tcBorders>
            <w:vAlign w:val="center"/>
          </w:tcPr>
          <w:p w14:paraId="620D37B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Y＜300</w:t>
            </w:r>
          </w:p>
        </w:tc>
      </w:tr>
      <w:tr w14:paraId="61D3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5021D21C">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3C79669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资产总额（Z）</w:t>
            </w:r>
          </w:p>
        </w:tc>
        <w:tc>
          <w:tcPr>
            <w:tcW w:w="810" w:type="dxa"/>
            <w:tcBorders>
              <w:tl2br w:val="nil"/>
              <w:tr2bl w:val="nil"/>
            </w:tcBorders>
            <w:vAlign w:val="center"/>
          </w:tcPr>
          <w:p w14:paraId="2C573F09">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6D9A4DE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5000≤Z＜80000</w:t>
            </w:r>
          </w:p>
        </w:tc>
        <w:tc>
          <w:tcPr>
            <w:tcW w:w="1775" w:type="dxa"/>
            <w:tcBorders>
              <w:tl2br w:val="nil"/>
              <w:tr2bl w:val="nil"/>
            </w:tcBorders>
            <w:vAlign w:val="center"/>
          </w:tcPr>
          <w:p w14:paraId="0EB332B0">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300≤Z＜5000</w:t>
            </w:r>
          </w:p>
        </w:tc>
        <w:tc>
          <w:tcPr>
            <w:tcW w:w="1776" w:type="dxa"/>
            <w:tcBorders>
              <w:tl2br w:val="nil"/>
              <w:tr2bl w:val="nil"/>
            </w:tcBorders>
            <w:vAlign w:val="center"/>
          </w:tcPr>
          <w:p w14:paraId="395B67F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Z＜300</w:t>
            </w:r>
          </w:p>
        </w:tc>
      </w:tr>
      <w:tr w14:paraId="516F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5A21D241">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批发业</w:t>
            </w:r>
          </w:p>
        </w:tc>
        <w:tc>
          <w:tcPr>
            <w:tcW w:w="1800" w:type="dxa"/>
            <w:tcBorders>
              <w:tl2br w:val="nil"/>
              <w:tr2bl w:val="nil"/>
            </w:tcBorders>
            <w:vAlign w:val="center"/>
          </w:tcPr>
          <w:p w14:paraId="5C66ADC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68CDE117">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277D5D2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20≤X＜200</w:t>
            </w:r>
          </w:p>
        </w:tc>
        <w:tc>
          <w:tcPr>
            <w:tcW w:w="1775" w:type="dxa"/>
            <w:tcBorders>
              <w:tl2br w:val="nil"/>
              <w:tr2bl w:val="nil"/>
            </w:tcBorders>
            <w:vAlign w:val="center"/>
          </w:tcPr>
          <w:p w14:paraId="2359353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5≤X＜20</w:t>
            </w:r>
          </w:p>
        </w:tc>
        <w:tc>
          <w:tcPr>
            <w:tcW w:w="1776" w:type="dxa"/>
            <w:tcBorders>
              <w:tl2br w:val="nil"/>
              <w:tr2bl w:val="nil"/>
            </w:tcBorders>
            <w:vAlign w:val="center"/>
          </w:tcPr>
          <w:p w14:paraId="5D39040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X＜5</w:t>
            </w:r>
          </w:p>
        </w:tc>
      </w:tr>
      <w:tr w14:paraId="0960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71E8B30B">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4C2EE0F8">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1F9A15DB">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5A46B33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5000≤Y＜40000</w:t>
            </w:r>
          </w:p>
        </w:tc>
        <w:tc>
          <w:tcPr>
            <w:tcW w:w="1775" w:type="dxa"/>
            <w:tcBorders>
              <w:tl2br w:val="nil"/>
              <w:tr2bl w:val="nil"/>
            </w:tcBorders>
            <w:vAlign w:val="center"/>
          </w:tcPr>
          <w:p w14:paraId="696A4EE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1000≤Y＜5000</w:t>
            </w:r>
          </w:p>
        </w:tc>
        <w:tc>
          <w:tcPr>
            <w:tcW w:w="1776" w:type="dxa"/>
            <w:tcBorders>
              <w:tl2br w:val="nil"/>
              <w:tr2bl w:val="nil"/>
            </w:tcBorders>
            <w:vAlign w:val="center"/>
          </w:tcPr>
          <w:p w14:paraId="6B0991E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Y＜1000</w:t>
            </w:r>
          </w:p>
        </w:tc>
      </w:tr>
      <w:tr w14:paraId="5B82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34CF012D">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零售业</w:t>
            </w:r>
          </w:p>
        </w:tc>
        <w:tc>
          <w:tcPr>
            <w:tcW w:w="1800" w:type="dxa"/>
            <w:tcBorders>
              <w:tl2br w:val="nil"/>
              <w:tr2bl w:val="nil"/>
            </w:tcBorders>
            <w:vAlign w:val="center"/>
          </w:tcPr>
          <w:p w14:paraId="5F627F8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6865A9F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13D79769">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50≤X＜300</w:t>
            </w:r>
          </w:p>
        </w:tc>
        <w:tc>
          <w:tcPr>
            <w:tcW w:w="1775" w:type="dxa"/>
            <w:tcBorders>
              <w:tl2br w:val="nil"/>
              <w:tr2bl w:val="nil"/>
            </w:tcBorders>
            <w:vAlign w:val="center"/>
          </w:tcPr>
          <w:p w14:paraId="43DF1AB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10≤X＜50</w:t>
            </w:r>
          </w:p>
        </w:tc>
        <w:tc>
          <w:tcPr>
            <w:tcW w:w="1776" w:type="dxa"/>
            <w:tcBorders>
              <w:tl2br w:val="nil"/>
              <w:tr2bl w:val="nil"/>
            </w:tcBorders>
            <w:vAlign w:val="center"/>
          </w:tcPr>
          <w:p w14:paraId="56ECF0A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X＜10</w:t>
            </w:r>
          </w:p>
        </w:tc>
      </w:tr>
      <w:tr w14:paraId="19D6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165B443F">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2E0BC916">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5DA708A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6434A30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500≤Y＜20000</w:t>
            </w:r>
          </w:p>
        </w:tc>
        <w:tc>
          <w:tcPr>
            <w:tcW w:w="1775" w:type="dxa"/>
            <w:tcBorders>
              <w:tl2br w:val="nil"/>
              <w:tr2bl w:val="nil"/>
            </w:tcBorders>
            <w:vAlign w:val="center"/>
          </w:tcPr>
          <w:p w14:paraId="79C0CEA7">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100≤Y＜500</w:t>
            </w:r>
          </w:p>
        </w:tc>
        <w:tc>
          <w:tcPr>
            <w:tcW w:w="1776" w:type="dxa"/>
            <w:tcBorders>
              <w:tl2br w:val="nil"/>
              <w:tr2bl w:val="nil"/>
            </w:tcBorders>
            <w:vAlign w:val="center"/>
          </w:tcPr>
          <w:p w14:paraId="439FD00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Y＜100</w:t>
            </w:r>
          </w:p>
        </w:tc>
      </w:tr>
      <w:tr w14:paraId="3C23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32C97F37">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交通运输业</w:t>
            </w:r>
          </w:p>
        </w:tc>
        <w:tc>
          <w:tcPr>
            <w:tcW w:w="1800" w:type="dxa"/>
            <w:tcBorders>
              <w:tl2br w:val="nil"/>
              <w:tr2bl w:val="nil"/>
            </w:tcBorders>
            <w:vAlign w:val="center"/>
          </w:tcPr>
          <w:p w14:paraId="3C105AA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15828D1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10D4BF9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300≤X＜1000</w:t>
            </w:r>
          </w:p>
        </w:tc>
        <w:tc>
          <w:tcPr>
            <w:tcW w:w="1775" w:type="dxa"/>
            <w:tcBorders>
              <w:tl2br w:val="nil"/>
              <w:tr2bl w:val="nil"/>
            </w:tcBorders>
            <w:vAlign w:val="center"/>
          </w:tcPr>
          <w:p w14:paraId="0935417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20≤X＜300</w:t>
            </w:r>
          </w:p>
        </w:tc>
        <w:tc>
          <w:tcPr>
            <w:tcW w:w="1776" w:type="dxa"/>
            <w:tcBorders>
              <w:tl2br w:val="nil"/>
              <w:tr2bl w:val="nil"/>
            </w:tcBorders>
            <w:vAlign w:val="center"/>
          </w:tcPr>
          <w:p w14:paraId="40A23609">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X＜20</w:t>
            </w:r>
          </w:p>
        </w:tc>
      </w:tr>
      <w:tr w14:paraId="119D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2B86B493">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417AC5EB">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231AEF9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715F1CF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3000≤Y＜30000</w:t>
            </w:r>
          </w:p>
        </w:tc>
        <w:tc>
          <w:tcPr>
            <w:tcW w:w="1775" w:type="dxa"/>
            <w:tcBorders>
              <w:tl2br w:val="nil"/>
              <w:tr2bl w:val="nil"/>
            </w:tcBorders>
            <w:vAlign w:val="center"/>
          </w:tcPr>
          <w:p w14:paraId="621A5A8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200≤Y＜3000</w:t>
            </w:r>
          </w:p>
        </w:tc>
        <w:tc>
          <w:tcPr>
            <w:tcW w:w="1776" w:type="dxa"/>
            <w:tcBorders>
              <w:tl2br w:val="nil"/>
              <w:tr2bl w:val="nil"/>
            </w:tcBorders>
            <w:vAlign w:val="center"/>
          </w:tcPr>
          <w:p w14:paraId="152D248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Y＜200</w:t>
            </w:r>
          </w:p>
        </w:tc>
      </w:tr>
      <w:tr w14:paraId="28F5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4D6294C4">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仓储业</w:t>
            </w:r>
          </w:p>
        </w:tc>
        <w:tc>
          <w:tcPr>
            <w:tcW w:w="1800" w:type="dxa"/>
            <w:tcBorders>
              <w:tl2br w:val="nil"/>
              <w:tr2bl w:val="nil"/>
            </w:tcBorders>
            <w:vAlign w:val="center"/>
          </w:tcPr>
          <w:p w14:paraId="79A356A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0D498EF9">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5598DF3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100≤X＜200</w:t>
            </w:r>
          </w:p>
        </w:tc>
        <w:tc>
          <w:tcPr>
            <w:tcW w:w="1775" w:type="dxa"/>
            <w:tcBorders>
              <w:tl2br w:val="nil"/>
              <w:tr2bl w:val="nil"/>
            </w:tcBorders>
            <w:vAlign w:val="center"/>
          </w:tcPr>
          <w:p w14:paraId="679033F0">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20≤X＜100</w:t>
            </w:r>
          </w:p>
        </w:tc>
        <w:tc>
          <w:tcPr>
            <w:tcW w:w="1776" w:type="dxa"/>
            <w:tcBorders>
              <w:tl2br w:val="nil"/>
              <w:tr2bl w:val="nil"/>
            </w:tcBorders>
            <w:vAlign w:val="center"/>
          </w:tcPr>
          <w:p w14:paraId="7CC595F9">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X＜20</w:t>
            </w:r>
          </w:p>
        </w:tc>
      </w:tr>
      <w:tr w14:paraId="1F91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0AE03E92">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66F364F7">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42497D7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72FC034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1000≤Y＜30000</w:t>
            </w:r>
          </w:p>
        </w:tc>
        <w:tc>
          <w:tcPr>
            <w:tcW w:w="1775" w:type="dxa"/>
            <w:tcBorders>
              <w:tl2br w:val="nil"/>
              <w:tr2bl w:val="nil"/>
            </w:tcBorders>
            <w:vAlign w:val="center"/>
          </w:tcPr>
          <w:p w14:paraId="4AB094B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100≤Y＜1000</w:t>
            </w:r>
          </w:p>
        </w:tc>
        <w:tc>
          <w:tcPr>
            <w:tcW w:w="1776" w:type="dxa"/>
            <w:tcBorders>
              <w:tl2br w:val="nil"/>
              <w:tr2bl w:val="nil"/>
            </w:tcBorders>
            <w:vAlign w:val="center"/>
          </w:tcPr>
          <w:p w14:paraId="4C0F703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Y＜100</w:t>
            </w:r>
          </w:p>
        </w:tc>
      </w:tr>
      <w:tr w14:paraId="1A0C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5A551094">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邮政业</w:t>
            </w:r>
          </w:p>
        </w:tc>
        <w:tc>
          <w:tcPr>
            <w:tcW w:w="1800" w:type="dxa"/>
            <w:tcBorders>
              <w:tl2br w:val="nil"/>
              <w:tr2bl w:val="nil"/>
            </w:tcBorders>
            <w:vAlign w:val="center"/>
          </w:tcPr>
          <w:p w14:paraId="3C0508A8">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72316DF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1168410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300≤X＜1000</w:t>
            </w:r>
          </w:p>
        </w:tc>
        <w:tc>
          <w:tcPr>
            <w:tcW w:w="1775" w:type="dxa"/>
            <w:tcBorders>
              <w:tl2br w:val="nil"/>
              <w:tr2bl w:val="nil"/>
            </w:tcBorders>
            <w:vAlign w:val="center"/>
          </w:tcPr>
          <w:p w14:paraId="2F27854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20≤X＜300</w:t>
            </w:r>
          </w:p>
        </w:tc>
        <w:tc>
          <w:tcPr>
            <w:tcW w:w="1776" w:type="dxa"/>
            <w:tcBorders>
              <w:tl2br w:val="nil"/>
              <w:tr2bl w:val="nil"/>
            </w:tcBorders>
            <w:vAlign w:val="center"/>
          </w:tcPr>
          <w:p w14:paraId="50AFD76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X＜20</w:t>
            </w:r>
          </w:p>
        </w:tc>
      </w:tr>
      <w:tr w14:paraId="6C2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0970E581">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113EFC7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0A6F0C57">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1E14E9A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2000≤Y＜30000</w:t>
            </w:r>
          </w:p>
        </w:tc>
        <w:tc>
          <w:tcPr>
            <w:tcW w:w="1775" w:type="dxa"/>
            <w:tcBorders>
              <w:tl2br w:val="nil"/>
              <w:tr2bl w:val="nil"/>
            </w:tcBorders>
            <w:vAlign w:val="center"/>
          </w:tcPr>
          <w:p w14:paraId="7677BD7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100≤Y＜2000</w:t>
            </w:r>
          </w:p>
        </w:tc>
        <w:tc>
          <w:tcPr>
            <w:tcW w:w="1776" w:type="dxa"/>
            <w:tcBorders>
              <w:tl2br w:val="nil"/>
              <w:tr2bl w:val="nil"/>
            </w:tcBorders>
            <w:vAlign w:val="center"/>
          </w:tcPr>
          <w:p w14:paraId="3F62DDC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Y＜100</w:t>
            </w:r>
          </w:p>
        </w:tc>
      </w:tr>
      <w:tr w14:paraId="45B7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75916122">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住宿业</w:t>
            </w:r>
          </w:p>
        </w:tc>
        <w:tc>
          <w:tcPr>
            <w:tcW w:w="1800" w:type="dxa"/>
            <w:tcBorders>
              <w:tl2br w:val="nil"/>
              <w:tr2bl w:val="nil"/>
            </w:tcBorders>
            <w:vAlign w:val="center"/>
          </w:tcPr>
          <w:p w14:paraId="355359A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445756D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35E1EF0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100≤X＜300</w:t>
            </w:r>
          </w:p>
        </w:tc>
        <w:tc>
          <w:tcPr>
            <w:tcW w:w="1775" w:type="dxa"/>
            <w:tcBorders>
              <w:tl2br w:val="nil"/>
              <w:tr2bl w:val="nil"/>
            </w:tcBorders>
            <w:vAlign w:val="center"/>
          </w:tcPr>
          <w:p w14:paraId="07CCE428">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10≤X＜100</w:t>
            </w:r>
          </w:p>
        </w:tc>
        <w:tc>
          <w:tcPr>
            <w:tcW w:w="1776" w:type="dxa"/>
            <w:tcBorders>
              <w:tl2br w:val="nil"/>
              <w:tr2bl w:val="nil"/>
            </w:tcBorders>
            <w:vAlign w:val="center"/>
          </w:tcPr>
          <w:p w14:paraId="1A2C206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X＜10</w:t>
            </w:r>
          </w:p>
        </w:tc>
      </w:tr>
      <w:tr w14:paraId="3A01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3976D8AD">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3733CAC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5235D257">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201C3198">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2000≤Y＜10000</w:t>
            </w:r>
          </w:p>
        </w:tc>
        <w:tc>
          <w:tcPr>
            <w:tcW w:w="1775" w:type="dxa"/>
            <w:tcBorders>
              <w:tl2br w:val="nil"/>
              <w:tr2bl w:val="nil"/>
            </w:tcBorders>
            <w:vAlign w:val="center"/>
          </w:tcPr>
          <w:p w14:paraId="12BCBFB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100≤Y＜2000</w:t>
            </w:r>
          </w:p>
        </w:tc>
        <w:tc>
          <w:tcPr>
            <w:tcW w:w="1776" w:type="dxa"/>
            <w:tcBorders>
              <w:tl2br w:val="nil"/>
              <w:tr2bl w:val="nil"/>
            </w:tcBorders>
            <w:vAlign w:val="center"/>
          </w:tcPr>
          <w:p w14:paraId="3A3F4C40">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Y＜100</w:t>
            </w:r>
          </w:p>
        </w:tc>
      </w:tr>
      <w:tr w14:paraId="514A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115B247D">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餐饮业</w:t>
            </w:r>
          </w:p>
        </w:tc>
        <w:tc>
          <w:tcPr>
            <w:tcW w:w="1800" w:type="dxa"/>
            <w:tcBorders>
              <w:tl2br w:val="nil"/>
              <w:tr2bl w:val="nil"/>
            </w:tcBorders>
            <w:vAlign w:val="center"/>
          </w:tcPr>
          <w:p w14:paraId="7647A5A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314D0AD7">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7B13188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100≤X＜300</w:t>
            </w:r>
          </w:p>
        </w:tc>
        <w:tc>
          <w:tcPr>
            <w:tcW w:w="1775" w:type="dxa"/>
            <w:tcBorders>
              <w:tl2br w:val="nil"/>
              <w:tr2bl w:val="nil"/>
            </w:tcBorders>
            <w:vAlign w:val="center"/>
          </w:tcPr>
          <w:p w14:paraId="6AE2402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10≤X＜100</w:t>
            </w:r>
          </w:p>
        </w:tc>
        <w:tc>
          <w:tcPr>
            <w:tcW w:w="1776" w:type="dxa"/>
            <w:tcBorders>
              <w:tl2br w:val="nil"/>
              <w:tr2bl w:val="nil"/>
            </w:tcBorders>
            <w:vAlign w:val="center"/>
          </w:tcPr>
          <w:p w14:paraId="1621011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X＜10</w:t>
            </w:r>
          </w:p>
        </w:tc>
      </w:tr>
      <w:tr w14:paraId="79EA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63F6573A">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32113F0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7FA2E6B0">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4A1271B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2000≤Y＜10000</w:t>
            </w:r>
          </w:p>
        </w:tc>
        <w:tc>
          <w:tcPr>
            <w:tcW w:w="1775" w:type="dxa"/>
            <w:tcBorders>
              <w:tl2br w:val="nil"/>
              <w:tr2bl w:val="nil"/>
            </w:tcBorders>
            <w:vAlign w:val="center"/>
          </w:tcPr>
          <w:p w14:paraId="3A55236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100≤Y＜2000</w:t>
            </w:r>
          </w:p>
        </w:tc>
        <w:tc>
          <w:tcPr>
            <w:tcW w:w="1776" w:type="dxa"/>
            <w:tcBorders>
              <w:tl2br w:val="nil"/>
              <w:tr2bl w:val="nil"/>
            </w:tcBorders>
            <w:vAlign w:val="center"/>
          </w:tcPr>
          <w:p w14:paraId="412F10A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Y＜100</w:t>
            </w:r>
          </w:p>
        </w:tc>
      </w:tr>
      <w:tr w14:paraId="5173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490CB6CE">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信息传输业</w:t>
            </w:r>
          </w:p>
        </w:tc>
        <w:tc>
          <w:tcPr>
            <w:tcW w:w="1800" w:type="dxa"/>
            <w:tcBorders>
              <w:tl2br w:val="nil"/>
              <w:tr2bl w:val="nil"/>
            </w:tcBorders>
            <w:vAlign w:val="center"/>
          </w:tcPr>
          <w:p w14:paraId="044F02F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7FA5CA48">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7E0611B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100≤X＜2000</w:t>
            </w:r>
          </w:p>
        </w:tc>
        <w:tc>
          <w:tcPr>
            <w:tcW w:w="1775" w:type="dxa"/>
            <w:tcBorders>
              <w:tl2br w:val="nil"/>
              <w:tr2bl w:val="nil"/>
            </w:tcBorders>
            <w:vAlign w:val="center"/>
          </w:tcPr>
          <w:p w14:paraId="69E60868">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10≤X＜100</w:t>
            </w:r>
          </w:p>
        </w:tc>
        <w:tc>
          <w:tcPr>
            <w:tcW w:w="1776" w:type="dxa"/>
            <w:tcBorders>
              <w:tl2br w:val="nil"/>
              <w:tr2bl w:val="nil"/>
            </w:tcBorders>
            <w:vAlign w:val="center"/>
          </w:tcPr>
          <w:p w14:paraId="26A3AF2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X＜10</w:t>
            </w:r>
          </w:p>
        </w:tc>
      </w:tr>
      <w:tr w14:paraId="7EDA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695B6AF7">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2E1AEC9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6B0CE7B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23776A6B">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1000≤Y＜100000</w:t>
            </w:r>
          </w:p>
        </w:tc>
        <w:tc>
          <w:tcPr>
            <w:tcW w:w="1775" w:type="dxa"/>
            <w:tcBorders>
              <w:tl2br w:val="nil"/>
              <w:tr2bl w:val="nil"/>
            </w:tcBorders>
            <w:vAlign w:val="center"/>
          </w:tcPr>
          <w:p w14:paraId="2CFA207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100≤Y＜1000</w:t>
            </w:r>
          </w:p>
        </w:tc>
        <w:tc>
          <w:tcPr>
            <w:tcW w:w="1776" w:type="dxa"/>
            <w:tcBorders>
              <w:tl2br w:val="nil"/>
              <w:tr2bl w:val="nil"/>
            </w:tcBorders>
            <w:vAlign w:val="center"/>
          </w:tcPr>
          <w:p w14:paraId="5CA1E3A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Y＜100</w:t>
            </w:r>
          </w:p>
        </w:tc>
      </w:tr>
      <w:tr w14:paraId="66C4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046EAB8F">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软件和信息技术服务业</w:t>
            </w:r>
          </w:p>
        </w:tc>
        <w:tc>
          <w:tcPr>
            <w:tcW w:w="1800" w:type="dxa"/>
            <w:tcBorders>
              <w:tl2br w:val="nil"/>
              <w:tr2bl w:val="nil"/>
            </w:tcBorders>
            <w:vAlign w:val="center"/>
          </w:tcPr>
          <w:p w14:paraId="16B16027">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4C158BA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450FC6A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100≤X＜300</w:t>
            </w:r>
          </w:p>
        </w:tc>
        <w:tc>
          <w:tcPr>
            <w:tcW w:w="1775" w:type="dxa"/>
            <w:tcBorders>
              <w:tl2br w:val="nil"/>
              <w:tr2bl w:val="nil"/>
            </w:tcBorders>
            <w:vAlign w:val="center"/>
          </w:tcPr>
          <w:p w14:paraId="5490ED4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10≤X＜100</w:t>
            </w:r>
          </w:p>
        </w:tc>
        <w:tc>
          <w:tcPr>
            <w:tcW w:w="1776" w:type="dxa"/>
            <w:tcBorders>
              <w:tl2br w:val="nil"/>
              <w:tr2bl w:val="nil"/>
            </w:tcBorders>
            <w:vAlign w:val="center"/>
          </w:tcPr>
          <w:p w14:paraId="3072AB3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X＜10</w:t>
            </w:r>
          </w:p>
        </w:tc>
      </w:tr>
      <w:tr w14:paraId="007C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2DEB79E3">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5E436E6B">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30A96FC4">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639FD4D7">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1000≤Y＜10000</w:t>
            </w:r>
          </w:p>
        </w:tc>
        <w:tc>
          <w:tcPr>
            <w:tcW w:w="1775" w:type="dxa"/>
            <w:tcBorders>
              <w:tl2br w:val="nil"/>
              <w:tr2bl w:val="nil"/>
            </w:tcBorders>
            <w:vAlign w:val="center"/>
          </w:tcPr>
          <w:p w14:paraId="14B320B6">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50≤Y＜1000</w:t>
            </w:r>
          </w:p>
        </w:tc>
        <w:tc>
          <w:tcPr>
            <w:tcW w:w="1776" w:type="dxa"/>
            <w:tcBorders>
              <w:tl2br w:val="nil"/>
              <w:tr2bl w:val="nil"/>
            </w:tcBorders>
            <w:vAlign w:val="center"/>
          </w:tcPr>
          <w:p w14:paraId="468DDF9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Y＜50</w:t>
            </w:r>
          </w:p>
        </w:tc>
      </w:tr>
      <w:tr w14:paraId="387E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6F988597">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房地产开发经营</w:t>
            </w:r>
          </w:p>
        </w:tc>
        <w:tc>
          <w:tcPr>
            <w:tcW w:w="1800" w:type="dxa"/>
            <w:tcBorders>
              <w:tl2br w:val="nil"/>
              <w:tr2bl w:val="nil"/>
            </w:tcBorders>
            <w:vAlign w:val="center"/>
          </w:tcPr>
          <w:p w14:paraId="7C79621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7E9B1428">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30D8ACC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1000≤Y＜200000</w:t>
            </w:r>
          </w:p>
        </w:tc>
        <w:tc>
          <w:tcPr>
            <w:tcW w:w="1775" w:type="dxa"/>
            <w:tcBorders>
              <w:tl2br w:val="nil"/>
              <w:tr2bl w:val="nil"/>
            </w:tcBorders>
            <w:vAlign w:val="center"/>
          </w:tcPr>
          <w:p w14:paraId="046AF643">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100≤X＜1000</w:t>
            </w:r>
          </w:p>
        </w:tc>
        <w:tc>
          <w:tcPr>
            <w:tcW w:w="1776" w:type="dxa"/>
            <w:tcBorders>
              <w:tl2br w:val="nil"/>
              <w:tr2bl w:val="nil"/>
            </w:tcBorders>
            <w:vAlign w:val="center"/>
          </w:tcPr>
          <w:p w14:paraId="7B6BF53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X＜100</w:t>
            </w:r>
          </w:p>
        </w:tc>
      </w:tr>
      <w:tr w14:paraId="2372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0B28A0B6">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4842BDC6">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资产总额（Z）</w:t>
            </w:r>
          </w:p>
        </w:tc>
        <w:tc>
          <w:tcPr>
            <w:tcW w:w="810" w:type="dxa"/>
            <w:tcBorders>
              <w:tl2br w:val="nil"/>
              <w:tr2bl w:val="nil"/>
            </w:tcBorders>
            <w:vAlign w:val="center"/>
          </w:tcPr>
          <w:p w14:paraId="4D659C00">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3CEB0CDF">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5000≤Z＜10000</w:t>
            </w:r>
          </w:p>
        </w:tc>
        <w:tc>
          <w:tcPr>
            <w:tcW w:w="1775" w:type="dxa"/>
            <w:tcBorders>
              <w:tl2br w:val="nil"/>
              <w:tr2bl w:val="nil"/>
            </w:tcBorders>
            <w:vAlign w:val="center"/>
          </w:tcPr>
          <w:p w14:paraId="1B048F26">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2000≤Y＜5000</w:t>
            </w:r>
          </w:p>
        </w:tc>
        <w:tc>
          <w:tcPr>
            <w:tcW w:w="1776" w:type="dxa"/>
            <w:tcBorders>
              <w:tl2br w:val="nil"/>
              <w:tr2bl w:val="nil"/>
            </w:tcBorders>
            <w:vAlign w:val="center"/>
          </w:tcPr>
          <w:p w14:paraId="309D5CFC">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Y＜2000</w:t>
            </w:r>
          </w:p>
        </w:tc>
      </w:tr>
      <w:tr w14:paraId="471B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2387A9AD">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物业管理</w:t>
            </w:r>
          </w:p>
        </w:tc>
        <w:tc>
          <w:tcPr>
            <w:tcW w:w="1800" w:type="dxa"/>
            <w:tcBorders>
              <w:tl2br w:val="nil"/>
              <w:tr2bl w:val="nil"/>
            </w:tcBorders>
            <w:vAlign w:val="center"/>
          </w:tcPr>
          <w:p w14:paraId="7ADD2164">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27170EA8">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7D686BF9">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300≤X＜1000</w:t>
            </w:r>
          </w:p>
        </w:tc>
        <w:tc>
          <w:tcPr>
            <w:tcW w:w="1775" w:type="dxa"/>
            <w:tcBorders>
              <w:tl2br w:val="nil"/>
              <w:tr2bl w:val="nil"/>
            </w:tcBorders>
            <w:vAlign w:val="center"/>
          </w:tcPr>
          <w:p w14:paraId="54CBFC9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100≤X＜300</w:t>
            </w:r>
          </w:p>
        </w:tc>
        <w:tc>
          <w:tcPr>
            <w:tcW w:w="1776" w:type="dxa"/>
            <w:tcBorders>
              <w:tl2br w:val="nil"/>
              <w:tr2bl w:val="nil"/>
            </w:tcBorders>
            <w:vAlign w:val="center"/>
          </w:tcPr>
          <w:p w14:paraId="2F508D3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X＜100</w:t>
            </w:r>
          </w:p>
        </w:tc>
      </w:tr>
      <w:tr w14:paraId="33F1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66EF3C9D">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4C33E647">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营业收入（Y）</w:t>
            </w:r>
          </w:p>
        </w:tc>
        <w:tc>
          <w:tcPr>
            <w:tcW w:w="810" w:type="dxa"/>
            <w:tcBorders>
              <w:tl2br w:val="nil"/>
              <w:tr2bl w:val="nil"/>
            </w:tcBorders>
            <w:vAlign w:val="center"/>
          </w:tcPr>
          <w:p w14:paraId="5B184BB9">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4090057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1000≤Y＜5000</w:t>
            </w:r>
          </w:p>
        </w:tc>
        <w:tc>
          <w:tcPr>
            <w:tcW w:w="1775" w:type="dxa"/>
            <w:tcBorders>
              <w:tl2br w:val="nil"/>
              <w:tr2bl w:val="nil"/>
            </w:tcBorders>
            <w:vAlign w:val="center"/>
          </w:tcPr>
          <w:p w14:paraId="6612E32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500≤Y＜1000</w:t>
            </w:r>
          </w:p>
        </w:tc>
        <w:tc>
          <w:tcPr>
            <w:tcW w:w="1776" w:type="dxa"/>
            <w:tcBorders>
              <w:tl2br w:val="nil"/>
              <w:tr2bl w:val="nil"/>
            </w:tcBorders>
            <w:vAlign w:val="center"/>
          </w:tcPr>
          <w:p w14:paraId="11AA0D55">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Y＜500</w:t>
            </w:r>
          </w:p>
        </w:tc>
      </w:tr>
      <w:tr w14:paraId="2197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restart"/>
            <w:tcBorders>
              <w:tl2br w:val="nil"/>
              <w:tr2bl w:val="nil"/>
            </w:tcBorders>
            <w:vAlign w:val="center"/>
          </w:tcPr>
          <w:p w14:paraId="631F9864">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租赁和商务服务业</w:t>
            </w:r>
          </w:p>
        </w:tc>
        <w:tc>
          <w:tcPr>
            <w:tcW w:w="1800" w:type="dxa"/>
            <w:tcBorders>
              <w:tl2br w:val="nil"/>
              <w:tr2bl w:val="nil"/>
            </w:tcBorders>
            <w:vAlign w:val="center"/>
          </w:tcPr>
          <w:p w14:paraId="715315A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7891769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089525CA">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100≤X＜300</w:t>
            </w:r>
          </w:p>
        </w:tc>
        <w:tc>
          <w:tcPr>
            <w:tcW w:w="1775" w:type="dxa"/>
            <w:tcBorders>
              <w:tl2br w:val="nil"/>
              <w:tr2bl w:val="nil"/>
            </w:tcBorders>
            <w:vAlign w:val="center"/>
          </w:tcPr>
          <w:p w14:paraId="5F7194E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10≤X＜100</w:t>
            </w:r>
          </w:p>
        </w:tc>
        <w:tc>
          <w:tcPr>
            <w:tcW w:w="1776" w:type="dxa"/>
            <w:tcBorders>
              <w:tl2br w:val="nil"/>
              <w:tr2bl w:val="nil"/>
            </w:tcBorders>
            <w:vAlign w:val="center"/>
          </w:tcPr>
          <w:p w14:paraId="08DBC33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X＜10</w:t>
            </w:r>
          </w:p>
        </w:tc>
      </w:tr>
      <w:tr w14:paraId="7924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vMerge w:val="continue"/>
            <w:tcBorders>
              <w:tl2br w:val="nil"/>
              <w:tr2bl w:val="nil"/>
            </w:tcBorders>
            <w:vAlign w:val="center"/>
          </w:tcPr>
          <w:p w14:paraId="56F35706">
            <w:pPr>
              <w:widowControl/>
              <w:spacing w:line="400" w:lineRule="exact"/>
              <w:jc w:val="center"/>
              <w:rPr>
                <w:rFonts w:hint="eastAsia" w:asciiTheme="minorEastAsia" w:hAnsiTheme="minorEastAsia" w:eastAsiaTheme="minorEastAsia" w:cstheme="minorEastAsia"/>
                <w:b/>
                <w:bCs/>
                <w:color w:val="auto"/>
                <w:kern w:val="0"/>
                <w:sz w:val="24"/>
                <w:highlight w:val="none"/>
              </w:rPr>
            </w:pPr>
          </w:p>
        </w:tc>
        <w:tc>
          <w:tcPr>
            <w:tcW w:w="1800" w:type="dxa"/>
            <w:tcBorders>
              <w:tl2br w:val="nil"/>
              <w:tr2bl w:val="nil"/>
            </w:tcBorders>
            <w:vAlign w:val="center"/>
          </w:tcPr>
          <w:p w14:paraId="67F7CE42">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资产总额（Z）</w:t>
            </w:r>
          </w:p>
        </w:tc>
        <w:tc>
          <w:tcPr>
            <w:tcW w:w="810" w:type="dxa"/>
            <w:tcBorders>
              <w:tl2br w:val="nil"/>
              <w:tr2bl w:val="nil"/>
            </w:tcBorders>
            <w:vAlign w:val="center"/>
          </w:tcPr>
          <w:p w14:paraId="4DD30B68">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万元</w:t>
            </w:r>
          </w:p>
        </w:tc>
        <w:tc>
          <w:tcPr>
            <w:tcW w:w="1775" w:type="dxa"/>
            <w:tcBorders>
              <w:tl2br w:val="nil"/>
              <w:tr2bl w:val="nil"/>
            </w:tcBorders>
            <w:vAlign w:val="center"/>
          </w:tcPr>
          <w:p w14:paraId="123EB1A4">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8000≤Z＜120000</w:t>
            </w:r>
          </w:p>
        </w:tc>
        <w:tc>
          <w:tcPr>
            <w:tcW w:w="1775" w:type="dxa"/>
            <w:tcBorders>
              <w:tl2br w:val="nil"/>
              <w:tr2bl w:val="nil"/>
            </w:tcBorders>
            <w:vAlign w:val="center"/>
          </w:tcPr>
          <w:p w14:paraId="729328CB">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100≤Z＜8000</w:t>
            </w:r>
          </w:p>
        </w:tc>
        <w:tc>
          <w:tcPr>
            <w:tcW w:w="1776" w:type="dxa"/>
            <w:tcBorders>
              <w:tl2br w:val="nil"/>
              <w:tr2bl w:val="nil"/>
            </w:tcBorders>
            <w:vAlign w:val="center"/>
          </w:tcPr>
          <w:p w14:paraId="2CA3928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Y＜100</w:t>
            </w:r>
          </w:p>
        </w:tc>
      </w:tr>
      <w:tr w14:paraId="62D4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tcBorders>
              <w:tl2br w:val="nil"/>
              <w:tr2bl w:val="nil"/>
            </w:tcBorders>
            <w:vAlign w:val="center"/>
          </w:tcPr>
          <w:p w14:paraId="30063436">
            <w:pPr>
              <w:widowControl/>
              <w:spacing w:line="400" w:lineRule="exact"/>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其他未列明行业</w:t>
            </w:r>
          </w:p>
        </w:tc>
        <w:tc>
          <w:tcPr>
            <w:tcW w:w="1800" w:type="dxa"/>
            <w:tcBorders>
              <w:tl2br w:val="nil"/>
              <w:tr2bl w:val="nil"/>
            </w:tcBorders>
            <w:vAlign w:val="center"/>
          </w:tcPr>
          <w:p w14:paraId="514FBC91">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从业人员（X）</w:t>
            </w:r>
          </w:p>
        </w:tc>
        <w:tc>
          <w:tcPr>
            <w:tcW w:w="810" w:type="dxa"/>
            <w:tcBorders>
              <w:tl2br w:val="nil"/>
              <w:tr2bl w:val="nil"/>
            </w:tcBorders>
            <w:vAlign w:val="center"/>
          </w:tcPr>
          <w:p w14:paraId="365D6CC6">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人</w:t>
            </w:r>
          </w:p>
        </w:tc>
        <w:tc>
          <w:tcPr>
            <w:tcW w:w="1775" w:type="dxa"/>
            <w:tcBorders>
              <w:tl2br w:val="nil"/>
              <w:tr2bl w:val="nil"/>
            </w:tcBorders>
            <w:vAlign w:val="center"/>
          </w:tcPr>
          <w:p w14:paraId="61A7AF7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100≤X＜300</w:t>
            </w:r>
          </w:p>
        </w:tc>
        <w:tc>
          <w:tcPr>
            <w:tcW w:w="1775" w:type="dxa"/>
            <w:tcBorders>
              <w:tl2br w:val="nil"/>
              <w:tr2bl w:val="nil"/>
            </w:tcBorders>
            <w:vAlign w:val="center"/>
          </w:tcPr>
          <w:p w14:paraId="078F4AEE">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10≤X＜100</w:t>
            </w:r>
          </w:p>
        </w:tc>
        <w:tc>
          <w:tcPr>
            <w:tcW w:w="1776" w:type="dxa"/>
            <w:tcBorders>
              <w:tl2br w:val="nil"/>
              <w:tr2bl w:val="nil"/>
            </w:tcBorders>
            <w:vAlign w:val="center"/>
          </w:tcPr>
          <w:p w14:paraId="238A379D">
            <w:pPr>
              <w:widowControl/>
              <w:spacing w:line="400" w:lineRule="exact"/>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X＜10</w:t>
            </w:r>
          </w:p>
        </w:tc>
      </w:tr>
    </w:tbl>
    <w:p w14:paraId="6AB9E790">
      <w:pPr>
        <w:spacing w:line="360" w:lineRule="auto"/>
        <w:ind w:firstLine="48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 w:val="24"/>
          <w:highlight w:val="none"/>
        </w:rPr>
        <w:t>说明：</w:t>
      </w:r>
      <w:r>
        <w:rPr>
          <w:rFonts w:hint="eastAsia" w:asciiTheme="minorEastAsia" w:hAnsiTheme="minorEastAsia" w:eastAsiaTheme="minorEastAsia" w:cstheme="minorEastAsia"/>
          <w:color w:val="auto"/>
          <w:sz w:val="24"/>
          <w:highlight w:val="none"/>
        </w:rPr>
        <w:t>上述标准参照《关于印发中小企业划型标准规定的通知》（工信部联企业[2011]300号），大型、中型和小型企业须同时满足所列指标的下限，否则下划一档；微型企业只须满足所列指标中的一项即可。</w:t>
      </w:r>
    </w:p>
    <w:p w14:paraId="266A9E6B">
      <w:pPr>
        <w:pStyle w:val="3"/>
        <w:spacing w:before="0" w:after="0"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bookmarkStart w:id="31" w:name="_Toc10847"/>
      <w:r>
        <w:rPr>
          <w:rFonts w:hint="eastAsia" w:asciiTheme="minorEastAsia" w:hAnsiTheme="minorEastAsia" w:eastAsiaTheme="minorEastAsia" w:cstheme="minorEastAsia"/>
          <w:color w:val="auto"/>
          <w:highlight w:val="none"/>
        </w:rPr>
        <w:t>第四章 评审程序、评审方法和评审标准</w:t>
      </w:r>
      <w:bookmarkEnd w:id="31"/>
    </w:p>
    <w:p w14:paraId="3BD74B7A">
      <w:pPr>
        <w:spacing w:line="360" w:lineRule="auto"/>
        <w:jc w:val="center"/>
        <w:outlineLvl w:val="1"/>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一、评审程序和评审方法</w:t>
      </w:r>
    </w:p>
    <w:p w14:paraId="533A82DA">
      <w:pPr>
        <w:spacing w:line="360" w:lineRule="auto"/>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1.资格审查</w:t>
      </w:r>
    </w:p>
    <w:p w14:paraId="249164A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1.1响应文件开启后，磋商小组依法对供应商的资格证明文件进行审查。</w:t>
      </w:r>
    </w:p>
    <w:p w14:paraId="66E5B665">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（1）查询渠道：“信用中国”网站（www.creditchina.gov.cn）、中国政府采购网（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Theme="minorEastAsia" w:hAnsiTheme="minorEastAsia" w:eastAsiaTheme="minorEastAsia" w:cstheme="minorEastAsia"/>
          <w:color w:val="auto"/>
          <w:sz w:val="24"/>
          <w:highlight w:val="none"/>
        </w:rPr>
        <w:t>www.ccgp.gov.cn</w:t>
      </w:r>
      <w:r>
        <w:rPr>
          <w:rFonts w:hint="eastAsia" w:asciiTheme="minorEastAsia" w:hAnsiTheme="minorEastAsia" w:eastAsiaTheme="minorEastAsia" w:cstheme="minorEastAsia"/>
          <w:color w:val="auto"/>
          <w:sz w:val="24"/>
          <w:highlight w:val="none"/>
        </w:rPr>
        <w:fldChar w:fldCharType="end"/>
      </w:r>
      <w:r>
        <w:rPr>
          <w:rFonts w:hint="eastAsia" w:asciiTheme="minorEastAsia" w:hAnsiTheme="minorEastAsia" w:eastAsiaTheme="minorEastAsia" w:cstheme="minorEastAsia"/>
          <w:color w:val="auto"/>
          <w:sz w:val="24"/>
          <w:highlight w:val="none"/>
        </w:rPr>
        <w:t>）；</w:t>
      </w:r>
    </w:p>
    <w:p w14:paraId="2C79698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（2）信用查询截止时点：资格审查结束前；</w:t>
      </w:r>
    </w:p>
    <w:p w14:paraId="73E962B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（3）查询记录和证据留存方式：将查询网站中的查询记录截图并作为评审资料保存；</w:t>
      </w:r>
    </w:p>
    <w:p w14:paraId="08656A2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（4）信用信息使用规则：根据财政部《关于在政府采购活动中查询及使用信用记录有关问题的通知》（财库〔2016〕125号）的规定，对在“信用中国”网站(www.creditchina.gov.cn)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ED4F3B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1.2资格审查标准为本磋商文件中载明对供应商资格要求的条件。资格审查采用合格制，凡符合磋商文件规定的供应商资格要求的响应文件均通过资格审查。</w:t>
      </w:r>
    </w:p>
    <w:p w14:paraId="0268E0E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1.3供应商有下列情形之一的，资格审查不通过，其响应文件按无效响应处理：</w:t>
      </w:r>
    </w:p>
    <w:p w14:paraId="01BB462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（1）不具备磋商文件中规定的资格要求的；</w:t>
      </w:r>
    </w:p>
    <w:p w14:paraId="49A313F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（2）响应文件的资格证明文件缺少任一项“供应商须知前附表”资格证明文件规定的“必须提供”的文件资料的；</w:t>
      </w:r>
    </w:p>
    <w:p w14:paraId="53D6040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（3）响应文件中的资格证明文件出现任一项不符合“供应商须知前附表”资格证明文件规定的“必须提供”的文件资料要求或者无效的；</w:t>
      </w:r>
    </w:p>
    <w:p w14:paraId="259C8B5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7AC69C0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1.4通过资格审查的合格供应商不足3家的，不得进入符合性审查环节，采购人或者采购代理机构应当重新开展采购活动。</w:t>
      </w:r>
    </w:p>
    <w:p w14:paraId="740114ED">
      <w:pPr>
        <w:spacing w:line="360" w:lineRule="auto"/>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2.符合性审查</w:t>
      </w:r>
    </w:p>
    <w:p w14:paraId="25F5BB4A">
      <w:pPr>
        <w:spacing w:line="360" w:lineRule="auto"/>
        <w:ind w:firstLine="480" w:firstLineChars="200"/>
        <w:rPr>
          <w:rFonts w:hint="eastAsia" w:asciiTheme="minorEastAsia" w:hAnsiTheme="minorEastAsia" w:eastAsiaTheme="minorEastAsia" w:cstheme="minorEastAsia"/>
          <w:color w:val="auto"/>
          <w:sz w:val="24"/>
          <w:highlight w:val="none"/>
        </w:rPr>
      </w:pPr>
      <w:bookmarkStart w:id="32" w:name="_Hlk42528882"/>
      <w:r>
        <w:rPr>
          <w:rFonts w:hint="eastAsia" w:asciiTheme="minorEastAsia" w:hAnsiTheme="minorEastAsia" w:eastAsiaTheme="minorEastAsia" w:cstheme="minorEastAsia"/>
          <w:color w:val="auto"/>
          <w:sz w:val="24"/>
          <w:highlight w:val="none"/>
        </w:rPr>
        <w:t>2.1由磋商小组对资格审查的合格供应商的响应文件的竞争性磋商报价、商务、技术等实质性要求进行符合性审查，以确定其是否满足磋商文件的实质性要求。</w:t>
      </w:r>
    </w:p>
    <w:bookmarkEnd w:id="32"/>
    <w:p w14:paraId="21DF935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C36860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供应商为自然人的，必须由本人签字并附身份证明。</w:t>
      </w:r>
    </w:p>
    <w:p w14:paraId="7DF347E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2.4首次响应文件报价出现前后不一致的，按照下列规定修正：</w:t>
      </w:r>
    </w:p>
    <w:p w14:paraId="70732C3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（1）响应文件中报价表内容与响应文件中相应内容不一致的，以报价表为准；</w:t>
      </w:r>
    </w:p>
    <w:p w14:paraId="4E55419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（2）大写金额和小写金额不一致的，以大写金额为准；</w:t>
      </w:r>
    </w:p>
    <w:p w14:paraId="23CB438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（3）单价金额小数点或者百分比有明显错位的，以报价表的总价为准，并修改单价；</w:t>
      </w:r>
    </w:p>
    <w:p w14:paraId="756D3B2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（4）总价金额与按单价汇总金额不一致的，以单价金额计算结果为准。</w:t>
      </w:r>
    </w:p>
    <w:p w14:paraId="588FFF0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同时出现两种以上不一致的，按照以上（1）-（4）规定的顺序逐条进行修正。修正后的报价经供应商确认后产生约束力，供应商不确认的，其响应文件按无效响应处理。</w:t>
      </w:r>
    </w:p>
    <w:p w14:paraId="690F4D4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2.5商务技术报价评审</w:t>
      </w:r>
    </w:p>
    <w:p w14:paraId="3190963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在评审时，如发现下列情形之一的，将被视为响应文件无效响应处理：</w:t>
      </w:r>
    </w:p>
    <w:p w14:paraId="5843FDC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（1）商务服务评审</w:t>
      </w:r>
    </w:p>
    <w:p w14:paraId="3B268C9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1）响应文件未按磋商文件要求签署、盖章；</w:t>
      </w:r>
    </w:p>
    <w:p w14:paraId="74A9B26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2）委托代理人未能出具有效身份证或者出具的身份证与授权委托书中的信息不符的； </w:t>
      </w:r>
    </w:p>
    <w:p w14:paraId="7E14AA2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3）提交的磋商保证金无效的或者未按照磋商文件的规定提交磋商保证金；</w:t>
      </w:r>
    </w:p>
    <w:p w14:paraId="602A54E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4）响应文件中的报价商务服务文件出现任一项不符合“供应商须知前附表”中“必须提供”或者“委托时必须提供”文件资料要求的规定或者提供的报价商务服务文件无效。</w:t>
      </w:r>
    </w:p>
    <w:p w14:paraId="11F6D72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5）商务条款中标“▲”的条款发生负偏离或者允许负偏离的条款数超过“供应商须知前附表”规定项数的；</w:t>
      </w:r>
    </w:p>
    <w:p w14:paraId="671AD66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6）未对竞争性磋商有效期作出响应或者响应文件承诺的竞争性磋商有效期不满足磋商文件要求；</w:t>
      </w:r>
    </w:p>
    <w:p w14:paraId="0149894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7）响应文件的实质性内容未使用中文表述、使用计量单位不符合磋商文件要求；</w:t>
      </w:r>
    </w:p>
    <w:p w14:paraId="0F705BB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8）响应文件中的文件资料因填写不齐全或者内容虚假或者出现其他情形而导致被磋商小组认定无效；</w:t>
      </w:r>
    </w:p>
    <w:p w14:paraId="4BFE412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9）响应文件含有采购人不能接受的附加条件；</w:t>
      </w:r>
    </w:p>
    <w:p w14:paraId="5C58A0C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10）属于“供应商须知正文”第7.5条情形；</w:t>
      </w:r>
    </w:p>
    <w:p w14:paraId="31F0157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11）技术要求中标“▲”的条款发生负偏离或允许负偏离的条款数超过“供应商须知前附表”规定项数的；</w:t>
      </w:r>
    </w:p>
    <w:p w14:paraId="1416C70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12）虚假响应，或者出现其他情形而导致被磋商小组认定无效；</w:t>
      </w:r>
    </w:p>
    <w:p w14:paraId="2500D72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w:t>
      </w:r>
      <w:bookmarkStart w:id="33" w:name="_Hlk71704147"/>
      <w:r>
        <w:rPr>
          <w:rFonts w:hint="eastAsia" w:asciiTheme="minorEastAsia" w:hAnsiTheme="minorEastAsia" w:eastAsiaTheme="minorEastAsia" w:cstheme="minorEastAsia"/>
          <w:color w:val="auto"/>
          <w:sz w:val="24"/>
          <w:highlight w:val="none"/>
        </w:rPr>
        <w:t>磋商文件未载明允许提供备选（替代）响应方案或明确不允许提供备选（替代）响应方案时，供应商提供了备选（替代）响应方案的；</w:t>
      </w:r>
      <w:bookmarkEnd w:id="33"/>
    </w:p>
    <w:p w14:paraId="7B0AE0F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14）响应文件标注的项目名称或者项目编号与磋商文件标注的项目名称或者项目编号不一致的；</w:t>
      </w:r>
    </w:p>
    <w:p w14:paraId="153D5C9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15）竞争性磋商文件明确不允许分包，响应文件拟分包的；</w:t>
      </w:r>
    </w:p>
    <w:p w14:paraId="381130B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16）未响应磋商文件实质性要求；</w:t>
      </w:r>
    </w:p>
    <w:p w14:paraId="24E7C50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17）法律、法规和磋商文件规定的其他无效情形。</w:t>
      </w:r>
    </w:p>
    <w:p w14:paraId="167F834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（2）报价评审</w:t>
      </w:r>
    </w:p>
    <w:p w14:paraId="534B67A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1）响应文件未提供“供应商须知前附表” 报价商务服务文件中规定的“竞争性磋商报价表”；</w:t>
      </w:r>
    </w:p>
    <w:p w14:paraId="1B6BB7B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2）未采用人民币报价或者未按照磋商文件标明的币种报价；</w:t>
      </w:r>
    </w:p>
    <w:p w14:paraId="7333093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未就所参与竞争性磋商分标进行报价或者存在漏项报价；供应商未就所参与竞争性磋商分标的单项内容作唯一报价；供应商未就所参与竞争性磋商分标的全部内容作完整唯一总价报价；供应商响应文件中存在有选择、有条件报价的（磋商文件允许有备选方案或者其他约定的除外）；</w:t>
      </w:r>
    </w:p>
    <w:p w14:paraId="79E3FED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4）竞争性磋商报价（包含首次报价、最后报价）超过所参与竞争性磋商分标规定的采购预算金额或者最高限价的（如本项目公布了最高限价），其响应文件将按无效响应处理；</w:t>
      </w:r>
    </w:p>
    <w:p w14:paraId="7008F45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5）竞争性磋商报价（包含首次报价、最后报价）超过分项采购预算金额或者最高限价的（如本项目公布了最高限价），其响应文件将按无效处理；</w:t>
      </w:r>
    </w:p>
    <w:p w14:paraId="651818F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6）修正后的报价，供应商不确认的；或者经供应商确认修正后的最后报价超过所 竞争性磋商分标规定的采购预算金额或者最高限价（如本项目公布了最高限价）；</w:t>
      </w:r>
    </w:p>
    <w:p w14:paraId="6D49912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7）响应文件响应的标的数量及单位与竞争性磋商采购文件要求实质性不一致的。</w:t>
      </w:r>
    </w:p>
    <w:p w14:paraId="0D99963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2.6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62CC3B3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2.7非政府购买服务项目，通过符合性审查的合格供应商不足3家的，不得进入磋商环节，采购人或者采购代理机构应当重新开展采购活动。</w:t>
      </w:r>
      <w:r>
        <w:rPr>
          <w:rFonts w:hint="eastAsia" w:asciiTheme="minorEastAsia" w:hAnsiTheme="minorEastAsia" w:eastAsiaTheme="minorEastAsia" w:cstheme="minorEastAsia"/>
          <w:b/>
          <w:color w:val="auto"/>
          <w:sz w:val="24"/>
          <w:highlight w:val="none"/>
        </w:rPr>
        <w:t>政府购买服务项目，按《财政部关于政府采购竞争性磋商采购方式管理暂行办法有关问题的补充通知》（财库〔2015〕124号）规定，采购过程中通过符合性审查的供应商（社会资本）只有2家的，磋商采购活动可以继续进行。</w:t>
      </w:r>
    </w:p>
    <w:p w14:paraId="61E3D82C">
      <w:pPr>
        <w:spacing w:line="360" w:lineRule="auto"/>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3.磋商程序</w:t>
      </w:r>
    </w:p>
    <w:p w14:paraId="6AF35EB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3.1磋商小组按照“供应商须知前附表”</w:t>
      </w: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kern w:val="0"/>
          <w:sz w:val="24"/>
          <w:highlight w:val="none"/>
        </w:rPr>
        <w:t>确定的</w:t>
      </w:r>
      <w:r>
        <w:rPr>
          <w:rFonts w:hint="eastAsia" w:asciiTheme="minorEastAsia" w:hAnsiTheme="minorEastAsia" w:eastAsiaTheme="minorEastAsia" w:cstheme="minorEastAsia"/>
          <w:color w:val="auto"/>
          <w:sz w:val="24"/>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0F806F3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6206DE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3.3对磋商文件作出的实质性变动是磋商文件的有效组成部分，由磋商小组及时以电子磋商记录形式同时通知所有参加磋商的供应商。</w:t>
      </w:r>
    </w:p>
    <w:p w14:paraId="59F46F4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18423FF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3.5磋商中，</w:t>
      </w:r>
      <w:r>
        <w:rPr>
          <w:rFonts w:hint="eastAsia" w:asciiTheme="minorEastAsia" w:hAnsiTheme="minorEastAsia" w:eastAsiaTheme="minorEastAsia" w:cstheme="minorEastAsia"/>
          <w:color w:val="auto"/>
          <w:spacing w:val="-6"/>
          <w:sz w:val="24"/>
          <w:highlight w:val="none"/>
        </w:rPr>
        <w:t>磋商的任何一方不得透露与磋商有关的其他供应商的技术资料、价格和其他信息。</w:t>
      </w:r>
    </w:p>
    <w:p w14:paraId="1BB4744B">
      <w:pPr>
        <w:tabs>
          <w:tab w:val="left" w:pos="2835"/>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3.6对磋商过程提交的响应文件进行有效性、完整性和响应程度审查，通过审查的合格供应商不足3家的，采购人或者采购代理机构应当重新开展采购活动。</w:t>
      </w:r>
    </w:p>
    <w:p w14:paraId="0B1F0DD3">
      <w:pPr>
        <w:widowControl/>
        <w:tabs>
          <w:tab w:val="left" w:pos="54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w:t>
      </w:r>
    </w:p>
    <w:p w14:paraId="0E8C1D6C">
      <w:pPr>
        <w:widowControl/>
        <w:tabs>
          <w:tab w:val="left" w:pos="540"/>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采购过程中符合要求的供应商（社会资本）只有1家的，采购人（项目实施机构）或者采购代理机构应当终止竞争性磋商采购活动，发布项目终止公告并说明原因，重新开展采购活动。</w:t>
      </w:r>
    </w:p>
    <w:p w14:paraId="321919EA">
      <w:pPr>
        <w:spacing w:line="360" w:lineRule="auto"/>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4.最后报价</w:t>
      </w:r>
    </w:p>
    <w:p w14:paraId="488B1AB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4.1磋商文件能够详细列明技术、服务要求的，磋商结束后，由磋商小组要求所有继续参加磋商的供应商在规定时间内以电子文件形式提交最后报价，</w:t>
      </w:r>
      <w:r>
        <w:rPr>
          <w:rFonts w:hint="eastAsia" w:asciiTheme="minorEastAsia" w:hAnsiTheme="minorEastAsia" w:eastAsiaTheme="minorEastAsia" w:cstheme="minorEastAsia"/>
          <w:b/>
          <w:color w:val="auto"/>
          <w:sz w:val="24"/>
          <w:highlight w:val="none"/>
        </w:rPr>
        <w:t>除本章第2.7、3.7、4.3条外，提交最后报价的供应商不得少于3家，否则必须重新采购。</w:t>
      </w:r>
    </w:p>
    <w:p w14:paraId="1769B3E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4.2磋商文件不能详细列明技术、服务要求，需经磋商由供应商提供最后设计方案或者解决方案的，磋商结束后，由磋商小组按照少数服从多数的原则投票推荐3家以上供应商的设计方案或者解决方案，并要求其在规定时间内以电子文件形式提交最后报价。</w:t>
      </w:r>
    </w:p>
    <w:p w14:paraId="2626338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4.3最后报价是供应商响应文件的有效组成部分。</w:t>
      </w:r>
      <w:r>
        <w:rPr>
          <w:rFonts w:hint="eastAsia" w:asciiTheme="minorEastAsia" w:hAnsiTheme="minorEastAsia" w:eastAsiaTheme="minorEastAsia" w:cstheme="minorEastAsia"/>
          <w:b/>
          <w:color w:val="auto"/>
          <w:sz w:val="24"/>
          <w:highlight w:val="none"/>
        </w:rPr>
        <w:t>符合《政府采购竞争性磋商采购方式管理暂行办法》（财库〔2014〕214号）第三条第四项“市场竞争不充分的科研项目，以及需要扶持的科技成果转化项目”和本章第3.7条情形的，提交最后报价的供应商可以为2家。</w:t>
      </w:r>
    </w:p>
    <w:p w14:paraId="0196335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43A1F132">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4.5供应商未在规定时间内提交最后报价的，视同退出磋商。</w:t>
      </w:r>
    </w:p>
    <w:p w14:paraId="3923D05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4.6磋商小组收齐某一分标最后报价后或达到规定时间后统一开启，磋商小组对最后报价进行有效性、完整性和响应程度的审查。</w:t>
      </w:r>
    </w:p>
    <w:p w14:paraId="68B04A9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4.7响应文件最后报价出现前后不一致的，按照本章第2.4条的规定修正。 </w:t>
      </w:r>
    </w:p>
    <w:p w14:paraId="390DEB5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4.8经供应商确认修正后的最后报价作为评审及签订合同的依据。</w:t>
      </w:r>
    </w:p>
    <w:p w14:paraId="7CAE2185">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4.9供应商出现最后报价按无效响应处理或者响应文件按无效响应处理时，磋商小组应当告知有关供应商。</w:t>
      </w:r>
    </w:p>
    <w:p w14:paraId="7C48970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4.10最后报价结束后，磋商小组不得再与供应商进行任何形式的商谈。</w:t>
      </w:r>
    </w:p>
    <w:p w14:paraId="6791778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4.11政府采购异常低价审查</w:t>
      </w:r>
    </w:p>
    <w:p w14:paraId="42815C2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（一）政府采购评审中出现下列情形之一的，谈判小组应当启动异常低价响应审查程序：</w:t>
      </w:r>
    </w:p>
    <w:p w14:paraId="6AEAD93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1)最后报价低于全部通过符合性审查供应商投标最后报价平均值65%的，即最后报价＜全部通过符合性审查供应商最后报价平均值×65%；</w:t>
      </w:r>
    </w:p>
    <w:p w14:paraId="7C960B9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2）最后报价低于通过符合性审查的次低报价供应商最后报价65%的，即最后报价＜通过符合性审查的次低报价供应商投标最后报价×65%；</w:t>
      </w:r>
    </w:p>
    <w:p w14:paraId="72BE8A0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3）最后报价低于采购项目最高限价65%的，即最后报价＜采购项目最高限价×65%；</w:t>
      </w:r>
    </w:p>
    <w:p w14:paraId="74DB91C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4）谈判小组基于专业判断，认为供应商报价过低，有可能影响产品质量或者不能诚信履约的其他情形。</w:t>
      </w:r>
    </w:p>
    <w:p w14:paraId="5A4C7EA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谈判小组启动异常低价响应审查后，属于前述第1项至第4项情形的，应当要求相关供应商在评审现场合理的时间内对最后报价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48257F55">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最后报价应当将其作为无效响应处理。</w:t>
      </w:r>
    </w:p>
    <w:p w14:paraId="38EBE241">
      <w:pPr>
        <w:spacing w:line="360" w:lineRule="auto"/>
        <w:ind w:firstLine="482"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5.比较与评价</w:t>
      </w:r>
    </w:p>
    <w:p w14:paraId="030563A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5.1评审方法：综合评分法。</w:t>
      </w:r>
    </w:p>
    <w:p w14:paraId="7DEF446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5.2经磋商确定最终采购需求和提交最后报价的供应商后，由磋商小组采用综合评分法对提交最后报价的供应商的响应文件和最后报价进行综合评分。</w:t>
      </w:r>
    </w:p>
    <w:p w14:paraId="0F8A964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5.3评审时，磋商小组各成员应当独立对每个有效响应的文件进行评价、打分，然后汇总每个供应商每项评分因素的得分。</w:t>
      </w:r>
    </w:p>
    <w:p w14:paraId="56CDDF9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（1）磋商小组按照磋商文件中规定的评审标准计算各供应商的报价得分。项目评审过程中，不得去掉最后报价中的最高报价和最低报价。</w:t>
      </w:r>
    </w:p>
    <w:p w14:paraId="52E10E7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（2）各供应商的得分为磋商小组所有成员的有效评分的算术平均数。</w:t>
      </w:r>
    </w:p>
    <w:p w14:paraId="6BA5C13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5.4评标价为供应商的最后报价进行政策性扣除后的价格，评标价只是作为评审时使用。最终成交供应商的成交金额等于最后报价（如有修正，以确认修正后的最后报价为准）。</w:t>
      </w:r>
    </w:p>
    <w:p w14:paraId="153056AF">
      <w:pPr>
        <w:spacing w:line="360" w:lineRule="auto"/>
        <w:ind w:firstLine="480" w:firstLine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highlight w:val="none"/>
        </w:rPr>
        <w:t>5.5由磋商小组根据综合评分情况，按照评审得分由高到低顺序推荐3名以上成交候选供应商，并编写评</w:t>
      </w:r>
      <w:r>
        <w:rPr>
          <w:rFonts w:hint="eastAsia" w:asciiTheme="minorEastAsia" w:hAnsiTheme="minorEastAsia" w:eastAsiaTheme="minorEastAsia" w:cstheme="minorEastAsia"/>
          <w:color w:val="auto"/>
          <w:kern w:val="0"/>
          <w:sz w:val="24"/>
          <w:highlight w:val="none"/>
        </w:rPr>
        <w:t>审报告。</w:t>
      </w:r>
      <w:r>
        <w:rPr>
          <w:rFonts w:hint="eastAsia" w:asciiTheme="minorEastAsia" w:hAnsiTheme="minorEastAsia" w:eastAsiaTheme="minorEastAsia" w:cstheme="minorEastAsia"/>
          <w:b/>
          <w:color w:val="auto"/>
          <w:kern w:val="0"/>
          <w:sz w:val="24"/>
          <w:highlight w:val="none"/>
        </w:rPr>
        <w:t>符合本章第</w:t>
      </w:r>
      <w:r>
        <w:rPr>
          <w:rFonts w:hint="eastAsia" w:asciiTheme="minorEastAsia" w:hAnsiTheme="minorEastAsia" w:eastAsiaTheme="minorEastAsia" w:cstheme="minorEastAsia"/>
          <w:b/>
          <w:color w:val="auto"/>
          <w:sz w:val="24"/>
          <w:highlight w:val="none"/>
        </w:rPr>
        <w:t>2.7、3.7、4.3</w:t>
      </w:r>
      <w:r>
        <w:rPr>
          <w:rFonts w:hint="eastAsia" w:asciiTheme="minorEastAsia" w:hAnsiTheme="minorEastAsia" w:eastAsiaTheme="minorEastAsia" w:cstheme="minorEastAsia"/>
          <w:b/>
          <w:color w:val="auto"/>
          <w:kern w:val="0"/>
          <w:sz w:val="24"/>
          <w:highlight w:val="none"/>
        </w:rPr>
        <w:t>条情形的，可以推荐2家成交候选供应商。</w:t>
      </w:r>
      <w:r>
        <w:rPr>
          <w:rFonts w:hint="eastAsia" w:asciiTheme="minorEastAsia" w:hAnsiTheme="minorEastAsia" w:eastAsiaTheme="minorEastAsia" w:cstheme="minorEastAsia"/>
          <w:color w:val="auto"/>
          <w:kern w:val="0"/>
          <w:sz w:val="24"/>
          <w:highlight w:val="none"/>
        </w:rPr>
        <w:t>评审得分相同的，按照最后报价由低到高的顺序推荐。评审得分且最后报价相同的，</w:t>
      </w:r>
      <w:r>
        <w:rPr>
          <w:rFonts w:hint="eastAsia" w:asciiTheme="minorEastAsia" w:hAnsiTheme="minorEastAsia" w:eastAsiaTheme="minorEastAsia" w:cstheme="minorEastAsia"/>
          <w:color w:val="auto"/>
          <w:sz w:val="24"/>
          <w:highlight w:val="none"/>
        </w:rPr>
        <w:t>依次按服务评分高的优先、商务评分高的优先的顺序确定成交候选供应商。</w:t>
      </w:r>
    </w:p>
    <w:p w14:paraId="7C6CB6D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F4D2BCE">
      <w:pPr>
        <w:spacing w:line="360" w:lineRule="auto"/>
        <w:jc w:val="center"/>
        <w:outlineLvl w:val="1"/>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32"/>
          <w:szCs w:val="32"/>
          <w:highlight w:val="none"/>
        </w:rPr>
        <w:t>二、评审标准</w:t>
      </w:r>
    </w:p>
    <w:p w14:paraId="4C0C95A3">
      <w:pPr>
        <w:spacing w:line="360" w:lineRule="auto"/>
        <w:ind w:firstLine="480" w:firstLineChars="2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评审依据：磋商小组将以磋商响应文件为评审依据，对供应商的报价、商务、服务要求等方面内容按百分制打分。（计分方法按四舍五入取至百分位）</w:t>
      </w:r>
    </w:p>
    <w:tbl>
      <w:tblPr>
        <w:tblStyle w:val="31"/>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418"/>
        <w:gridCol w:w="992"/>
        <w:gridCol w:w="6606"/>
      </w:tblGrid>
      <w:tr w14:paraId="3298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D017965">
            <w:pPr>
              <w:adjustRightInd w:val="0"/>
              <w:spacing w:line="400" w:lineRule="exact"/>
              <w:jc w:val="center"/>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FC4A9EA">
            <w:pPr>
              <w:adjustRightInd w:val="0"/>
              <w:spacing w:line="400" w:lineRule="exact"/>
              <w:jc w:val="center"/>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评审因素</w:t>
            </w:r>
          </w:p>
        </w:tc>
        <w:tc>
          <w:tcPr>
            <w:tcW w:w="992" w:type="dxa"/>
            <w:tcBorders>
              <w:top w:val="single" w:color="auto" w:sz="4" w:space="0"/>
              <w:left w:val="single" w:color="auto" w:sz="4" w:space="0"/>
              <w:bottom w:val="single" w:color="auto" w:sz="4" w:space="0"/>
              <w:right w:val="single" w:color="auto" w:sz="4" w:space="0"/>
            </w:tcBorders>
            <w:vAlign w:val="center"/>
          </w:tcPr>
          <w:p w14:paraId="6EC01A15">
            <w:pPr>
              <w:adjustRightInd w:val="0"/>
              <w:spacing w:line="400" w:lineRule="exact"/>
              <w:jc w:val="center"/>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分值</w:t>
            </w:r>
          </w:p>
        </w:tc>
        <w:tc>
          <w:tcPr>
            <w:tcW w:w="6606" w:type="dxa"/>
            <w:tcBorders>
              <w:top w:val="single" w:color="auto" w:sz="4" w:space="0"/>
              <w:left w:val="single" w:color="auto" w:sz="4" w:space="0"/>
              <w:bottom w:val="single" w:color="auto" w:sz="4" w:space="0"/>
              <w:right w:val="single" w:color="auto" w:sz="4" w:space="0"/>
            </w:tcBorders>
            <w:vAlign w:val="center"/>
          </w:tcPr>
          <w:p w14:paraId="539D28F8">
            <w:pPr>
              <w:pStyle w:val="17"/>
              <w:spacing w:line="400" w:lineRule="exact"/>
              <w:jc w:val="center"/>
              <w:rPr>
                <w:rFonts w:hint="eastAsia" w:asciiTheme="minorEastAsia" w:hAnsiTheme="minorEastAsia" w:eastAsiaTheme="minorEastAsia" w:cstheme="minorEastAsia"/>
                <w:b/>
                <w:bCs/>
                <w:color w:val="auto"/>
                <w:kern w:val="2"/>
                <w:sz w:val="24"/>
                <w:szCs w:val="24"/>
                <w:highlight w:val="none"/>
              </w:rPr>
            </w:pPr>
            <w:r>
              <w:rPr>
                <w:rFonts w:hint="eastAsia" w:asciiTheme="minorEastAsia" w:hAnsiTheme="minorEastAsia" w:eastAsiaTheme="minorEastAsia" w:cstheme="minorEastAsia"/>
                <w:b/>
                <w:bCs/>
                <w:color w:val="auto"/>
                <w:kern w:val="2"/>
                <w:sz w:val="24"/>
                <w:szCs w:val="24"/>
                <w:highlight w:val="none"/>
              </w:rPr>
              <w:t>评分标准</w:t>
            </w:r>
          </w:p>
        </w:tc>
      </w:tr>
      <w:tr w14:paraId="556B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7FE1CCE">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1</w:t>
            </w:r>
          </w:p>
        </w:tc>
        <w:tc>
          <w:tcPr>
            <w:tcW w:w="1418" w:type="dxa"/>
            <w:tcBorders>
              <w:top w:val="single" w:color="auto" w:sz="4" w:space="0"/>
              <w:left w:val="single" w:color="auto" w:sz="4" w:space="0"/>
              <w:bottom w:val="single" w:color="auto" w:sz="4" w:space="0"/>
              <w:right w:val="single" w:color="auto" w:sz="4" w:space="0"/>
            </w:tcBorders>
            <w:vAlign w:val="center"/>
          </w:tcPr>
          <w:p w14:paraId="14DC9596">
            <w:pPr>
              <w:adjustRightInd w:val="0"/>
              <w:spacing w:line="400" w:lineRule="exact"/>
              <w:jc w:val="center"/>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价格分</w:t>
            </w:r>
          </w:p>
          <w:p w14:paraId="1F35D641">
            <w:pPr>
              <w:adjustRightInd w:val="0"/>
              <w:spacing w:line="400" w:lineRule="exact"/>
              <w:jc w:val="center"/>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（满分</w:t>
            </w:r>
            <w:r>
              <w:rPr>
                <w:rFonts w:hint="eastAsia" w:asciiTheme="minorEastAsia" w:hAnsiTheme="minorEastAsia" w:eastAsiaTheme="minorEastAsia" w:cstheme="minorEastAsia"/>
                <w:b/>
                <w:bCs/>
                <w:color w:val="auto"/>
                <w:sz w:val="24"/>
                <w:highlight w:val="none"/>
                <w:u w:val="single"/>
              </w:rPr>
              <w:t>20</w:t>
            </w:r>
            <w:r>
              <w:rPr>
                <w:rFonts w:hint="eastAsia" w:asciiTheme="minorEastAsia" w:hAnsiTheme="minorEastAsia" w:eastAsiaTheme="minorEastAsia" w:cstheme="minorEastAsia"/>
                <w:b/>
                <w:bCs/>
                <w:color w:val="auto"/>
                <w:sz w:val="24"/>
                <w:highlight w:val="none"/>
              </w:rPr>
              <w:t>分）</w:t>
            </w:r>
          </w:p>
          <w:p w14:paraId="0EB28126">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129E1254">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
                <w:bCs/>
                <w:color w:val="auto"/>
                <w:sz w:val="24"/>
                <w:highlight w:val="none"/>
              </w:rPr>
              <w:t>报价（满分20分）</w:t>
            </w:r>
          </w:p>
        </w:tc>
        <w:tc>
          <w:tcPr>
            <w:tcW w:w="6606" w:type="dxa"/>
            <w:tcBorders>
              <w:top w:val="single" w:color="auto" w:sz="4" w:space="0"/>
              <w:left w:val="single" w:color="auto" w:sz="4" w:space="0"/>
              <w:bottom w:val="single" w:color="auto" w:sz="4" w:space="0"/>
              <w:right w:val="single" w:color="auto" w:sz="4" w:space="0"/>
            </w:tcBorders>
            <w:vAlign w:val="center"/>
          </w:tcPr>
          <w:p w14:paraId="2A611D90">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1.评审报价为供应商的最后报价进行政策性扣除后的价格，评审报</w:t>
            </w:r>
            <w:r>
              <w:rPr>
                <w:rFonts w:hint="eastAsia" w:asciiTheme="minorEastAsia" w:hAnsiTheme="minorEastAsia" w:eastAsiaTheme="minorEastAsia" w:cstheme="minorEastAsia"/>
                <w:bCs/>
                <w:color w:val="auto"/>
                <w:sz w:val="24"/>
                <w:highlight w:val="none"/>
              </w:rPr>
              <w:t>价只是作为评审时使用。最终成交供应商的成交金额等于最后报价（如有修正，以确认修正后的最后报价为准）。</w:t>
            </w:r>
          </w:p>
          <w:p w14:paraId="11485152">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2.政府采购政策性扣除计算方法</w:t>
            </w:r>
          </w:p>
          <w:p w14:paraId="25BF1957">
            <w:pPr>
              <w:spacing w:line="400" w:lineRule="exact"/>
              <w:rPr>
                <w:rFonts w:hint="default" w:asciiTheme="minorEastAsia" w:hAnsiTheme="minorEastAsia" w:eastAsiaTheme="minorEastAsia" w:cstheme="minorEastAsia"/>
                <w:bCs/>
                <w:color w:val="auto"/>
                <w:sz w:val="24"/>
                <w:highlight w:val="none"/>
                <w:lang w:val="en-US" w:eastAsia="zh-CN"/>
              </w:rPr>
            </w:pPr>
            <w:r>
              <w:rPr>
                <w:rFonts w:hint="eastAsia" w:asciiTheme="minorEastAsia" w:hAnsiTheme="minorEastAsia" w:eastAsiaTheme="minorEastAsia" w:cstheme="minorEastAsia"/>
                <w:bCs/>
                <w:color w:val="auto"/>
                <w:sz w:val="24"/>
                <w:highlight w:val="none"/>
                <w:lang w:val="en-US" w:eastAsia="zh-CN"/>
              </w:rPr>
              <w:t>本项目已专门面向中小微企业，不再进行价格的</w:t>
            </w:r>
            <w:r>
              <w:rPr>
                <w:rFonts w:hint="eastAsia" w:asciiTheme="minorEastAsia" w:hAnsiTheme="minorEastAsia" w:eastAsiaTheme="minorEastAsia" w:cstheme="minorEastAsia"/>
                <w:bCs/>
                <w:color w:val="auto"/>
                <w:sz w:val="24"/>
                <w:highlight w:val="none"/>
              </w:rPr>
              <w:t>政策性扣除</w:t>
            </w:r>
            <w:r>
              <w:rPr>
                <w:rFonts w:hint="eastAsia" w:asciiTheme="minorEastAsia" w:hAnsiTheme="minorEastAsia" w:eastAsiaTheme="minorEastAsia" w:cstheme="minorEastAsia"/>
                <w:bCs/>
                <w:color w:val="auto"/>
                <w:sz w:val="24"/>
                <w:highlight w:val="none"/>
                <w:lang w:val="en-US" w:eastAsia="zh-CN"/>
              </w:rPr>
              <w:t>。</w:t>
            </w:r>
          </w:p>
          <w:p w14:paraId="2F1E5DD3">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（5）除上述情况外，评审报价＝最后报价。</w:t>
            </w:r>
          </w:p>
          <w:p w14:paraId="2C580261">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（6）以进入比较与评价环节的最高的优惠率报价为基准价，基准价得分为20分。</w:t>
            </w:r>
          </w:p>
          <w:p w14:paraId="20C03B47">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（7）价格分计算公式：</w:t>
            </w:r>
          </w:p>
          <w:p w14:paraId="69A99E2F">
            <w:pPr>
              <w:spacing w:line="400" w:lineRule="exact"/>
              <w:rPr>
                <w:rFonts w:hint="eastAsia"/>
                <w:color w:val="auto"/>
                <w:highlight w:val="none"/>
              </w:rPr>
            </w:pPr>
            <w:r>
              <w:rPr>
                <w:rFonts w:hint="eastAsia" w:asciiTheme="minorEastAsia" w:hAnsiTheme="minorEastAsia" w:eastAsiaTheme="minorEastAsia" w:cstheme="minorEastAsia"/>
                <w:bCs/>
                <w:color w:val="auto"/>
                <w:sz w:val="24"/>
                <w:highlight w:val="none"/>
              </w:rPr>
              <w:t>某供应商的报价得分=（1-基准价）/（1-最后报价）×20分</w:t>
            </w:r>
          </w:p>
        </w:tc>
      </w:tr>
      <w:tr w14:paraId="147B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restart"/>
            <w:tcBorders>
              <w:top w:val="single" w:color="auto" w:sz="4" w:space="0"/>
              <w:left w:val="single" w:color="auto" w:sz="4" w:space="0"/>
              <w:right w:val="single" w:color="auto" w:sz="4" w:space="0"/>
            </w:tcBorders>
            <w:vAlign w:val="center"/>
          </w:tcPr>
          <w:p w14:paraId="3DA2D6E7">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w:t>
            </w:r>
          </w:p>
        </w:tc>
        <w:tc>
          <w:tcPr>
            <w:tcW w:w="1418" w:type="dxa"/>
            <w:vMerge w:val="restart"/>
            <w:tcBorders>
              <w:top w:val="single" w:color="auto" w:sz="4" w:space="0"/>
              <w:left w:val="single" w:color="auto" w:sz="4" w:space="0"/>
              <w:right w:val="single" w:color="auto" w:sz="4" w:space="0"/>
            </w:tcBorders>
            <w:vAlign w:val="center"/>
          </w:tcPr>
          <w:p w14:paraId="348A78A0">
            <w:pPr>
              <w:adjustRightInd w:val="0"/>
              <w:spacing w:line="400" w:lineRule="exact"/>
              <w:jc w:val="center"/>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技术分</w:t>
            </w:r>
          </w:p>
          <w:p w14:paraId="3341D082">
            <w:pPr>
              <w:adjustRightInd w:val="0"/>
              <w:spacing w:line="400" w:lineRule="exact"/>
              <w:jc w:val="center"/>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（满分</w:t>
            </w:r>
            <w:r>
              <w:rPr>
                <w:rFonts w:hint="eastAsia" w:asciiTheme="minorEastAsia" w:hAnsiTheme="minorEastAsia" w:eastAsiaTheme="minorEastAsia" w:cstheme="minorEastAsia"/>
                <w:b/>
                <w:bCs/>
                <w:color w:val="auto"/>
                <w:sz w:val="24"/>
                <w:highlight w:val="none"/>
                <w:u w:val="single"/>
              </w:rPr>
              <w:t>55</w:t>
            </w:r>
            <w:r>
              <w:rPr>
                <w:rFonts w:hint="eastAsia" w:asciiTheme="minorEastAsia" w:hAnsiTheme="minorEastAsia" w:eastAsiaTheme="minorEastAsia" w:cstheme="minorEastAsia"/>
                <w:b/>
                <w:bCs/>
                <w:color w:val="auto"/>
                <w:sz w:val="24"/>
                <w:highlight w:val="none"/>
              </w:rPr>
              <w:t>分）</w:t>
            </w:r>
          </w:p>
        </w:tc>
        <w:tc>
          <w:tcPr>
            <w:tcW w:w="992" w:type="dxa"/>
            <w:tcBorders>
              <w:top w:val="single" w:color="auto" w:sz="4" w:space="0"/>
              <w:left w:val="single" w:color="auto" w:sz="4" w:space="0"/>
              <w:bottom w:val="single" w:color="auto" w:sz="4" w:space="0"/>
              <w:right w:val="single" w:color="auto" w:sz="4" w:space="0"/>
            </w:tcBorders>
            <w:vAlign w:val="center"/>
          </w:tcPr>
          <w:p w14:paraId="5FF36194">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2.1配送服务及应急方案（满分20分）</w:t>
            </w:r>
          </w:p>
        </w:tc>
        <w:tc>
          <w:tcPr>
            <w:tcW w:w="6606" w:type="dxa"/>
            <w:tcBorders>
              <w:top w:val="single" w:color="auto" w:sz="4" w:space="0"/>
              <w:left w:val="single" w:color="auto" w:sz="4" w:space="0"/>
              <w:bottom w:val="single" w:color="auto" w:sz="4" w:space="0"/>
              <w:right w:val="single" w:color="auto" w:sz="4" w:space="0"/>
            </w:tcBorders>
            <w:vAlign w:val="center"/>
          </w:tcPr>
          <w:p w14:paraId="5DE3A704">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磋商小组根据供应商提供的服务方案中配送服务及应急方案内容独立定档评分，未提供服务方案或所提供的服务方案中未包含配送服务及应急方案内容或所提供的服务方案中配送服务及应急方案内容不满足以下任意一档要求的不得分。</w:t>
            </w:r>
          </w:p>
          <w:p w14:paraId="596D2AC4">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一档（4分）：供应商具备基本的营养品生产体系或存储能力，提供供货流程、配送计划，配送时间基本可行；管理制度、整体方案基本满足要求、描述仅作简单概括，未展开具体措施，基本保证配送服务的；对问题产品发生紧急事件处理预案内容内容仅作原则性说明，未涉及具体应对措施。</w:t>
            </w:r>
          </w:p>
          <w:p w14:paraId="39E139C7">
            <w:pPr>
              <w:spacing w:line="400" w:lineRule="exact"/>
              <w:rPr>
                <w:rFonts w:hint="eastAsia" w:asciiTheme="minorEastAsia" w:hAnsiTheme="minorEastAsia" w:eastAsiaTheme="minorEastAsia" w:cstheme="minorEastAsia"/>
                <w:bCs/>
                <w:color w:val="auto"/>
                <w:sz w:val="24"/>
                <w:highlight w:val="none"/>
                <w:lang w:eastAsia="zh-CN"/>
              </w:rPr>
            </w:pPr>
            <w:r>
              <w:rPr>
                <w:rFonts w:hint="eastAsia" w:asciiTheme="minorEastAsia" w:hAnsiTheme="minorEastAsia" w:eastAsiaTheme="minorEastAsia" w:cstheme="minorEastAsia"/>
                <w:bCs/>
                <w:color w:val="auto"/>
                <w:sz w:val="24"/>
                <w:highlight w:val="none"/>
              </w:rPr>
              <w:t>二档（8分）：项目生产或销售能力一般，供应商具备一定的营养品生产体系或存储能力，提供供货流程、配送计划，配送时间有一定可行；管理制度、整体方案方案勉强满足要求、描述有基本内容但缺乏具体实施细节，</w:t>
            </w:r>
            <w:r>
              <w:rPr>
                <w:rFonts w:hint="eastAsia" w:asciiTheme="minorEastAsia" w:hAnsiTheme="minorEastAsia" w:eastAsiaTheme="minorEastAsia" w:cstheme="minorEastAsia"/>
                <w:b w:val="0"/>
                <w:bCs w:val="0"/>
                <w:i w:val="0"/>
                <w:iCs w:val="0"/>
                <w:caps w:val="0"/>
                <w:color w:val="auto"/>
                <w:spacing w:val="0"/>
                <w:sz w:val="24"/>
                <w:szCs w:val="24"/>
                <w:highlight w:val="none"/>
                <w:shd w:val="clear" w:fill="FFFFFF"/>
              </w:rPr>
              <w:t>实施步骤和要求描述简要；能保证配送服务，对问题产品发生紧急事件处理预案内容有简要说明，但未形成完整预案</w:t>
            </w:r>
            <w:r>
              <w:rPr>
                <w:rFonts w:hint="eastAsia" w:asciiTheme="minorEastAsia" w:hAnsiTheme="minorEastAsia" w:eastAsiaTheme="minorEastAsia" w:cstheme="minorEastAsia"/>
                <w:b w:val="0"/>
                <w:bCs w:val="0"/>
                <w:i w:val="0"/>
                <w:iCs w:val="0"/>
                <w:caps w:val="0"/>
                <w:color w:val="auto"/>
                <w:spacing w:val="0"/>
                <w:sz w:val="24"/>
                <w:szCs w:val="24"/>
                <w:highlight w:val="none"/>
                <w:shd w:val="clear" w:fill="FFFFFF"/>
                <w:lang w:eastAsia="zh-CN"/>
              </w:rPr>
              <w:t>。</w:t>
            </w:r>
          </w:p>
          <w:p w14:paraId="42F24600">
            <w:pPr>
              <w:spacing w:line="400" w:lineRule="exact"/>
              <w:rPr>
                <w:rFonts w:hint="eastAsia" w:asciiTheme="minorEastAsia" w:hAnsiTheme="minorEastAsia" w:eastAsiaTheme="minorEastAsia" w:cstheme="minorEastAsia"/>
                <w:b w:val="0"/>
                <w:bCs w:val="0"/>
                <w:color w:val="auto"/>
                <w:sz w:val="24"/>
                <w:highlight w:val="none"/>
              </w:rPr>
            </w:pPr>
            <w:r>
              <w:rPr>
                <w:rFonts w:hint="eastAsia" w:asciiTheme="minorEastAsia" w:hAnsiTheme="minorEastAsia" w:eastAsiaTheme="minorEastAsia" w:cstheme="minorEastAsia"/>
                <w:bCs/>
                <w:color w:val="auto"/>
                <w:sz w:val="24"/>
                <w:highlight w:val="none"/>
              </w:rPr>
              <w:t>三档（12分）：</w:t>
            </w:r>
            <w:r>
              <w:rPr>
                <w:rFonts w:hint="eastAsia" w:asciiTheme="minorEastAsia" w:hAnsiTheme="minorEastAsia" w:eastAsiaTheme="minorEastAsia" w:cstheme="minorEastAsia"/>
                <w:b w:val="0"/>
                <w:bCs w:val="0"/>
                <w:i w:val="0"/>
                <w:iCs w:val="0"/>
                <w:caps w:val="0"/>
                <w:color w:val="auto"/>
                <w:spacing w:val="0"/>
                <w:sz w:val="24"/>
                <w:szCs w:val="24"/>
                <w:highlight w:val="none"/>
                <w:shd w:val="clear" w:fill="FFFFFF"/>
              </w:rPr>
              <w:t>项目生产或销售能力中，供应商具备较好的营养品生产体系或存储能力，提供供货流程、配送计划，配送时间较具体、可行；有较完善的管理制度、配送服务方案，描述较为具体，有明确的实施要点，实施步骤和要求描述较具体；在保证配送服务业务外有机动人员用于对紧急事件处理，对配送及应急处理响应满足要求，对问题产品发生紧急事件处理预案内容具体，能针对部分关键环节提出应对措施，有一定针对性。</w:t>
            </w:r>
          </w:p>
          <w:p w14:paraId="71099760">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四档（16分）：项目生产或销售能力良好，供应商具备良好的营养品生产体系或存储能力，配送工作体系健全较完善（包括但不限于供货流程、配送计划，配送时间具体、可行良好）；有完善的管理制度、配送服务方案，描述详细，实施步骤和要求描述详细。在保证配送服务业务外有机动人员用于对紧急事件处理，对配送及应急处理响应较快，对因不可抗力城市或单位封控管理提供解决配送方案；对问题产品发生紧急事件处理预案内容的具体，应急预案针对性较强。</w:t>
            </w:r>
          </w:p>
          <w:p w14:paraId="469AFEC6">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五档（20分）：项目生产或销售能力非常强，生产或销售存储面积宽裕，配送工作体系健全完善，配送供货时间安排合理，针对项目实际情况，能提供全面细致、可靠的管理制度、配送服务方案，描述详细，具体实施步骤和要求描述全面，可行性强，优于本项目需求。在保证配送服务业务外配备充裕机动人员用于对紧急事件处理，对配送及应急处理响应迅速，对因不可抗力城市或单位封控管理提供解决配送方案，证明有解决经验；对食材短缺情况、问题产品发生紧急事件处理预案内容的具体、全面，可行性高，方案针对性强，有重点，预案清晰且能根据具体情况做出全面细致方案且能保证采购货品充足、卫生安全等重要因素，切实符合采购人实际需求。</w:t>
            </w:r>
          </w:p>
        </w:tc>
      </w:tr>
      <w:tr w14:paraId="6FE6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5F6A869A">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1418" w:type="dxa"/>
            <w:vMerge w:val="continue"/>
            <w:tcBorders>
              <w:left w:val="single" w:color="auto" w:sz="4" w:space="0"/>
              <w:right w:val="single" w:color="auto" w:sz="4" w:space="0"/>
            </w:tcBorders>
            <w:vAlign w:val="center"/>
          </w:tcPr>
          <w:p w14:paraId="21B429AD">
            <w:pPr>
              <w:adjustRightInd w:val="0"/>
              <w:snapToGri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7C6CCC41">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2.2产品安全措施（满分20分）</w:t>
            </w:r>
          </w:p>
        </w:tc>
        <w:tc>
          <w:tcPr>
            <w:tcW w:w="6606" w:type="dxa"/>
            <w:tcBorders>
              <w:top w:val="single" w:color="auto" w:sz="4" w:space="0"/>
              <w:left w:val="single" w:color="auto" w:sz="4" w:space="0"/>
              <w:bottom w:val="single" w:color="auto" w:sz="4" w:space="0"/>
              <w:right w:val="single" w:color="auto" w:sz="4" w:space="0"/>
            </w:tcBorders>
            <w:vAlign w:val="center"/>
          </w:tcPr>
          <w:p w14:paraId="58F0DDCB">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磋商小组根据供应商提供的服务方案中产品安全措施内容独立定档评分，未提供服务方案或所提供的服务方案中未包含产品安全措施内容或所提供的服务方案中产品安全措施内容不满足以下任意一档要求的不得分。</w:t>
            </w:r>
          </w:p>
          <w:p w14:paraId="0A2AC8DA">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一档（4分）：对进货采购渠道、产品控制管理措施、产品质量标准、追溯方式这几个方面描述简单，检验措施不具体。</w:t>
            </w:r>
          </w:p>
          <w:p w14:paraId="502C8295">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一档（8分）：对进货采购渠道、产品控制管理措施、产品质量标准、追溯方式这几个方面描述较简单，检验措施简单；有一定的质量安全保证措施但不明显，无服务特点。</w:t>
            </w:r>
          </w:p>
          <w:p w14:paraId="35A81AA3">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三档（12分）：对进货采购渠道、产品控制管理措施、产品质量标准、追溯方式这几个方面描述较清晰、较具体，产品控制管理措施比较完善，质量安全保证措施有针对性，服务特点较明确，检验措施较具体全面。</w:t>
            </w:r>
          </w:p>
          <w:p w14:paraId="4B998703">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四档（16分）：对进货采购渠道、产品控制管理措施、产品质量标准、追溯方式这几个方面描述清晰，详细，产品控制管理措施完善，质量安全保证措施比较有针对性和服务特点，方案较完整、具体，检验措施详细、全面。</w:t>
            </w:r>
          </w:p>
          <w:p w14:paraId="2CC30C7A">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五档（20分）：对进货采购渠道、产品控制管理措施、产品质量标准、追溯方式这几个方面描述详细、完善。产品安全追溯能力强，可从原材料来源可追溯，形成一套可记录、可查询溯源的能力。质量安全保证措施有针对性和服务特点，方案完整、清晰、具体、科学、合理、可行，检验措施详细、全面，各项措施安排合理，可操作性强，能严格进行产品质量把关，切实符合采购人实际需求。</w:t>
            </w:r>
          </w:p>
        </w:tc>
      </w:tr>
      <w:tr w14:paraId="7CFA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bottom w:val="single" w:color="auto" w:sz="4" w:space="0"/>
              <w:right w:val="single" w:color="auto" w:sz="4" w:space="0"/>
            </w:tcBorders>
            <w:vAlign w:val="center"/>
          </w:tcPr>
          <w:p w14:paraId="5DD620A9">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1418" w:type="dxa"/>
            <w:vMerge w:val="continue"/>
            <w:tcBorders>
              <w:left w:val="single" w:color="auto" w:sz="4" w:space="0"/>
              <w:right w:val="single" w:color="auto" w:sz="4" w:space="0"/>
            </w:tcBorders>
            <w:vAlign w:val="center"/>
          </w:tcPr>
          <w:p w14:paraId="023175ED">
            <w:pPr>
              <w:adjustRightInd w:val="0"/>
              <w:snapToGri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992" w:type="dxa"/>
            <w:vMerge w:val="restart"/>
            <w:tcBorders>
              <w:top w:val="single" w:color="auto" w:sz="4" w:space="0"/>
              <w:left w:val="single" w:color="auto" w:sz="4" w:space="0"/>
              <w:right w:val="single" w:color="auto" w:sz="4" w:space="0"/>
            </w:tcBorders>
            <w:vAlign w:val="center"/>
          </w:tcPr>
          <w:p w14:paraId="020B2C84">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2.3服务能力（满分15分）</w:t>
            </w:r>
          </w:p>
        </w:tc>
        <w:tc>
          <w:tcPr>
            <w:tcW w:w="6606" w:type="dxa"/>
            <w:tcBorders>
              <w:top w:val="single" w:color="auto" w:sz="4" w:space="0"/>
              <w:left w:val="single" w:color="auto" w:sz="4" w:space="0"/>
              <w:bottom w:val="single" w:color="auto" w:sz="4" w:space="0"/>
              <w:right w:val="single" w:color="auto" w:sz="4" w:space="0"/>
            </w:tcBorders>
            <w:vAlign w:val="center"/>
          </w:tcPr>
          <w:p w14:paraId="558EF966">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2.3.1配送能力分</w:t>
            </w:r>
          </w:p>
          <w:p w14:paraId="5E78655F">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供应商拟投入本项目的配送车辆分，每投入一辆得2分，此项满分6分。</w:t>
            </w:r>
          </w:p>
          <w:p w14:paraId="0C4637FD">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注：磋商时在响应文件中提供以上投入车辆①属于供应商或其法定代表人名下登记的自有配送车辆，提供有效车辆行驶证或机动车登记证及车辆照片；或②属于租赁车辆的，需同时提供有效车辆行驶证或机动车登记证复印件和车辆租赁合同，以上材料均要求加盖供应商公章），否则不予评分。</w:t>
            </w:r>
          </w:p>
        </w:tc>
      </w:tr>
      <w:tr w14:paraId="0D44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bottom w:val="single" w:color="auto" w:sz="4" w:space="0"/>
              <w:right w:val="single" w:color="auto" w:sz="4" w:space="0"/>
            </w:tcBorders>
            <w:vAlign w:val="center"/>
          </w:tcPr>
          <w:p w14:paraId="44D23EF4">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1418" w:type="dxa"/>
            <w:vMerge w:val="continue"/>
            <w:tcBorders>
              <w:left w:val="single" w:color="auto" w:sz="4" w:space="0"/>
              <w:right w:val="single" w:color="auto" w:sz="4" w:space="0"/>
            </w:tcBorders>
            <w:vAlign w:val="center"/>
          </w:tcPr>
          <w:p w14:paraId="14EFF06A">
            <w:pPr>
              <w:adjustRightInd w:val="0"/>
              <w:snapToGri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992" w:type="dxa"/>
            <w:vMerge w:val="continue"/>
            <w:tcBorders>
              <w:left w:val="single" w:color="auto" w:sz="4" w:space="0"/>
              <w:right w:val="single" w:color="auto" w:sz="4" w:space="0"/>
            </w:tcBorders>
            <w:vAlign w:val="center"/>
          </w:tcPr>
          <w:p w14:paraId="24C7EC8B">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6606" w:type="dxa"/>
            <w:tcBorders>
              <w:top w:val="single" w:color="auto" w:sz="4" w:space="0"/>
              <w:left w:val="single" w:color="auto" w:sz="4" w:space="0"/>
              <w:bottom w:val="single" w:color="auto" w:sz="4" w:space="0"/>
              <w:right w:val="single" w:color="auto" w:sz="4" w:space="0"/>
            </w:tcBorders>
            <w:vAlign w:val="center"/>
          </w:tcPr>
          <w:p w14:paraId="2C0DBAB6">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2.3.2仓储管理能力</w:t>
            </w:r>
          </w:p>
          <w:p w14:paraId="101BB2F6">
            <w:pPr>
              <w:spacing w:line="400" w:lineRule="exact"/>
              <w:rPr>
                <w:rFonts w:asciiTheme="minorEastAsia" w:hAnsiTheme="minorEastAsia" w:eastAsiaTheme="minorEastAsia" w:cstheme="minorEastAsia"/>
                <w:bCs/>
                <w:color w:val="auto"/>
                <w:sz w:val="24"/>
                <w:highlight w:val="none"/>
              </w:rPr>
            </w:pPr>
            <w:r>
              <w:rPr>
                <w:rFonts w:asciiTheme="minorEastAsia" w:hAnsiTheme="minorEastAsia" w:eastAsiaTheme="minorEastAsia" w:cstheme="minorEastAsia"/>
                <w:bCs/>
                <w:color w:val="auto"/>
                <w:sz w:val="24"/>
                <w:highlight w:val="none"/>
              </w:rPr>
              <w:t>供应商拟投入仓储场地功能划区清晰，具备区域划分清晰的独立的成品储藏区、分拣区、检验检查实验室</w:t>
            </w:r>
            <w:r>
              <w:rPr>
                <w:rFonts w:hint="eastAsia" w:asciiTheme="minorEastAsia" w:hAnsiTheme="minorEastAsia" w:eastAsiaTheme="minorEastAsia" w:cstheme="minorEastAsia"/>
                <w:bCs/>
                <w:color w:val="auto"/>
                <w:sz w:val="24"/>
                <w:highlight w:val="none"/>
              </w:rPr>
              <w:t>、</w:t>
            </w:r>
            <w:r>
              <w:rPr>
                <w:rFonts w:asciiTheme="minorEastAsia" w:hAnsiTheme="minorEastAsia" w:eastAsiaTheme="minorEastAsia" w:cstheme="minorEastAsia"/>
                <w:bCs/>
                <w:color w:val="auto"/>
                <w:sz w:val="24"/>
                <w:highlight w:val="none"/>
              </w:rPr>
              <w:t>临期专区</w:t>
            </w:r>
            <w:r>
              <w:rPr>
                <w:rFonts w:hint="eastAsia" w:asciiTheme="minorEastAsia" w:hAnsiTheme="minorEastAsia" w:eastAsiaTheme="minorEastAsia" w:cstheme="minorEastAsia"/>
                <w:bCs/>
                <w:color w:val="auto"/>
                <w:sz w:val="24"/>
                <w:highlight w:val="none"/>
              </w:rPr>
              <w:t>、办公区等</w:t>
            </w:r>
            <w:r>
              <w:rPr>
                <w:rFonts w:asciiTheme="minorEastAsia" w:hAnsiTheme="minorEastAsia" w:eastAsiaTheme="minorEastAsia" w:cstheme="minorEastAsia"/>
                <w:bCs/>
                <w:color w:val="auto"/>
                <w:sz w:val="24"/>
                <w:highlight w:val="none"/>
              </w:rPr>
              <w:t>，每项得1分，</w:t>
            </w:r>
            <w:r>
              <w:rPr>
                <w:rFonts w:hint="eastAsia" w:asciiTheme="minorEastAsia" w:hAnsiTheme="minorEastAsia" w:eastAsiaTheme="minorEastAsia" w:cstheme="minorEastAsia"/>
                <w:bCs/>
                <w:color w:val="auto"/>
                <w:sz w:val="24"/>
                <w:highlight w:val="none"/>
                <w:lang w:val="en-US" w:eastAsia="zh-CN"/>
              </w:rPr>
              <w:t>此项</w:t>
            </w:r>
            <w:r>
              <w:rPr>
                <w:rFonts w:asciiTheme="minorEastAsia" w:hAnsiTheme="minorEastAsia" w:eastAsiaTheme="minorEastAsia" w:cstheme="minorEastAsia"/>
                <w:bCs/>
                <w:color w:val="auto"/>
                <w:sz w:val="24"/>
                <w:highlight w:val="none"/>
              </w:rPr>
              <w:t>满分</w:t>
            </w:r>
            <w:r>
              <w:rPr>
                <w:rFonts w:hint="eastAsia" w:asciiTheme="minorEastAsia" w:hAnsiTheme="minorEastAsia" w:eastAsiaTheme="minorEastAsia" w:cstheme="minorEastAsia"/>
                <w:bCs/>
                <w:color w:val="auto"/>
                <w:sz w:val="24"/>
                <w:highlight w:val="none"/>
              </w:rPr>
              <w:t>5</w:t>
            </w:r>
            <w:r>
              <w:rPr>
                <w:rFonts w:asciiTheme="minorEastAsia" w:hAnsiTheme="minorEastAsia" w:eastAsiaTheme="minorEastAsia" w:cstheme="minorEastAsia"/>
                <w:bCs/>
                <w:color w:val="auto"/>
                <w:sz w:val="24"/>
                <w:highlight w:val="none"/>
              </w:rPr>
              <w:t>分。</w:t>
            </w:r>
          </w:p>
          <w:p w14:paraId="335B62AB">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注：</w:t>
            </w:r>
            <w:r>
              <w:rPr>
                <w:rFonts w:asciiTheme="minorEastAsia" w:hAnsiTheme="minorEastAsia" w:eastAsiaTheme="minorEastAsia" w:cstheme="minorEastAsia"/>
                <w:bCs/>
                <w:color w:val="auto"/>
                <w:sz w:val="24"/>
                <w:highlight w:val="none"/>
              </w:rPr>
              <w:t>供应商自有仓储场地的，响应文件中提供场地各独立功能区的场景图片、场地产权证明复印件，仓储场地为供应商租赁的，响应文件中提供场地各独立功能区的场景图片、场地租赁合同复印件，并加盖</w:t>
            </w:r>
            <w:r>
              <w:rPr>
                <w:rFonts w:hint="eastAsia" w:asciiTheme="minorEastAsia" w:hAnsiTheme="minorEastAsia" w:eastAsiaTheme="minorEastAsia" w:cstheme="minorEastAsia"/>
                <w:bCs/>
                <w:color w:val="auto"/>
                <w:sz w:val="24"/>
                <w:highlight w:val="none"/>
                <w:lang w:val="en-US" w:eastAsia="zh-CN"/>
              </w:rPr>
              <w:t>供应商</w:t>
            </w:r>
            <w:r>
              <w:rPr>
                <w:rFonts w:asciiTheme="minorEastAsia" w:hAnsiTheme="minorEastAsia" w:eastAsiaTheme="minorEastAsia" w:cstheme="minorEastAsia"/>
                <w:bCs/>
                <w:color w:val="auto"/>
                <w:sz w:val="24"/>
                <w:highlight w:val="none"/>
              </w:rPr>
              <w:t>公章，否则不得分。</w:t>
            </w:r>
          </w:p>
        </w:tc>
      </w:tr>
      <w:tr w14:paraId="6229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bottom w:val="single" w:color="auto" w:sz="4" w:space="0"/>
              <w:right w:val="single" w:color="auto" w:sz="4" w:space="0"/>
            </w:tcBorders>
            <w:vAlign w:val="center"/>
          </w:tcPr>
          <w:p w14:paraId="134324B0">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1418" w:type="dxa"/>
            <w:vMerge w:val="continue"/>
            <w:tcBorders>
              <w:left w:val="single" w:color="auto" w:sz="4" w:space="0"/>
              <w:right w:val="single" w:color="auto" w:sz="4" w:space="0"/>
            </w:tcBorders>
            <w:vAlign w:val="center"/>
          </w:tcPr>
          <w:p w14:paraId="7B70F22C">
            <w:pPr>
              <w:adjustRightInd w:val="0"/>
              <w:snapToGri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992" w:type="dxa"/>
            <w:vMerge w:val="continue"/>
            <w:tcBorders>
              <w:left w:val="single" w:color="auto" w:sz="4" w:space="0"/>
              <w:right w:val="single" w:color="auto" w:sz="4" w:space="0"/>
            </w:tcBorders>
            <w:vAlign w:val="center"/>
          </w:tcPr>
          <w:p w14:paraId="0FB8EE77">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6606" w:type="dxa"/>
            <w:tcBorders>
              <w:top w:val="single" w:color="auto" w:sz="4" w:space="0"/>
              <w:left w:val="single" w:color="auto" w:sz="4" w:space="0"/>
              <w:bottom w:val="single" w:color="auto" w:sz="4" w:space="0"/>
              <w:right w:val="single" w:color="auto" w:sz="4" w:space="0"/>
            </w:tcBorders>
            <w:vAlign w:val="center"/>
          </w:tcPr>
          <w:p w14:paraId="19463B09">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2.3.3实施人员</w:t>
            </w:r>
          </w:p>
          <w:p w14:paraId="00C6BA9D">
            <w:pPr>
              <w:spacing w:line="400" w:lineRule="exact"/>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拟投入本项目的项目实施人员，投入2人得1分，每增加1人得1分，此项满分3分（磋商时在响应文件中提供实施人员的劳务合同、身份证、健康证等证明材料，以上材料均要求加盖供应商公章，否则不予评分）。</w:t>
            </w:r>
          </w:p>
        </w:tc>
      </w:tr>
      <w:tr w14:paraId="4A8E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top w:val="single" w:color="auto" w:sz="4" w:space="0"/>
              <w:left w:val="single" w:color="auto" w:sz="4" w:space="0"/>
              <w:bottom w:val="single" w:color="auto" w:sz="4" w:space="0"/>
              <w:right w:val="single" w:color="auto" w:sz="4" w:space="0"/>
            </w:tcBorders>
            <w:vAlign w:val="center"/>
          </w:tcPr>
          <w:p w14:paraId="59236C3C">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362F3DD2">
            <w:pPr>
              <w:adjustRightInd w:val="0"/>
              <w:snapToGri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992" w:type="dxa"/>
            <w:vMerge w:val="continue"/>
            <w:tcBorders>
              <w:left w:val="single" w:color="auto" w:sz="4" w:space="0"/>
              <w:bottom w:val="single" w:color="auto" w:sz="4" w:space="0"/>
              <w:right w:val="single" w:color="auto" w:sz="4" w:space="0"/>
            </w:tcBorders>
            <w:vAlign w:val="center"/>
          </w:tcPr>
          <w:p w14:paraId="67B3C13B">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6606" w:type="dxa"/>
            <w:tcBorders>
              <w:top w:val="single" w:color="auto" w:sz="4" w:space="0"/>
              <w:left w:val="single" w:color="auto" w:sz="4" w:space="0"/>
              <w:bottom w:val="single" w:color="auto" w:sz="4" w:space="0"/>
              <w:right w:val="single" w:color="auto" w:sz="4" w:space="0"/>
            </w:tcBorders>
            <w:vAlign w:val="center"/>
          </w:tcPr>
          <w:p w14:paraId="3C56646B">
            <w:pPr>
              <w:pStyle w:val="17"/>
              <w:spacing w:line="400" w:lineRule="exact"/>
              <w:rPr>
                <w:rFonts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kern w:val="2"/>
                <w:sz w:val="24"/>
                <w:szCs w:val="24"/>
                <w:highlight w:val="none"/>
              </w:rPr>
              <w:t>2.3.4</w:t>
            </w:r>
            <w:r>
              <w:rPr>
                <w:rFonts w:asciiTheme="minorEastAsia" w:hAnsiTheme="minorEastAsia" w:eastAsiaTheme="minorEastAsia" w:cstheme="minorEastAsia"/>
                <w:bCs/>
                <w:color w:val="auto"/>
                <w:kern w:val="2"/>
                <w:sz w:val="24"/>
                <w:szCs w:val="24"/>
                <w:highlight w:val="none"/>
              </w:rPr>
              <w:t>供应商持有有效期内的ISO9001质量管理体系认证</w:t>
            </w:r>
            <w:r>
              <w:rPr>
                <w:rFonts w:hint="eastAsia" w:asciiTheme="minorEastAsia" w:hAnsiTheme="minorEastAsia" w:eastAsiaTheme="minorEastAsia" w:cstheme="minorEastAsia"/>
                <w:bCs/>
                <w:color w:val="auto"/>
                <w:kern w:val="2"/>
                <w:sz w:val="24"/>
                <w:szCs w:val="24"/>
                <w:highlight w:val="none"/>
              </w:rPr>
              <w:t>证书</w:t>
            </w:r>
            <w:r>
              <w:rPr>
                <w:rFonts w:asciiTheme="minorEastAsia" w:hAnsiTheme="minorEastAsia" w:eastAsiaTheme="minorEastAsia" w:cstheme="minorEastAsia"/>
                <w:bCs/>
                <w:color w:val="auto"/>
                <w:kern w:val="2"/>
                <w:sz w:val="24"/>
                <w:szCs w:val="24"/>
                <w:highlight w:val="none"/>
              </w:rPr>
              <w:t>得1分，此项满分1分。</w:t>
            </w:r>
          </w:p>
          <w:p w14:paraId="68285AE9">
            <w:pPr>
              <w:pStyle w:val="17"/>
              <w:spacing w:line="400" w:lineRule="exact"/>
              <w:rPr>
                <w:rFonts w:hint="eastAsia"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kern w:val="2"/>
                <w:sz w:val="24"/>
                <w:szCs w:val="24"/>
                <w:highlight w:val="none"/>
              </w:rPr>
              <w:t>注：</w:t>
            </w:r>
            <w:r>
              <w:rPr>
                <w:rFonts w:hint="eastAsia" w:asciiTheme="minorEastAsia" w:hAnsiTheme="minorEastAsia" w:eastAsiaTheme="minorEastAsia" w:cstheme="minorEastAsia"/>
                <w:bCs/>
                <w:color w:val="auto"/>
                <w:kern w:val="2"/>
                <w:sz w:val="24"/>
                <w:szCs w:val="24"/>
                <w:highlight w:val="none"/>
                <w:lang w:val="en-US" w:eastAsia="zh-CN"/>
              </w:rPr>
              <w:t>磋商时在响应文件中提供有效证明材料并</w:t>
            </w:r>
            <w:r>
              <w:rPr>
                <w:rFonts w:asciiTheme="minorEastAsia" w:hAnsiTheme="minorEastAsia" w:eastAsiaTheme="minorEastAsia" w:cstheme="minorEastAsia"/>
                <w:bCs/>
                <w:color w:val="auto"/>
                <w:kern w:val="2"/>
                <w:sz w:val="24"/>
                <w:szCs w:val="24"/>
                <w:highlight w:val="none"/>
              </w:rPr>
              <w:t>加盖公章，认证范围</w:t>
            </w:r>
            <w:r>
              <w:rPr>
                <w:rFonts w:hint="eastAsia" w:asciiTheme="minorEastAsia" w:hAnsiTheme="minorEastAsia" w:eastAsiaTheme="minorEastAsia" w:cstheme="minorEastAsia"/>
                <w:bCs/>
                <w:color w:val="auto"/>
                <w:kern w:val="2"/>
                <w:sz w:val="24"/>
                <w:szCs w:val="24"/>
                <w:highlight w:val="none"/>
                <w:lang w:val="en-US" w:eastAsia="zh-CN"/>
              </w:rPr>
              <w:t>应</w:t>
            </w:r>
            <w:r>
              <w:rPr>
                <w:rFonts w:asciiTheme="minorEastAsia" w:hAnsiTheme="minorEastAsia" w:eastAsiaTheme="minorEastAsia" w:cstheme="minorEastAsia"/>
                <w:bCs/>
                <w:color w:val="auto"/>
                <w:kern w:val="2"/>
                <w:sz w:val="24"/>
                <w:szCs w:val="24"/>
                <w:highlight w:val="none"/>
              </w:rPr>
              <w:t>包含预包装食品相关，</w:t>
            </w:r>
            <w:r>
              <w:rPr>
                <w:rFonts w:hint="eastAsia" w:asciiTheme="minorEastAsia" w:hAnsiTheme="minorEastAsia" w:eastAsiaTheme="minorEastAsia" w:cstheme="minorEastAsia"/>
                <w:bCs/>
                <w:color w:val="auto"/>
                <w:kern w:val="2"/>
                <w:sz w:val="24"/>
                <w:szCs w:val="24"/>
                <w:highlight w:val="none"/>
                <w:lang w:val="en-US" w:eastAsia="zh-CN"/>
              </w:rPr>
              <w:t>否则不予评分</w:t>
            </w:r>
            <w:r>
              <w:rPr>
                <w:rFonts w:asciiTheme="minorEastAsia" w:hAnsiTheme="minorEastAsia" w:eastAsiaTheme="minorEastAsia" w:cstheme="minorEastAsia"/>
                <w:bCs/>
                <w:color w:val="auto"/>
                <w:kern w:val="2"/>
                <w:sz w:val="24"/>
                <w:szCs w:val="24"/>
                <w:highlight w:val="none"/>
              </w:rPr>
              <w:t>。</w:t>
            </w:r>
          </w:p>
        </w:tc>
      </w:tr>
      <w:tr w14:paraId="54A2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restart"/>
            <w:tcBorders>
              <w:top w:val="single" w:color="auto" w:sz="4" w:space="0"/>
              <w:left w:val="single" w:color="auto" w:sz="4" w:space="0"/>
              <w:right w:val="single" w:color="auto" w:sz="4" w:space="0"/>
            </w:tcBorders>
            <w:vAlign w:val="center"/>
          </w:tcPr>
          <w:p w14:paraId="0E37AE84">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3</w:t>
            </w:r>
          </w:p>
        </w:tc>
        <w:tc>
          <w:tcPr>
            <w:tcW w:w="1418" w:type="dxa"/>
            <w:vMerge w:val="restart"/>
            <w:tcBorders>
              <w:top w:val="single" w:color="auto" w:sz="4" w:space="0"/>
              <w:left w:val="single" w:color="auto" w:sz="4" w:space="0"/>
              <w:right w:val="single" w:color="auto" w:sz="4" w:space="0"/>
            </w:tcBorders>
            <w:vAlign w:val="center"/>
          </w:tcPr>
          <w:p w14:paraId="55320476">
            <w:pPr>
              <w:adjustRightInd w:val="0"/>
              <w:spacing w:line="400" w:lineRule="exact"/>
              <w:jc w:val="center"/>
              <w:textAlignment w:val="baseline"/>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商务分</w:t>
            </w:r>
          </w:p>
          <w:p w14:paraId="72F4973C">
            <w:pPr>
              <w:adjustRightInd w:val="0"/>
              <w:snapToGri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
                <w:bCs/>
                <w:color w:val="auto"/>
                <w:sz w:val="24"/>
                <w:highlight w:val="none"/>
              </w:rPr>
              <w:t>（满分</w:t>
            </w:r>
            <w:r>
              <w:rPr>
                <w:rFonts w:hint="eastAsia" w:asciiTheme="minorEastAsia" w:hAnsiTheme="minorEastAsia" w:eastAsiaTheme="minorEastAsia" w:cstheme="minorEastAsia"/>
                <w:b/>
                <w:bCs/>
                <w:color w:val="auto"/>
                <w:sz w:val="24"/>
                <w:highlight w:val="none"/>
                <w:u w:val="single"/>
              </w:rPr>
              <w:t>25</w:t>
            </w:r>
            <w:r>
              <w:rPr>
                <w:rFonts w:hint="eastAsia" w:asciiTheme="minorEastAsia" w:hAnsiTheme="minorEastAsia" w:eastAsiaTheme="minorEastAsia" w:cstheme="minorEastAsia"/>
                <w:b/>
                <w:bCs/>
                <w:color w:val="auto"/>
                <w:sz w:val="24"/>
                <w:highlight w:val="none"/>
              </w:rPr>
              <w:t>分）</w:t>
            </w:r>
          </w:p>
        </w:tc>
        <w:tc>
          <w:tcPr>
            <w:tcW w:w="992" w:type="dxa"/>
            <w:tcBorders>
              <w:top w:val="single" w:color="auto" w:sz="4" w:space="0"/>
              <w:left w:val="single" w:color="auto" w:sz="4" w:space="0"/>
              <w:bottom w:val="single" w:color="auto" w:sz="4" w:space="0"/>
              <w:right w:val="single" w:color="auto" w:sz="4" w:space="0"/>
            </w:tcBorders>
            <w:vAlign w:val="center"/>
          </w:tcPr>
          <w:p w14:paraId="76BD7CD2">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3.1售后服务方案（满分20分）</w:t>
            </w:r>
          </w:p>
        </w:tc>
        <w:tc>
          <w:tcPr>
            <w:tcW w:w="6606" w:type="dxa"/>
            <w:tcBorders>
              <w:top w:val="single" w:color="auto" w:sz="4" w:space="0"/>
              <w:left w:val="single" w:color="auto" w:sz="4" w:space="0"/>
              <w:bottom w:val="single" w:color="auto" w:sz="4" w:space="0"/>
              <w:right w:val="single" w:color="auto" w:sz="4" w:space="0"/>
            </w:tcBorders>
            <w:vAlign w:val="center"/>
          </w:tcPr>
          <w:p w14:paraId="2D4C41AE">
            <w:pPr>
              <w:pStyle w:val="17"/>
              <w:spacing w:line="400" w:lineRule="exact"/>
              <w:rPr>
                <w:rFonts w:hint="eastAsia"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sz w:val="24"/>
                <w:szCs w:val="24"/>
                <w:highlight w:val="none"/>
              </w:rPr>
              <w:t>磋商小组根据供应商提供的服务方案中</w:t>
            </w:r>
            <w:r>
              <w:rPr>
                <w:rFonts w:hint="eastAsia" w:asciiTheme="minorEastAsia" w:hAnsiTheme="minorEastAsia" w:eastAsiaTheme="minorEastAsia" w:cstheme="minorEastAsia"/>
                <w:bCs/>
                <w:color w:val="auto"/>
                <w:kern w:val="2"/>
                <w:sz w:val="24"/>
                <w:szCs w:val="24"/>
                <w:highlight w:val="none"/>
              </w:rPr>
              <w:t>售后服务方案</w:t>
            </w:r>
            <w:r>
              <w:rPr>
                <w:rFonts w:hint="eastAsia" w:asciiTheme="minorEastAsia" w:hAnsiTheme="minorEastAsia" w:eastAsiaTheme="minorEastAsia" w:cstheme="minorEastAsia"/>
                <w:bCs/>
                <w:color w:val="auto"/>
                <w:sz w:val="24"/>
                <w:szCs w:val="24"/>
                <w:highlight w:val="none"/>
              </w:rPr>
              <w:t>内容独立定档评分，未提供服务方案或所提供的服务方案中未包</w:t>
            </w:r>
            <w:r>
              <w:rPr>
                <w:rFonts w:hint="eastAsia" w:asciiTheme="minorEastAsia" w:hAnsiTheme="minorEastAsia" w:eastAsiaTheme="minorEastAsia" w:cstheme="minorEastAsia"/>
                <w:bCs/>
                <w:color w:val="auto"/>
                <w:kern w:val="2"/>
                <w:sz w:val="24"/>
                <w:szCs w:val="24"/>
                <w:highlight w:val="none"/>
              </w:rPr>
              <w:t>售后服务方案</w:t>
            </w:r>
            <w:r>
              <w:rPr>
                <w:rFonts w:hint="eastAsia" w:asciiTheme="minorEastAsia" w:hAnsiTheme="minorEastAsia" w:eastAsiaTheme="minorEastAsia" w:cstheme="minorEastAsia"/>
                <w:bCs/>
                <w:color w:val="auto"/>
                <w:sz w:val="24"/>
                <w:szCs w:val="24"/>
                <w:highlight w:val="none"/>
              </w:rPr>
              <w:t>内容或所提供的服务方案中产品</w:t>
            </w:r>
            <w:r>
              <w:rPr>
                <w:rFonts w:hint="eastAsia" w:asciiTheme="minorEastAsia" w:hAnsiTheme="minorEastAsia" w:eastAsiaTheme="minorEastAsia" w:cstheme="minorEastAsia"/>
                <w:bCs/>
                <w:color w:val="auto"/>
                <w:kern w:val="2"/>
                <w:sz w:val="24"/>
                <w:szCs w:val="24"/>
                <w:highlight w:val="none"/>
              </w:rPr>
              <w:t>售后服务方案</w:t>
            </w:r>
            <w:r>
              <w:rPr>
                <w:rFonts w:hint="eastAsia" w:asciiTheme="minorEastAsia" w:hAnsiTheme="minorEastAsia" w:eastAsiaTheme="minorEastAsia" w:cstheme="minorEastAsia"/>
                <w:bCs/>
                <w:color w:val="auto"/>
                <w:sz w:val="24"/>
                <w:szCs w:val="24"/>
                <w:highlight w:val="none"/>
              </w:rPr>
              <w:t>不满足以下任意一档要求的不得分。</w:t>
            </w:r>
          </w:p>
          <w:p w14:paraId="19277A5D">
            <w:pPr>
              <w:pStyle w:val="17"/>
              <w:spacing w:line="400" w:lineRule="exact"/>
              <w:rPr>
                <w:rFonts w:hint="eastAsia"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kern w:val="2"/>
                <w:sz w:val="24"/>
                <w:szCs w:val="24"/>
                <w:highlight w:val="none"/>
              </w:rPr>
              <w:t>一档（4分）：承诺退换时间超过5小时（不含5小时），服务承诺、措施、后期服务承诺较简单。</w:t>
            </w:r>
          </w:p>
          <w:p w14:paraId="7ECAD9C0">
            <w:pPr>
              <w:pStyle w:val="17"/>
              <w:spacing w:line="400" w:lineRule="exact"/>
              <w:rPr>
                <w:rFonts w:hint="eastAsia"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kern w:val="2"/>
                <w:sz w:val="24"/>
                <w:szCs w:val="24"/>
                <w:highlight w:val="none"/>
              </w:rPr>
              <w:t>二档（8分）：承诺退换时间需4小时（不含4小时）-5小时（含5小时），服务承诺、措施、后期服务承诺一般，货物出问题时，有相应的解决措施。</w:t>
            </w:r>
          </w:p>
          <w:p w14:paraId="5FEB5DC9">
            <w:pPr>
              <w:pStyle w:val="17"/>
              <w:spacing w:line="400" w:lineRule="exact"/>
              <w:rPr>
                <w:rFonts w:hint="eastAsia"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kern w:val="2"/>
                <w:sz w:val="24"/>
                <w:szCs w:val="24"/>
                <w:highlight w:val="none"/>
              </w:rPr>
              <w:t>三档（12分）：承诺退换时间需3小时（不含3小时）-4小时（含4小时），服务承诺、措施可行，后期服务承诺响应满足项目需求，货物出问题时，有相应的解决措施，并明确如何确保退换的货物符合采购人需求。</w:t>
            </w:r>
          </w:p>
          <w:p w14:paraId="2A3A8E90">
            <w:pPr>
              <w:pStyle w:val="17"/>
              <w:spacing w:line="400" w:lineRule="exact"/>
              <w:rPr>
                <w:rFonts w:hint="eastAsia"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kern w:val="2"/>
                <w:sz w:val="24"/>
                <w:szCs w:val="24"/>
                <w:highlight w:val="none"/>
              </w:rPr>
              <w:t>四档（16分）：对因货物出现问题，而发生紧急事件问题处理预案内容较具体、全面，并承诺退换时间需2小时（不含2小时）-3小时（含3小时），有健全、详细的服务承诺、后期售后服务方式多样有效，措施得力，能满足项目需求，包括售后服务监督和回访管理、台账管理、售后服务管理及售后服务措施（含对问题物料的处理及特殊情况的应急预案），明确如何确保退换的货物符合采购人需求，并配备专门人员为业主提供服务，确保接到业主通知后1小时内响应。</w:t>
            </w:r>
          </w:p>
          <w:p w14:paraId="55D1BF7B">
            <w:pPr>
              <w:pStyle w:val="17"/>
              <w:spacing w:line="400" w:lineRule="exact"/>
              <w:rPr>
                <w:rFonts w:hint="eastAsia"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kern w:val="2"/>
                <w:sz w:val="24"/>
                <w:szCs w:val="24"/>
                <w:highlight w:val="none"/>
              </w:rPr>
              <w:t>五档（20分）：对因货物出现问题，而对发生紧急事件问题处理预案内容具体、全面，并承诺退换时间在2小时内（含2小时），有健全、详细、高效的服务承诺、后期售后服务方式多样有效，措施得力，充分满足项目需求，包括售后服务监督和回访管理、台账管理、售后服务管理及售后服务措施（含对问题物料的处理及特殊情况的应急预案）、其他优惠措施、配送（物流）、货物分发方等方面措施等及其它服务计划，明确如何确保退换的货物符合采购人需求，并配备专门人员为业主提供服务，确保接到业主通知后0.5小时内响应。</w:t>
            </w:r>
          </w:p>
        </w:tc>
      </w:tr>
      <w:tr w14:paraId="32B7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bottom w:val="single" w:color="auto" w:sz="4" w:space="0"/>
              <w:right w:val="single" w:color="auto" w:sz="4" w:space="0"/>
            </w:tcBorders>
            <w:vAlign w:val="center"/>
          </w:tcPr>
          <w:p w14:paraId="27175476">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p>
        </w:tc>
        <w:tc>
          <w:tcPr>
            <w:tcW w:w="1418" w:type="dxa"/>
            <w:vMerge w:val="continue"/>
            <w:tcBorders>
              <w:left w:val="single" w:color="auto" w:sz="4" w:space="0"/>
              <w:bottom w:val="single" w:color="auto" w:sz="4" w:space="0"/>
              <w:right w:val="single" w:color="auto" w:sz="4" w:space="0"/>
            </w:tcBorders>
            <w:vAlign w:val="center"/>
          </w:tcPr>
          <w:p w14:paraId="27755E0B">
            <w:pPr>
              <w:adjustRightInd w:val="0"/>
              <w:snapToGrid w:val="0"/>
              <w:spacing w:line="400" w:lineRule="exact"/>
              <w:jc w:val="center"/>
              <w:textAlignment w:val="baseline"/>
              <w:rPr>
                <w:rFonts w:hint="eastAsia" w:asciiTheme="minorEastAsia" w:hAnsiTheme="minorEastAsia" w:eastAsiaTheme="minorEastAsia" w:cstheme="minorEastAsia"/>
                <w:b/>
                <w:bCs/>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64C15C7E">
            <w:pPr>
              <w:adjustRightInd w:val="0"/>
              <w:spacing w:line="400" w:lineRule="exact"/>
              <w:jc w:val="center"/>
              <w:textAlignment w:val="baseline"/>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3.2业绩（满分5分）</w:t>
            </w:r>
          </w:p>
        </w:tc>
        <w:tc>
          <w:tcPr>
            <w:tcW w:w="6606" w:type="dxa"/>
            <w:tcBorders>
              <w:top w:val="single" w:color="auto" w:sz="4" w:space="0"/>
              <w:left w:val="single" w:color="auto" w:sz="4" w:space="0"/>
              <w:bottom w:val="single" w:color="auto" w:sz="4" w:space="0"/>
              <w:right w:val="single" w:color="auto" w:sz="4" w:space="0"/>
            </w:tcBorders>
            <w:vAlign w:val="center"/>
          </w:tcPr>
          <w:p w14:paraId="7D59FCCF">
            <w:pPr>
              <w:pStyle w:val="17"/>
              <w:spacing w:line="400" w:lineRule="exact"/>
              <w:rPr>
                <w:rFonts w:hint="eastAsia" w:asciiTheme="minorEastAsia" w:hAnsiTheme="minorEastAsia" w:eastAsiaTheme="minorEastAsia" w:cstheme="minorEastAsia"/>
                <w:bCs/>
                <w:color w:val="auto"/>
                <w:kern w:val="2"/>
                <w:sz w:val="24"/>
                <w:szCs w:val="24"/>
                <w:highlight w:val="none"/>
              </w:rPr>
            </w:pPr>
            <w:r>
              <w:rPr>
                <w:rFonts w:hint="eastAsia" w:asciiTheme="minorEastAsia" w:hAnsiTheme="minorEastAsia" w:eastAsiaTheme="minorEastAsia" w:cstheme="minorEastAsia"/>
                <w:bCs/>
                <w:color w:val="auto"/>
                <w:kern w:val="2"/>
                <w:sz w:val="24"/>
                <w:szCs w:val="24"/>
                <w:highlight w:val="none"/>
              </w:rPr>
              <w:t>供应商2023年以来具有同类项目业绩，每有一个得1分，此项满分5分。</w:t>
            </w:r>
          </w:p>
          <w:p w14:paraId="2CDC0AA5">
            <w:pPr>
              <w:pStyle w:val="17"/>
              <w:spacing w:line="400" w:lineRule="exact"/>
              <w:rPr>
                <w:rFonts w:hint="eastAsia" w:asciiTheme="minorEastAsia" w:hAnsiTheme="minorEastAsia" w:eastAsiaTheme="minorEastAsia" w:cstheme="minorEastAsia"/>
                <w:bCs/>
                <w:color w:val="auto"/>
                <w:kern w:val="2"/>
                <w:sz w:val="24"/>
                <w:szCs w:val="24"/>
                <w:highlight w:val="none"/>
              </w:rPr>
            </w:pPr>
            <w:r>
              <w:rPr>
                <w:rFonts w:asciiTheme="minorEastAsia" w:hAnsiTheme="minorEastAsia" w:eastAsiaTheme="minorEastAsia" w:cstheme="minorEastAsia"/>
                <w:bCs/>
                <w:color w:val="auto"/>
                <w:kern w:val="2"/>
                <w:sz w:val="24"/>
                <w:szCs w:val="24"/>
                <w:highlight w:val="none"/>
              </w:rPr>
              <w:t>注：磋商时在响应文件</w:t>
            </w:r>
            <w:r>
              <w:rPr>
                <w:rFonts w:hint="eastAsia" w:asciiTheme="minorEastAsia" w:hAnsiTheme="minorEastAsia" w:eastAsiaTheme="minorEastAsia" w:cstheme="minorEastAsia"/>
                <w:bCs/>
                <w:color w:val="auto"/>
                <w:kern w:val="2"/>
                <w:sz w:val="24"/>
                <w:szCs w:val="24"/>
                <w:highlight w:val="none"/>
              </w:rPr>
              <w:t>提供</w:t>
            </w:r>
            <w:r>
              <w:rPr>
                <w:rFonts w:asciiTheme="minorEastAsia" w:hAnsiTheme="minorEastAsia" w:eastAsiaTheme="minorEastAsia" w:cstheme="minorEastAsia"/>
                <w:bCs/>
                <w:color w:val="auto"/>
                <w:kern w:val="2"/>
                <w:sz w:val="24"/>
                <w:szCs w:val="24"/>
                <w:highlight w:val="none"/>
              </w:rPr>
              <w:t>合同</w:t>
            </w:r>
            <w:r>
              <w:rPr>
                <w:rFonts w:hint="eastAsia" w:asciiTheme="minorEastAsia" w:hAnsiTheme="minorEastAsia" w:eastAsiaTheme="minorEastAsia" w:cstheme="minorEastAsia"/>
                <w:bCs/>
                <w:color w:val="auto"/>
                <w:kern w:val="2"/>
                <w:sz w:val="24"/>
                <w:szCs w:val="24"/>
                <w:highlight w:val="none"/>
              </w:rPr>
              <w:t>复印件</w:t>
            </w:r>
            <w:r>
              <w:rPr>
                <w:rFonts w:asciiTheme="minorEastAsia" w:hAnsiTheme="minorEastAsia" w:eastAsiaTheme="minorEastAsia" w:cstheme="minorEastAsia"/>
                <w:bCs/>
                <w:color w:val="auto"/>
                <w:kern w:val="2"/>
                <w:sz w:val="24"/>
                <w:szCs w:val="24"/>
                <w:highlight w:val="none"/>
              </w:rPr>
              <w:t>（或中标/成交通知书）等</w:t>
            </w:r>
            <w:r>
              <w:rPr>
                <w:rFonts w:hint="eastAsia" w:asciiTheme="minorEastAsia" w:hAnsiTheme="minorEastAsia" w:eastAsiaTheme="minorEastAsia" w:cstheme="minorEastAsia"/>
                <w:bCs/>
                <w:color w:val="auto"/>
                <w:kern w:val="2"/>
                <w:sz w:val="24"/>
                <w:szCs w:val="24"/>
                <w:highlight w:val="none"/>
                <w:lang w:val="en-US" w:eastAsia="zh-CN"/>
              </w:rPr>
              <w:t>有效</w:t>
            </w:r>
            <w:r>
              <w:rPr>
                <w:rFonts w:asciiTheme="minorEastAsia" w:hAnsiTheme="minorEastAsia" w:eastAsiaTheme="minorEastAsia" w:cstheme="minorEastAsia"/>
                <w:bCs/>
                <w:color w:val="auto"/>
                <w:kern w:val="2"/>
                <w:sz w:val="24"/>
                <w:szCs w:val="24"/>
                <w:highlight w:val="none"/>
              </w:rPr>
              <w:t>证明材料并加盖供应商公章，否则不予评分。</w:t>
            </w:r>
          </w:p>
        </w:tc>
      </w:tr>
      <w:tr w14:paraId="72FC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20" w:type="dxa"/>
            <w:gridSpan w:val="4"/>
            <w:tcBorders>
              <w:top w:val="single" w:color="auto" w:sz="4" w:space="0"/>
              <w:left w:val="single" w:color="auto" w:sz="4" w:space="0"/>
              <w:right w:val="single" w:color="auto" w:sz="4" w:space="0"/>
            </w:tcBorders>
            <w:vAlign w:val="center"/>
          </w:tcPr>
          <w:p w14:paraId="75B77368">
            <w:pPr>
              <w:pStyle w:val="17"/>
              <w:spacing w:line="400" w:lineRule="exact"/>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总得分＝价格分+技术分+商务分</w:t>
            </w:r>
          </w:p>
        </w:tc>
      </w:tr>
    </w:tbl>
    <w:p w14:paraId="08F9BD90">
      <w:pPr>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 w:val="24"/>
          <w:highlight w:val="none"/>
        </w:rPr>
        <w:t>由磋商小组根据综合评分情况，按照评审得分由高到低顺序推荐3名以上成交候选供应商，并编写评审报告。评审得分相同的，按照最后报价（不计算价格折扣）由低到高的顺序推荐。评审得分且最后报价（不计算价格折扣）相同的，依次按服务评分高的优先、商务评分高的优先的顺序确定成交候选供应商。</w:t>
      </w:r>
    </w:p>
    <w:p w14:paraId="25F1E3BA">
      <w:pPr>
        <w:spacing w:line="360" w:lineRule="auto"/>
        <w:ind w:firstLine="420" w:firstLineChars="200"/>
        <w:rPr>
          <w:rFonts w:hint="eastAsia" w:asciiTheme="minorEastAsia" w:hAnsiTheme="minorEastAsia" w:eastAsiaTheme="minorEastAsia" w:cstheme="minorEastAsia"/>
          <w:color w:val="auto"/>
          <w:highlight w:val="none"/>
        </w:rPr>
      </w:pPr>
      <w:bookmarkStart w:id="34" w:name="_Toc29529"/>
      <w:r>
        <w:rPr>
          <w:rFonts w:hint="eastAsia" w:asciiTheme="minorEastAsia" w:hAnsiTheme="minorEastAsia" w:eastAsiaTheme="minorEastAsia" w:cstheme="minorEastAsia"/>
          <w:color w:val="auto"/>
          <w:highlight w:val="none"/>
        </w:rPr>
        <w:br w:type="page"/>
      </w:r>
    </w:p>
    <w:p w14:paraId="135EB45E">
      <w:pPr>
        <w:pStyle w:val="3"/>
        <w:spacing w:before="0" w:after="0"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第五章 响应文件格式</w:t>
      </w:r>
      <w:bookmarkEnd w:id="34"/>
    </w:p>
    <w:p w14:paraId="4AFD5763">
      <w:pPr>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7FA0FCD6">
      <w:pPr>
        <w:spacing w:line="360" w:lineRule="auto"/>
        <w:ind w:firstLine="640" w:firstLineChars="200"/>
        <w:rPr>
          <w:rFonts w:hint="eastAsia" w:asciiTheme="minorEastAsia" w:hAnsiTheme="minorEastAsia" w:eastAsiaTheme="minorEastAsia" w:cstheme="minorEastAsia"/>
          <w:bCs/>
          <w:color w:val="auto"/>
          <w:sz w:val="32"/>
          <w:szCs w:val="32"/>
          <w:highlight w:val="none"/>
        </w:rPr>
      </w:pPr>
    </w:p>
    <w:p w14:paraId="74C400D5">
      <w:pPr>
        <w:spacing w:line="360" w:lineRule="auto"/>
        <w:ind w:firstLine="643" w:firstLineChars="200"/>
        <w:outlineLvl w:val="1"/>
        <w:rPr>
          <w:rFonts w:hint="eastAsia" w:asciiTheme="minorEastAsia" w:hAnsiTheme="minorEastAsia" w:eastAsiaTheme="minorEastAsia" w:cstheme="minorEastAsia"/>
          <w:b/>
          <w:color w:val="auto"/>
          <w:sz w:val="32"/>
          <w:szCs w:val="32"/>
          <w:highlight w:val="none"/>
        </w:rPr>
      </w:pPr>
      <w:bookmarkStart w:id="35" w:name="_Toc35611438"/>
      <w:bookmarkStart w:id="36" w:name="_Toc71365925"/>
      <w:bookmarkStart w:id="37" w:name="_Toc44229899"/>
      <w:bookmarkStart w:id="38" w:name="_Toc31728084"/>
      <w:bookmarkStart w:id="39" w:name="_Toc31723070"/>
      <w:bookmarkStart w:id="40" w:name="_Toc35611516"/>
      <w:r>
        <w:rPr>
          <w:rFonts w:hint="eastAsia" w:asciiTheme="minorEastAsia" w:hAnsiTheme="minorEastAsia" w:eastAsiaTheme="minorEastAsia" w:cstheme="minorEastAsia"/>
          <w:b/>
          <w:color w:val="auto"/>
          <w:sz w:val="32"/>
          <w:szCs w:val="32"/>
          <w:highlight w:val="none"/>
        </w:rPr>
        <w:t>一、资格证明文件格式</w:t>
      </w:r>
      <w:bookmarkEnd w:id="35"/>
      <w:bookmarkEnd w:id="36"/>
      <w:bookmarkEnd w:id="37"/>
      <w:bookmarkEnd w:id="38"/>
      <w:bookmarkEnd w:id="39"/>
      <w:bookmarkEnd w:id="40"/>
    </w:p>
    <w:p w14:paraId="6B96FA08">
      <w:pPr>
        <w:snapToGrid w:val="0"/>
        <w:spacing w:line="360" w:lineRule="auto"/>
        <w:ind w:firstLine="643" w:firstLineChars="200"/>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32"/>
          <w:szCs w:val="32"/>
          <w:highlight w:val="none"/>
        </w:rPr>
        <w:t>1.资格证明文件封面格式：</w:t>
      </w:r>
    </w:p>
    <w:p w14:paraId="74C5CA90">
      <w:pPr>
        <w:snapToGrid w:val="0"/>
        <w:spacing w:line="360" w:lineRule="auto"/>
        <w:ind w:firstLine="480" w:firstLineChars="200"/>
        <w:rPr>
          <w:rFonts w:hint="eastAsia" w:asciiTheme="minorEastAsia" w:hAnsiTheme="minorEastAsia" w:eastAsiaTheme="minorEastAsia" w:cstheme="minorEastAsia"/>
          <w:bCs/>
          <w:color w:val="auto"/>
          <w:sz w:val="32"/>
          <w:szCs w:val="20"/>
          <w:highlight w:val="none"/>
        </w:rPr>
      </w:pPr>
      <w:r>
        <w:rPr>
          <w:rFonts w:hint="eastAsia" w:asciiTheme="minorEastAsia" w:hAnsiTheme="minorEastAsia" w:eastAsiaTheme="minorEastAsia" w:cstheme="minorEastAsia"/>
          <w:color w:val="auto"/>
          <w:sz w:val="24"/>
          <w:highlight w:val="none"/>
        </w:rPr>
        <w:t xml:space="preserve">                                                    </w:t>
      </w:r>
    </w:p>
    <w:p w14:paraId="7C9B7A19">
      <w:pPr>
        <w:snapToGrid w:val="0"/>
        <w:spacing w:line="360" w:lineRule="auto"/>
        <w:ind w:firstLine="480" w:firstLineChars="200"/>
        <w:rPr>
          <w:rFonts w:hint="eastAsia" w:asciiTheme="minorEastAsia" w:hAnsiTheme="minorEastAsia" w:eastAsiaTheme="minorEastAsia" w:cstheme="minorEastAsia"/>
          <w:color w:val="auto"/>
          <w:sz w:val="24"/>
          <w:szCs w:val="20"/>
          <w:highlight w:val="none"/>
        </w:rPr>
      </w:pPr>
    </w:p>
    <w:p w14:paraId="22AD74E6">
      <w:pPr>
        <w:snapToGrid w:val="0"/>
        <w:spacing w:line="360" w:lineRule="auto"/>
        <w:ind w:firstLine="1680" w:firstLineChars="200"/>
        <w:rPr>
          <w:rFonts w:hint="eastAsia" w:asciiTheme="minorEastAsia" w:hAnsiTheme="minorEastAsia" w:eastAsiaTheme="minorEastAsia" w:cstheme="minorEastAsia"/>
          <w:bCs/>
          <w:color w:val="auto"/>
          <w:sz w:val="84"/>
          <w:szCs w:val="84"/>
          <w:highlight w:val="none"/>
        </w:rPr>
      </w:pPr>
      <w:r>
        <w:rPr>
          <w:rFonts w:hint="eastAsia" w:asciiTheme="minorEastAsia" w:hAnsiTheme="minorEastAsia" w:eastAsiaTheme="minorEastAsia" w:cstheme="minorEastAsia"/>
          <w:bCs/>
          <w:color w:val="auto"/>
          <w:sz w:val="84"/>
          <w:szCs w:val="84"/>
          <w:highlight w:val="none"/>
        </w:rPr>
        <w:t>响  应  文  件</w:t>
      </w:r>
    </w:p>
    <w:p w14:paraId="3DB34F7C">
      <w:pPr>
        <w:snapToGrid w:val="0"/>
        <w:spacing w:line="360" w:lineRule="auto"/>
        <w:ind w:firstLine="880" w:firstLineChars="200"/>
        <w:rPr>
          <w:rFonts w:hint="eastAsia" w:asciiTheme="minorEastAsia" w:hAnsiTheme="minorEastAsia" w:eastAsiaTheme="minorEastAsia" w:cstheme="minorEastAsia"/>
          <w:bCs/>
          <w:color w:val="auto"/>
          <w:sz w:val="44"/>
          <w:szCs w:val="44"/>
          <w:highlight w:val="none"/>
        </w:rPr>
      </w:pPr>
    </w:p>
    <w:p w14:paraId="109A7236">
      <w:pPr>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资  格  证  明  文  件</w:t>
      </w:r>
    </w:p>
    <w:p w14:paraId="28360B5B">
      <w:pPr>
        <w:snapToGrid w:val="0"/>
        <w:spacing w:line="360" w:lineRule="auto"/>
        <w:ind w:firstLine="480" w:firstLineChars="200"/>
        <w:rPr>
          <w:rFonts w:hint="eastAsia" w:asciiTheme="minorEastAsia" w:hAnsiTheme="minorEastAsia" w:eastAsiaTheme="minorEastAsia" w:cstheme="minorEastAsia"/>
          <w:bCs/>
          <w:color w:val="auto"/>
          <w:sz w:val="24"/>
          <w:szCs w:val="20"/>
          <w:highlight w:val="none"/>
        </w:rPr>
      </w:pPr>
    </w:p>
    <w:p w14:paraId="0E3CE4E4">
      <w:pPr>
        <w:snapToGrid w:val="0"/>
        <w:spacing w:line="360" w:lineRule="auto"/>
        <w:ind w:firstLine="440" w:firstLineChars="200"/>
        <w:rPr>
          <w:rFonts w:hint="eastAsia" w:asciiTheme="minorEastAsia" w:hAnsiTheme="minorEastAsia" w:eastAsiaTheme="minorEastAsia" w:cstheme="minorEastAsia"/>
          <w:bCs/>
          <w:color w:val="auto"/>
          <w:sz w:val="22"/>
          <w:szCs w:val="18"/>
          <w:highlight w:val="none"/>
        </w:rPr>
      </w:pPr>
    </w:p>
    <w:p w14:paraId="3ECC733A">
      <w:pPr>
        <w:snapToGrid w:val="0"/>
        <w:spacing w:line="360" w:lineRule="auto"/>
        <w:ind w:firstLine="440" w:firstLineChars="200"/>
        <w:rPr>
          <w:rFonts w:hint="eastAsia" w:asciiTheme="minorEastAsia" w:hAnsiTheme="minorEastAsia" w:eastAsiaTheme="minorEastAsia" w:cstheme="minorEastAsia"/>
          <w:bCs/>
          <w:color w:val="auto"/>
          <w:sz w:val="22"/>
          <w:szCs w:val="18"/>
          <w:highlight w:val="none"/>
        </w:rPr>
      </w:pPr>
    </w:p>
    <w:p w14:paraId="34C10EB0">
      <w:pPr>
        <w:snapToGrid w:val="0"/>
        <w:spacing w:line="360" w:lineRule="auto"/>
        <w:ind w:firstLine="560" w:firstLineChars="20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项目名称：</w:t>
      </w:r>
    </w:p>
    <w:p w14:paraId="2B78EC76">
      <w:pPr>
        <w:snapToGrid w:val="0"/>
        <w:spacing w:line="360" w:lineRule="auto"/>
        <w:ind w:firstLine="560" w:firstLineChars="20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项目编号：</w:t>
      </w:r>
    </w:p>
    <w:p w14:paraId="331C3CB3">
      <w:pPr>
        <w:snapToGrid w:val="0"/>
        <w:spacing w:line="360" w:lineRule="auto"/>
        <w:ind w:firstLine="560" w:firstLineChars="20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所竞分标（如有）：</w:t>
      </w:r>
    </w:p>
    <w:p w14:paraId="2AC5436B">
      <w:pPr>
        <w:snapToGrid w:val="0"/>
        <w:spacing w:line="360" w:lineRule="auto"/>
        <w:ind w:firstLine="560" w:firstLineChars="20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供应商名称：</w:t>
      </w:r>
    </w:p>
    <w:p w14:paraId="7E21869D">
      <w:pPr>
        <w:snapToGrid w:val="0"/>
        <w:spacing w:line="360" w:lineRule="auto"/>
        <w:ind w:firstLine="560" w:firstLineChars="200"/>
        <w:rPr>
          <w:rFonts w:hint="eastAsia" w:asciiTheme="minorEastAsia" w:hAnsiTheme="minorEastAsia" w:eastAsiaTheme="minorEastAsia" w:cstheme="minorEastAsia"/>
          <w:bCs/>
          <w:color w:val="auto"/>
          <w:sz w:val="28"/>
          <w:szCs w:val="28"/>
          <w:highlight w:val="none"/>
        </w:rPr>
      </w:pPr>
    </w:p>
    <w:p w14:paraId="0CEA9FC3">
      <w:pPr>
        <w:pStyle w:val="7"/>
        <w:snapToGrid w:val="0"/>
        <w:spacing w:line="360" w:lineRule="auto"/>
        <w:ind w:firstLine="560" w:firstLineChars="200"/>
        <w:rPr>
          <w:rFonts w:hint="eastAsia" w:asciiTheme="minorEastAsia" w:hAnsiTheme="minorEastAsia" w:eastAsiaTheme="minorEastAsia" w:cstheme="minorEastAsia"/>
          <w:bCs/>
          <w:color w:val="auto"/>
          <w:sz w:val="28"/>
          <w:szCs w:val="28"/>
          <w:highlight w:val="none"/>
        </w:rPr>
      </w:pPr>
    </w:p>
    <w:p w14:paraId="3657BE7D">
      <w:pPr>
        <w:pStyle w:val="7"/>
        <w:snapToGrid w:val="0"/>
        <w:spacing w:line="360" w:lineRule="auto"/>
        <w:ind w:firstLine="560" w:firstLineChars="200"/>
        <w:rPr>
          <w:rFonts w:hint="eastAsia" w:asciiTheme="minorEastAsia" w:hAnsiTheme="minorEastAsia" w:eastAsiaTheme="minorEastAsia" w:cstheme="minorEastAsia"/>
          <w:bCs/>
          <w:color w:val="auto"/>
          <w:sz w:val="28"/>
          <w:szCs w:val="28"/>
          <w:highlight w:val="none"/>
        </w:rPr>
      </w:pPr>
    </w:p>
    <w:p w14:paraId="43C6681A">
      <w:pPr>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年    月    日</w:t>
      </w:r>
    </w:p>
    <w:p w14:paraId="3DC0A763">
      <w:pPr>
        <w:snapToGrid w:val="0"/>
        <w:spacing w:line="360" w:lineRule="auto"/>
        <w:ind w:firstLine="440" w:firstLineChars="200"/>
        <w:outlineLvl w:val="2"/>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2"/>
          <w:szCs w:val="22"/>
          <w:highlight w:val="none"/>
        </w:rPr>
        <w:br w:type="page"/>
      </w:r>
      <w:r>
        <w:rPr>
          <w:rFonts w:hint="eastAsia" w:asciiTheme="minorEastAsia" w:hAnsiTheme="minorEastAsia" w:eastAsiaTheme="minorEastAsia" w:cstheme="minorEastAsia"/>
          <w:b/>
          <w:bCs/>
          <w:color w:val="auto"/>
          <w:sz w:val="32"/>
          <w:szCs w:val="32"/>
          <w:highlight w:val="none"/>
        </w:rPr>
        <w:t>2.资格证明文件目录</w:t>
      </w:r>
    </w:p>
    <w:p w14:paraId="10392ACA">
      <w:pPr>
        <w:snapToGrid w:val="0"/>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根据磋商文件规定及供应商提供的材料自行编写目录（部分格式后附）。</w:t>
      </w:r>
    </w:p>
    <w:p w14:paraId="5A2C15C5">
      <w:pPr>
        <w:snapToGrid w:val="0"/>
        <w:spacing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2"/>
          <w:szCs w:val="18"/>
          <w:highlight w:val="none"/>
        </w:rPr>
        <w:t xml:space="preserve"> </w:t>
      </w:r>
    </w:p>
    <w:p w14:paraId="7DAA01CA">
      <w:pPr>
        <w:spacing w:line="360" w:lineRule="auto"/>
        <w:ind w:firstLine="420" w:firstLineChars="200"/>
        <w:rPr>
          <w:rFonts w:hint="eastAsia" w:asciiTheme="minorEastAsia" w:hAnsiTheme="minorEastAsia" w:eastAsiaTheme="minorEastAsia" w:cstheme="minorEastAsia"/>
          <w:color w:val="auto"/>
          <w:szCs w:val="21"/>
          <w:highlight w:val="none"/>
        </w:rPr>
      </w:pPr>
    </w:p>
    <w:p w14:paraId="547CBE61">
      <w:pPr>
        <w:spacing w:line="360" w:lineRule="auto"/>
        <w:ind w:firstLine="420" w:firstLineChars="200"/>
        <w:rPr>
          <w:rFonts w:hint="eastAsia" w:asciiTheme="minorEastAsia" w:hAnsiTheme="minorEastAsia" w:eastAsiaTheme="minorEastAsia" w:cstheme="minorEastAsia"/>
          <w:color w:val="auto"/>
          <w:szCs w:val="21"/>
          <w:highlight w:val="none"/>
        </w:rPr>
      </w:pPr>
    </w:p>
    <w:p w14:paraId="291746ED">
      <w:pPr>
        <w:spacing w:line="360" w:lineRule="auto"/>
        <w:ind w:firstLine="420" w:firstLineChars="200"/>
        <w:rPr>
          <w:rFonts w:hint="eastAsia" w:asciiTheme="minorEastAsia" w:hAnsiTheme="minorEastAsia" w:eastAsiaTheme="minorEastAsia" w:cstheme="minorEastAsia"/>
          <w:color w:val="auto"/>
          <w:szCs w:val="21"/>
          <w:highlight w:val="none"/>
        </w:rPr>
      </w:pPr>
    </w:p>
    <w:p w14:paraId="562DC59E">
      <w:pPr>
        <w:spacing w:line="360" w:lineRule="auto"/>
        <w:ind w:firstLine="420" w:firstLineChars="200"/>
        <w:rPr>
          <w:rFonts w:hint="eastAsia" w:asciiTheme="minorEastAsia" w:hAnsiTheme="minorEastAsia" w:eastAsiaTheme="minorEastAsia" w:cstheme="minorEastAsia"/>
          <w:color w:val="auto"/>
          <w:szCs w:val="21"/>
          <w:highlight w:val="none"/>
        </w:rPr>
      </w:pPr>
    </w:p>
    <w:p w14:paraId="026FF5B8">
      <w:pPr>
        <w:spacing w:line="360" w:lineRule="auto"/>
        <w:ind w:firstLine="420" w:firstLineChars="200"/>
        <w:rPr>
          <w:rFonts w:hint="eastAsia" w:asciiTheme="minorEastAsia" w:hAnsiTheme="minorEastAsia" w:eastAsiaTheme="minorEastAsia" w:cstheme="minorEastAsia"/>
          <w:color w:val="auto"/>
          <w:szCs w:val="21"/>
          <w:highlight w:val="none"/>
        </w:rPr>
      </w:pPr>
    </w:p>
    <w:p w14:paraId="6101024B">
      <w:pPr>
        <w:spacing w:line="360" w:lineRule="auto"/>
        <w:ind w:firstLine="420" w:firstLineChars="200"/>
        <w:rPr>
          <w:rFonts w:hint="eastAsia" w:asciiTheme="minorEastAsia" w:hAnsiTheme="minorEastAsia" w:eastAsiaTheme="minorEastAsia" w:cstheme="minorEastAsia"/>
          <w:color w:val="auto"/>
          <w:szCs w:val="21"/>
          <w:highlight w:val="none"/>
        </w:rPr>
      </w:pPr>
    </w:p>
    <w:p w14:paraId="5C811A48">
      <w:pPr>
        <w:spacing w:line="360" w:lineRule="auto"/>
        <w:ind w:firstLine="420" w:firstLineChars="200"/>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szCs w:val="21"/>
          <w:highlight w:val="none"/>
        </w:rPr>
        <w:br w:type="page"/>
      </w:r>
    </w:p>
    <w:p w14:paraId="5CFEC373">
      <w:pPr>
        <w:spacing w:line="360" w:lineRule="auto"/>
        <w:ind w:firstLine="643" w:firstLineChars="200"/>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供应商直接控股、管理关系信息表</w:t>
      </w:r>
    </w:p>
    <w:p w14:paraId="57051453">
      <w:pPr>
        <w:spacing w:line="360" w:lineRule="auto"/>
        <w:ind w:firstLine="643" w:firstLineChars="200"/>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（一）供应商直接控股股东信息表</w:t>
      </w:r>
    </w:p>
    <w:p w14:paraId="52AA2783">
      <w:pPr>
        <w:snapToGrid w:val="0"/>
        <w:spacing w:line="360" w:lineRule="auto"/>
        <w:ind w:firstLine="482" w:firstLineChars="200"/>
        <w:rPr>
          <w:rFonts w:hint="eastAsia" w:asciiTheme="minorEastAsia" w:hAnsiTheme="minorEastAsia" w:eastAsiaTheme="minorEastAsia" w:cstheme="minorEastAsia"/>
          <w:b/>
          <w:color w:val="auto"/>
          <w:sz w:val="24"/>
          <w:highlight w:val="none"/>
        </w:rPr>
      </w:pPr>
    </w:p>
    <w:p w14:paraId="1433AD6A">
      <w:pPr>
        <w:spacing w:line="360" w:lineRule="auto"/>
        <w:ind w:firstLine="482" w:firstLineChars="200"/>
        <w:contextualSpacing/>
        <w:rPr>
          <w:rFonts w:hint="eastAsia" w:asciiTheme="minorEastAsia" w:hAnsiTheme="minorEastAsia" w:eastAsiaTheme="minorEastAsia" w:cstheme="minorEastAsia"/>
          <w:b/>
          <w:color w:val="auto"/>
          <w:sz w:val="24"/>
          <w:highlight w:val="none"/>
        </w:rPr>
      </w:pPr>
    </w:p>
    <w:tbl>
      <w:tblPr>
        <w:tblStyle w:val="31"/>
        <w:tblW w:w="9557" w:type="dxa"/>
        <w:jc w:val="center"/>
        <w:shd w:val="clear" w:color="auto" w:fill="FBFBFB"/>
        <w:tblLayout w:type="fixed"/>
        <w:tblCellMar>
          <w:top w:w="0" w:type="dxa"/>
          <w:left w:w="0" w:type="dxa"/>
          <w:bottom w:w="0" w:type="dxa"/>
          <w:right w:w="0" w:type="dxa"/>
        </w:tblCellMar>
      </w:tblPr>
      <w:tblGrid>
        <w:gridCol w:w="828"/>
        <w:gridCol w:w="2500"/>
        <w:gridCol w:w="1371"/>
        <w:gridCol w:w="4039"/>
        <w:gridCol w:w="819"/>
      </w:tblGrid>
      <w:tr w14:paraId="42A6A136">
        <w:tblPrEx>
          <w:shd w:val="clear" w:color="auto" w:fill="FBFBFB"/>
          <w:tblCellMar>
            <w:top w:w="0" w:type="dxa"/>
            <w:left w:w="0" w:type="dxa"/>
            <w:bottom w:w="0" w:type="dxa"/>
            <w:right w:w="0" w:type="dxa"/>
          </w:tblCellMar>
        </w:tblPrEx>
        <w:trPr>
          <w:trHeight w:val="567" w:hRule="atLeast"/>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04E52D">
            <w:pPr>
              <w:widowControl/>
              <w:spacing w:line="400" w:lineRule="exact"/>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61E44F">
            <w:pPr>
              <w:widowControl/>
              <w:spacing w:line="400" w:lineRule="exact"/>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直接控股股东名称</w:t>
            </w: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EAA1EE">
            <w:pPr>
              <w:widowControl/>
              <w:spacing w:line="400" w:lineRule="exact"/>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出资比例</w:t>
            </w: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24B74A">
            <w:pPr>
              <w:widowControl/>
              <w:spacing w:line="400" w:lineRule="exact"/>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身份证号码或者统一社会信用代码</w:t>
            </w: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E21DC5">
            <w:pPr>
              <w:widowControl/>
              <w:spacing w:line="400" w:lineRule="exact"/>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6FF8ECEC">
        <w:tblPrEx>
          <w:tblCellMar>
            <w:top w:w="0" w:type="dxa"/>
            <w:left w:w="0" w:type="dxa"/>
            <w:bottom w:w="0" w:type="dxa"/>
            <w:right w:w="0"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BC269E">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A7B23B">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1624F0">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5B441B">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6EB098">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r>
      <w:tr w14:paraId="5782C63D">
        <w:tblPrEx>
          <w:tblCellMar>
            <w:top w:w="0" w:type="dxa"/>
            <w:left w:w="0" w:type="dxa"/>
            <w:bottom w:w="0" w:type="dxa"/>
            <w:right w:w="0"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52CFE1">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E8CB32">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7BF1A7">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299D17">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5F1788">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r>
      <w:tr w14:paraId="526D9C52">
        <w:tblPrEx>
          <w:tblCellMar>
            <w:top w:w="0" w:type="dxa"/>
            <w:left w:w="0" w:type="dxa"/>
            <w:bottom w:w="0" w:type="dxa"/>
            <w:right w:w="0"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7A9F9C">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C8FFBF">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871B24">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831B78">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85C750">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r>
    </w:tbl>
    <w:p w14:paraId="76B37E89">
      <w:pPr>
        <w:spacing w:line="360" w:lineRule="auto"/>
        <w:ind w:firstLine="482" w:firstLineChars="200"/>
        <w:contextualSpacing/>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w:t>
      </w:r>
    </w:p>
    <w:p w14:paraId="05354F0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0F359F9">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2.本表所指的控股关系仅限于直接控股关系，不包括间接的控股关系。公司实际控制人与公司之间的关系不属于本表所指的直接控股关系。</w:t>
      </w:r>
    </w:p>
    <w:p w14:paraId="225FB672">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3.供应商不存在直接控股股东的，则填“无”。</w:t>
      </w:r>
    </w:p>
    <w:p w14:paraId="0E5FB94E">
      <w:pPr>
        <w:snapToGrid w:val="0"/>
        <w:spacing w:line="360" w:lineRule="auto"/>
        <w:ind w:firstLine="480" w:firstLineChars="200"/>
        <w:rPr>
          <w:rFonts w:hint="eastAsia" w:asciiTheme="minorEastAsia" w:hAnsiTheme="minorEastAsia" w:eastAsiaTheme="minorEastAsia" w:cstheme="minorEastAsia"/>
          <w:color w:val="auto"/>
          <w:sz w:val="24"/>
          <w:highlight w:val="none"/>
        </w:rPr>
      </w:pPr>
    </w:p>
    <w:p w14:paraId="75D649E7">
      <w:pPr>
        <w:snapToGrid w:val="0"/>
        <w:spacing w:line="360" w:lineRule="auto"/>
        <w:ind w:firstLine="480" w:firstLineChars="200"/>
        <w:rPr>
          <w:rFonts w:hint="eastAsia" w:asciiTheme="minorEastAsia" w:hAnsiTheme="minorEastAsia" w:eastAsiaTheme="minorEastAsia" w:cstheme="minorEastAsia"/>
          <w:color w:val="auto"/>
          <w:sz w:val="24"/>
          <w:highlight w:val="none"/>
        </w:rPr>
      </w:pPr>
    </w:p>
    <w:p w14:paraId="6FBAC862">
      <w:pPr>
        <w:snapToGrid w:val="0"/>
        <w:spacing w:line="360" w:lineRule="auto"/>
        <w:ind w:firstLine="480" w:firstLineChars="200"/>
        <w:rPr>
          <w:rFonts w:hint="eastAsia" w:asciiTheme="minorEastAsia" w:hAnsiTheme="minorEastAsia" w:eastAsiaTheme="minorEastAsia" w:cstheme="minorEastAsia"/>
          <w:color w:val="auto"/>
          <w:sz w:val="24"/>
          <w:highlight w:val="none"/>
        </w:rPr>
      </w:pPr>
    </w:p>
    <w:p w14:paraId="6E94CDCC">
      <w:pPr>
        <w:snapToGrid w:val="0"/>
        <w:spacing w:line="360" w:lineRule="auto"/>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法定代表人或者委托代理人（签字）：</w:t>
      </w:r>
      <w:r>
        <w:rPr>
          <w:rFonts w:hint="eastAsia" w:asciiTheme="minorEastAsia" w:hAnsiTheme="minorEastAsia" w:eastAsiaTheme="minorEastAsia" w:cstheme="minorEastAsia"/>
          <w:color w:val="auto"/>
          <w:sz w:val="24"/>
          <w:highlight w:val="none"/>
          <w:u w:val="single"/>
        </w:rPr>
        <w:t xml:space="preserve">                </w:t>
      </w:r>
    </w:p>
    <w:p w14:paraId="60EECDB0">
      <w:pPr>
        <w:snapToGrid w:val="0"/>
        <w:spacing w:line="360" w:lineRule="auto"/>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供应商（公章）：</w:t>
      </w:r>
      <w:r>
        <w:rPr>
          <w:rFonts w:hint="eastAsia" w:asciiTheme="minorEastAsia" w:hAnsiTheme="minorEastAsia" w:eastAsiaTheme="minorEastAsia" w:cstheme="minorEastAsia"/>
          <w:color w:val="auto"/>
          <w:sz w:val="24"/>
          <w:highlight w:val="none"/>
          <w:u w:val="single"/>
        </w:rPr>
        <w:t xml:space="preserve">                           </w:t>
      </w:r>
    </w:p>
    <w:p w14:paraId="70D69DA4">
      <w:pPr>
        <w:snapToGrid w:val="0"/>
        <w:spacing w:line="360" w:lineRule="auto"/>
        <w:ind w:firstLine="48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03A80E95">
      <w:pPr>
        <w:snapToGrid w:val="0"/>
        <w:spacing w:line="360" w:lineRule="auto"/>
        <w:ind w:firstLine="562" w:firstLineChars="20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p>
    <w:p w14:paraId="5F275318">
      <w:pPr>
        <w:spacing w:line="360" w:lineRule="auto"/>
        <w:ind w:firstLine="643" w:firstLineChars="200"/>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（二）供应商直接管理关系信息表</w:t>
      </w:r>
    </w:p>
    <w:p w14:paraId="2EFD78E3">
      <w:pPr>
        <w:snapToGrid w:val="0"/>
        <w:spacing w:line="360" w:lineRule="auto"/>
        <w:ind w:firstLine="482" w:firstLineChars="200"/>
        <w:rPr>
          <w:rFonts w:hint="eastAsia" w:asciiTheme="minorEastAsia" w:hAnsiTheme="minorEastAsia" w:eastAsiaTheme="minorEastAsia" w:cstheme="minorEastAsia"/>
          <w:b/>
          <w:color w:val="auto"/>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2A9F3C0">
        <w:tblPrEx>
          <w:shd w:val="clear" w:color="auto" w:fill="FBFBFB"/>
          <w:tblCellMar>
            <w:top w:w="0" w:type="dxa"/>
            <w:left w:w="0" w:type="dxa"/>
            <w:bottom w:w="0" w:type="dxa"/>
            <w:right w:w="0" w:type="dxa"/>
          </w:tblCellMar>
        </w:tblPrEx>
        <w:trPr>
          <w:trHeight w:val="567" w:hRule="atLeast"/>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CE56AC">
            <w:pPr>
              <w:widowControl/>
              <w:spacing w:line="400" w:lineRule="exact"/>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E4A6D2">
            <w:pPr>
              <w:widowControl/>
              <w:spacing w:line="400" w:lineRule="exact"/>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B84936">
            <w:pPr>
              <w:widowControl/>
              <w:spacing w:line="400" w:lineRule="exact"/>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D6289E">
            <w:pPr>
              <w:widowControl/>
              <w:spacing w:line="400" w:lineRule="exact"/>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0C4921F8">
        <w:tblPrEx>
          <w:shd w:val="clear" w:color="auto" w:fill="FBFBFB"/>
          <w:tblCellMar>
            <w:top w:w="0" w:type="dxa"/>
            <w:left w:w="0" w:type="dxa"/>
            <w:bottom w:w="0" w:type="dxa"/>
            <w:right w:w="0" w:type="dxa"/>
          </w:tblCellMar>
        </w:tblPrEx>
        <w:trPr>
          <w:trHeight w:val="567" w:hRule="atLeast"/>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82A640">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42A0FC">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848363">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919F6B">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r>
      <w:tr w14:paraId="454480B0">
        <w:tblPrEx>
          <w:tblCellMar>
            <w:top w:w="0" w:type="dxa"/>
            <w:left w:w="0" w:type="dxa"/>
            <w:bottom w:w="0" w:type="dxa"/>
            <w:right w:w="0" w:type="dxa"/>
          </w:tblCellMar>
        </w:tblPrEx>
        <w:trPr>
          <w:trHeight w:val="567" w:hRule="atLeast"/>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AF28E7">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EDB7D2">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3520D5">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B68B62">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r>
      <w:tr w14:paraId="60033EF9">
        <w:tblPrEx>
          <w:tblCellMar>
            <w:top w:w="0" w:type="dxa"/>
            <w:left w:w="0" w:type="dxa"/>
            <w:bottom w:w="0" w:type="dxa"/>
            <w:right w:w="0" w:type="dxa"/>
          </w:tblCellMar>
        </w:tblPrEx>
        <w:trPr>
          <w:trHeight w:val="567" w:hRule="atLeast"/>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B0F027">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AB4973">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15C86F">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F59B06">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r>
      <w:tr w14:paraId="0EA3E423">
        <w:tblPrEx>
          <w:tblCellMar>
            <w:top w:w="0" w:type="dxa"/>
            <w:left w:w="0" w:type="dxa"/>
            <w:bottom w:w="0" w:type="dxa"/>
            <w:right w:w="0" w:type="dxa"/>
          </w:tblCellMar>
        </w:tblPrEx>
        <w:trPr>
          <w:trHeight w:val="567" w:hRule="atLeast"/>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511B64">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76C113">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07E83B">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DEC579">
            <w:pPr>
              <w:widowControl/>
              <w:spacing w:line="400" w:lineRule="exact"/>
              <w:contextualSpacing/>
              <w:jc w:val="center"/>
              <w:rPr>
                <w:rFonts w:hint="eastAsia" w:asciiTheme="minorEastAsia" w:hAnsiTheme="minorEastAsia" w:eastAsiaTheme="minorEastAsia" w:cstheme="minorEastAsia"/>
                <w:color w:val="auto"/>
                <w:kern w:val="0"/>
                <w:sz w:val="24"/>
                <w:highlight w:val="none"/>
              </w:rPr>
            </w:pPr>
          </w:p>
        </w:tc>
      </w:tr>
    </w:tbl>
    <w:p w14:paraId="479AC26C">
      <w:pPr>
        <w:spacing w:line="360" w:lineRule="auto"/>
        <w:ind w:firstLine="482" w:firstLineChars="200"/>
        <w:contextualSpacing/>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w:t>
      </w:r>
    </w:p>
    <w:p w14:paraId="4B1BC8E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1.管理关系：是指不具有出资持股关系的其他单位之间存在的管理与被管理关系，如一些上下级关系的事业单位和团体组织。</w:t>
      </w:r>
    </w:p>
    <w:p w14:paraId="62021BD8">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2.本表所指的管理关系仅限于直接管理关系，不包括间接的管理关系。</w:t>
      </w:r>
    </w:p>
    <w:p w14:paraId="1D0915F5">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3.供应商不存在直接管理关系的，则填“无”。</w:t>
      </w:r>
    </w:p>
    <w:p w14:paraId="51AB0D1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06E4A405">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2F542C86">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2CE4192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4221E43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2B760EF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7CA1A9E2">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法定代表人或者委托代理人（签字）：</w:t>
      </w:r>
      <w:r>
        <w:rPr>
          <w:rFonts w:hint="eastAsia" w:asciiTheme="minorEastAsia" w:hAnsiTheme="minorEastAsia" w:eastAsiaTheme="minorEastAsia" w:cstheme="minorEastAsia"/>
          <w:color w:val="auto"/>
          <w:sz w:val="24"/>
          <w:highlight w:val="none"/>
          <w:u w:val="single"/>
        </w:rPr>
        <w:t xml:space="preserve">               </w:t>
      </w:r>
    </w:p>
    <w:p w14:paraId="0B95F4D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供应商（公章）：</w:t>
      </w:r>
      <w:r>
        <w:rPr>
          <w:rFonts w:hint="eastAsia" w:asciiTheme="minorEastAsia" w:hAnsiTheme="minorEastAsia" w:eastAsiaTheme="minorEastAsia" w:cstheme="minorEastAsia"/>
          <w:color w:val="auto"/>
          <w:sz w:val="24"/>
          <w:highlight w:val="none"/>
          <w:u w:val="single"/>
        </w:rPr>
        <w:t xml:space="preserve">                </w:t>
      </w:r>
    </w:p>
    <w:p w14:paraId="5C68DA3A">
      <w:pPr>
        <w:spacing w:line="360" w:lineRule="auto"/>
        <w:ind w:firstLine="480" w:firstLineChars="200"/>
        <w:contextualSpacing/>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4"/>
          <w:highlight w:val="none"/>
        </w:rPr>
        <w:t xml:space="preserve">          日期：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2CB6DE15">
      <w:pPr>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sz w:val="28"/>
          <w:szCs w:val="28"/>
          <w:highlight w:val="none"/>
        </w:rPr>
        <w:br w:type="page"/>
      </w:r>
      <w:r>
        <w:rPr>
          <w:rFonts w:hint="eastAsia" w:asciiTheme="minorEastAsia" w:hAnsiTheme="minorEastAsia" w:eastAsiaTheme="minorEastAsia" w:cstheme="minorEastAsia"/>
          <w:b/>
          <w:color w:val="auto"/>
          <w:sz w:val="32"/>
          <w:szCs w:val="32"/>
          <w:highlight w:val="none"/>
        </w:rPr>
        <w:t>参与竞争性磋商声明</w:t>
      </w:r>
    </w:p>
    <w:p w14:paraId="12BC8C6A">
      <w:pPr>
        <w:spacing w:line="360" w:lineRule="auto"/>
        <w:ind w:firstLine="480" w:firstLineChars="200"/>
        <w:rPr>
          <w:rFonts w:hint="eastAsia" w:asciiTheme="minorEastAsia" w:hAnsiTheme="minorEastAsia" w:eastAsiaTheme="minorEastAsia" w:cstheme="minorEastAsia"/>
          <w:color w:val="auto"/>
          <w:sz w:val="24"/>
          <w:szCs w:val="20"/>
          <w:highlight w:val="none"/>
        </w:rPr>
      </w:pPr>
    </w:p>
    <w:p w14:paraId="1A96F7AD">
      <w:pPr>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（采购人名称）</w:t>
      </w:r>
      <w:r>
        <w:rPr>
          <w:rFonts w:hint="eastAsia" w:asciiTheme="minorEastAsia" w:hAnsiTheme="minorEastAsia" w:eastAsiaTheme="minorEastAsia" w:cstheme="minorEastAsia"/>
          <w:color w:val="auto"/>
          <w:sz w:val="24"/>
          <w:highlight w:val="none"/>
        </w:rPr>
        <w:t>：</w:t>
      </w:r>
    </w:p>
    <w:p w14:paraId="1446917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（供应商名称）</w:t>
      </w:r>
      <w:r>
        <w:rPr>
          <w:rFonts w:hint="eastAsia" w:asciiTheme="minorEastAsia" w:hAnsiTheme="minorEastAsia" w:eastAsiaTheme="minorEastAsia" w:cstheme="minorEastAsia"/>
          <w:color w:val="auto"/>
          <w:sz w:val="24"/>
          <w:highlight w:val="none"/>
        </w:rPr>
        <w:t>系中华人民共和国合法供应商，经营地址</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3EEB5339">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我方愿意参加贵方组织的</w:t>
      </w:r>
      <w:r>
        <w:rPr>
          <w:rFonts w:hint="eastAsia" w:asciiTheme="minorEastAsia" w:hAnsiTheme="minorEastAsia" w:eastAsiaTheme="minorEastAsia" w:cstheme="minorEastAsia"/>
          <w:color w:val="auto"/>
          <w:sz w:val="24"/>
          <w:highlight w:val="none"/>
          <w:u w:val="single"/>
        </w:rPr>
        <w:t>灵山县人民医院营养饭堂营养品供应服务</w:t>
      </w:r>
      <w:r>
        <w:rPr>
          <w:rFonts w:hint="eastAsia" w:asciiTheme="minorEastAsia" w:hAnsiTheme="minorEastAsia" w:eastAsiaTheme="minorEastAsia" w:cstheme="minorEastAsia"/>
          <w:color w:val="auto"/>
          <w:sz w:val="24"/>
          <w:highlight w:val="none"/>
        </w:rPr>
        <w:t>项目的竞争性磋商，为便于贵方公正、择优地确定成交供应商及其参与竞争性磋商提供的产品和服务，我方就本次参与竞争性磋商有关事项郑重声明如下：</w:t>
      </w:r>
    </w:p>
    <w:p w14:paraId="2BA698A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1.我方向贵方提交的所有响应文件、资料都是准确的和真实的。</w:t>
      </w:r>
    </w:p>
    <w:p w14:paraId="6680776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2.我方不是为本次采购项目提供整体设计、规范编制或者项目管理、监理、检测等服务的供应商。</w:t>
      </w:r>
    </w:p>
    <w:p w14:paraId="0EB81072">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3.在此，我方宣布同意如下：</w:t>
      </w:r>
    </w:p>
    <w:p w14:paraId="09F8F4F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（1）将按磋商文件的约定履行合同责任和义务；</w:t>
      </w:r>
    </w:p>
    <w:p w14:paraId="148A332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（2）已详细审查全部磋商文件，包括澄清或者更正公告（如有）；</w:t>
      </w:r>
    </w:p>
    <w:p w14:paraId="3DA13EE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（3）同意提供按照贵方可能要求的与磋商有关的一切数据或者资料；</w:t>
      </w:r>
    </w:p>
    <w:p w14:paraId="71272F3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（4）响应磋商文件规定的竞争性磋商有效期。</w:t>
      </w:r>
    </w:p>
    <w:p w14:paraId="43FF95A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4.我方承诺符合《中华人民共和国政府采购法》第二十二条规定：</w:t>
      </w:r>
    </w:p>
    <w:p w14:paraId="73C3F11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（1）具有独立承担民事责任的能力；</w:t>
      </w:r>
    </w:p>
    <w:p w14:paraId="6092C05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（2）具有良好的商业信誉和健全的财务会计制度；</w:t>
      </w:r>
    </w:p>
    <w:p w14:paraId="1D0A23E5">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（3）具有履行合同所必需的设备和专业技术能力；</w:t>
      </w:r>
    </w:p>
    <w:p w14:paraId="4F77BB7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（4）有依法缴纳税收和社会保障资金的良好记录；</w:t>
      </w:r>
    </w:p>
    <w:p w14:paraId="32F300D0">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（5）参加政府采购活动前三年内，在经营活动中没有重大违法记录；</w:t>
      </w:r>
    </w:p>
    <w:p w14:paraId="7343910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（6）法律、行政法规规定的其他条件。</w:t>
      </w:r>
    </w:p>
    <w:p w14:paraId="0B9C7483">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E0C98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D8B5833">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内容中</w:t>
      </w:r>
      <w:r>
        <w:rPr>
          <w:rFonts w:hint="eastAsia" w:asciiTheme="minorEastAsia" w:hAnsiTheme="minorEastAsia" w:eastAsiaTheme="minorEastAsia" w:cstheme="minorEastAsia"/>
          <w:color w:val="auto"/>
          <w:sz w:val="24"/>
          <w:highlight w:val="none"/>
        </w:rPr>
        <w:t>未</w:t>
      </w:r>
      <w:r>
        <w:rPr>
          <w:rFonts w:hint="eastAsia" w:asciiTheme="minorEastAsia" w:hAnsiTheme="minorEastAsia" w:eastAsiaTheme="minorEastAsia" w:cstheme="minorEastAsia"/>
          <w:color w:val="auto"/>
          <w:kern w:val="0"/>
          <w:sz w:val="24"/>
          <w:highlight w:val="none"/>
        </w:rPr>
        <w:t>涉及商业秘密；</w:t>
      </w:r>
    </w:p>
    <w:p w14:paraId="28423A3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涉及商业秘密的内容有：</w:t>
      </w:r>
      <w:r>
        <w:rPr>
          <w:rFonts w:hint="eastAsia" w:asciiTheme="minorEastAsia" w:hAnsiTheme="minorEastAsia" w:eastAsiaTheme="minorEastAsia" w:cstheme="minorEastAsia"/>
          <w:color w:val="auto"/>
          <w:kern w:val="0"/>
          <w:sz w:val="24"/>
          <w:highlight w:val="none"/>
          <w:u w:val="single"/>
        </w:rPr>
        <w:t xml:space="preserve">                         </w:t>
      </w:r>
      <w:r>
        <w:rPr>
          <w:rFonts w:hint="eastAsia" w:asciiTheme="minorEastAsia" w:hAnsiTheme="minorEastAsia" w:eastAsiaTheme="minorEastAsia" w:cstheme="minorEastAsia"/>
          <w:color w:val="auto"/>
          <w:kern w:val="0"/>
          <w:sz w:val="24"/>
          <w:highlight w:val="none"/>
        </w:rPr>
        <w:t>；</w:t>
      </w:r>
    </w:p>
    <w:p w14:paraId="68C2348D">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7.与本磋商有关的一切正式往来信函请寄：</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邮政编码：</w:t>
      </w:r>
      <w:r>
        <w:rPr>
          <w:rFonts w:hint="eastAsia" w:asciiTheme="minorEastAsia" w:hAnsiTheme="minorEastAsia" w:eastAsiaTheme="minorEastAsia" w:cstheme="minorEastAsia"/>
          <w:color w:val="auto"/>
          <w:sz w:val="24"/>
          <w:szCs w:val="24"/>
          <w:highlight w:val="none"/>
          <w:u w:val="single"/>
        </w:rPr>
        <w:t xml:space="preserve">        </w:t>
      </w:r>
    </w:p>
    <w:p w14:paraId="750C1E2A">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电话/传真：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电子函件：</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7B1BCC2A">
      <w:pPr>
        <w:pStyle w:val="16"/>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账号：</w:t>
      </w:r>
      <w:r>
        <w:rPr>
          <w:rFonts w:hint="eastAsia" w:asciiTheme="minorEastAsia" w:hAnsiTheme="minorEastAsia" w:eastAsiaTheme="minorEastAsia" w:cstheme="minorEastAsia"/>
          <w:color w:val="auto"/>
          <w:sz w:val="24"/>
          <w:highlight w:val="none"/>
          <w:u w:val="single"/>
        </w:rPr>
        <w:t xml:space="preserve">                               </w:t>
      </w:r>
    </w:p>
    <w:p w14:paraId="4B0BE581">
      <w:pPr>
        <w:pStyle w:val="16"/>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8.以上事项如有虚假或者隐瞒，我方愿意承担一切后果，并不再寻求任何旨在减轻或者免除法律责任的辩解。</w:t>
      </w:r>
    </w:p>
    <w:p w14:paraId="321DA431">
      <w:pPr>
        <w:pStyle w:val="16"/>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9.我方若参与竞争性磋商成功，除非发生不可抗力，承诺与采购人及时签订《合同书》。如果放弃，自愿按照本磋商文件之《供应商须知正文》条款第27.3条的要求承担法律责任和失信惩戒。</w:t>
      </w:r>
    </w:p>
    <w:p w14:paraId="7DAC8E78">
      <w:pPr>
        <w:pStyle w:val="16"/>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特此承诺。</w:t>
      </w:r>
    </w:p>
    <w:p w14:paraId="529B0598">
      <w:pPr>
        <w:pStyle w:val="16"/>
        <w:tabs>
          <w:tab w:val="left" w:pos="939"/>
        </w:tabs>
        <w:spacing w:line="360" w:lineRule="auto"/>
        <w:ind w:left="0" w:leftChars="0"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注：如为联合体参与竞争性磋商，盖章处须加盖联合体各方公章并由联合体各方法定代表人签署，否则其响应文件按无效响应处理。</w:t>
      </w:r>
    </w:p>
    <w:p w14:paraId="22D119C2">
      <w:pPr>
        <w:pStyle w:val="16"/>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p>
    <w:p w14:paraId="2A22BFBD">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法定代表人（签字）：</w:t>
      </w:r>
      <w:r>
        <w:rPr>
          <w:rFonts w:hint="eastAsia" w:asciiTheme="minorEastAsia" w:hAnsiTheme="minorEastAsia" w:eastAsiaTheme="minorEastAsia" w:cstheme="minorEastAsia"/>
          <w:color w:val="auto"/>
          <w:sz w:val="24"/>
          <w:highlight w:val="none"/>
          <w:u w:val="single"/>
        </w:rPr>
        <w:t xml:space="preserve">                </w:t>
      </w:r>
    </w:p>
    <w:p w14:paraId="67D82CB6">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 xml:space="preserve">         供应商（公章）：</w:t>
      </w:r>
      <w:r>
        <w:rPr>
          <w:rFonts w:hint="eastAsia" w:asciiTheme="minorEastAsia" w:hAnsiTheme="minorEastAsia" w:eastAsiaTheme="minorEastAsia" w:cstheme="minorEastAsia"/>
          <w:color w:val="auto"/>
          <w:sz w:val="24"/>
          <w:highlight w:val="none"/>
          <w:u w:val="single"/>
        </w:rPr>
        <w:t xml:space="preserve">                           </w:t>
      </w:r>
    </w:p>
    <w:p w14:paraId="094BBF9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日期：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585B44D7">
      <w:pPr>
        <w:snapToGrid w:val="0"/>
        <w:spacing w:line="360" w:lineRule="auto"/>
        <w:ind w:firstLine="480" w:firstLineChars="200"/>
        <w:outlineLvl w:val="1"/>
        <w:rPr>
          <w:rFonts w:hint="eastAsia" w:asciiTheme="minorEastAsia" w:hAnsiTheme="minorEastAsia" w:eastAsiaTheme="minorEastAsia" w:cstheme="minorEastAsia"/>
          <w:b/>
          <w:bCs/>
          <w:color w:val="auto"/>
          <w:sz w:val="32"/>
          <w:szCs w:val="32"/>
          <w:highlight w:val="none"/>
        </w:rPr>
        <w:sectPr>
          <w:headerReference r:id="rId8" w:type="first"/>
          <w:footerReference r:id="rId10" w:type="first"/>
          <w:headerReference r:id="rId7" w:type="default"/>
          <w:footerReference r:id="rId9" w:type="default"/>
          <w:pgSz w:w="11906" w:h="16838"/>
          <w:pgMar w:top="1134" w:right="1134" w:bottom="1134" w:left="1134" w:header="851" w:footer="567" w:gutter="0"/>
          <w:cols w:space="720" w:num="1"/>
          <w:titlePg/>
          <w:docGrid w:type="lines" w:linePitch="312" w:charSpace="0"/>
        </w:sectPr>
      </w:pPr>
      <w:r>
        <w:rPr>
          <w:rFonts w:hint="eastAsia" w:asciiTheme="minorEastAsia" w:hAnsiTheme="minorEastAsia" w:eastAsiaTheme="minorEastAsia" w:cstheme="minorEastAsia"/>
          <w:color w:val="auto"/>
          <w:sz w:val="24"/>
          <w:highlight w:val="none"/>
        </w:rPr>
        <w:br w:type="page"/>
      </w:r>
    </w:p>
    <w:p w14:paraId="5905DCEA">
      <w:pPr>
        <w:snapToGrid w:val="0"/>
        <w:spacing w:line="360" w:lineRule="auto"/>
        <w:ind w:firstLine="643" w:firstLineChars="200"/>
        <w:outlineLvl w:val="1"/>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bCs/>
          <w:color w:val="auto"/>
          <w:sz w:val="32"/>
          <w:szCs w:val="32"/>
          <w:highlight w:val="none"/>
        </w:rPr>
        <w:t>二、</w:t>
      </w:r>
      <w:r>
        <w:rPr>
          <w:rFonts w:hint="eastAsia" w:asciiTheme="minorEastAsia" w:hAnsiTheme="minorEastAsia" w:eastAsiaTheme="minorEastAsia" w:cstheme="minorEastAsia"/>
          <w:b/>
          <w:color w:val="auto"/>
          <w:sz w:val="32"/>
          <w:szCs w:val="32"/>
          <w:highlight w:val="none"/>
        </w:rPr>
        <w:t>报价商务技术文件格式</w:t>
      </w:r>
    </w:p>
    <w:p w14:paraId="7572D352">
      <w:pPr>
        <w:snapToGrid w:val="0"/>
        <w:spacing w:line="360" w:lineRule="auto"/>
        <w:ind w:firstLine="643" w:firstLineChars="200"/>
        <w:outlineLvl w:val="2"/>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1.报价商务技术文件封面格式</w:t>
      </w:r>
    </w:p>
    <w:p w14:paraId="2FE6BEA5">
      <w:pPr>
        <w:snapToGrid w:val="0"/>
        <w:spacing w:line="360" w:lineRule="auto"/>
        <w:ind w:firstLine="480" w:firstLineChars="200"/>
        <w:rPr>
          <w:rFonts w:hint="eastAsia" w:asciiTheme="minorEastAsia" w:hAnsiTheme="minorEastAsia" w:eastAsiaTheme="minorEastAsia" w:cstheme="minorEastAsia"/>
          <w:bCs/>
          <w:color w:val="auto"/>
          <w:sz w:val="32"/>
          <w:szCs w:val="20"/>
          <w:highlight w:val="none"/>
        </w:rPr>
      </w:pPr>
      <w:r>
        <w:rPr>
          <w:rFonts w:hint="eastAsia" w:asciiTheme="minorEastAsia" w:hAnsiTheme="minorEastAsia" w:eastAsiaTheme="minorEastAsia" w:cstheme="minorEastAsia"/>
          <w:color w:val="auto"/>
          <w:sz w:val="24"/>
          <w:highlight w:val="none"/>
        </w:rPr>
        <w:t xml:space="preserve">                                                   </w:t>
      </w:r>
    </w:p>
    <w:p w14:paraId="2C2F1379">
      <w:pPr>
        <w:snapToGrid w:val="0"/>
        <w:spacing w:line="360" w:lineRule="auto"/>
        <w:ind w:firstLine="480" w:firstLineChars="200"/>
        <w:rPr>
          <w:rFonts w:hint="eastAsia" w:asciiTheme="minorEastAsia" w:hAnsiTheme="minorEastAsia" w:eastAsiaTheme="minorEastAsia" w:cstheme="minorEastAsia"/>
          <w:color w:val="auto"/>
          <w:sz w:val="24"/>
          <w:szCs w:val="20"/>
          <w:highlight w:val="none"/>
        </w:rPr>
      </w:pPr>
    </w:p>
    <w:p w14:paraId="7697B00E">
      <w:pPr>
        <w:snapToGrid w:val="0"/>
        <w:spacing w:line="360" w:lineRule="auto"/>
        <w:ind w:firstLine="1680" w:firstLineChars="200"/>
        <w:rPr>
          <w:rFonts w:hint="eastAsia" w:asciiTheme="minorEastAsia" w:hAnsiTheme="minorEastAsia" w:eastAsiaTheme="minorEastAsia" w:cstheme="minorEastAsia"/>
          <w:bCs/>
          <w:color w:val="auto"/>
          <w:sz w:val="84"/>
          <w:szCs w:val="84"/>
          <w:highlight w:val="none"/>
        </w:rPr>
      </w:pPr>
      <w:r>
        <w:rPr>
          <w:rFonts w:hint="eastAsia" w:asciiTheme="minorEastAsia" w:hAnsiTheme="minorEastAsia" w:eastAsiaTheme="minorEastAsia" w:cstheme="minorEastAsia"/>
          <w:bCs/>
          <w:color w:val="auto"/>
          <w:sz w:val="84"/>
          <w:szCs w:val="84"/>
          <w:highlight w:val="none"/>
        </w:rPr>
        <w:t>响  应  文  件</w:t>
      </w:r>
    </w:p>
    <w:p w14:paraId="52D2049B">
      <w:pPr>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报  价  商  务  技  术  文  件</w:t>
      </w:r>
    </w:p>
    <w:p w14:paraId="04F3C116">
      <w:pPr>
        <w:snapToGrid w:val="0"/>
        <w:spacing w:line="360" w:lineRule="auto"/>
        <w:ind w:firstLine="480" w:firstLineChars="200"/>
        <w:rPr>
          <w:rFonts w:hint="eastAsia" w:asciiTheme="minorEastAsia" w:hAnsiTheme="minorEastAsia" w:eastAsiaTheme="minorEastAsia" w:cstheme="minorEastAsia"/>
          <w:bCs/>
          <w:color w:val="auto"/>
          <w:sz w:val="24"/>
          <w:szCs w:val="20"/>
          <w:highlight w:val="none"/>
        </w:rPr>
      </w:pPr>
    </w:p>
    <w:p w14:paraId="5E7F63F8">
      <w:pPr>
        <w:snapToGrid w:val="0"/>
        <w:spacing w:line="360" w:lineRule="auto"/>
        <w:ind w:firstLine="480" w:firstLineChars="200"/>
        <w:rPr>
          <w:rFonts w:hint="eastAsia" w:asciiTheme="minorEastAsia" w:hAnsiTheme="minorEastAsia" w:eastAsiaTheme="minorEastAsia" w:cstheme="minorEastAsia"/>
          <w:bCs/>
          <w:color w:val="auto"/>
          <w:sz w:val="24"/>
          <w:szCs w:val="20"/>
          <w:highlight w:val="none"/>
        </w:rPr>
      </w:pPr>
    </w:p>
    <w:p w14:paraId="3011182D">
      <w:pPr>
        <w:snapToGrid w:val="0"/>
        <w:spacing w:line="360" w:lineRule="auto"/>
        <w:ind w:firstLine="480" w:firstLineChars="200"/>
        <w:rPr>
          <w:rFonts w:hint="eastAsia" w:asciiTheme="minorEastAsia" w:hAnsiTheme="minorEastAsia" w:eastAsiaTheme="minorEastAsia" w:cstheme="minorEastAsia"/>
          <w:bCs/>
          <w:color w:val="auto"/>
          <w:sz w:val="24"/>
          <w:szCs w:val="20"/>
          <w:highlight w:val="none"/>
        </w:rPr>
      </w:pPr>
    </w:p>
    <w:p w14:paraId="3FDC2BBB">
      <w:pPr>
        <w:snapToGrid w:val="0"/>
        <w:spacing w:line="360" w:lineRule="auto"/>
        <w:ind w:firstLine="480" w:firstLineChars="200"/>
        <w:rPr>
          <w:rFonts w:hint="eastAsia" w:asciiTheme="minorEastAsia" w:hAnsiTheme="minorEastAsia" w:eastAsiaTheme="minorEastAsia" w:cstheme="minorEastAsia"/>
          <w:bCs/>
          <w:color w:val="auto"/>
          <w:sz w:val="24"/>
          <w:szCs w:val="20"/>
          <w:highlight w:val="none"/>
        </w:rPr>
      </w:pPr>
    </w:p>
    <w:p w14:paraId="6B2B2AC8">
      <w:pPr>
        <w:snapToGrid w:val="0"/>
        <w:spacing w:line="360" w:lineRule="auto"/>
        <w:ind w:firstLine="480" w:firstLineChars="200"/>
        <w:rPr>
          <w:rFonts w:hint="eastAsia" w:asciiTheme="minorEastAsia" w:hAnsiTheme="minorEastAsia" w:eastAsiaTheme="minorEastAsia" w:cstheme="minorEastAsia"/>
          <w:bCs/>
          <w:color w:val="auto"/>
          <w:sz w:val="24"/>
          <w:szCs w:val="20"/>
          <w:highlight w:val="none"/>
        </w:rPr>
      </w:pPr>
    </w:p>
    <w:p w14:paraId="0316BFBF">
      <w:pPr>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项目名称：</w:t>
      </w:r>
    </w:p>
    <w:p w14:paraId="78B572F0">
      <w:pPr>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p>
    <w:p w14:paraId="2195263F">
      <w:pPr>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项目编号：</w:t>
      </w:r>
    </w:p>
    <w:p w14:paraId="6A702860">
      <w:pPr>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 xml:space="preserve"> </w:t>
      </w:r>
    </w:p>
    <w:p w14:paraId="46829360">
      <w:pPr>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所竞分标（如有）：</w:t>
      </w:r>
    </w:p>
    <w:p w14:paraId="1EF8F051">
      <w:pPr>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p>
    <w:p w14:paraId="06BACA43">
      <w:pPr>
        <w:pStyle w:val="7"/>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供应商名称：</w:t>
      </w:r>
    </w:p>
    <w:p w14:paraId="5224CEE6">
      <w:pPr>
        <w:pStyle w:val="7"/>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p>
    <w:p w14:paraId="498C898B">
      <w:pPr>
        <w:pStyle w:val="7"/>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p>
    <w:p w14:paraId="0584233D">
      <w:pPr>
        <w:pStyle w:val="7"/>
        <w:snapToGrid w:val="0"/>
        <w:spacing w:line="360" w:lineRule="auto"/>
        <w:ind w:firstLine="640" w:firstLineChars="200"/>
        <w:rPr>
          <w:rFonts w:hint="eastAsia" w:asciiTheme="minorEastAsia" w:hAnsiTheme="minorEastAsia" w:eastAsiaTheme="minorEastAsia" w:cstheme="minorEastAsia"/>
          <w:bCs/>
          <w:color w:val="auto"/>
          <w:sz w:val="32"/>
          <w:szCs w:val="32"/>
          <w:highlight w:val="none"/>
        </w:rPr>
      </w:pPr>
    </w:p>
    <w:p w14:paraId="2B9761F3">
      <w:pPr>
        <w:snapToGrid w:val="0"/>
        <w:spacing w:line="360" w:lineRule="auto"/>
        <w:ind w:firstLine="640" w:firstLineChars="200"/>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p>
    <w:p w14:paraId="2574CA2E">
      <w:pPr>
        <w:snapToGrid w:val="0"/>
        <w:spacing w:line="360" w:lineRule="auto"/>
        <w:ind w:firstLine="480" w:firstLineChars="200"/>
        <w:outlineLvl w:val="2"/>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32"/>
          <w:szCs w:val="32"/>
          <w:highlight w:val="none"/>
        </w:rPr>
        <w:t>2.报价商务技术文件目录</w:t>
      </w:r>
    </w:p>
    <w:p w14:paraId="40366B61">
      <w:pPr>
        <w:snapToGrid w:val="0"/>
        <w:spacing w:line="360" w:lineRule="auto"/>
        <w:ind w:firstLine="640" w:firstLineChars="200"/>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根据磋商文件规定及供应商提供的材料自行编写目录（部分格式后附）。</w:t>
      </w:r>
    </w:p>
    <w:p w14:paraId="1CB80189">
      <w:pPr>
        <w:spacing w:line="360" w:lineRule="auto"/>
        <w:ind w:firstLine="640" w:firstLineChars="200"/>
        <w:rPr>
          <w:rFonts w:hint="eastAsia" w:asciiTheme="minorEastAsia" w:hAnsiTheme="minorEastAsia" w:eastAsiaTheme="minorEastAsia" w:cstheme="minorEastAsia"/>
          <w:color w:val="auto"/>
          <w:sz w:val="32"/>
          <w:szCs w:val="32"/>
          <w:highlight w:val="none"/>
        </w:rPr>
      </w:pPr>
    </w:p>
    <w:p w14:paraId="58EFE90F">
      <w:pPr>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sz w:val="44"/>
          <w:szCs w:val="44"/>
          <w:highlight w:val="none"/>
        </w:rPr>
        <w:br w:type="page"/>
      </w:r>
      <w:r>
        <w:rPr>
          <w:rFonts w:hint="eastAsia" w:asciiTheme="minorEastAsia" w:hAnsiTheme="minorEastAsia" w:eastAsiaTheme="minorEastAsia" w:cstheme="minorEastAsia"/>
          <w:b/>
          <w:color w:val="auto"/>
          <w:sz w:val="32"/>
          <w:szCs w:val="32"/>
          <w:highlight w:val="none"/>
        </w:rPr>
        <w:t>无串通参与竞争性磋商行为的承诺函</w:t>
      </w:r>
    </w:p>
    <w:p w14:paraId="7F1D6151">
      <w:pPr>
        <w:spacing w:line="360" w:lineRule="auto"/>
        <w:ind w:firstLine="640" w:firstLineChars="200"/>
        <w:contextualSpacing/>
        <w:rPr>
          <w:rFonts w:hint="eastAsia" w:asciiTheme="minorEastAsia" w:hAnsiTheme="minorEastAsia" w:eastAsiaTheme="minorEastAsia" w:cstheme="minorEastAsia"/>
          <w:color w:val="auto"/>
          <w:sz w:val="32"/>
          <w:szCs w:val="32"/>
          <w:highlight w:val="none"/>
        </w:rPr>
      </w:pPr>
    </w:p>
    <w:p w14:paraId="2E097FE7">
      <w:pPr>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一、我方承诺无下列相互串通参与竞争性磋商的情形：</w:t>
      </w:r>
    </w:p>
    <w:p w14:paraId="62260EF5">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1.不同供应商的响应文件由同一单位或者个人编制； </w:t>
      </w:r>
    </w:p>
    <w:p w14:paraId="497D4CC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2.不同供应商委托同一单位或者个人办理参与竞争性磋商事宜；</w:t>
      </w:r>
    </w:p>
    <w:p w14:paraId="71681C1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3.不同供应商的响应文件载明的项目管理员为同一个人；</w:t>
      </w:r>
    </w:p>
    <w:p w14:paraId="73902B66">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4.不同供应商的响应文件异常一致或者参与竞争性磋商报价呈规律性差异；</w:t>
      </w:r>
    </w:p>
    <w:p w14:paraId="6430FDD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5.不同供应商的响应文件相互混装；</w:t>
      </w:r>
    </w:p>
    <w:p w14:paraId="1C73FEF6">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6.不同供应商的磋商保证金从同一单位或者个人账户转出。</w:t>
      </w:r>
    </w:p>
    <w:p w14:paraId="2A4D80D0">
      <w:pPr>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二、我方承诺无下列恶意串通的情形：</w:t>
      </w:r>
    </w:p>
    <w:p w14:paraId="4D516A98">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1.供应商直接或者间接从采购人或者采购代理机构处获得其他供应商的相关信息并修改其响应文件；</w:t>
      </w:r>
    </w:p>
    <w:p w14:paraId="67AE4D12">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2.供应商按照采购人或者采购代理机构的授意撤换、修改响应文件；</w:t>
      </w:r>
    </w:p>
    <w:p w14:paraId="22A4D1B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3.供应商之间协商报价、技术方案等响应文件的实质性内容；</w:t>
      </w:r>
    </w:p>
    <w:p w14:paraId="2E6B39A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4.属于同一集团、协会、商会等组织成员的供应商按照该组织要求协同参加政府采购活动；</w:t>
      </w:r>
    </w:p>
    <w:p w14:paraId="271A4C4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5.供应商之间事先约定一致抬高或者压低竞争性磋商报价，或者在竞争性磋商项目中事先约定轮流以高价位或者低价位成交，或者事先约定由某一特定供应商成交，然后再参加竞争性磋商；</w:t>
      </w:r>
    </w:p>
    <w:p w14:paraId="585C6BC9">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6.供应商之间商定部分供应商放弃参加政府采购活动或者放弃成交；</w:t>
      </w:r>
    </w:p>
    <w:p w14:paraId="1E5A8E0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7.供应商与采购人或者采购代理机构之间、供应商相互之间，为</w:t>
      </w:r>
      <w:r>
        <w:rPr>
          <w:rFonts w:hint="eastAsia" w:asciiTheme="minorEastAsia" w:hAnsiTheme="minorEastAsia" w:eastAsiaTheme="minorEastAsia" w:cstheme="minorEastAsia"/>
          <w:color w:val="auto"/>
          <w:spacing w:val="-6"/>
          <w:sz w:val="24"/>
          <w:highlight w:val="none"/>
        </w:rPr>
        <w:t>谋求特定供应商成交或者排斥其他供应商的其他串通行为。</w:t>
      </w:r>
    </w:p>
    <w:p w14:paraId="114DAF68">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30FF3E30">
      <w:pPr>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以上情形一经核查属实，我方愿意承担一切后果，并不再寻求任何旨在减轻或者免除法律责任的辩解。</w:t>
      </w:r>
    </w:p>
    <w:p w14:paraId="1122A7F3">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4B152083">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供应商（公章）：</w:t>
      </w:r>
      <w:r>
        <w:rPr>
          <w:rFonts w:hint="eastAsia" w:asciiTheme="minorEastAsia" w:hAnsiTheme="minorEastAsia" w:eastAsiaTheme="minorEastAsia" w:cstheme="minorEastAsia"/>
          <w:color w:val="auto"/>
          <w:sz w:val="24"/>
          <w:highlight w:val="none"/>
          <w:u w:val="single"/>
        </w:rPr>
        <w:t xml:space="preserve">               </w:t>
      </w:r>
    </w:p>
    <w:p w14:paraId="7FD56172">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日期：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335F1346">
      <w:pPr>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Cs/>
          <w:color w:val="auto"/>
          <w:sz w:val="44"/>
          <w:szCs w:val="44"/>
          <w:highlight w:val="none"/>
        </w:rPr>
        <w:br w:type="page"/>
      </w:r>
      <w:r>
        <w:rPr>
          <w:rFonts w:hint="eastAsia" w:asciiTheme="minorEastAsia" w:hAnsiTheme="minorEastAsia" w:eastAsiaTheme="minorEastAsia" w:cstheme="minorEastAsia"/>
          <w:b/>
          <w:color w:val="auto"/>
          <w:sz w:val="32"/>
          <w:szCs w:val="32"/>
          <w:highlight w:val="none"/>
        </w:rPr>
        <w:t>竞争性磋商报价表</w:t>
      </w:r>
    </w:p>
    <w:p w14:paraId="25B0086F">
      <w:pPr>
        <w:spacing w:line="360" w:lineRule="auto"/>
        <w:ind w:firstLine="640" w:firstLineChars="200"/>
        <w:rPr>
          <w:rFonts w:hint="eastAsia" w:asciiTheme="minorEastAsia" w:hAnsiTheme="minorEastAsia" w:eastAsiaTheme="minorEastAsia" w:cstheme="minorEastAsia"/>
          <w:bCs/>
          <w:color w:val="auto"/>
          <w:sz w:val="32"/>
          <w:szCs w:val="32"/>
          <w:highlight w:val="none"/>
        </w:rPr>
      </w:pPr>
    </w:p>
    <w:p w14:paraId="4D9D8B8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22B99CB7">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分标（如有）：</w:t>
      </w:r>
      <w:r>
        <w:rPr>
          <w:rFonts w:hint="eastAsia" w:asciiTheme="minorEastAsia" w:hAnsiTheme="minorEastAsia" w:eastAsiaTheme="minorEastAsia" w:cstheme="minorEastAsia"/>
          <w:color w:val="auto"/>
          <w:sz w:val="24"/>
          <w:highlight w:val="none"/>
          <w:u w:val="single"/>
        </w:rPr>
        <w:t xml:space="preserve">                                         </w:t>
      </w:r>
    </w:p>
    <w:p w14:paraId="3B95E79F">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37D2796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货币单位：人民币元</w:t>
      </w:r>
    </w:p>
    <w:tbl>
      <w:tblPr>
        <w:tblStyle w:val="31"/>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918"/>
        <w:gridCol w:w="919"/>
        <w:gridCol w:w="1595"/>
        <w:gridCol w:w="1595"/>
      </w:tblGrid>
      <w:tr w14:paraId="7244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08508FCE">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45CCEDD4">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服务名称</w:t>
            </w:r>
          </w:p>
        </w:tc>
        <w:tc>
          <w:tcPr>
            <w:tcW w:w="2400" w:type="dxa"/>
            <w:tcBorders>
              <w:top w:val="single" w:color="auto" w:sz="4" w:space="0"/>
              <w:left w:val="single" w:color="auto" w:sz="4" w:space="0"/>
              <w:bottom w:val="single" w:color="auto" w:sz="4" w:space="0"/>
              <w:right w:val="single" w:color="auto" w:sz="4" w:space="0"/>
            </w:tcBorders>
            <w:vAlign w:val="center"/>
          </w:tcPr>
          <w:p w14:paraId="337D419C">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服务要求</w:t>
            </w:r>
          </w:p>
        </w:tc>
        <w:tc>
          <w:tcPr>
            <w:tcW w:w="918" w:type="dxa"/>
            <w:tcBorders>
              <w:top w:val="single" w:color="auto" w:sz="4" w:space="0"/>
              <w:left w:val="single" w:color="auto" w:sz="4" w:space="0"/>
              <w:bottom w:val="single" w:color="auto" w:sz="4" w:space="0"/>
              <w:right w:val="single" w:color="auto" w:sz="4" w:space="0"/>
            </w:tcBorders>
            <w:vAlign w:val="center"/>
          </w:tcPr>
          <w:p w14:paraId="26DCC324">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数量</w:t>
            </w:r>
          </w:p>
        </w:tc>
        <w:tc>
          <w:tcPr>
            <w:tcW w:w="919" w:type="dxa"/>
            <w:tcBorders>
              <w:top w:val="single" w:color="auto" w:sz="4" w:space="0"/>
              <w:left w:val="single" w:color="auto" w:sz="4" w:space="0"/>
              <w:bottom w:val="single" w:color="auto" w:sz="4" w:space="0"/>
              <w:right w:val="single" w:color="auto" w:sz="4" w:space="0"/>
            </w:tcBorders>
            <w:vAlign w:val="center"/>
          </w:tcPr>
          <w:p w14:paraId="131B5805">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w:t>
            </w:r>
          </w:p>
        </w:tc>
        <w:tc>
          <w:tcPr>
            <w:tcW w:w="1595" w:type="dxa"/>
            <w:tcBorders>
              <w:top w:val="single" w:color="auto" w:sz="4" w:space="0"/>
              <w:left w:val="single" w:color="auto" w:sz="4" w:space="0"/>
              <w:bottom w:val="single" w:color="auto" w:sz="4" w:space="0"/>
              <w:right w:val="single" w:color="auto" w:sz="4" w:space="0"/>
            </w:tcBorders>
            <w:vAlign w:val="center"/>
          </w:tcPr>
          <w:p w14:paraId="5F1BA42F">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  价</w:t>
            </w:r>
          </w:p>
        </w:tc>
        <w:tc>
          <w:tcPr>
            <w:tcW w:w="1595" w:type="dxa"/>
            <w:tcBorders>
              <w:top w:val="single" w:color="auto" w:sz="4" w:space="0"/>
              <w:left w:val="single" w:color="auto" w:sz="4" w:space="0"/>
              <w:bottom w:val="single" w:color="auto" w:sz="4" w:space="0"/>
              <w:right w:val="single" w:color="auto" w:sz="4" w:space="0"/>
            </w:tcBorders>
            <w:vAlign w:val="center"/>
          </w:tcPr>
          <w:p w14:paraId="213A8BF8">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单项合计</w:t>
            </w:r>
          </w:p>
        </w:tc>
      </w:tr>
      <w:tr w14:paraId="24B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30BDB55F">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1213" w:type="dxa"/>
            <w:tcBorders>
              <w:top w:val="single" w:color="auto" w:sz="4" w:space="0"/>
              <w:left w:val="single" w:color="auto" w:sz="4" w:space="0"/>
              <w:bottom w:val="single" w:color="auto" w:sz="4" w:space="0"/>
              <w:right w:val="single" w:color="auto" w:sz="4" w:space="0"/>
            </w:tcBorders>
            <w:vAlign w:val="center"/>
          </w:tcPr>
          <w:p w14:paraId="6BD25995">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灵山县人民医院营养饭堂营养品供应服务</w:t>
            </w:r>
          </w:p>
        </w:tc>
        <w:tc>
          <w:tcPr>
            <w:tcW w:w="2400" w:type="dxa"/>
            <w:tcBorders>
              <w:top w:val="single" w:color="auto" w:sz="4" w:space="0"/>
              <w:left w:val="single" w:color="auto" w:sz="4" w:space="0"/>
              <w:bottom w:val="single" w:color="auto" w:sz="4" w:space="0"/>
              <w:right w:val="single" w:color="auto" w:sz="4" w:space="0"/>
            </w:tcBorders>
            <w:vAlign w:val="center"/>
          </w:tcPr>
          <w:p w14:paraId="41CDFE95">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满足采购文件要求，符合国家相关行业标准</w:t>
            </w:r>
          </w:p>
        </w:tc>
        <w:tc>
          <w:tcPr>
            <w:tcW w:w="918" w:type="dxa"/>
            <w:tcBorders>
              <w:top w:val="single" w:color="auto" w:sz="4" w:space="0"/>
              <w:left w:val="single" w:color="auto" w:sz="4" w:space="0"/>
              <w:bottom w:val="single" w:color="auto" w:sz="4" w:space="0"/>
              <w:right w:val="single" w:color="auto" w:sz="4" w:space="0"/>
            </w:tcBorders>
            <w:vAlign w:val="center"/>
          </w:tcPr>
          <w:p w14:paraId="455AFF52">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19" w:type="dxa"/>
            <w:tcBorders>
              <w:top w:val="single" w:color="auto" w:sz="4" w:space="0"/>
              <w:left w:val="single" w:color="auto" w:sz="4" w:space="0"/>
              <w:bottom w:val="single" w:color="auto" w:sz="4" w:space="0"/>
              <w:right w:val="single" w:color="auto" w:sz="4" w:space="0"/>
            </w:tcBorders>
            <w:vAlign w:val="center"/>
          </w:tcPr>
          <w:p w14:paraId="4CA05447">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w:t>
            </w:r>
          </w:p>
        </w:tc>
        <w:tc>
          <w:tcPr>
            <w:tcW w:w="1595" w:type="dxa"/>
            <w:tcBorders>
              <w:top w:val="single" w:color="auto" w:sz="4" w:space="0"/>
              <w:left w:val="single" w:color="auto" w:sz="4" w:space="0"/>
              <w:bottom w:val="single" w:color="auto" w:sz="4" w:space="0"/>
              <w:right w:val="single" w:color="auto" w:sz="4" w:space="0"/>
            </w:tcBorders>
            <w:vAlign w:val="center"/>
          </w:tcPr>
          <w:p w14:paraId="39AB6AD6">
            <w:pPr>
              <w:spacing w:line="400" w:lineRule="exact"/>
              <w:jc w:val="center"/>
              <w:rPr>
                <w:rFonts w:hint="eastAsia" w:asciiTheme="minorEastAsia" w:hAnsiTheme="minorEastAsia" w:eastAsiaTheme="minorEastAsia" w:cstheme="minorEastAsia"/>
                <w:color w:val="auto"/>
                <w:sz w:val="24"/>
                <w:highlight w:val="none"/>
              </w:rPr>
            </w:pPr>
          </w:p>
        </w:tc>
        <w:tc>
          <w:tcPr>
            <w:tcW w:w="1595" w:type="dxa"/>
            <w:tcBorders>
              <w:top w:val="single" w:color="auto" w:sz="4" w:space="0"/>
              <w:left w:val="single" w:color="auto" w:sz="4" w:space="0"/>
              <w:bottom w:val="single" w:color="auto" w:sz="4" w:space="0"/>
              <w:right w:val="single" w:color="auto" w:sz="4" w:space="0"/>
            </w:tcBorders>
            <w:vAlign w:val="center"/>
          </w:tcPr>
          <w:p w14:paraId="10AACCF7">
            <w:pPr>
              <w:spacing w:line="400" w:lineRule="exact"/>
              <w:jc w:val="center"/>
              <w:rPr>
                <w:rFonts w:hint="eastAsia" w:asciiTheme="minorEastAsia" w:hAnsiTheme="minorEastAsia" w:eastAsiaTheme="minorEastAsia" w:cstheme="minorEastAsia"/>
                <w:color w:val="auto"/>
                <w:sz w:val="24"/>
                <w:highlight w:val="none"/>
              </w:rPr>
            </w:pPr>
          </w:p>
        </w:tc>
      </w:tr>
      <w:tr w14:paraId="67C8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360" w:type="dxa"/>
            <w:gridSpan w:val="7"/>
            <w:tcBorders>
              <w:top w:val="single" w:color="auto" w:sz="4" w:space="0"/>
              <w:left w:val="single" w:color="auto" w:sz="4" w:space="0"/>
              <w:bottom w:val="single" w:color="auto" w:sz="4" w:space="0"/>
              <w:right w:val="single" w:color="auto" w:sz="4" w:space="0"/>
            </w:tcBorders>
            <w:vAlign w:val="center"/>
          </w:tcPr>
          <w:p w14:paraId="7B659B02">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合计金额（人民币大写）：</w:t>
            </w:r>
            <w:r>
              <w:rPr>
                <w:rFonts w:hint="eastAsia" w:asciiTheme="minorEastAsia" w:hAnsiTheme="minorEastAsia" w:eastAsiaTheme="minorEastAsia" w:cstheme="minorEastAsia"/>
                <w:color w:val="auto"/>
                <w:sz w:val="24"/>
                <w:highlight w:val="none"/>
                <w:u w:val="single"/>
              </w:rPr>
              <w:t xml:space="preserve">                            元整  </w:t>
            </w: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tc>
      </w:tr>
    </w:tbl>
    <w:p w14:paraId="41E81556">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51869619">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注： </w:t>
      </w:r>
    </w:p>
    <w:p w14:paraId="18F57DB1">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1.供应商的报价表必须加盖供应商公章并由法定代表人或者委托代理人签字，</w:t>
      </w:r>
      <w:r>
        <w:rPr>
          <w:rFonts w:hint="eastAsia" w:asciiTheme="minorEastAsia" w:hAnsiTheme="minorEastAsia" w:eastAsiaTheme="minorEastAsia" w:cstheme="minorEastAsia"/>
          <w:b/>
          <w:color w:val="auto"/>
          <w:sz w:val="24"/>
          <w:highlight w:val="none"/>
        </w:rPr>
        <w:t>否则其响应文件按无效响应处理</w:t>
      </w:r>
      <w:r>
        <w:rPr>
          <w:rFonts w:hint="eastAsia" w:asciiTheme="minorEastAsia" w:hAnsiTheme="minorEastAsia" w:eastAsiaTheme="minorEastAsia" w:cstheme="minorEastAsia"/>
          <w:color w:val="auto"/>
          <w:sz w:val="24"/>
          <w:highlight w:val="none"/>
        </w:rPr>
        <w:t>。</w:t>
      </w:r>
    </w:p>
    <w:p w14:paraId="745EA724">
      <w:pPr>
        <w:spacing w:line="360" w:lineRule="auto"/>
        <w:ind w:firstLine="480" w:firstLineChars="200"/>
        <w:contextualSpacing/>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Cs/>
          <w:color w:val="auto"/>
          <w:sz w:val="24"/>
          <w:highlight w:val="none"/>
        </w:rPr>
        <w:t>2.</w:t>
      </w:r>
      <w:r>
        <w:rPr>
          <w:rFonts w:hint="eastAsia" w:asciiTheme="minorEastAsia" w:hAnsiTheme="minorEastAsia" w:eastAsiaTheme="minorEastAsia" w:cstheme="minorEastAsia"/>
          <w:color w:val="auto"/>
          <w:sz w:val="24"/>
          <w:highlight w:val="none"/>
        </w:rPr>
        <w:t>报价一经涂改，应在涂改处加盖供应商公章或者由法定代表人或者委托代理人签字或者盖章</w:t>
      </w:r>
      <w:r>
        <w:rPr>
          <w:rFonts w:hint="eastAsia" w:asciiTheme="minorEastAsia" w:hAnsiTheme="minorEastAsia" w:eastAsiaTheme="minorEastAsia" w:cstheme="minorEastAsia"/>
          <w:b/>
          <w:color w:val="auto"/>
          <w:sz w:val="24"/>
          <w:highlight w:val="none"/>
        </w:rPr>
        <w:t>，否则其响应文件按无效响应处理。</w:t>
      </w:r>
    </w:p>
    <w:p w14:paraId="7EAEA17F">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3.如为联合体参与竞争性磋商，“供应商名称”处必须列明联合体各方名称，标注联合体牵头人名称，</w:t>
      </w:r>
      <w:r>
        <w:rPr>
          <w:rFonts w:hint="eastAsia" w:asciiTheme="minorEastAsia" w:hAnsiTheme="minorEastAsia" w:eastAsiaTheme="minorEastAsia" w:cstheme="minorEastAsia"/>
          <w:b/>
          <w:color w:val="auto"/>
          <w:sz w:val="24"/>
          <w:highlight w:val="none"/>
        </w:rPr>
        <w:t>否则其响应文件按无效响应处理。（采购人可根据项目情况自行修改是否需要联合体各方签字盖章）。</w:t>
      </w:r>
    </w:p>
    <w:p w14:paraId="6934DDD5">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4.如为联合体参与竞争性磋商，盖章处须加盖联合体各方公章，</w:t>
      </w:r>
      <w:bookmarkStart w:id="41" w:name="_Hlk65851776"/>
      <w:r>
        <w:rPr>
          <w:rFonts w:hint="eastAsia" w:asciiTheme="minorEastAsia" w:hAnsiTheme="minorEastAsia" w:eastAsiaTheme="minorEastAsia" w:cstheme="minorEastAsia"/>
          <w:b/>
          <w:color w:val="auto"/>
          <w:sz w:val="24"/>
          <w:highlight w:val="none"/>
        </w:rPr>
        <w:t>否则其响应文件按无效响应处理。</w:t>
      </w:r>
      <w:bookmarkEnd w:id="41"/>
      <w:r>
        <w:rPr>
          <w:rFonts w:hint="eastAsia" w:asciiTheme="minorEastAsia" w:hAnsiTheme="minorEastAsia" w:eastAsiaTheme="minorEastAsia" w:cstheme="minorEastAsia"/>
          <w:b/>
          <w:color w:val="auto"/>
          <w:sz w:val="24"/>
          <w:highlight w:val="none"/>
        </w:rPr>
        <w:t>（采购人可根据项目情况自行修改是否需要联合体各方签字盖章）。</w:t>
      </w:r>
    </w:p>
    <w:p w14:paraId="24415DEF">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w:t>
      </w:r>
      <w:r>
        <w:rPr>
          <w:rFonts w:hint="eastAsia" w:asciiTheme="minorEastAsia" w:hAnsiTheme="minorEastAsia" w:eastAsiaTheme="minorEastAsia" w:cstheme="minorEastAsia"/>
          <w:color w:val="auto"/>
          <w:spacing w:val="-6"/>
          <w:sz w:val="24"/>
          <w:highlight w:val="none"/>
        </w:rPr>
        <w:t>如有多分标，分别列明各分标的报价表，</w:t>
      </w:r>
      <w:r>
        <w:rPr>
          <w:rFonts w:hint="eastAsia" w:asciiTheme="minorEastAsia" w:hAnsiTheme="minorEastAsia" w:eastAsiaTheme="minorEastAsia" w:cstheme="minorEastAsia"/>
          <w:b/>
          <w:color w:val="auto"/>
          <w:spacing w:val="-6"/>
          <w:sz w:val="24"/>
          <w:highlight w:val="none"/>
        </w:rPr>
        <w:t>否则其响应文件按无效响应处理。</w:t>
      </w:r>
    </w:p>
    <w:p w14:paraId="51635130">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0D8F5B2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法定代表人或者委托代理人（签字）：</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6B350B7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供应商（公章）：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61266AC7">
      <w:pPr>
        <w:spacing w:line="360" w:lineRule="auto"/>
        <w:ind w:firstLine="480" w:firstLineChars="200"/>
        <w:contextualSpacing/>
        <w:rPr>
          <w:rFonts w:hint="eastAsia" w:asciiTheme="minorEastAsia" w:hAnsiTheme="minorEastAsia" w:eastAsiaTheme="minorEastAsia" w:cstheme="minorEastAsia"/>
          <w:color w:val="auto"/>
          <w:sz w:val="24"/>
          <w:highlight w:val="none"/>
        </w:rPr>
        <w:sectPr>
          <w:pgSz w:w="11906" w:h="16838"/>
          <w:pgMar w:top="1134" w:right="1134" w:bottom="1134" w:left="1134" w:header="851" w:footer="567" w:gutter="0"/>
          <w:cols w:space="720" w:num="1"/>
          <w:titlePg/>
          <w:docGrid w:type="lines" w:linePitch="312" w:charSpace="0"/>
        </w:sect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3E375FEC">
      <w:pPr>
        <w:spacing w:line="360" w:lineRule="auto"/>
        <w:jc w:val="center"/>
        <w:rPr>
          <w:rFonts w:hint="eastAsia" w:asciiTheme="minorEastAsia" w:hAnsiTheme="minorEastAsia" w:eastAsiaTheme="minorEastAsia" w:cstheme="minorEastAsia"/>
          <w:b/>
          <w:color w:val="auto"/>
          <w:sz w:val="32"/>
          <w:szCs w:val="32"/>
          <w:highlight w:val="none"/>
        </w:rPr>
      </w:pPr>
      <w:bookmarkStart w:id="42" w:name="_Toc71365926"/>
      <w:r>
        <w:rPr>
          <w:rFonts w:hint="eastAsia" w:asciiTheme="minorEastAsia" w:hAnsiTheme="minorEastAsia" w:eastAsiaTheme="minorEastAsia" w:cstheme="minorEastAsia"/>
          <w:b/>
          <w:color w:val="auto"/>
          <w:sz w:val="32"/>
          <w:szCs w:val="32"/>
          <w:highlight w:val="none"/>
        </w:rPr>
        <w:t>中小企业声明函（服务）</w:t>
      </w:r>
      <w:bookmarkEnd w:id="42"/>
    </w:p>
    <w:p w14:paraId="6562EB6B">
      <w:pPr>
        <w:spacing w:line="360" w:lineRule="auto"/>
        <w:ind w:firstLine="482" w:firstLineChars="200"/>
        <w:rPr>
          <w:rFonts w:hint="eastAsia" w:asciiTheme="minorEastAsia" w:hAnsiTheme="minorEastAsia" w:eastAsiaTheme="minorEastAsia" w:cstheme="minorEastAsia"/>
          <w:b/>
          <w:bCs/>
          <w:color w:val="auto"/>
          <w:sz w:val="24"/>
          <w:highlight w:val="none"/>
        </w:rPr>
      </w:pPr>
    </w:p>
    <w:p w14:paraId="6A1681A3">
      <w:pPr>
        <w:pStyle w:val="2"/>
        <w:spacing w:after="0"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highlight w:val="none"/>
          <w:u w:val="single"/>
        </w:rPr>
        <w:t>（单位名称）</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rPr>
        <w:t>（项目名称）</w:t>
      </w:r>
      <w:r>
        <w:rPr>
          <w:rFonts w:hint="eastAsia" w:asciiTheme="minorEastAsia" w:hAnsiTheme="minorEastAsia" w:eastAsiaTheme="minorEastAsia" w:cstheme="minorEastAsia"/>
          <w:color w:val="auto"/>
          <w:sz w:val="24"/>
          <w:highlight w:val="none"/>
        </w:rPr>
        <w:t>采购活动，服务全部由符合政策要求的中小企业承接。相关企业（含联合体中的中小企业、签订分包意向协议的中小企业）的具体情况如下：</w:t>
      </w:r>
    </w:p>
    <w:p w14:paraId="62FA0ED1">
      <w:pPr>
        <w:tabs>
          <w:tab w:val="left" w:pos="1384"/>
          <w:tab w:val="left" w:pos="4562"/>
          <w:tab w:val="left" w:pos="6803"/>
        </w:tabs>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；承接企业为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人，营业收入为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万元，资产总额为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6C04EF63">
      <w:pPr>
        <w:tabs>
          <w:tab w:val="left" w:pos="1065"/>
          <w:tab w:val="left" w:pos="4262"/>
          <w:tab w:val="left" w:pos="6477"/>
        </w:tabs>
        <w:spacing w:line="360" w:lineRule="auto"/>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；承接企业为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人，营业收入为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万元，资产总额为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1BD21FBB">
      <w:pPr>
        <w:pStyle w:val="2"/>
        <w:spacing w:after="0"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19EA0245">
      <w:pPr>
        <w:pStyle w:val="2"/>
        <w:spacing w:after="0"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以上企业，不属于大企业的分支机构，不存在控股股东为大企业的情形，也不存在与大企业的负责人为同一人的情形。</w:t>
      </w:r>
    </w:p>
    <w:p w14:paraId="0BC0DE22">
      <w:pPr>
        <w:pStyle w:val="2"/>
        <w:spacing w:after="0"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本企业对上述声明内容的真实性负责。如有虚假，将依法承担相应责任。</w:t>
      </w:r>
    </w:p>
    <w:p w14:paraId="4AB427E8">
      <w:pPr>
        <w:pStyle w:val="2"/>
        <w:spacing w:after="0" w:line="360" w:lineRule="auto"/>
        <w:ind w:firstLine="480" w:firstLineChars="200"/>
        <w:rPr>
          <w:rFonts w:hint="eastAsia" w:asciiTheme="minorEastAsia" w:hAnsiTheme="minorEastAsia" w:eastAsiaTheme="minorEastAsia" w:cstheme="minorEastAsia"/>
          <w:color w:val="auto"/>
          <w:sz w:val="24"/>
          <w:highlight w:val="none"/>
        </w:rPr>
      </w:pPr>
    </w:p>
    <w:p w14:paraId="14FE2459">
      <w:pPr>
        <w:pStyle w:val="2"/>
        <w:spacing w:after="0" w:line="360" w:lineRule="auto"/>
        <w:ind w:firstLine="480" w:firstLineChars="200"/>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 xml:space="preserve">企业名称（公章）： </w:t>
      </w:r>
      <w:r>
        <w:rPr>
          <w:rFonts w:hint="eastAsia" w:asciiTheme="minorEastAsia" w:hAnsiTheme="minorEastAsia" w:eastAsiaTheme="minorEastAsia" w:cstheme="minorEastAsia"/>
          <w:color w:val="auto"/>
          <w:sz w:val="24"/>
          <w:highlight w:val="none"/>
          <w:u w:val="single"/>
        </w:rPr>
        <w:t xml:space="preserve">                    </w:t>
      </w:r>
    </w:p>
    <w:p w14:paraId="61A8E1A9">
      <w:pPr>
        <w:pStyle w:val="2"/>
        <w:spacing w:after="0"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733017C8">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注：</w:t>
      </w:r>
      <w:r>
        <w:rPr>
          <w:rFonts w:hint="eastAsia" w:asciiTheme="minorEastAsia" w:hAnsiTheme="minorEastAsia" w:eastAsiaTheme="minorEastAsia" w:cstheme="minorEastAsia"/>
          <w:color w:val="auto"/>
          <w:sz w:val="24"/>
          <w:highlight w:val="none"/>
        </w:rPr>
        <w:t>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6B95E24">
      <w:pPr>
        <w:spacing w:line="360" w:lineRule="auto"/>
        <w:ind w:firstLine="420" w:firstLineChars="200"/>
        <w:rPr>
          <w:rFonts w:hint="eastAsia" w:asciiTheme="minorEastAsia" w:hAnsiTheme="minorEastAsia" w:eastAsiaTheme="minorEastAsia" w:cstheme="minorEastAsia"/>
          <w:color w:val="auto"/>
          <w:szCs w:val="21"/>
          <w:highlight w:val="none"/>
        </w:rPr>
      </w:pPr>
    </w:p>
    <w:p w14:paraId="26B0E7BD">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color w:val="auto"/>
          <w:sz w:val="32"/>
          <w:szCs w:val="32"/>
          <w:highlight w:val="none"/>
        </w:rPr>
        <w:t>残疾人福利性单位声明函</w:t>
      </w:r>
    </w:p>
    <w:p w14:paraId="0D8DC35B">
      <w:pPr>
        <w:spacing w:line="360" w:lineRule="auto"/>
        <w:ind w:firstLine="640" w:firstLineChars="200"/>
        <w:contextualSpacing/>
        <w:rPr>
          <w:rFonts w:hint="eastAsia" w:asciiTheme="minorEastAsia" w:hAnsiTheme="minorEastAsia" w:eastAsiaTheme="minorEastAsia" w:cstheme="minorEastAsia"/>
          <w:color w:val="auto"/>
          <w:sz w:val="32"/>
          <w:szCs w:val="32"/>
          <w:highlight w:val="none"/>
        </w:rPr>
      </w:pPr>
    </w:p>
    <w:p w14:paraId="77987F2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单位的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9C11279">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本单位对上述声明的真实性负责。如有虚假，将依法承担相应责任。</w:t>
      </w:r>
    </w:p>
    <w:p w14:paraId="5660081D">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6532D01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786D4F67">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3E94F393">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单位名称（公章）：</w:t>
      </w:r>
      <w:r>
        <w:rPr>
          <w:rFonts w:hint="eastAsia" w:asciiTheme="minorEastAsia" w:hAnsiTheme="minorEastAsia" w:eastAsiaTheme="minorEastAsia" w:cstheme="minorEastAsia"/>
          <w:color w:val="auto"/>
          <w:sz w:val="24"/>
          <w:highlight w:val="none"/>
          <w:u w:val="single"/>
        </w:rPr>
        <w:t xml:space="preserve">               </w:t>
      </w:r>
    </w:p>
    <w:p w14:paraId="68197D2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2FBBBBCF">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51BAF63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091E3B4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572AC954">
      <w:pPr>
        <w:spacing w:line="360" w:lineRule="auto"/>
        <w:ind w:firstLine="482"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注：</w:t>
      </w:r>
      <w:r>
        <w:rPr>
          <w:rFonts w:hint="eastAsia" w:asciiTheme="minorEastAsia" w:hAnsiTheme="minorEastAsia" w:eastAsiaTheme="minorEastAsia" w:cstheme="minorEastAsia"/>
          <w:color w:val="auto"/>
          <w:sz w:val="24"/>
          <w:highlight w:val="none"/>
        </w:rPr>
        <w:t>请根据自己的真实情况出具《残疾人福利性单位声明函》。依法享受中小企业优惠政策的，采购人或者采购代理机构在公告中标结果时，同时公告其《残疾人福利性单位声明函》，接受社会监督。</w:t>
      </w:r>
    </w:p>
    <w:p w14:paraId="3AAC5F97">
      <w:pPr>
        <w:snapToGrid w:val="0"/>
        <w:spacing w:line="360" w:lineRule="auto"/>
        <w:ind w:firstLine="643" w:firstLineChars="200"/>
        <w:outlineLvl w:val="1"/>
        <w:rPr>
          <w:rFonts w:hint="eastAsia" w:asciiTheme="minorEastAsia" w:hAnsiTheme="minorEastAsia" w:eastAsiaTheme="minorEastAsia" w:cstheme="minorEastAsia"/>
          <w:b/>
          <w:bCs/>
          <w:color w:val="auto"/>
          <w:sz w:val="32"/>
          <w:szCs w:val="32"/>
          <w:highlight w:val="none"/>
        </w:rPr>
        <w:sectPr>
          <w:pgSz w:w="11906" w:h="16838"/>
          <w:pgMar w:top="1134" w:right="1134" w:bottom="1134" w:left="1134" w:header="851" w:footer="567" w:gutter="0"/>
          <w:cols w:space="720" w:num="1"/>
          <w:titlePg/>
          <w:docGrid w:type="lines" w:linePitch="312" w:charSpace="0"/>
        </w:sectPr>
      </w:pPr>
    </w:p>
    <w:p w14:paraId="3E92D3F8">
      <w:pPr>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法定代表人身份证明</w:t>
      </w:r>
    </w:p>
    <w:p w14:paraId="67CA0ABD">
      <w:pPr>
        <w:spacing w:line="360" w:lineRule="auto"/>
        <w:ind w:firstLine="640" w:firstLineChars="200"/>
        <w:contextualSpacing/>
        <w:rPr>
          <w:rFonts w:hint="eastAsia" w:asciiTheme="minorEastAsia" w:hAnsiTheme="minorEastAsia" w:eastAsiaTheme="minorEastAsia" w:cstheme="minorEastAsia"/>
          <w:color w:val="auto"/>
          <w:sz w:val="32"/>
          <w:szCs w:val="32"/>
          <w:highlight w:val="none"/>
        </w:rPr>
      </w:pPr>
    </w:p>
    <w:p w14:paraId="25FF64A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color w:val="auto"/>
          <w:sz w:val="24"/>
          <w:highlight w:val="none"/>
          <w:u w:val="single"/>
        </w:rPr>
        <w:t xml:space="preserve">                                                        </w:t>
      </w:r>
    </w:p>
    <w:p w14:paraId="6598C4C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 xml:space="preserve">                                                        </w:t>
      </w:r>
    </w:p>
    <w:p w14:paraId="3C85EE89">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    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性     别：</w:t>
      </w:r>
      <w:r>
        <w:rPr>
          <w:rFonts w:hint="eastAsia" w:asciiTheme="minorEastAsia" w:hAnsiTheme="minorEastAsia" w:eastAsiaTheme="minorEastAsia" w:cstheme="minorEastAsia"/>
          <w:color w:val="auto"/>
          <w:sz w:val="24"/>
          <w:highlight w:val="none"/>
          <w:u w:val="single"/>
        </w:rPr>
        <w:t xml:space="preserve">                </w:t>
      </w:r>
    </w:p>
    <w:p w14:paraId="32572EEE">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年    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职     务：</w:t>
      </w:r>
      <w:r>
        <w:rPr>
          <w:rFonts w:hint="eastAsia" w:asciiTheme="minorEastAsia" w:hAnsiTheme="minorEastAsia" w:eastAsiaTheme="minorEastAsia" w:cstheme="minorEastAsia"/>
          <w:color w:val="auto"/>
          <w:sz w:val="24"/>
          <w:highlight w:val="none"/>
          <w:u w:val="single"/>
        </w:rPr>
        <w:t xml:space="preserve">                </w:t>
      </w:r>
    </w:p>
    <w:p w14:paraId="73275BC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r>
        <w:rPr>
          <w:rFonts w:hint="eastAsia" w:asciiTheme="minorEastAsia" w:hAnsiTheme="minorEastAsia" w:eastAsiaTheme="minorEastAsia" w:cstheme="minorEastAsia"/>
          <w:color w:val="auto"/>
          <w:sz w:val="24"/>
          <w:highlight w:val="none"/>
          <w:u w:val="single"/>
        </w:rPr>
        <w:t xml:space="preserve">                                        </w:t>
      </w:r>
    </w:p>
    <w:p w14:paraId="12AA279F">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（供应商名称）</w:t>
      </w:r>
      <w:r>
        <w:rPr>
          <w:rFonts w:hint="eastAsia" w:asciiTheme="minorEastAsia" w:hAnsiTheme="minorEastAsia" w:eastAsiaTheme="minorEastAsia" w:cstheme="minorEastAsia"/>
          <w:color w:val="auto"/>
          <w:sz w:val="24"/>
          <w:highlight w:val="none"/>
        </w:rPr>
        <w:t>的法定代表人。</w:t>
      </w:r>
    </w:p>
    <w:p w14:paraId="4E3BB17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4D53357C">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1FF75FE9">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7CC2F163">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2AC42B30">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附件：法定代表人有效身份证正反面复印件</w:t>
      </w:r>
    </w:p>
    <w:p w14:paraId="220F665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0569124B">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供应商（公章）：</w:t>
      </w:r>
      <w:r>
        <w:rPr>
          <w:rFonts w:hint="eastAsia" w:asciiTheme="minorEastAsia" w:hAnsiTheme="minorEastAsia" w:eastAsiaTheme="minorEastAsia" w:cstheme="minorEastAsia"/>
          <w:color w:val="auto"/>
          <w:sz w:val="24"/>
          <w:highlight w:val="none"/>
          <w:u w:val="single"/>
        </w:rPr>
        <w:t xml:space="preserve">               </w:t>
      </w:r>
    </w:p>
    <w:p w14:paraId="4FFBC722">
      <w:pPr>
        <w:pStyle w:val="23"/>
        <w:spacing w:line="360" w:lineRule="auto"/>
        <w:ind w:firstLine="420" w:firstLineChars="200"/>
        <w:rPr>
          <w:rFonts w:hint="eastAsia" w:asciiTheme="minorEastAsia" w:hAnsiTheme="minorEastAsia" w:eastAsiaTheme="minorEastAsia" w:cstheme="minorEastAsia"/>
          <w:color w:val="auto"/>
          <w:highlight w:val="none"/>
        </w:rPr>
      </w:pPr>
    </w:p>
    <w:p w14:paraId="5FF58F5E">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452E71CC">
      <w:pPr>
        <w:spacing w:line="360" w:lineRule="auto"/>
        <w:ind w:firstLine="482" w:firstLineChars="200"/>
        <w:contextualSpacing/>
        <w:rPr>
          <w:rFonts w:hint="eastAsia" w:asciiTheme="minorEastAsia" w:hAnsiTheme="minorEastAsia" w:eastAsiaTheme="minorEastAsia" w:cstheme="minorEastAsia"/>
          <w:b/>
          <w:color w:val="auto"/>
          <w:sz w:val="24"/>
          <w:highlight w:val="none"/>
        </w:rPr>
      </w:pPr>
    </w:p>
    <w:p w14:paraId="7790B8A0">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5394DB82">
      <w:pPr>
        <w:spacing w:line="360" w:lineRule="auto"/>
        <w:ind w:firstLine="482"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注：</w:t>
      </w:r>
      <w:r>
        <w:rPr>
          <w:rFonts w:hint="eastAsia" w:asciiTheme="minorEastAsia" w:hAnsiTheme="minorEastAsia" w:eastAsiaTheme="minorEastAsia" w:cstheme="minorEastAsia"/>
          <w:color w:val="auto"/>
          <w:sz w:val="24"/>
          <w:highlight w:val="none"/>
        </w:rPr>
        <w:t>自然人参与竞争性磋商的无需提供，联合体参与竞争性磋商的只需牵头人出具。</w:t>
      </w:r>
    </w:p>
    <w:p w14:paraId="4C20D5C5">
      <w:pPr>
        <w:adjustRightInd w:val="0"/>
        <w:snapToGrid w:val="0"/>
        <w:spacing w:line="360" w:lineRule="auto"/>
        <w:ind w:firstLine="422" w:firstLineChars="200"/>
        <w:rPr>
          <w:rFonts w:hint="eastAsia" w:asciiTheme="minorEastAsia" w:hAnsiTheme="minorEastAsia" w:eastAsiaTheme="minorEastAsia" w:cstheme="minorEastAsia"/>
          <w:b/>
          <w:color w:val="auto"/>
          <w:szCs w:val="21"/>
          <w:highlight w:val="none"/>
        </w:rPr>
      </w:pPr>
    </w:p>
    <w:p w14:paraId="2305AF92">
      <w:pPr>
        <w:spacing w:line="360" w:lineRule="auto"/>
        <w:ind w:firstLine="880" w:firstLineChars="200"/>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br w:type="page"/>
      </w:r>
    </w:p>
    <w:p w14:paraId="49AD82E2">
      <w:pPr>
        <w:spacing w:line="360" w:lineRule="auto"/>
        <w:jc w:val="center"/>
        <w:rPr>
          <w:rFonts w:hint="eastAsia" w:asciiTheme="minorEastAsia" w:hAnsiTheme="minorEastAsia" w:eastAsiaTheme="minorEastAsia" w:cstheme="minorEastAsia"/>
          <w:b/>
          <w:color w:val="auto"/>
          <w:sz w:val="32"/>
          <w:szCs w:val="32"/>
          <w:highlight w:val="none"/>
        </w:rPr>
      </w:pPr>
      <w:bookmarkStart w:id="43" w:name="_Hlk65853643"/>
      <w:r>
        <w:rPr>
          <w:rFonts w:hint="eastAsia" w:asciiTheme="minorEastAsia" w:hAnsiTheme="minorEastAsia" w:eastAsiaTheme="minorEastAsia" w:cstheme="minorEastAsia"/>
          <w:b/>
          <w:color w:val="auto"/>
          <w:sz w:val="32"/>
          <w:szCs w:val="32"/>
          <w:highlight w:val="none"/>
        </w:rPr>
        <w:t>授权委托书</w:t>
      </w:r>
    </w:p>
    <w:p w14:paraId="1445E801">
      <w:pPr>
        <w:spacing w:line="360" w:lineRule="auto"/>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32"/>
          <w:szCs w:val="32"/>
          <w:highlight w:val="none"/>
        </w:rPr>
        <w:t>（如有委托时）</w:t>
      </w:r>
    </w:p>
    <w:p w14:paraId="72585B35">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（采购人名称）</w:t>
      </w:r>
      <w:r>
        <w:rPr>
          <w:rFonts w:hint="eastAsia" w:asciiTheme="minorEastAsia" w:hAnsiTheme="minorEastAsia" w:eastAsiaTheme="minorEastAsia" w:cstheme="minorEastAsia"/>
          <w:color w:val="auto"/>
          <w:sz w:val="24"/>
          <w:highlight w:val="none"/>
        </w:rPr>
        <w:t>：</w:t>
      </w:r>
    </w:p>
    <w:p w14:paraId="7783B54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w:t>
      </w:r>
      <w:r>
        <w:rPr>
          <w:rFonts w:hint="eastAsia" w:asciiTheme="minorEastAsia" w:hAnsiTheme="minorEastAsia" w:eastAsiaTheme="minorEastAsia" w:cstheme="minorEastAsia"/>
          <w:color w:val="auto"/>
          <w:sz w:val="24"/>
          <w:highlight w:val="none"/>
          <w:u w:val="single"/>
        </w:rPr>
        <w:t xml:space="preserve">  （姓名）  </w:t>
      </w: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（供应商名称）  </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rPr>
        <w:t>法定代表人/负责人/自然人本人</w:t>
      </w:r>
      <w:r>
        <w:rPr>
          <w:rFonts w:hint="eastAsia" w:asciiTheme="minorEastAsia" w:hAnsiTheme="minorEastAsia" w:eastAsiaTheme="minorEastAsia" w:cstheme="minorEastAsia"/>
          <w:color w:val="auto"/>
          <w:sz w:val="24"/>
          <w:highlight w:val="none"/>
        </w:rPr>
        <w:t>），现授权</w:t>
      </w:r>
      <w:r>
        <w:rPr>
          <w:rFonts w:hint="eastAsia" w:asciiTheme="minorEastAsia" w:hAnsiTheme="minorEastAsia" w:eastAsiaTheme="minorEastAsia" w:cstheme="minorEastAsia"/>
          <w:color w:val="auto"/>
          <w:sz w:val="24"/>
          <w:highlight w:val="none"/>
          <w:u w:val="single"/>
        </w:rPr>
        <w:t xml:space="preserve"> （姓名） </w:t>
      </w:r>
      <w:r>
        <w:rPr>
          <w:rFonts w:hint="eastAsia" w:asciiTheme="minorEastAsia" w:hAnsiTheme="minorEastAsia" w:eastAsiaTheme="minorEastAsia" w:cstheme="minorEastAsia"/>
          <w:color w:val="auto"/>
          <w:sz w:val="24"/>
          <w:highlight w:val="none"/>
        </w:rPr>
        <w:t>以我方的名义参加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项目的竞争性磋商活动，并代表我方全权办理针对上述项目的所有采购程序和环节的具体事务和签署相关文件。</w:t>
      </w:r>
    </w:p>
    <w:p w14:paraId="71EED88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我方对委托代理人的签字事项负全部责任。</w:t>
      </w:r>
    </w:p>
    <w:p w14:paraId="1D4241D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本授权书自签署之日起生效，在撤销授权的书面通知以前，本授权书一直有效。委托代理人在授权书有效期内签署的所有文件不因授权的撤销而失效。</w:t>
      </w:r>
    </w:p>
    <w:p w14:paraId="069567C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委托代理人无转委托权，特此委托。</w:t>
      </w:r>
    </w:p>
    <w:p w14:paraId="561B9AF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附：委托代理人有效身份证正反面复印件</w:t>
      </w:r>
    </w:p>
    <w:p w14:paraId="2810F543">
      <w:pPr>
        <w:spacing w:line="360" w:lineRule="auto"/>
        <w:ind w:firstLine="480" w:firstLineChars="200"/>
        <w:rPr>
          <w:rFonts w:hint="eastAsia" w:asciiTheme="minorEastAsia" w:hAnsiTheme="minorEastAsia" w:eastAsiaTheme="minorEastAsia" w:cstheme="minorEastAsia"/>
          <w:color w:val="auto"/>
          <w:sz w:val="24"/>
          <w:highlight w:val="none"/>
        </w:rPr>
      </w:pPr>
    </w:p>
    <w:p w14:paraId="5A2A281E">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委托代理人（签字）：</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法定代表人（签字）：</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545B3B9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委托代理人身份证号码：</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41F90397">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02DFCF7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供应商（公章）：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69177AF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6C7DFDC9">
      <w:pPr>
        <w:spacing w:line="360" w:lineRule="auto"/>
        <w:ind w:firstLine="480" w:firstLineChars="200"/>
        <w:rPr>
          <w:rFonts w:hint="eastAsia" w:asciiTheme="minorEastAsia" w:hAnsiTheme="minorEastAsia" w:eastAsiaTheme="minorEastAsia" w:cstheme="minorEastAsia"/>
          <w:color w:val="auto"/>
          <w:sz w:val="24"/>
          <w:highlight w:val="none"/>
        </w:rPr>
      </w:pPr>
    </w:p>
    <w:p w14:paraId="77E4E891">
      <w:pPr>
        <w:spacing w:line="360" w:lineRule="auto"/>
        <w:ind w:firstLine="482"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注：</w:t>
      </w:r>
      <w:r>
        <w:rPr>
          <w:rFonts w:hint="eastAsia" w:asciiTheme="minorEastAsia" w:hAnsiTheme="minorEastAsia" w:eastAsiaTheme="minorEastAsia" w:cstheme="minorEastAsia"/>
          <w:color w:val="auto"/>
          <w:sz w:val="24"/>
          <w:highlight w:val="none"/>
        </w:rPr>
        <w:t>1.法定代表人必须在授权委托书上亲笔签字，委托代理人必须在授权委托书上亲笔签字，</w:t>
      </w:r>
      <w:r>
        <w:rPr>
          <w:rFonts w:hint="eastAsia" w:asciiTheme="minorEastAsia" w:hAnsiTheme="minorEastAsia" w:eastAsiaTheme="minorEastAsia" w:cstheme="minorEastAsia"/>
          <w:b/>
          <w:color w:val="auto"/>
          <w:sz w:val="24"/>
          <w:highlight w:val="none"/>
        </w:rPr>
        <w:t>否则其响应文件按无效响应处理。</w:t>
      </w:r>
    </w:p>
    <w:p w14:paraId="6E6AEAD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bookmarkStart w:id="44" w:name="_Hlk65853109"/>
      <w:bookmarkStart w:id="45" w:name="_Hlk65853542"/>
      <w:r>
        <w:rPr>
          <w:rFonts w:hint="eastAsia" w:asciiTheme="minorEastAsia" w:hAnsiTheme="minorEastAsia" w:eastAsiaTheme="minorEastAsia" w:cstheme="minorEastAsia"/>
          <w:color w:val="auto"/>
          <w:sz w:val="24"/>
          <w:highlight w:val="none"/>
        </w:rPr>
        <w:t>法人、其他组织参与竞争性磋商时“我方”是指“我单位”，自然人参与竞争性磋商时“我方”是指“本人”。</w:t>
      </w:r>
      <w:bookmarkEnd w:id="44"/>
    </w:p>
    <w:bookmarkEnd w:id="45"/>
    <w:p w14:paraId="1D0B85FF">
      <w:pPr>
        <w:spacing w:line="360" w:lineRule="auto"/>
        <w:ind w:firstLine="420" w:firstLineChars="200"/>
        <w:rPr>
          <w:rFonts w:hint="eastAsia" w:asciiTheme="minorEastAsia" w:hAnsiTheme="minorEastAsia" w:eastAsiaTheme="minorEastAsia" w:cstheme="minorEastAsia"/>
          <w:color w:val="auto"/>
          <w:szCs w:val="21"/>
          <w:highlight w:val="none"/>
        </w:rPr>
      </w:pPr>
    </w:p>
    <w:p w14:paraId="71CA0E2C">
      <w:pPr>
        <w:spacing w:line="360" w:lineRule="auto"/>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color w:val="auto"/>
          <w:szCs w:val="21"/>
          <w:highlight w:val="none"/>
        </w:rPr>
        <w:br w:type="page"/>
      </w:r>
      <w:bookmarkEnd w:id="43"/>
      <w:r>
        <w:rPr>
          <w:rFonts w:hint="eastAsia" w:asciiTheme="minorEastAsia" w:hAnsiTheme="minorEastAsia" w:eastAsiaTheme="minorEastAsia" w:cstheme="minorEastAsia"/>
          <w:b/>
          <w:color w:val="auto"/>
          <w:sz w:val="32"/>
          <w:szCs w:val="32"/>
          <w:highlight w:val="none"/>
        </w:rPr>
        <w:t>商务要求偏离表（格式）</w:t>
      </w:r>
    </w:p>
    <w:p w14:paraId="3AF4E7E0">
      <w:pPr>
        <w:spacing w:line="360" w:lineRule="auto"/>
        <w:jc w:val="center"/>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（注：按采购需求具体条款修改）</w:t>
      </w:r>
    </w:p>
    <w:p w14:paraId="4C9A8BE8">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7FC19CDA">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采购项目编号：</w:t>
      </w:r>
      <w:r>
        <w:rPr>
          <w:rFonts w:hint="eastAsia" w:asciiTheme="minorEastAsia" w:hAnsiTheme="minorEastAsia" w:eastAsiaTheme="minorEastAsia" w:cstheme="minorEastAsia"/>
          <w:color w:val="auto"/>
          <w:sz w:val="24"/>
          <w:highlight w:val="none"/>
          <w:u w:val="single"/>
        </w:rPr>
        <w:t xml:space="preserve">                 </w:t>
      </w:r>
    </w:p>
    <w:p w14:paraId="03F60B50">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采购项目名称：</w:t>
      </w:r>
      <w:r>
        <w:rPr>
          <w:rFonts w:hint="eastAsia" w:asciiTheme="minorEastAsia" w:hAnsiTheme="minorEastAsia" w:eastAsiaTheme="minorEastAsia" w:cstheme="minorEastAsia"/>
          <w:color w:val="auto"/>
          <w:sz w:val="24"/>
          <w:highlight w:val="none"/>
          <w:u w:val="single"/>
        </w:rPr>
        <w:t xml:space="preserve">                 </w:t>
      </w:r>
    </w:p>
    <w:p w14:paraId="2D1B368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分标号：</w:t>
      </w:r>
      <w:r>
        <w:rPr>
          <w:rFonts w:hint="eastAsia" w:asciiTheme="minorEastAsia" w:hAnsiTheme="minorEastAsia" w:eastAsiaTheme="minorEastAsia" w:cstheme="minorEastAsia"/>
          <w:color w:val="auto"/>
          <w:sz w:val="24"/>
          <w:highlight w:val="none"/>
          <w:u w:val="single"/>
        </w:rPr>
        <w:t xml:space="preserve">                       </w:t>
      </w:r>
    </w:p>
    <w:p w14:paraId="5DB49A49">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p>
    <w:tbl>
      <w:tblPr>
        <w:tblStyle w:val="31"/>
        <w:tblpPr w:leftFromText="180" w:rightFromText="180" w:vertAnchor="text" w:horzAnchor="margin"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36117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vAlign w:val="center"/>
          </w:tcPr>
          <w:p w14:paraId="5F89E1DD">
            <w:pPr>
              <w:spacing w:line="400" w:lineRule="exact"/>
              <w:contextualSpacing/>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656806A3">
            <w:pPr>
              <w:spacing w:line="400" w:lineRule="exact"/>
              <w:contextualSpacing/>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0A71C537">
            <w:pPr>
              <w:spacing w:line="400" w:lineRule="exact"/>
              <w:contextualSpacing/>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24200F08">
            <w:pPr>
              <w:spacing w:line="400" w:lineRule="exact"/>
              <w:contextualSpacing/>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偏离说明</w:t>
            </w:r>
          </w:p>
        </w:tc>
      </w:tr>
      <w:tr w14:paraId="1BC7B0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vAlign w:val="center"/>
          </w:tcPr>
          <w:p w14:paraId="173291C5">
            <w:pPr>
              <w:spacing w:line="400" w:lineRule="exact"/>
              <w:jc w:val="center"/>
              <w:rPr>
                <w:rFonts w:hint="eastAsia" w:asciiTheme="minorEastAsia" w:hAnsiTheme="minorEastAsia" w:eastAsiaTheme="minorEastAsia" w:cstheme="minorEastAsia"/>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6202BF40">
            <w:pPr>
              <w:spacing w:line="400" w:lineRule="exact"/>
              <w:contextualSpacing/>
              <w:jc w:val="center"/>
              <w:rPr>
                <w:rFonts w:hint="eastAsia" w:asciiTheme="minorEastAsia" w:hAnsiTheme="minorEastAsia" w:eastAsiaTheme="minorEastAsia" w:cstheme="minorEastAsia"/>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6307CA18">
            <w:pPr>
              <w:spacing w:line="400" w:lineRule="exact"/>
              <w:contextualSpacing/>
              <w:jc w:val="center"/>
              <w:rPr>
                <w:rFonts w:hint="eastAsia" w:asciiTheme="minorEastAsia" w:hAnsiTheme="minorEastAsia" w:eastAsiaTheme="minorEastAsia" w:cstheme="minorEastAsia"/>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1BE86F28">
            <w:pPr>
              <w:spacing w:line="400" w:lineRule="exact"/>
              <w:contextualSpacing/>
              <w:jc w:val="center"/>
              <w:rPr>
                <w:rFonts w:hint="eastAsia" w:asciiTheme="minorEastAsia" w:hAnsiTheme="minorEastAsia" w:eastAsiaTheme="minorEastAsia" w:cstheme="minorEastAsia"/>
                <w:color w:val="auto"/>
                <w:sz w:val="24"/>
                <w:highlight w:val="none"/>
              </w:rPr>
            </w:pPr>
          </w:p>
        </w:tc>
      </w:tr>
      <w:tr w14:paraId="44C58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vAlign w:val="center"/>
          </w:tcPr>
          <w:p w14:paraId="2B05F35D">
            <w:pPr>
              <w:spacing w:line="400" w:lineRule="exact"/>
              <w:jc w:val="center"/>
              <w:rPr>
                <w:rFonts w:hint="eastAsia" w:asciiTheme="minorEastAsia" w:hAnsiTheme="minorEastAsia" w:eastAsiaTheme="minorEastAsia" w:cstheme="minorEastAsia"/>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1462B54B">
            <w:pPr>
              <w:spacing w:line="400" w:lineRule="exact"/>
              <w:contextualSpacing/>
              <w:jc w:val="center"/>
              <w:rPr>
                <w:rFonts w:hint="eastAsia" w:asciiTheme="minorEastAsia" w:hAnsiTheme="minorEastAsia" w:eastAsiaTheme="minorEastAsia" w:cstheme="minorEastAsia"/>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07D743C3">
            <w:pPr>
              <w:spacing w:line="400" w:lineRule="exact"/>
              <w:contextualSpacing/>
              <w:jc w:val="center"/>
              <w:rPr>
                <w:rFonts w:hint="eastAsia" w:asciiTheme="minorEastAsia" w:hAnsiTheme="minorEastAsia" w:eastAsiaTheme="minorEastAsia" w:cstheme="minorEastAsia"/>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423C25AD">
            <w:pPr>
              <w:spacing w:line="400" w:lineRule="exact"/>
              <w:contextualSpacing/>
              <w:jc w:val="center"/>
              <w:rPr>
                <w:rFonts w:hint="eastAsia" w:asciiTheme="minorEastAsia" w:hAnsiTheme="minorEastAsia" w:eastAsiaTheme="minorEastAsia" w:cstheme="minorEastAsia"/>
                <w:color w:val="auto"/>
                <w:sz w:val="24"/>
                <w:highlight w:val="none"/>
              </w:rPr>
            </w:pPr>
          </w:p>
        </w:tc>
      </w:tr>
      <w:tr w14:paraId="23D73D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78" w:type="dxa"/>
            <w:tcBorders>
              <w:top w:val="single" w:color="auto" w:sz="4" w:space="0"/>
              <w:left w:val="single" w:color="auto" w:sz="4" w:space="0"/>
              <w:bottom w:val="single" w:color="auto" w:sz="4" w:space="0"/>
              <w:right w:val="single" w:color="auto" w:sz="4" w:space="0"/>
            </w:tcBorders>
            <w:vAlign w:val="center"/>
          </w:tcPr>
          <w:p w14:paraId="408719B6">
            <w:pPr>
              <w:spacing w:line="400" w:lineRule="exact"/>
              <w:contextualSpacing/>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4626994D">
            <w:pPr>
              <w:spacing w:line="400" w:lineRule="exact"/>
              <w:contextualSpacing/>
              <w:jc w:val="center"/>
              <w:rPr>
                <w:rFonts w:hint="eastAsia" w:asciiTheme="minorEastAsia" w:hAnsiTheme="minorEastAsia" w:eastAsiaTheme="minorEastAsia" w:cstheme="minorEastAsia"/>
                <w:color w:val="auto"/>
                <w:sz w:val="24"/>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71132FE0">
            <w:pPr>
              <w:spacing w:line="400" w:lineRule="exact"/>
              <w:contextualSpacing/>
              <w:jc w:val="center"/>
              <w:rPr>
                <w:rFonts w:hint="eastAsia" w:asciiTheme="minorEastAsia" w:hAnsiTheme="minorEastAsia" w:eastAsiaTheme="minorEastAsia" w:cstheme="minorEastAsia"/>
                <w:color w:val="auto"/>
                <w:sz w:val="24"/>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197462F0">
            <w:pPr>
              <w:spacing w:line="400" w:lineRule="exact"/>
              <w:contextualSpacing/>
              <w:jc w:val="center"/>
              <w:rPr>
                <w:rFonts w:hint="eastAsia" w:asciiTheme="minorEastAsia" w:hAnsiTheme="minorEastAsia" w:eastAsiaTheme="minorEastAsia" w:cstheme="minorEastAsia"/>
                <w:color w:val="auto"/>
                <w:sz w:val="24"/>
                <w:highlight w:val="none"/>
              </w:rPr>
            </w:pPr>
          </w:p>
        </w:tc>
      </w:tr>
    </w:tbl>
    <w:p w14:paraId="230243E0">
      <w:pPr>
        <w:pStyle w:val="13"/>
        <w:spacing w:after="0" w:line="360" w:lineRule="auto"/>
        <w:ind w:firstLine="482" w:firstLineChars="200"/>
        <w:contextualSpacing/>
        <w:rPr>
          <w:rFonts w:hint="eastAsia" w:asciiTheme="minorEastAsia" w:hAnsiTheme="minorEastAsia" w:eastAsiaTheme="minorEastAsia" w:cstheme="minorEastAsia"/>
          <w:b/>
          <w:color w:val="auto"/>
          <w:kern w:val="0"/>
          <w:sz w:val="24"/>
          <w:szCs w:val="24"/>
          <w:highlight w:val="none"/>
        </w:rPr>
      </w:pPr>
      <w:r>
        <w:rPr>
          <w:rFonts w:hint="eastAsia" w:asciiTheme="minorEastAsia" w:hAnsiTheme="minorEastAsia" w:eastAsiaTheme="minorEastAsia" w:cstheme="minorEastAsia"/>
          <w:b/>
          <w:color w:val="auto"/>
          <w:kern w:val="0"/>
          <w:sz w:val="24"/>
          <w:szCs w:val="24"/>
          <w:highlight w:val="none"/>
        </w:rPr>
        <w:t>注：</w:t>
      </w:r>
    </w:p>
    <w:p w14:paraId="35CF9371">
      <w:pPr>
        <w:pStyle w:val="13"/>
        <w:spacing w:after="0" w:line="360" w:lineRule="auto"/>
        <w:ind w:firstLine="480" w:firstLineChars="200"/>
        <w:contextualSpacing/>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1.说明：应对照磋商文件“第三章 采购需求”中的商务要求逐条作出明确响应，并作出偏离说明。</w:t>
      </w:r>
    </w:p>
    <w:p w14:paraId="60A1B7E8">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kern w:val="0"/>
          <w:sz w:val="24"/>
          <w:highlight w:val="none"/>
        </w:rPr>
        <w:t>2.供应商应根据自身的承诺，对照磋商文件要求在“偏离说明”中注明“正偏离”、“负偏离”或者“无偏离”。既不属于“正偏离”也不属于“负偏离”即为“无偏离”。</w:t>
      </w:r>
    </w:p>
    <w:p w14:paraId="5ADD9434">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5ECA1D18">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法定代表人或者委托代理人（签字）：</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1C71D2B8">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供应商（公章）：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5FD6EC34">
      <w:pPr>
        <w:spacing w:line="360" w:lineRule="auto"/>
        <w:ind w:firstLine="480" w:firstLineChars="200"/>
        <w:contextualSpacing/>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17967F6C">
      <w:pPr>
        <w:adjustRightInd w:val="0"/>
        <w:snapToGrid w:val="0"/>
        <w:spacing w:line="360" w:lineRule="auto"/>
        <w:ind w:firstLine="880" w:firstLineChars="200"/>
        <w:rPr>
          <w:rFonts w:hint="eastAsia" w:asciiTheme="minorEastAsia" w:hAnsiTheme="minorEastAsia" w:eastAsiaTheme="minorEastAsia" w:cstheme="minorEastAsia"/>
          <w:bCs/>
          <w:color w:val="auto"/>
          <w:sz w:val="44"/>
          <w:szCs w:val="44"/>
          <w:highlight w:val="none"/>
        </w:rPr>
      </w:pPr>
    </w:p>
    <w:p w14:paraId="2DE4FBA0">
      <w:pPr>
        <w:adjustRightInd w:val="0"/>
        <w:snapToGrid w:val="0"/>
        <w:spacing w:line="360" w:lineRule="auto"/>
        <w:ind w:firstLine="880" w:firstLineChars="200"/>
        <w:rPr>
          <w:rFonts w:hint="eastAsia" w:asciiTheme="minorEastAsia" w:hAnsiTheme="minorEastAsia" w:eastAsiaTheme="minorEastAsia" w:cstheme="minorEastAsia"/>
          <w:bCs/>
          <w:color w:val="auto"/>
          <w:sz w:val="44"/>
          <w:szCs w:val="44"/>
          <w:highlight w:val="none"/>
        </w:rPr>
      </w:pPr>
    </w:p>
    <w:p w14:paraId="6173BBE0">
      <w:pPr>
        <w:adjustRightInd w:val="0"/>
        <w:snapToGrid w:val="0"/>
        <w:spacing w:line="360" w:lineRule="auto"/>
        <w:ind w:firstLine="880" w:firstLineChars="200"/>
        <w:rPr>
          <w:rFonts w:hint="eastAsia" w:asciiTheme="minorEastAsia" w:hAnsiTheme="minorEastAsia" w:eastAsiaTheme="minorEastAsia" w:cstheme="minorEastAsia"/>
          <w:bCs/>
          <w:color w:val="auto"/>
          <w:sz w:val="44"/>
          <w:szCs w:val="44"/>
          <w:highlight w:val="none"/>
        </w:rPr>
      </w:pPr>
    </w:p>
    <w:p w14:paraId="36661DDD">
      <w:pPr>
        <w:adjustRightInd w:val="0"/>
        <w:snapToGrid w:val="0"/>
        <w:spacing w:line="360" w:lineRule="auto"/>
        <w:ind w:firstLine="880" w:firstLineChars="200"/>
        <w:rPr>
          <w:rFonts w:hint="eastAsia" w:asciiTheme="minorEastAsia" w:hAnsiTheme="minorEastAsia" w:eastAsiaTheme="minorEastAsia" w:cstheme="minorEastAsia"/>
          <w:bCs/>
          <w:color w:val="auto"/>
          <w:sz w:val="44"/>
          <w:szCs w:val="44"/>
          <w:highlight w:val="none"/>
        </w:rPr>
      </w:pPr>
    </w:p>
    <w:p w14:paraId="156C25DF">
      <w:pPr>
        <w:adjustRightInd w:val="0"/>
        <w:snapToGrid w:val="0"/>
        <w:spacing w:line="360" w:lineRule="auto"/>
        <w:ind w:firstLine="420" w:firstLineChars="200"/>
        <w:rPr>
          <w:rFonts w:hint="eastAsia" w:asciiTheme="minorEastAsia" w:hAnsiTheme="minorEastAsia" w:eastAsiaTheme="minorEastAsia" w:cstheme="minorEastAsia"/>
          <w:color w:val="auto"/>
          <w:szCs w:val="21"/>
          <w:highlight w:val="none"/>
          <w:u w:val="single"/>
        </w:rPr>
      </w:pPr>
    </w:p>
    <w:p w14:paraId="368C3D65">
      <w:pPr>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Cs/>
          <w:color w:val="auto"/>
          <w:sz w:val="44"/>
          <w:szCs w:val="44"/>
          <w:highlight w:val="none"/>
        </w:rPr>
        <w:br w:type="page"/>
      </w:r>
      <w:r>
        <w:rPr>
          <w:rFonts w:hint="eastAsia" w:asciiTheme="minorEastAsia" w:hAnsiTheme="minorEastAsia" w:eastAsiaTheme="minorEastAsia" w:cstheme="minorEastAsia"/>
          <w:b/>
          <w:color w:val="auto"/>
          <w:sz w:val="32"/>
          <w:szCs w:val="32"/>
          <w:highlight w:val="none"/>
        </w:rPr>
        <w:t>服务要求偏离表（格式）</w:t>
      </w:r>
    </w:p>
    <w:p w14:paraId="787966EF">
      <w:pPr>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Cs/>
          <w:color w:val="auto"/>
          <w:sz w:val="32"/>
          <w:szCs w:val="32"/>
          <w:highlight w:val="none"/>
        </w:rPr>
        <w:t>（注：按采购需求具体条款修改）</w:t>
      </w:r>
    </w:p>
    <w:p w14:paraId="2694F0B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采购项目名称：</w:t>
      </w:r>
      <w:r>
        <w:rPr>
          <w:rFonts w:hint="eastAsia" w:asciiTheme="minorEastAsia" w:hAnsiTheme="minorEastAsia" w:eastAsiaTheme="minorEastAsia" w:cstheme="minorEastAsia"/>
          <w:color w:val="auto"/>
          <w:sz w:val="24"/>
          <w:highlight w:val="none"/>
          <w:u w:val="single"/>
        </w:rPr>
        <w:t xml:space="preserve">                 </w:t>
      </w:r>
    </w:p>
    <w:p w14:paraId="49F550AC">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采购项目编号：</w:t>
      </w:r>
      <w:r>
        <w:rPr>
          <w:rFonts w:hint="eastAsia" w:asciiTheme="minorEastAsia" w:hAnsiTheme="minorEastAsia" w:eastAsiaTheme="minorEastAsia" w:cstheme="minorEastAsia"/>
          <w:color w:val="auto"/>
          <w:sz w:val="24"/>
          <w:highlight w:val="none"/>
          <w:u w:val="single"/>
        </w:rPr>
        <w:t xml:space="preserve">                 </w:t>
      </w:r>
    </w:p>
    <w:p w14:paraId="79FA0C9A">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分标号：</w:t>
      </w:r>
      <w:r>
        <w:rPr>
          <w:rFonts w:hint="eastAsia" w:asciiTheme="minorEastAsia" w:hAnsiTheme="minorEastAsia" w:eastAsiaTheme="minorEastAsia" w:cstheme="minorEastAsia"/>
          <w:color w:val="auto"/>
          <w:sz w:val="24"/>
          <w:highlight w:val="none"/>
          <w:u w:val="single"/>
        </w:rPr>
        <w:t xml:space="preserve">                       </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1"/>
        <w:gridCol w:w="992"/>
        <w:gridCol w:w="3292"/>
        <w:gridCol w:w="2963"/>
        <w:gridCol w:w="1616"/>
      </w:tblGrid>
      <w:tr w14:paraId="037C6F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91" w:type="dxa"/>
            <w:vAlign w:val="center"/>
          </w:tcPr>
          <w:p w14:paraId="742A6589">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bookmarkStart w:id="46" w:name="_Toc301781611"/>
            <w:bookmarkStart w:id="47" w:name="_Toc297193185"/>
            <w:bookmarkStart w:id="48" w:name="_Toc254970729"/>
            <w:bookmarkStart w:id="49" w:name="_Toc383699906"/>
            <w:bookmarkStart w:id="50" w:name="_Toc173066401"/>
            <w:bookmarkStart w:id="51" w:name="_Toc173211900"/>
            <w:bookmarkStart w:id="52" w:name="_Toc295404981"/>
            <w:bookmarkStart w:id="53" w:name="_Toc254970588"/>
            <w:bookmarkStart w:id="54" w:name="_Toc373333689"/>
            <w:r>
              <w:rPr>
                <w:rFonts w:hint="eastAsia" w:asciiTheme="minorEastAsia" w:hAnsiTheme="minorEastAsia" w:eastAsiaTheme="minorEastAsia" w:cstheme="minorEastAsia"/>
                <w:color w:val="auto"/>
                <w:kern w:val="2"/>
                <w:sz w:val="24"/>
                <w:szCs w:val="24"/>
                <w:highlight w:val="none"/>
              </w:rPr>
              <w:t>序号</w:t>
            </w:r>
            <w:bookmarkEnd w:id="46"/>
            <w:bookmarkEnd w:id="47"/>
            <w:bookmarkEnd w:id="48"/>
            <w:bookmarkEnd w:id="49"/>
            <w:bookmarkEnd w:id="50"/>
            <w:bookmarkEnd w:id="51"/>
            <w:bookmarkEnd w:id="52"/>
            <w:bookmarkEnd w:id="53"/>
            <w:bookmarkEnd w:id="54"/>
          </w:p>
        </w:tc>
        <w:tc>
          <w:tcPr>
            <w:tcW w:w="992" w:type="dxa"/>
            <w:tcBorders>
              <w:right w:val="single" w:color="auto" w:sz="4" w:space="0"/>
            </w:tcBorders>
            <w:vAlign w:val="center"/>
          </w:tcPr>
          <w:p w14:paraId="5BB7F5B9">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名称</w:t>
            </w:r>
          </w:p>
        </w:tc>
        <w:tc>
          <w:tcPr>
            <w:tcW w:w="3292" w:type="dxa"/>
            <w:tcBorders>
              <w:left w:val="single" w:color="auto" w:sz="4" w:space="0"/>
            </w:tcBorders>
            <w:vAlign w:val="center"/>
          </w:tcPr>
          <w:p w14:paraId="1EA5255E">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服务要求</w:t>
            </w:r>
          </w:p>
        </w:tc>
        <w:tc>
          <w:tcPr>
            <w:tcW w:w="2963" w:type="dxa"/>
            <w:vAlign w:val="center"/>
          </w:tcPr>
          <w:p w14:paraId="12501991">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bookmarkStart w:id="55" w:name="_Toc173066403"/>
            <w:bookmarkStart w:id="56" w:name="_Toc254970590"/>
            <w:bookmarkStart w:id="57" w:name="_Toc383699908"/>
            <w:bookmarkStart w:id="58" w:name="_Toc301781613"/>
            <w:bookmarkStart w:id="59" w:name="_Toc254970731"/>
            <w:bookmarkStart w:id="60" w:name="_Toc297193187"/>
            <w:bookmarkStart w:id="61" w:name="_Toc373333691"/>
            <w:bookmarkStart w:id="62" w:name="_Toc295404983"/>
            <w:bookmarkStart w:id="63" w:name="_Toc173211902"/>
            <w:r>
              <w:rPr>
                <w:rFonts w:hint="eastAsia" w:asciiTheme="minorEastAsia" w:hAnsiTheme="minorEastAsia" w:eastAsiaTheme="minorEastAsia" w:cstheme="minorEastAsia"/>
                <w:color w:val="auto"/>
                <w:kern w:val="2"/>
                <w:sz w:val="24"/>
                <w:szCs w:val="24"/>
                <w:highlight w:val="none"/>
              </w:rPr>
              <w:t>供应商的响应</w:t>
            </w:r>
            <w:bookmarkEnd w:id="55"/>
            <w:bookmarkEnd w:id="56"/>
            <w:bookmarkEnd w:id="57"/>
            <w:bookmarkEnd w:id="58"/>
            <w:bookmarkEnd w:id="59"/>
            <w:bookmarkEnd w:id="60"/>
            <w:bookmarkEnd w:id="61"/>
            <w:bookmarkEnd w:id="62"/>
            <w:bookmarkEnd w:id="63"/>
          </w:p>
        </w:tc>
        <w:tc>
          <w:tcPr>
            <w:tcW w:w="1616" w:type="dxa"/>
            <w:vAlign w:val="center"/>
          </w:tcPr>
          <w:p w14:paraId="2DA9CA40">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bookmarkStart w:id="64" w:name="_Toc297193188"/>
            <w:bookmarkStart w:id="65" w:name="_Toc254970732"/>
            <w:bookmarkStart w:id="66" w:name="_Toc173211903"/>
            <w:bookmarkStart w:id="67" w:name="_Toc254970591"/>
            <w:bookmarkStart w:id="68" w:name="_Toc383699909"/>
            <w:bookmarkStart w:id="69" w:name="_Toc173066404"/>
            <w:bookmarkStart w:id="70" w:name="_Toc301781614"/>
            <w:bookmarkStart w:id="71" w:name="_Toc373333692"/>
            <w:bookmarkStart w:id="72" w:name="_Toc295404984"/>
            <w:r>
              <w:rPr>
                <w:rFonts w:hint="eastAsia" w:asciiTheme="minorEastAsia" w:hAnsiTheme="minorEastAsia" w:eastAsiaTheme="minorEastAsia" w:cstheme="minorEastAsia"/>
                <w:color w:val="auto"/>
                <w:kern w:val="2"/>
                <w:sz w:val="24"/>
                <w:szCs w:val="24"/>
                <w:highlight w:val="none"/>
              </w:rPr>
              <w:t>偏离</w:t>
            </w:r>
            <w:bookmarkEnd w:id="64"/>
            <w:bookmarkEnd w:id="65"/>
            <w:bookmarkEnd w:id="66"/>
            <w:bookmarkEnd w:id="67"/>
            <w:bookmarkEnd w:id="68"/>
            <w:bookmarkEnd w:id="69"/>
            <w:bookmarkEnd w:id="70"/>
            <w:bookmarkEnd w:id="71"/>
            <w:bookmarkEnd w:id="72"/>
            <w:bookmarkStart w:id="73" w:name="_Toc254970733"/>
            <w:bookmarkStart w:id="74" w:name="_Toc173211904"/>
            <w:bookmarkStart w:id="75" w:name="_Toc373333693"/>
            <w:bookmarkStart w:id="76" w:name="_Toc173066405"/>
            <w:bookmarkStart w:id="77" w:name="_Toc301781615"/>
            <w:bookmarkStart w:id="78" w:name="_Toc254970592"/>
            <w:bookmarkStart w:id="79" w:name="_Toc383699910"/>
            <w:bookmarkStart w:id="80" w:name="_Toc297193189"/>
            <w:bookmarkStart w:id="81" w:name="_Toc295404985"/>
            <w:r>
              <w:rPr>
                <w:rFonts w:hint="eastAsia" w:asciiTheme="minorEastAsia" w:hAnsiTheme="minorEastAsia" w:eastAsiaTheme="minorEastAsia" w:cstheme="minorEastAsia"/>
                <w:color w:val="auto"/>
                <w:kern w:val="2"/>
                <w:sz w:val="24"/>
                <w:szCs w:val="24"/>
                <w:highlight w:val="none"/>
              </w:rPr>
              <w:t>说明</w:t>
            </w:r>
            <w:bookmarkEnd w:id="73"/>
            <w:bookmarkEnd w:id="74"/>
            <w:bookmarkEnd w:id="75"/>
            <w:bookmarkEnd w:id="76"/>
            <w:bookmarkEnd w:id="77"/>
            <w:bookmarkEnd w:id="78"/>
            <w:bookmarkEnd w:id="79"/>
            <w:bookmarkEnd w:id="80"/>
            <w:bookmarkEnd w:id="81"/>
          </w:p>
        </w:tc>
      </w:tr>
      <w:tr w14:paraId="4B0B6B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91" w:type="dxa"/>
            <w:vAlign w:val="center"/>
          </w:tcPr>
          <w:p w14:paraId="39C56D9C">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bookmarkStart w:id="82" w:name="_Toc254970593"/>
            <w:bookmarkStart w:id="83" w:name="_Toc173211905"/>
            <w:bookmarkStart w:id="84" w:name="_Toc297193190"/>
            <w:bookmarkStart w:id="85" w:name="_Toc173066406"/>
            <w:bookmarkStart w:id="86" w:name="_Toc295404986"/>
            <w:bookmarkStart w:id="87" w:name="_Toc373333694"/>
            <w:bookmarkStart w:id="88" w:name="_Toc301781616"/>
            <w:bookmarkStart w:id="89" w:name="_Toc254970734"/>
            <w:bookmarkStart w:id="90" w:name="_Toc383699911"/>
            <w:r>
              <w:rPr>
                <w:rFonts w:hint="eastAsia" w:asciiTheme="minorEastAsia" w:hAnsiTheme="minorEastAsia" w:eastAsiaTheme="minorEastAsia" w:cstheme="minorEastAsia"/>
                <w:color w:val="auto"/>
                <w:kern w:val="2"/>
                <w:sz w:val="24"/>
                <w:szCs w:val="24"/>
                <w:highlight w:val="none"/>
              </w:rPr>
              <w:t>1</w:t>
            </w:r>
            <w:bookmarkEnd w:id="82"/>
            <w:bookmarkEnd w:id="83"/>
            <w:bookmarkEnd w:id="84"/>
            <w:bookmarkEnd w:id="85"/>
            <w:bookmarkEnd w:id="86"/>
            <w:bookmarkEnd w:id="87"/>
            <w:bookmarkEnd w:id="88"/>
            <w:bookmarkEnd w:id="89"/>
            <w:bookmarkEnd w:id="90"/>
          </w:p>
        </w:tc>
        <w:tc>
          <w:tcPr>
            <w:tcW w:w="992" w:type="dxa"/>
            <w:tcBorders>
              <w:right w:val="single" w:color="auto" w:sz="4" w:space="0"/>
            </w:tcBorders>
            <w:vAlign w:val="center"/>
          </w:tcPr>
          <w:p w14:paraId="4969306B">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3292" w:type="dxa"/>
            <w:tcBorders>
              <w:left w:val="single" w:color="auto" w:sz="4" w:space="0"/>
            </w:tcBorders>
            <w:vAlign w:val="center"/>
          </w:tcPr>
          <w:p w14:paraId="44C139C1">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2963" w:type="dxa"/>
            <w:vAlign w:val="center"/>
          </w:tcPr>
          <w:p w14:paraId="2CF58B0C">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1616" w:type="dxa"/>
            <w:vAlign w:val="center"/>
          </w:tcPr>
          <w:p w14:paraId="1AEC1F6B">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r>
      <w:tr w14:paraId="6C1AA8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91" w:type="dxa"/>
            <w:vAlign w:val="center"/>
          </w:tcPr>
          <w:p w14:paraId="58B97CAB">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bookmarkStart w:id="91" w:name="_Toc173211906"/>
            <w:bookmarkStart w:id="92" w:name="_Toc301781617"/>
            <w:bookmarkStart w:id="93" w:name="_Toc254970594"/>
            <w:bookmarkStart w:id="94" w:name="_Toc254970735"/>
            <w:bookmarkStart w:id="95" w:name="_Toc383699912"/>
            <w:bookmarkStart w:id="96" w:name="_Toc173066407"/>
            <w:bookmarkStart w:id="97" w:name="_Toc295404987"/>
            <w:bookmarkStart w:id="98" w:name="_Toc297193191"/>
            <w:bookmarkStart w:id="99" w:name="_Toc373333695"/>
            <w:r>
              <w:rPr>
                <w:rFonts w:hint="eastAsia" w:asciiTheme="minorEastAsia" w:hAnsiTheme="minorEastAsia" w:eastAsiaTheme="minorEastAsia" w:cstheme="minorEastAsia"/>
                <w:color w:val="auto"/>
                <w:kern w:val="2"/>
                <w:sz w:val="24"/>
                <w:szCs w:val="24"/>
                <w:highlight w:val="none"/>
              </w:rPr>
              <w:t>2</w:t>
            </w:r>
            <w:bookmarkEnd w:id="91"/>
            <w:bookmarkEnd w:id="92"/>
            <w:bookmarkEnd w:id="93"/>
            <w:bookmarkEnd w:id="94"/>
            <w:bookmarkEnd w:id="95"/>
            <w:bookmarkEnd w:id="96"/>
            <w:bookmarkEnd w:id="97"/>
            <w:bookmarkEnd w:id="98"/>
            <w:bookmarkEnd w:id="99"/>
          </w:p>
        </w:tc>
        <w:tc>
          <w:tcPr>
            <w:tcW w:w="992" w:type="dxa"/>
            <w:tcBorders>
              <w:right w:val="single" w:color="auto" w:sz="4" w:space="0"/>
            </w:tcBorders>
            <w:vAlign w:val="center"/>
          </w:tcPr>
          <w:p w14:paraId="624F1A27">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3292" w:type="dxa"/>
            <w:tcBorders>
              <w:left w:val="single" w:color="auto" w:sz="4" w:space="0"/>
            </w:tcBorders>
            <w:vAlign w:val="center"/>
          </w:tcPr>
          <w:p w14:paraId="6D7176C8">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2963" w:type="dxa"/>
            <w:vAlign w:val="center"/>
          </w:tcPr>
          <w:p w14:paraId="77C73FCC">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1616" w:type="dxa"/>
            <w:vAlign w:val="center"/>
          </w:tcPr>
          <w:p w14:paraId="2D53B0BB">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r>
      <w:tr w14:paraId="060F7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91" w:type="dxa"/>
            <w:vAlign w:val="center"/>
          </w:tcPr>
          <w:p w14:paraId="21C9B563">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bookmarkStart w:id="100" w:name="_Toc373333696"/>
            <w:bookmarkStart w:id="101" w:name="_Toc173211907"/>
            <w:bookmarkStart w:id="102" w:name="_Toc254970595"/>
            <w:bookmarkStart w:id="103" w:name="_Toc383699913"/>
            <w:bookmarkStart w:id="104" w:name="_Toc295404988"/>
            <w:bookmarkStart w:id="105" w:name="_Toc254970736"/>
            <w:bookmarkStart w:id="106" w:name="_Toc173066408"/>
            <w:bookmarkStart w:id="107" w:name="_Toc301781618"/>
            <w:bookmarkStart w:id="108" w:name="_Toc297193192"/>
            <w:r>
              <w:rPr>
                <w:rFonts w:hint="eastAsia" w:asciiTheme="minorEastAsia" w:hAnsiTheme="minorEastAsia" w:eastAsiaTheme="minorEastAsia" w:cstheme="minorEastAsia"/>
                <w:color w:val="auto"/>
                <w:kern w:val="2"/>
                <w:sz w:val="24"/>
                <w:szCs w:val="24"/>
                <w:highlight w:val="none"/>
              </w:rPr>
              <w:t>3</w:t>
            </w:r>
            <w:bookmarkEnd w:id="100"/>
            <w:bookmarkEnd w:id="101"/>
            <w:bookmarkEnd w:id="102"/>
            <w:bookmarkEnd w:id="103"/>
            <w:bookmarkEnd w:id="104"/>
            <w:bookmarkEnd w:id="105"/>
            <w:bookmarkEnd w:id="106"/>
            <w:bookmarkEnd w:id="107"/>
            <w:bookmarkEnd w:id="108"/>
          </w:p>
        </w:tc>
        <w:tc>
          <w:tcPr>
            <w:tcW w:w="992" w:type="dxa"/>
            <w:tcBorders>
              <w:right w:val="single" w:color="auto" w:sz="4" w:space="0"/>
            </w:tcBorders>
            <w:vAlign w:val="center"/>
          </w:tcPr>
          <w:p w14:paraId="76C0BA1C">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3292" w:type="dxa"/>
            <w:tcBorders>
              <w:left w:val="single" w:color="auto" w:sz="4" w:space="0"/>
            </w:tcBorders>
            <w:vAlign w:val="center"/>
          </w:tcPr>
          <w:p w14:paraId="10CF623F">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2963" w:type="dxa"/>
            <w:vAlign w:val="center"/>
          </w:tcPr>
          <w:p w14:paraId="1253451A">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1616" w:type="dxa"/>
            <w:vAlign w:val="center"/>
          </w:tcPr>
          <w:p w14:paraId="776B454F">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r>
      <w:tr w14:paraId="56ADDE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91" w:type="dxa"/>
            <w:vAlign w:val="center"/>
          </w:tcPr>
          <w:p w14:paraId="5A668B2E">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bookmarkStart w:id="109" w:name="_Toc254970596"/>
            <w:bookmarkStart w:id="110" w:name="_Toc173211908"/>
            <w:bookmarkStart w:id="111" w:name="_Toc173066409"/>
            <w:bookmarkStart w:id="112" w:name="_Toc383699914"/>
            <w:bookmarkStart w:id="113" w:name="_Toc297193193"/>
            <w:bookmarkStart w:id="114" w:name="_Toc373333697"/>
            <w:bookmarkStart w:id="115" w:name="_Toc254970737"/>
            <w:bookmarkStart w:id="116" w:name="_Toc295404989"/>
            <w:bookmarkStart w:id="117" w:name="_Toc301781619"/>
            <w:r>
              <w:rPr>
                <w:rFonts w:hint="eastAsia" w:asciiTheme="minorEastAsia" w:hAnsiTheme="minorEastAsia" w:eastAsiaTheme="minorEastAsia" w:cstheme="minorEastAsia"/>
                <w:color w:val="auto"/>
                <w:kern w:val="2"/>
                <w:sz w:val="24"/>
                <w:szCs w:val="24"/>
                <w:highlight w:val="none"/>
              </w:rPr>
              <w:t>4</w:t>
            </w:r>
            <w:bookmarkEnd w:id="109"/>
            <w:bookmarkEnd w:id="110"/>
            <w:bookmarkEnd w:id="111"/>
            <w:bookmarkEnd w:id="112"/>
            <w:bookmarkEnd w:id="113"/>
            <w:bookmarkEnd w:id="114"/>
            <w:bookmarkEnd w:id="115"/>
            <w:bookmarkEnd w:id="116"/>
            <w:bookmarkEnd w:id="117"/>
          </w:p>
        </w:tc>
        <w:tc>
          <w:tcPr>
            <w:tcW w:w="992" w:type="dxa"/>
            <w:tcBorders>
              <w:right w:val="single" w:color="auto" w:sz="4" w:space="0"/>
            </w:tcBorders>
            <w:vAlign w:val="center"/>
          </w:tcPr>
          <w:p w14:paraId="1D5BA828">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3292" w:type="dxa"/>
            <w:tcBorders>
              <w:left w:val="single" w:color="auto" w:sz="4" w:space="0"/>
            </w:tcBorders>
            <w:vAlign w:val="center"/>
          </w:tcPr>
          <w:p w14:paraId="4BF0EC07">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2963" w:type="dxa"/>
            <w:vAlign w:val="center"/>
          </w:tcPr>
          <w:p w14:paraId="1C594793">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1616" w:type="dxa"/>
            <w:vAlign w:val="center"/>
          </w:tcPr>
          <w:p w14:paraId="00919280">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r>
      <w:tr w14:paraId="73E2D5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91" w:type="dxa"/>
            <w:vAlign w:val="center"/>
          </w:tcPr>
          <w:p w14:paraId="303D353D">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bookmarkStart w:id="118" w:name="_Toc301781620"/>
            <w:bookmarkStart w:id="119" w:name="_Toc254970738"/>
            <w:bookmarkStart w:id="120" w:name="_Toc295404990"/>
            <w:bookmarkStart w:id="121" w:name="_Toc173066410"/>
            <w:bookmarkStart w:id="122" w:name="_Toc383699915"/>
            <w:bookmarkStart w:id="123" w:name="_Toc297193194"/>
            <w:bookmarkStart w:id="124" w:name="_Toc254970597"/>
            <w:bookmarkStart w:id="125" w:name="_Toc373333698"/>
            <w:bookmarkStart w:id="126" w:name="_Toc173211909"/>
            <w:r>
              <w:rPr>
                <w:rFonts w:hint="eastAsia" w:asciiTheme="minorEastAsia" w:hAnsiTheme="minorEastAsia" w:eastAsiaTheme="minorEastAsia" w:cstheme="minorEastAsia"/>
                <w:color w:val="auto"/>
                <w:kern w:val="2"/>
                <w:sz w:val="24"/>
                <w:szCs w:val="24"/>
                <w:highlight w:val="none"/>
              </w:rPr>
              <w:t>5</w:t>
            </w:r>
            <w:bookmarkEnd w:id="118"/>
            <w:bookmarkEnd w:id="119"/>
            <w:bookmarkEnd w:id="120"/>
            <w:bookmarkEnd w:id="121"/>
            <w:bookmarkEnd w:id="122"/>
            <w:bookmarkEnd w:id="123"/>
            <w:bookmarkEnd w:id="124"/>
            <w:bookmarkEnd w:id="125"/>
            <w:bookmarkEnd w:id="126"/>
          </w:p>
        </w:tc>
        <w:tc>
          <w:tcPr>
            <w:tcW w:w="992" w:type="dxa"/>
            <w:tcBorders>
              <w:right w:val="single" w:color="auto" w:sz="4" w:space="0"/>
            </w:tcBorders>
            <w:vAlign w:val="center"/>
          </w:tcPr>
          <w:p w14:paraId="0FDED87A">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3292" w:type="dxa"/>
            <w:tcBorders>
              <w:left w:val="single" w:color="auto" w:sz="4" w:space="0"/>
            </w:tcBorders>
            <w:vAlign w:val="center"/>
          </w:tcPr>
          <w:p w14:paraId="73B4C82F">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2963" w:type="dxa"/>
            <w:vAlign w:val="center"/>
          </w:tcPr>
          <w:p w14:paraId="68359A9A">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1616" w:type="dxa"/>
            <w:vAlign w:val="center"/>
          </w:tcPr>
          <w:p w14:paraId="38E97BA5">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r>
      <w:tr w14:paraId="26C10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91" w:type="dxa"/>
            <w:vAlign w:val="center"/>
          </w:tcPr>
          <w:p w14:paraId="04E34F90">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bookmarkStart w:id="127" w:name="_Toc173066415"/>
            <w:bookmarkStart w:id="128" w:name="_Toc301781621"/>
            <w:bookmarkStart w:id="129" w:name="_Toc254970743"/>
            <w:bookmarkStart w:id="130" w:name="_Toc295404991"/>
            <w:bookmarkStart w:id="131" w:name="_Toc383699916"/>
            <w:bookmarkStart w:id="132" w:name="_Toc173211914"/>
            <w:bookmarkStart w:id="133" w:name="_Toc297193195"/>
            <w:bookmarkStart w:id="134" w:name="_Toc254970602"/>
            <w:bookmarkStart w:id="135" w:name="_Toc373333699"/>
            <w:r>
              <w:rPr>
                <w:rFonts w:hint="eastAsia" w:asciiTheme="minorEastAsia" w:hAnsiTheme="minorEastAsia" w:eastAsiaTheme="minorEastAsia" w:cstheme="minorEastAsia"/>
                <w:color w:val="auto"/>
                <w:kern w:val="2"/>
                <w:sz w:val="24"/>
                <w:szCs w:val="24"/>
                <w:highlight w:val="none"/>
              </w:rPr>
              <w:t>…</w:t>
            </w:r>
            <w:bookmarkEnd w:id="127"/>
            <w:bookmarkEnd w:id="128"/>
            <w:bookmarkEnd w:id="129"/>
            <w:bookmarkEnd w:id="130"/>
            <w:bookmarkEnd w:id="131"/>
            <w:bookmarkEnd w:id="132"/>
            <w:bookmarkEnd w:id="133"/>
            <w:bookmarkEnd w:id="134"/>
            <w:bookmarkEnd w:id="135"/>
          </w:p>
        </w:tc>
        <w:tc>
          <w:tcPr>
            <w:tcW w:w="992" w:type="dxa"/>
            <w:tcBorders>
              <w:right w:val="single" w:color="auto" w:sz="4" w:space="0"/>
            </w:tcBorders>
            <w:vAlign w:val="center"/>
          </w:tcPr>
          <w:p w14:paraId="43A50BEF">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3292" w:type="dxa"/>
            <w:tcBorders>
              <w:left w:val="single" w:color="auto" w:sz="4" w:space="0"/>
            </w:tcBorders>
            <w:vAlign w:val="center"/>
          </w:tcPr>
          <w:p w14:paraId="3811A200">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2963" w:type="dxa"/>
            <w:vAlign w:val="center"/>
          </w:tcPr>
          <w:p w14:paraId="1DB22ED5">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c>
          <w:tcPr>
            <w:tcW w:w="1616" w:type="dxa"/>
            <w:tcBorders>
              <w:right w:val="single" w:color="auto" w:sz="4" w:space="0"/>
            </w:tcBorders>
            <w:vAlign w:val="center"/>
          </w:tcPr>
          <w:p w14:paraId="70FDD9BA">
            <w:pPr>
              <w:pStyle w:val="14"/>
              <w:spacing w:line="400" w:lineRule="exact"/>
              <w:ind w:firstLine="0" w:firstLineChars="0"/>
              <w:contextualSpacing/>
              <w:jc w:val="center"/>
              <w:rPr>
                <w:rFonts w:hint="eastAsia" w:asciiTheme="minorEastAsia" w:hAnsiTheme="minorEastAsia" w:eastAsiaTheme="minorEastAsia" w:cstheme="minorEastAsia"/>
                <w:color w:val="auto"/>
                <w:kern w:val="2"/>
                <w:sz w:val="24"/>
                <w:szCs w:val="24"/>
                <w:highlight w:val="none"/>
              </w:rPr>
            </w:pPr>
          </w:p>
        </w:tc>
      </w:tr>
    </w:tbl>
    <w:p w14:paraId="07747E03">
      <w:pPr>
        <w:pStyle w:val="14"/>
        <w:spacing w:line="360" w:lineRule="auto"/>
        <w:ind w:firstLine="482" w:firstLineChars="200"/>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注：</w:t>
      </w:r>
    </w:p>
    <w:p w14:paraId="3314266F">
      <w:pPr>
        <w:pStyle w:val="14"/>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1.说明：应对照磋商文件“第三章 采购需求”中的服务要求逐条作出明确响应，并作出偏离说明。</w:t>
      </w:r>
    </w:p>
    <w:p w14:paraId="7810B5D3">
      <w:pPr>
        <w:pStyle w:val="14"/>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2.供应商应根据自身的承诺，对照磋商文件要求，在“偏离说明”中注明“正偏离”、“负偏离”或者“无偏离”。既不属于“正偏离”也不属于“负偏离”即为“无偏离”。</w:t>
      </w:r>
    </w:p>
    <w:p w14:paraId="03847ECF">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564093AA">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法定代表人或者委托代理人（签字）：</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2285EF53">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供应商（公章）：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w:t>
      </w:r>
    </w:p>
    <w:p w14:paraId="7B471F23">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6F263584">
      <w:pPr>
        <w:spacing w:line="360" w:lineRule="auto"/>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color w:val="auto"/>
          <w:sz w:val="32"/>
          <w:szCs w:val="32"/>
          <w:highlight w:val="none"/>
        </w:rPr>
        <w:t>项目实施人员一览表格式</w:t>
      </w:r>
    </w:p>
    <w:p w14:paraId="34E8B46D">
      <w:pPr>
        <w:snapToGrid w:val="0"/>
        <w:spacing w:line="360" w:lineRule="auto"/>
        <w:ind w:firstLine="482" w:firstLineChars="200"/>
        <w:rPr>
          <w:rFonts w:hint="eastAsia" w:asciiTheme="minorEastAsia" w:hAnsiTheme="minorEastAsia" w:eastAsiaTheme="minorEastAsia" w:cstheme="minorEastAsia"/>
          <w:b/>
          <w:color w:val="auto"/>
          <w:sz w:val="24"/>
          <w:highlight w:val="none"/>
        </w:rPr>
      </w:pPr>
    </w:p>
    <w:p w14:paraId="4237A0CB">
      <w:pPr>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采购项目名称：</w:t>
      </w:r>
      <w:r>
        <w:rPr>
          <w:rFonts w:hint="eastAsia" w:asciiTheme="minorEastAsia" w:hAnsiTheme="minorEastAsia" w:eastAsiaTheme="minorEastAsia" w:cstheme="minorEastAsia"/>
          <w:color w:val="auto"/>
          <w:sz w:val="24"/>
          <w:highlight w:val="none"/>
          <w:u w:val="single"/>
        </w:rPr>
        <w:t xml:space="preserve">                 </w:t>
      </w:r>
    </w:p>
    <w:p w14:paraId="3E438727">
      <w:pPr>
        <w:spacing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采购项目编号：</w:t>
      </w:r>
      <w:r>
        <w:rPr>
          <w:rFonts w:hint="eastAsia" w:asciiTheme="minorEastAsia" w:hAnsiTheme="minorEastAsia" w:eastAsiaTheme="minorEastAsia" w:cstheme="minorEastAsia"/>
          <w:color w:val="auto"/>
          <w:sz w:val="24"/>
          <w:highlight w:val="none"/>
          <w:u w:val="single"/>
        </w:rPr>
        <w:t xml:space="preserve">                 </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794"/>
        <w:gridCol w:w="1907"/>
        <w:gridCol w:w="1592"/>
        <w:gridCol w:w="1903"/>
        <w:gridCol w:w="2066"/>
      </w:tblGrid>
      <w:tr w14:paraId="4DEE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681DD52D">
            <w:pPr>
              <w:spacing w:line="400" w:lineRule="exact"/>
              <w:contextualSpacing/>
              <w:jc w:val="center"/>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姓名</w:t>
            </w:r>
          </w:p>
        </w:tc>
        <w:tc>
          <w:tcPr>
            <w:tcW w:w="794" w:type="dxa"/>
            <w:vAlign w:val="center"/>
          </w:tcPr>
          <w:p w14:paraId="0148B871">
            <w:pPr>
              <w:spacing w:line="400" w:lineRule="exact"/>
              <w:contextualSpacing/>
              <w:jc w:val="center"/>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职务</w:t>
            </w:r>
          </w:p>
        </w:tc>
        <w:tc>
          <w:tcPr>
            <w:tcW w:w="1907" w:type="dxa"/>
            <w:vAlign w:val="center"/>
          </w:tcPr>
          <w:p w14:paraId="4422E772">
            <w:pPr>
              <w:spacing w:line="400" w:lineRule="exact"/>
              <w:contextualSpacing/>
              <w:jc w:val="center"/>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专业技术资格（职称）或者职业资格或者执业资格证或者其他证书</w:t>
            </w:r>
          </w:p>
        </w:tc>
        <w:tc>
          <w:tcPr>
            <w:tcW w:w="1592" w:type="dxa"/>
            <w:vAlign w:val="center"/>
          </w:tcPr>
          <w:p w14:paraId="2A61B272">
            <w:pPr>
              <w:spacing w:line="400" w:lineRule="exact"/>
              <w:contextualSpacing/>
              <w:jc w:val="center"/>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证书编号</w:t>
            </w:r>
          </w:p>
        </w:tc>
        <w:tc>
          <w:tcPr>
            <w:tcW w:w="1903" w:type="dxa"/>
            <w:vAlign w:val="center"/>
          </w:tcPr>
          <w:p w14:paraId="08979EFC">
            <w:pPr>
              <w:spacing w:line="400" w:lineRule="exact"/>
              <w:contextualSpacing/>
              <w:jc w:val="center"/>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参加本单位</w:t>
            </w:r>
          </w:p>
          <w:p w14:paraId="5A2F29E4">
            <w:pPr>
              <w:spacing w:line="400" w:lineRule="exact"/>
              <w:contextualSpacing/>
              <w:jc w:val="center"/>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工作时间</w:t>
            </w:r>
          </w:p>
        </w:tc>
        <w:tc>
          <w:tcPr>
            <w:tcW w:w="2066" w:type="dxa"/>
            <w:vAlign w:val="center"/>
          </w:tcPr>
          <w:p w14:paraId="7D8212D4">
            <w:pPr>
              <w:spacing w:line="400" w:lineRule="exact"/>
              <w:contextualSpacing/>
              <w:jc w:val="center"/>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备注</w:t>
            </w:r>
          </w:p>
        </w:tc>
      </w:tr>
      <w:tr w14:paraId="48A3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35E0542B">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794" w:type="dxa"/>
            <w:vAlign w:val="center"/>
          </w:tcPr>
          <w:p w14:paraId="0EE01903">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1907" w:type="dxa"/>
            <w:vAlign w:val="center"/>
          </w:tcPr>
          <w:p w14:paraId="0A38F16A">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1592" w:type="dxa"/>
            <w:vAlign w:val="center"/>
          </w:tcPr>
          <w:p w14:paraId="394B1195">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1903" w:type="dxa"/>
            <w:vAlign w:val="center"/>
          </w:tcPr>
          <w:p w14:paraId="303A01B4">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2066" w:type="dxa"/>
            <w:vAlign w:val="center"/>
          </w:tcPr>
          <w:p w14:paraId="2A92C92C">
            <w:pPr>
              <w:spacing w:line="400" w:lineRule="exact"/>
              <w:contextualSpacing/>
              <w:jc w:val="center"/>
              <w:rPr>
                <w:rFonts w:hint="eastAsia" w:asciiTheme="minorEastAsia" w:hAnsiTheme="minorEastAsia" w:eastAsiaTheme="minorEastAsia" w:cstheme="minorEastAsia"/>
                <w:color w:val="auto"/>
                <w:sz w:val="24"/>
                <w:szCs w:val="20"/>
                <w:highlight w:val="none"/>
              </w:rPr>
            </w:pPr>
          </w:p>
        </w:tc>
      </w:tr>
      <w:tr w14:paraId="4F2F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19C17964">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794" w:type="dxa"/>
            <w:vAlign w:val="center"/>
          </w:tcPr>
          <w:p w14:paraId="27BE7FBD">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1907" w:type="dxa"/>
            <w:vAlign w:val="center"/>
          </w:tcPr>
          <w:p w14:paraId="23BA21E8">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1592" w:type="dxa"/>
            <w:vAlign w:val="center"/>
          </w:tcPr>
          <w:p w14:paraId="42FD53E7">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1903" w:type="dxa"/>
            <w:vAlign w:val="center"/>
          </w:tcPr>
          <w:p w14:paraId="4A93768F">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2066" w:type="dxa"/>
            <w:vAlign w:val="center"/>
          </w:tcPr>
          <w:p w14:paraId="1CD4D8F0">
            <w:pPr>
              <w:spacing w:line="400" w:lineRule="exact"/>
              <w:contextualSpacing/>
              <w:jc w:val="center"/>
              <w:rPr>
                <w:rFonts w:hint="eastAsia" w:asciiTheme="minorEastAsia" w:hAnsiTheme="minorEastAsia" w:eastAsiaTheme="minorEastAsia" w:cstheme="minorEastAsia"/>
                <w:color w:val="auto"/>
                <w:sz w:val="24"/>
                <w:szCs w:val="20"/>
                <w:highlight w:val="none"/>
              </w:rPr>
            </w:pPr>
          </w:p>
        </w:tc>
      </w:tr>
      <w:tr w14:paraId="28C1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231779E6">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794" w:type="dxa"/>
            <w:vAlign w:val="center"/>
          </w:tcPr>
          <w:p w14:paraId="0ED808A8">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1907" w:type="dxa"/>
            <w:vAlign w:val="center"/>
          </w:tcPr>
          <w:p w14:paraId="0F78AAD3">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1592" w:type="dxa"/>
            <w:vAlign w:val="center"/>
          </w:tcPr>
          <w:p w14:paraId="6974F905">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1903" w:type="dxa"/>
            <w:vAlign w:val="center"/>
          </w:tcPr>
          <w:p w14:paraId="2AE1CBE8">
            <w:pPr>
              <w:spacing w:line="400" w:lineRule="exact"/>
              <w:contextualSpacing/>
              <w:jc w:val="center"/>
              <w:rPr>
                <w:rFonts w:hint="eastAsia" w:asciiTheme="minorEastAsia" w:hAnsiTheme="minorEastAsia" w:eastAsiaTheme="minorEastAsia" w:cstheme="minorEastAsia"/>
                <w:color w:val="auto"/>
                <w:sz w:val="24"/>
                <w:szCs w:val="20"/>
                <w:highlight w:val="none"/>
              </w:rPr>
            </w:pPr>
          </w:p>
        </w:tc>
        <w:tc>
          <w:tcPr>
            <w:tcW w:w="2066" w:type="dxa"/>
            <w:vAlign w:val="center"/>
          </w:tcPr>
          <w:p w14:paraId="7FFAB23D">
            <w:pPr>
              <w:spacing w:line="400" w:lineRule="exact"/>
              <w:contextualSpacing/>
              <w:jc w:val="center"/>
              <w:rPr>
                <w:rFonts w:hint="eastAsia" w:asciiTheme="minorEastAsia" w:hAnsiTheme="minorEastAsia" w:eastAsiaTheme="minorEastAsia" w:cstheme="minorEastAsia"/>
                <w:color w:val="auto"/>
                <w:sz w:val="24"/>
                <w:szCs w:val="20"/>
                <w:highlight w:val="none"/>
              </w:rPr>
            </w:pPr>
          </w:p>
        </w:tc>
      </w:tr>
    </w:tbl>
    <w:p w14:paraId="05BBB5EE">
      <w:pPr>
        <w:spacing w:line="360" w:lineRule="auto"/>
        <w:ind w:firstLine="482" w:firstLineChars="200"/>
        <w:contextualSpacing/>
        <w:rPr>
          <w:rFonts w:hint="eastAsia"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b/>
          <w:color w:val="auto"/>
          <w:sz w:val="24"/>
          <w:szCs w:val="20"/>
          <w:highlight w:val="none"/>
        </w:rPr>
        <w:t>注：</w:t>
      </w:r>
    </w:p>
    <w:p w14:paraId="2D2897E0">
      <w:pPr>
        <w:spacing w:line="360" w:lineRule="auto"/>
        <w:ind w:firstLine="480" w:firstLineChars="200"/>
        <w:contextualSpacing/>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1.在填写时，如本表格不适合供应商的实际情况，可根据本表格式自行制表填写。</w:t>
      </w:r>
    </w:p>
    <w:p w14:paraId="12323AF1">
      <w:pPr>
        <w:spacing w:line="360" w:lineRule="auto"/>
        <w:ind w:firstLine="480" w:firstLineChars="200"/>
        <w:contextualSpacing/>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2.供应商应当附本表所列证书的复印件并加盖供应商公章。</w:t>
      </w:r>
    </w:p>
    <w:p w14:paraId="40D7718E">
      <w:pPr>
        <w:pStyle w:val="2"/>
        <w:spacing w:after="0" w:line="360" w:lineRule="auto"/>
        <w:ind w:firstLine="420" w:firstLineChars="200"/>
        <w:rPr>
          <w:rFonts w:hint="eastAsia" w:asciiTheme="minorEastAsia" w:hAnsiTheme="minorEastAsia" w:eastAsiaTheme="minorEastAsia" w:cstheme="minorEastAsia"/>
          <w:color w:val="auto"/>
          <w:highlight w:val="none"/>
        </w:rPr>
      </w:pPr>
    </w:p>
    <w:p w14:paraId="10802660">
      <w:pPr>
        <w:spacing w:line="360" w:lineRule="auto"/>
        <w:ind w:firstLine="480" w:firstLineChars="200"/>
        <w:contextualSpacing/>
        <w:rPr>
          <w:rFonts w:hint="eastAsia" w:asciiTheme="minorEastAsia" w:hAnsiTheme="minorEastAsia" w:eastAsiaTheme="minorEastAsia" w:cstheme="minorEastAsia"/>
          <w:color w:val="auto"/>
          <w:spacing w:val="20"/>
          <w:sz w:val="24"/>
          <w:szCs w:val="20"/>
          <w:highlight w:val="none"/>
          <w:u w:val="single"/>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color w:val="auto"/>
          <w:spacing w:val="20"/>
          <w:sz w:val="24"/>
          <w:highlight w:val="none"/>
        </w:rPr>
        <w:t>签字</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pacing w:val="20"/>
          <w:sz w:val="24"/>
          <w:highlight w:val="none"/>
        </w:rPr>
        <w:t>：</w:t>
      </w:r>
      <w:r>
        <w:rPr>
          <w:rFonts w:hint="eastAsia" w:asciiTheme="minorEastAsia" w:hAnsiTheme="minorEastAsia" w:eastAsiaTheme="minorEastAsia" w:cstheme="minorEastAsia"/>
          <w:color w:val="auto"/>
          <w:spacing w:val="20"/>
          <w:sz w:val="24"/>
          <w:highlight w:val="none"/>
          <w:u w:val="single"/>
        </w:rPr>
        <w:t xml:space="preserve">        </w:t>
      </w:r>
    </w:p>
    <w:p w14:paraId="1ECA6281">
      <w:pPr>
        <w:spacing w:line="360" w:lineRule="auto"/>
        <w:ind w:firstLine="560" w:firstLineChars="200"/>
        <w:contextualSpacing/>
        <w:rPr>
          <w:rFonts w:hint="eastAsia" w:asciiTheme="minorEastAsia" w:hAnsiTheme="minorEastAsia" w:eastAsiaTheme="minorEastAsia" w:cstheme="minorEastAsia"/>
          <w:color w:val="auto"/>
          <w:spacing w:val="20"/>
          <w:sz w:val="24"/>
          <w:highlight w:val="none"/>
        </w:rPr>
      </w:pPr>
      <w:r>
        <w:rPr>
          <w:rFonts w:hint="eastAsia" w:asciiTheme="minorEastAsia" w:hAnsiTheme="minorEastAsia" w:eastAsiaTheme="minorEastAsia" w:cstheme="minorEastAsia"/>
          <w:color w:val="auto"/>
          <w:spacing w:val="20"/>
          <w:sz w:val="24"/>
          <w:highlight w:val="none"/>
        </w:rPr>
        <w:t>供应商（公章）：</w:t>
      </w:r>
      <w:r>
        <w:rPr>
          <w:rFonts w:hint="eastAsia" w:asciiTheme="minorEastAsia" w:hAnsiTheme="minorEastAsia" w:eastAsiaTheme="minorEastAsia" w:cstheme="minorEastAsia"/>
          <w:color w:val="auto"/>
          <w:spacing w:val="20"/>
          <w:sz w:val="24"/>
          <w:highlight w:val="none"/>
          <w:u w:val="single"/>
        </w:rPr>
        <w:t xml:space="preserve">            </w:t>
      </w:r>
      <w:r>
        <w:rPr>
          <w:rFonts w:hint="eastAsia" w:asciiTheme="minorEastAsia" w:hAnsiTheme="minorEastAsia" w:eastAsiaTheme="minorEastAsia" w:cstheme="minorEastAsia"/>
          <w:color w:val="auto"/>
          <w:spacing w:val="20"/>
          <w:sz w:val="24"/>
          <w:highlight w:val="none"/>
        </w:rPr>
        <w:t xml:space="preserve">              </w:t>
      </w:r>
    </w:p>
    <w:p w14:paraId="54BFEEB7">
      <w:pPr>
        <w:spacing w:line="360" w:lineRule="auto"/>
        <w:ind w:firstLine="560" w:firstLineChars="200"/>
        <w:contextualSpacing/>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pacing w:val="20"/>
          <w:sz w:val="24"/>
          <w:highlight w:val="none"/>
        </w:rPr>
        <w:t>日 期：年</w:t>
      </w:r>
      <w:r>
        <w:rPr>
          <w:rFonts w:hint="eastAsia" w:asciiTheme="minorEastAsia" w:hAnsiTheme="minorEastAsia" w:eastAsiaTheme="minorEastAsia" w:cstheme="minorEastAsia"/>
          <w:color w:val="auto"/>
          <w:spacing w:val="20"/>
          <w:sz w:val="24"/>
          <w:highlight w:val="none"/>
          <w:u w:val="single"/>
        </w:rPr>
        <w:t xml:space="preserve">  </w:t>
      </w:r>
      <w:r>
        <w:rPr>
          <w:rFonts w:hint="eastAsia" w:asciiTheme="minorEastAsia" w:hAnsiTheme="minorEastAsia" w:eastAsiaTheme="minorEastAsia" w:cstheme="minorEastAsia"/>
          <w:color w:val="auto"/>
          <w:spacing w:val="20"/>
          <w:sz w:val="24"/>
          <w:highlight w:val="none"/>
        </w:rPr>
        <w:t>月</w:t>
      </w:r>
      <w:r>
        <w:rPr>
          <w:rFonts w:hint="eastAsia" w:asciiTheme="minorEastAsia" w:hAnsiTheme="minorEastAsia" w:eastAsiaTheme="minorEastAsia" w:cstheme="minorEastAsia"/>
          <w:color w:val="auto"/>
          <w:spacing w:val="20"/>
          <w:sz w:val="24"/>
          <w:highlight w:val="none"/>
          <w:u w:val="single"/>
        </w:rPr>
        <w:t xml:space="preserve">  </w:t>
      </w:r>
      <w:r>
        <w:rPr>
          <w:rFonts w:hint="eastAsia" w:asciiTheme="minorEastAsia" w:hAnsiTheme="minorEastAsia" w:eastAsiaTheme="minorEastAsia" w:cstheme="minorEastAsia"/>
          <w:color w:val="auto"/>
          <w:spacing w:val="20"/>
          <w:sz w:val="24"/>
          <w:highlight w:val="none"/>
        </w:rPr>
        <w:t>日</w:t>
      </w:r>
    </w:p>
    <w:p w14:paraId="04004ED2">
      <w:pPr>
        <w:snapToGrid w:val="0"/>
        <w:spacing w:line="360" w:lineRule="auto"/>
        <w:ind w:firstLine="480" w:firstLineChars="200"/>
        <w:rPr>
          <w:rFonts w:hint="eastAsia" w:asciiTheme="minorEastAsia" w:hAnsiTheme="minorEastAsia" w:eastAsiaTheme="minorEastAsia" w:cstheme="minorEastAsia"/>
          <w:color w:val="auto"/>
          <w:sz w:val="24"/>
          <w:szCs w:val="20"/>
          <w:highlight w:val="none"/>
        </w:rPr>
      </w:pPr>
    </w:p>
    <w:p w14:paraId="04BCB33F">
      <w:pPr>
        <w:snapToGrid w:val="0"/>
        <w:spacing w:line="360" w:lineRule="auto"/>
        <w:ind w:firstLine="643" w:firstLineChars="200"/>
        <w:rPr>
          <w:rFonts w:hint="eastAsia" w:asciiTheme="minorEastAsia" w:hAnsiTheme="minorEastAsia" w:eastAsiaTheme="minorEastAsia" w:cstheme="minorEastAsia"/>
          <w:b/>
          <w:color w:val="auto"/>
          <w:sz w:val="32"/>
          <w:szCs w:val="32"/>
          <w:highlight w:val="none"/>
        </w:rPr>
      </w:pPr>
    </w:p>
    <w:p w14:paraId="484E0A0B">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 w:val="24"/>
          <w:highlight w:val="none"/>
        </w:rPr>
        <w:br w:type="page"/>
      </w:r>
      <w:r>
        <w:rPr>
          <w:rFonts w:hint="eastAsia" w:asciiTheme="minorEastAsia" w:hAnsiTheme="minorEastAsia" w:eastAsiaTheme="minorEastAsia" w:cstheme="minorEastAsia"/>
          <w:b/>
          <w:color w:val="auto"/>
          <w:sz w:val="32"/>
          <w:szCs w:val="32"/>
          <w:highlight w:val="none"/>
        </w:rPr>
        <w:t>其他文书、文件格式</w:t>
      </w:r>
    </w:p>
    <w:p w14:paraId="0F674D04">
      <w:pPr>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质疑函（格式）</w:t>
      </w:r>
    </w:p>
    <w:p w14:paraId="263699F8">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一、质疑供应商基本信息：</w:t>
      </w:r>
    </w:p>
    <w:p w14:paraId="02FDFCCA">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质疑供应商：</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56A520CE">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381FB45B">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6B30AB88">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授权代表：</w:t>
      </w:r>
      <w:r>
        <w:rPr>
          <w:rFonts w:hint="eastAsia" w:asciiTheme="minorEastAsia" w:hAnsiTheme="minorEastAsia" w:eastAsiaTheme="minorEastAsia" w:cstheme="minorEastAsia"/>
          <w:bCs/>
          <w:color w:val="auto"/>
          <w:sz w:val="24"/>
          <w:szCs w:val="24"/>
          <w:highlight w:val="none"/>
          <w:u w:val="single"/>
        </w:rPr>
        <w:t xml:space="preserve">                      </w:t>
      </w:r>
    </w:p>
    <w:p w14:paraId="0E01D7AC">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571598B5">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4847053A">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二、质疑项目基本情况：</w:t>
      </w:r>
    </w:p>
    <w:p w14:paraId="514E65CC">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项目的名称：</w:t>
      </w:r>
      <w:r>
        <w:rPr>
          <w:rFonts w:hint="eastAsia" w:asciiTheme="minorEastAsia" w:hAnsiTheme="minorEastAsia" w:eastAsiaTheme="minorEastAsia" w:cstheme="minorEastAsia"/>
          <w:bCs/>
          <w:color w:val="auto"/>
          <w:sz w:val="24"/>
          <w:szCs w:val="24"/>
          <w:highlight w:val="none"/>
          <w:u w:val="single"/>
        </w:rPr>
        <w:t xml:space="preserve">                                     </w:t>
      </w:r>
    </w:p>
    <w:p w14:paraId="3F0B5C71">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项目的编号：</w:t>
      </w:r>
      <w:r>
        <w:rPr>
          <w:rFonts w:hint="eastAsia" w:asciiTheme="minorEastAsia" w:hAnsiTheme="minorEastAsia" w:eastAsiaTheme="minorEastAsia" w:cstheme="minorEastAsia"/>
          <w:bCs/>
          <w:color w:val="auto"/>
          <w:sz w:val="24"/>
          <w:szCs w:val="24"/>
          <w:highlight w:val="none"/>
          <w:u w:val="single"/>
        </w:rPr>
        <w:t xml:space="preserve">                                     </w:t>
      </w:r>
    </w:p>
    <w:p w14:paraId="5874B534">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bCs/>
          <w:color w:val="auto"/>
          <w:sz w:val="24"/>
          <w:szCs w:val="24"/>
          <w:highlight w:val="none"/>
          <w:u w:val="single"/>
        </w:rPr>
        <w:t xml:space="preserve">                                         </w:t>
      </w:r>
    </w:p>
    <w:p w14:paraId="369E0C03">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w:t>
      </w:r>
    </w:p>
    <w:p w14:paraId="74AFAB29">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□采购文件   采购文件获取日期：</w:t>
      </w:r>
      <w:r>
        <w:rPr>
          <w:rFonts w:hint="eastAsia" w:asciiTheme="minorEastAsia" w:hAnsiTheme="minorEastAsia" w:eastAsiaTheme="minorEastAsia" w:cstheme="minorEastAsia"/>
          <w:bCs/>
          <w:color w:val="auto"/>
          <w:sz w:val="24"/>
          <w:szCs w:val="24"/>
          <w:highlight w:val="none"/>
          <w:u w:val="single"/>
        </w:rPr>
        <w:t xml:space="preserve">                                   </w:t>
      </w:r>
    </w:p>
    <w:p w14:paraId="771D8603">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□采购过程   </w:t>
      </w:r>
    </w:p>
    <w:p w14:paraId="47C07CAC">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□成交结果   </w:t>
      </w:r>
    </w:p>
    <w:p w14:paraId="0CB26D4C">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三、质疑事项具体内容</w:t>
      </w:r>
    </w:p>
    <w:p w14:paraId="5B000EE0">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bCs/>
          <w:color w:val="auto"/>
          <w:sz w:val="24"/>
          <w:szCs w:val="24"/>
          <w:highlight w:val="none"/>
          <w:u w:val="single"/>
        </w:rPr>
        <w:t xml:space="preserve">                                                                    </w:t>
      </w:r>
    </w:p>
    <w:p w14:paraId="1C7AFFD6">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bCs/>
          <w:color w:val="auto"/>
          <w:sz w:val="24"/>
          <w:szCs w:val="24"/>
          <w:highlight w:val="none"/>
          <w:u w:val="single"/>
        </w:rPr>
        <w:t xml:space="preserve">                                                                      </w:t>
      </w:r>
    </w:p>
    <w:p w14:paraId="73265E3A">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2BCBA945">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质疑事项2</w:t>
      </w:r>
    </w:p>
    <w:p w14:paraId="0DE1DECE">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3B4A542F">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四、与质疑事项相关的质疑请求：</w:t>
      </w:r>
    </w:p>
    <w:p w14:paraId="0242877E">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bCs/>
          <w:color w:val="auto"/>
          <w:sz w:val="24"/>
          <w:szCs w:val="24"/>
          <w:highlight w:val="none"/>
          <w:u w:val="single"/>
        </w:rPr>
        <w:t xml:space="preserve">                                                                </w:t>
      </w:r>
    </w:p>
    <w:p w14:paraId="23E99E44">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p>
    <w:p w14:paraId="1A8EF93F">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签字（签章）：</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公章：</w:t>
      </w:r>
      <w:r>
        <w:rPr>
          <w:rFonts w:hint="eastAsia" w:asciiTheme="minorEastAsia" w:hAnsiTheme="minorEastAsia" w:eastAsiaTheme="minorEastAsia" w:cstheme="minorEastAsia"/>
          <w:color w:val="auto"/>
          <w:sz w:val="24"/>
          <w:szCs w:val="24"/>
          <w:highlight w:val="none"/>
          <w:u w:val="single"/>
        </w:rPr>
        <w:t xml:space="preserve">               </w:t>
      </w:r>
    </w:p>
    <w:p w14:paraId="6B242F6D">
      <w:pPr>
        <w:pStyle w:val="17"/>
        <w:spacing w:line="360" w:lineRule="auto"/>
        <w:ind w:firstLine="480" w:firstLineChars="200"/>
        <w:contextualSpacing/>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79E16A35">
      <w:pPr>
        <w:spacing w:line="360" w:lineRule="auto"/>
        <w:ind w:firstLine="420" w:firstLineChars="200"/>
        <w:rPr>
          <w:rFonts w:hint="eastAsia" w:asciiTheme="minorEastAsia" w:hAnsiTheme="minorEastAsia" w:eastAsiaTheme="minorEastAsia" w:cstheme="minorEastAsia"/>
          <w:color w:val="auto"/>
          <w:highlight w:val="none"/>
        </w:rPr>
      </w:pPr>
    </w:p>
    <w:p w14:paraId="7EBDB90A">
      <w:pPr>
        <w:pStyle w:val="2"/>
        <w:spacing w:after="0" w:line="360" w:lineRule="auto"/>
        <w:ind w:firstLine="420" w:firstLineChars="200"/>
        <w:rPr>
          <w:rFonts w:hint="eastAsia" w:asciiTheme="minorEastAsia" w:hAnsiTheme="minorEastAsia" w:eastAsiaTheme="minorEastAsia" w:cstheme="minorEastAsia"/>
          <w:color w:val="auto"/>
          <w:highlight w:val="none"/>
        </w:rPr>
      </w:pPr>
    </w:p>
    <w:p w14:paraId="6811073B">
      <w:pPr>
        <w:pStyle w:val="17"/>
        <w:spacing w:line="360" w:lineRule="auto"/>
        <w:ind w:firstLine="482" w:firstLineChars="200"/>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67243EB1">
      <w:pPr>
        <w:pStyle w:val="17"/>
        <w:spacing w:line="360" w:lineRule="auto"/>
        <w:ind w:firstLine="482" w:firstLineChars="200"/>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1.供应商提出质疑时，应提交质疑函和必要的证明材料。</w:t>
      </w:r>
    </w:p>
    <w:p w14:paraId="2FBBC01F">
      <w:pPr>
        <w:pStyle w:val="17"/>
        <w:spacing w:line="360" w:lineRule="auto"/>
        <w:ind w:firstLine="482" w:firstLineChars="200"/>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3E1D84B">
      <w:pPr>
        <w:pStyle w:val="17"/>
        <w:spacing w:line="360" w:lineRule="auto"/>
        <w:ind w:firstLine="482" w:firstLineChars="200"/>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3.质疑函的质疑事项应具体、明确，并有必要的事实依据和法律依据。</w:t>
      </w:r>
    </w:p>
    <w:p w14:paraId="719A2846">
      <w:pPr>
        <w:pStyle w:val="17"/>
        <w:spacing w:line="360" w:lineRule="auto"/>
        <w:ind w:firstLine="482" w:firstLineChars="200"/>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4.质疑函的质疑请求应与质疑事项相关。</w:t>
      </w:r>
    </w:p>
    <w:p w14:paraId="63A1254A">
      <w:pPr>
        <w:pStyle w:val="17"/>
        <w:spacing w:line="360" w:lineRule="auto"/>
        <w:ind w:firstLine="482" w:firstLineChars="200"/>
        <w:contextualSpacing/>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5.质疑供应商为法人或者其他组织的，质疑函应由法定代表人、主要负责人，或者其授权代表签字或者盖章，并加盖公章。</w:t>
      </w:r>
    </w:p>
    <w:p w14:paraId="1225521E">
      <w:pPr>
        <w:pStyle w:val="17"/>
        <w:snapToGrid w:val="0"/>
        <w:spacing w:line="360" w:lineRule="auto"/>
        <w:ind w:firstLine="482" w:firstLineChars="200"/>
        <w:rPr>
          <w:rFonts w:hint="eastAsia" w:asciiTheme="minorEastAsia" w:hAnsiTheme="minorEastAsia" w:eastAsiaTheme="minorEastAsia" w:cstheme="minorEastAsia"/>
          <w:b/>
          <w:color w:val="auto"/>
          <w:sz w:val="24"/>
          <w:szCs w:val="24"/>
          <w:highlight w:val="none"/>
        </w:rPr>
      </w:pPr>
    </w:p>
    <w:p w14:paraId="523D01D6">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30FA7029">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004274A3">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1BFAD45A">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472784A6">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20CDB448">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5F6161BF">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4454D0A4">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53CA65DC">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44D82183">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3F7208F5">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6EB45FB8">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5B6F0D7D">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1D1A8CB0">
      <w:pPr>
        <w:spacing w:line="360" w:lineRule="auto"/>
        <w:ind w:firstLine="640" w:firstLineChars="200"/>
        <w:rPr>
          <w:rFonts w:hint="eastAsia" w:asciiTheme="minorEastAsia" w:hAnsiTheme="minorEastAsia" w:eastAsiaTheme="minorEastAsia" w:cstheme="minorEastAsia"/>
          <w:color w:val="auto"/>
          <w:sz w:val="32"/>
          <w:szCs w:val="40"/>
          <w:highlight w:val="none"/>
        </w:rPr>
      </w:pPr>
    </w:p>
    <w:p w14:paraId="2C7F75B0">
      <w:pPr>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44"/>
          <w:szCs w:val="44"/>
          <w:highlight w:val="none"/>
        </w:rPr>
        <w:br w:type="page"/>
      </w:r>
      <w:r>
        <w:rPr>
          <w:rFonts w:hint="eastAsia" w:asciiTheme="minorEastAsia" w:hAnsiTheme="minorEastAsia" w:eastAsiaTheme="minorEastAsia" w:cstheme="minorEastAsia"/>
          <w:b/>
          <w:color w:val="auto"/>
          <w:sz w:val="32"/>
          <w:szCs w:val="32"/>
          <w:highlight w:val="none"/>
        </w:rPr>
        <w:t>投诉书（格式）</w:t>
      </w:r>
    </w:p>
    <w:p w14:paraId="7EEF1B7F">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一、投诉相关主体基本情况：</w:t>
      </w:r>
    </w:p>
    <w:p w14:paraId="619109E9">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供应商：</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486BFBFD">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5439674E">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法定代表人/主要负责人：</w:t>
      </w:r>
      <w:r>
        <w:rPr>
          <w:rFonts w:hint="eastAsia" w:asciiTheme="minorEastAsia" w:hAnsiTheme="minorEastAsia" w:eastAsiaTheme="minorEastAsia" w:cstheme="minorEastAsia"/>
          <w:bCs/>
          <w:color w:val="auto"/>
          <w:sz w:val="24"/>
          <w:szCs w:val="24"/>
          <w:highlight w:val="none"/>
          <w:u w:val="single"/>
        </w:rPr>
        <w:t xml:space="preserve">                                                         </w:t>
      </w:r>
    </w:p>
    <w:p w14:paraId="05330765">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24E1147E">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授权代表：</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636AEA39">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p>
    <w:p w14:paraId="21F9D0DD">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10E2E5F1">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被投诉人1：</w:t>
      </w:r>
    </w:p>
    <w:p w14:paraId="27236244">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p>
    <w:p w14:paraId="4C98069F">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61D12F9C">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p>
    <w:p w14:paraId="56E48B2D">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被投诉人2：</w:t>
      </w:r>
    </w:p>
    <w:p w14:paraId="01AA85A4">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14:paraId="61961071">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相关供应商：</w:t>
      </w:r>
      <w:r>
        <w:rPr>
          <w:rFonts w:hint="eastAsia" w:asciiTheme="minorEastAsia" w:hAnsiTheme="minorEastAsia" w:eastAsiaTheme="minorEastAsia" w:cstheme="minorEastAsia"/>
          <w:bCs/>
          <w:color w:val="auto"/>
          <w:sz w:val="24"/>
          <w:szCs w:val="24"/>
          <w:highlight w:val="none"/>
          <w:u w:val="single"/>
        </w:rPr>
        <w:t xml:space="preserve">                                                                       </w:t>
      </w:r>
    </w:p>
    <w:p w14:paraId="6C8E2C71">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p>
    <w:p w14:paraId="75E17630">
      <w:pPr>
        <w:pStyle w:val="17"/>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64F03FF9">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二、投诉项目基本情况：</w:t>
      </w:r>
    </w:p>
    <w:p w14:paraId="08BDB39A">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项目的名称：</w:t>
      </w:r>
      <w:r>
        <w:rPr>
          <w:rFonts w:hint="eastAsia" w:asciiTheme="minorEastAsia" w:hAnsiTheme="minorEastAsia" w:eastAsiaTheme="minorEastAsia" w:cstheme="minorEastAsia"/>
          <w:bCs/>
          <w:color w:val="auto"/>
          <w:sz w:val="24"/>
          <w:szCs w:val="24"/>
          <w:highlight w:val="none"/>
          <w:u w:val="single"/>
        </w:rPr>
        <w:t xml:space="preserve">                                                                   </w:t>
      </w:r>
    </w:p>
    <w:p w14:paraId="79D79FB3">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项目的编号：</w:t>
      </w:r>
      <w:r>
        <w:rPr>
          <w:rFonts w:hint="eastAsia" w:asciiTheme="minorEastAsia" w:hAnsiTheme="minorEastAsia" w:eastAsiaTheme="minorEastAsia" w:cstheme="minorEastAsia"/>
          <w:bCs/>
          <w:color w:val="auto"/>
          <w:sz w:val="24"/>
          <w:szCs w:val="24"/>
          <w:highlight w:val="none"/>
          <w:u w:val="single"/>
        </w:rPr>
        <w:t xml:space="preserve">                                          </w:t>
      </w:r>
    </w:p>
    <w:p w14:paraId="4698F895">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bCs/>
          <w:color w:val="auto"/>
          <w:sz w:val="24"/>
          <w:szCs w:val="24"/>
          <w:highlight w:val="none"/>
          <w:u w:val="single"/>
        </w:rPr>
        <w:t xml:space="preserve">                                                                        </w:t>
      </w:r>
    </w:p>
    <w:p w14:paraId="5FBA1C1A">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代理机构名称：</w:t>
      </w:r>
      <w:r>
        <w:rPr>
          <w:rFonts w:hint="eastAsia" w:asciiTheme="minorEastAsia" w:hAnsiTheme="minorEastAsia" w:eastAsiaTheme="minorEastAsia" w:cstheme="minorEastAsia"/>
          <w:bCs/>
          <w:color w:val="auto"/>
          <w:sz w:val="24"/>
          <w:szCs w:val="24"/>
          <w:highlight w:val="none"/>
          <w:u w:val="single"/>
        </w:rPr>
        <w:t xml:space="preserve">                                                                      </w:t>
      </w:r>
    </w:p>
    <w:p w14:paraId="39E2D028">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竞争性磋商文件公告：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r>
        <w:rPr>
          <w:rFonts w:hint="eastAsia" w:asciiTheme="minorEastAsia" w:hAnsiTheme="minorEastAsia" w:eastAsiaTheme="minorEastAsia" w:cstheme="minorEastAsia"/>
          <w:bCs/>
          <w:color w:val="auto"/>
          <w:sz w:val="24"/>
          <w:szCs w:val="24"/>
          <w:highlight w:val="none"/>
          <w:u w:val="single"/>
        </w:rPr>
        <w:t xml:space="preserve">                                                       </w:t>
      </w:r>
    </w:p>
    <w:p w14:paraId="1FB1E0F6">
      <w:pPr>
        <w:pStyle w:val="17"/>
        <w:spacing w:line="360" w:lineRule="auto"/>
        <w:ind w:firstLine="480"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采购结果公告：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r>
        <w:rPr>
          <w:rFonts w:hint="eastAsia" w:asciiTheme="minorEastAsia" w:hAnsiTheme="minorEastAsia" w:eastAsiaTheme="minorEastAsia" w:cstheme="minorEastAsia"/>
          <w:bCs/>
          <w:color w:val="auto"/>
          <w:sz w:val="24"/>
          <w:szCs w:val="24"/>
          <w:highlight w:val="none"/>
          <w:u w:val="single"/>
        </w:rPr>
        <w:t xml:space="preserve">                                                       </w:t>
      </w:r>
    </w:p>
    <w:p w14:paraId="29FEA313">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三、质疑基本情况</w:t>
      </w:r>
    </w:p>
    <w:p w14:paraId="76D9499E">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投诉人于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日，向</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提出质疑，质疑事项为：</w:t>
      </w:r>
    </w:p>
    <w:p w14:paraId="7972E51B">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26BF1CC9">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23A54536">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u w:val="single"/>
        </w:rPr>
        <w:t>采购人/代理机构</w:t>
      </w:r>
      <w:r>
        <w:rPr>
          <w:rFonts w:hint="eastAsia" w:asciiTheme="minorEastAsia" w:hAnsiTheme="minorEastAsia" w:eastAsiaTheme="minorEastAsia" w:cstheme="minorEastAsia"/>
          <w:bCs/>
          <w:color w:val="auto"/>
          <w:sz w:val="24"/>
          <w:szCs w:val="24"/>
          <w:highlight w:val="none"/>
        </w:rPr>
        <w:t>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bCs/>
          <w:color w:val="auto"/>
          <w:sz w:val="24"/>
          <w:szCs w:val="24"/>
          <w:highlight w:val="none"/>
        </w:rPr>
        <w:t xml:space="preserve">就质疑事项作出了答复/没有在法定期限内作出答复。                                                                                             </w:t>
      </w:r>
    </w:p>
    <w:p w14:paraId="175D9EEA">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四、投诉事项具体内容</w:t>
      </w:r>
    </w:p>
    <w:p w14:paraId="6A8CC009">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投诉事项1：</w:t>
      </w:r>
      <w:r>
        <w:rPr>
          <w:rFonts w:hint="eastAsia" w:asciiTheme="minorEastAsia" w:hAnsiTheme="minorEastAsia" w:eastAsiaTheme="minorEastAsia" w:cstheme="minorEastAsia"/>
          <w:bCs/>
          <w:color w:val="auto"/>
          <w:sz w:val="24"/>
          <w:szCs w:val="24"/>
          <w:highlight w:val="none"/>
          <w:u w:val="single"/>
        </w:rPr>
        <w:t xml:space="preserve">                                                                           </w:t>
      </w:r>
    </w:p>
    <w:p w14:paraId="50964883">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事实依据：</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11F66221">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u w:val="single"/>
        </w:rPr>
        <w:t xml:space="preserve">                                                                                        </w:t>
      </w:r>
    </w:p>
    <w:p w14:paraId="54DE3F6D">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法律依据：</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225F5CC4">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4A57A02C">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投诉事项2  </w:t>
      </w:r>
      <w:r>
        <w:rPr>
          <w:rFonts w:hint="eastAsia" w:asciiTheme="minorEastAsia" w:hAnsiTheme="minorEastAsia" w:eastAsiaTheme="minorEastAsia" w:cstheme="minorEastAsia"/>
          <w:bCs/>
          <w:color w:val="auto"/>
          <w:sz w:val="24"/>
          <w:szCs w:val="24"/>
          <w:highlight w:val="none"/>
        </w:rPr>
        <w:t xml:space="preserve">   </w:t>
      </w:r>
    </w:p>
    <w:p w14:paraId="47E64C43">
      <w:pPr>
        <w:pStyle w:val="17"/>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14:paraId="0BC7CAFD">
      <w:pPr>
        <w:pStyle w:val="17"/>
        <w:spacing w:line="360" w:lineRule="auto"/>
        <w:ind w:firstLine="480" w:firstLineChars="200"/>
        <w:contextualSpacing/>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五、与投诉事项相关的投诉请求：</w:t>
      </w:r>
    </w:p>
    <w:p w14:paraId="7AAE2132">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bCs/>
          <w:color w:val="auto"/>
          <w:sz w:val="24"/>
          <w:szCs w:val="24"/>
          <w:highlight w:val="none"/>
          <w:u w:val="single"/>
        </w:rPr>
        <w:t xml:space="preserve">                                                                                 </w:t>
      </w:r>
    </w:p>
    <w:p w14:paraId="648D060D">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357C7709">
      <w:pPr>
        <w:pStyle w:val="17"/>
        <w:spacing w:line="360" w:lineRule="auto"/>
        <w:ind w:firstLine="480" w:firstLineChars="20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签字（签章）：</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公章：</w:t>
      </w:r>
      <w:r>
        <w:rPr>
          <w:rFonts w:hint="eastAsia" w:asciiTheme="minorEastAsia" w:hAnsiTheme="minorEastAsia" w:eastAsiaTheme="minorEastAsia" w:cstheme="minorEastAsia"/>
          <w:color w:val="auto"/>
          <w:sz w:val="24"/>
          <w:szCs w:val="24"/>
          <w:highlight w:val="none"/>
          <w:u w:val="single"/>
        </w:rPr>
        <w:t xml:space="preserve">          </w:t>
      </w:r>
    </w:p>
    <w:p w14:paraId="6EA08968">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3BC956B8">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0CC5470A">
      <w:pPr>
        <w:pStyle w:val="17"/>
        <w:spacing w:line="360" w:lineRule="auto"/>
        <w:ind w:firstLine="480"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 xml:space="preserve">                                                                                 </w:t>
      </w:r>
    </w:p>
    <w:p w14:paraId="4CF21B84">
      <w:pPr>
        <w:pStyle w:val="17"/>
        <w:snapToGrid w:val="0"/>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3ED6C73D">
      <w:pPr>
        <w:pStyle w:val="17"/>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1.投诉人提起投诉时，应当提交投诉书和必要的证明材料，并按照被投诉人和与投诉事项有关的供应商数量提供投诉书副本</w:t>
      </w:r>
      <w:r>
        <w:rPr>
          <w:rFonts w:hint="eastAsia" w:asciiTheme="minorEastAsia" w:hAnsiTheme="minorEastAsia" w:eastAsiaTheme="minorEastAsia" w:cstheme="minorEastAsia"/>
          <w:b/>
          <w:bCs/>
          <w:color w:val="auto"/>
          <w:sz w:val="24"/>
          <w:szCs w:val="24"/>
          <w:highlight w:val="none"/>
        </w:rPr>
        <w:t>。</w:t>
      </w:r>
    </w:p>
    <w:p w14:paraId="04D86712">
      <w:pPr>
        <w:pStyle w:val="17"/>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15D1F92">
      <w:pPr>
        <w:pStyle w:val="17"/>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3.投诉书应简要列明质疑事项，质疑函、质疑答复等作为附件材料提供。</w:t>
      </w:r>
    </w:p>
    <w:p w14:paraId="43A8D729">
      <w:pPr>
        <w:pStyle w:val="17"/>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4.投诉书的投诉事项应具体、明确，并有必要的事实依据和法律依据。</w:t>
      </w:r>
    </w:p>
    <w:p w14:paraId="34B41E98">
      <w:pPr>
        <w:pStyle w:val="17"/>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5.投诉书的投诉请求应与投诉事项相关。</w:t>
      </w:r>
    </w:p>
    <w:p w14:paraId="2D9056D1">
      <w:pPr>
        <w:pStyle w:val="17"/>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6.投诉人为法人或者其他组织的，投诉书应由法定代表人、主要负责人，或者其授权代表签字或者盖章，并加盖公章。</w:t>
      </w:r>
    </w:p>
    <w:p w14:paraId="28834987">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2AAE009A">
      <w:pPr>
        <w:rPr>
          <w:rFonts w:hint="eastAsia" w:asciiTheme="minorEastAsia" w:hAnsiTheme="minorEastAsia" w:eastAsiaTheme="minorEastAsia" w:cstheme="minorEastAsia"/>
          <w:color w:val="auto"/>
          <w:highlight w:val="none"/>
        </w:rPr>
      </w:pPr>
      <w:bookmarkStart w:id="136" w:name="_Toc13022"/>
      <w:r>
        <w:rPr>
          <w:rFonts w:hint="eastAsia" w:asciiTheme="minorEastAsia" w:hAnsiTheme="minorEastAsia" w:eastAsiaTheme="minorEastAsia" w:cstheme="minorEastAsia"/>
          <w:color w:val="auto"/>
          <w:highlight w:val="none"/>
        </w:rPr>
        <w:br w:type="page"/>
      </w:r>
    </w:p>
    <w:p w14:paraId="1CCCF26B">
      <w:pPr>
        <w:pStyle w:val="3"/>
        <w:spacing w:before="0" w:after="0"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第六章 拟签订的合同文本</w:t>
      </w:r>
      <w:bookmarkEnd w:id="136"/>
    </w:p>
    <w:p w14:paraId="6FC2042B">
      <w:pPr>
        <w:spacing w:line="360" w:lineRule="auto"/>
        <w:ind w:firstLine="883" w:firstLineChars="200"/>
        <w:rPr>
          <w:rFonts w:hint="eastAsia" w:asciiTheme="minorEastAsia" w:hAnsiTheme="minorEastAsia" w:eastAsiaTheme="minorEastAsia" w:cstheme="minorEastAsia"/>
          <w:b/>
          <w:bCs/>
          <w:color w:val="auto"/>
          <w:kern w:val="44"/>
          <w:sz w:val="44"/>
          <w:szCs w:val="44"/>
          <w:highlight w:val="none"/>
        </w:rPr>
      </w:pPr>
    </w:p>
    <w:p w14:paraId="6465EF9C">
      <w:pPr>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合同文本</w:t>
      </w:r>
    </w:p>
    <w:p w14:paraId="062A9A1D">
      <w:pPr>
        <w:spacing w:line="360" w:lineRule="auto"/>
        <w:ind w:right="480"/>
        <w:rPr>
          <w:rFonts w:hint="eastAsia" w:asciiTheme="minorEastAsia" w:hAnsiTheme="minorEastAsia" w:eastAsiaTheme="minorEastAsia" w:cstheme="minorEastAsia"/>
          <w:bCs/>
          <w:color w:val="auto"/>
          <w:sz w:val="24"/>
          <w:highlight w:val="none"/>
          <w:u w:val="single"/>
          <w:lang w:eastAsia="zh-CN"/>
        </w:rPr>
      </w:pPr>
      <w:r>
        <w:rPr>
          <w:rFonts w:hint="eastAsia" w:asciiTheme="minorEastAsia" w:hAnsiTheme="minorEastAsia" w:eastAsiaTheme="minorEastAsia" w:cstheme="minorEastAsia"/>
          <w:bCs/>
          <w:color w:val="auto"/>
          <w:sz w:val="24"/>
          <w:highlight w:val="none"/>
        </w:rPr>
        <w:t>合同编号：</w:t>
      </w:r>
      <w:r>
        <w:rPr>
          <w:rFonts w:hint="eastAsia" w:asciiTheme="minorEastAsia" w:hAnsiTheme="minorEastAsia" w:eastAsiaTheme="minorEastAsia" w:cstheme="minorEastAsia"/>
          <w:bCs/>
          <w:color w:val="auto"/>
          <w:sz w:val="24"/>
          <w:highlight w:val="none"/>
          <w:lang w:eastAsia="zh-CN"/>
        </w:rPr>
        <w:t>QZZC2026-C3-210106-JGJD</w:t>
      </w:r>
    </w:p>
    <w:p w14:paraId="7E8F9B80">
      <w:pPr>
        <w:spacing w:line="360" w:lineRule="auto"/>
        <w:rPr>
          <w:rFonts w:hint="eastAsia" w:asciiTheme="minorEastAsia" w:hAnsiTheme="minorEastAsia" w:eastAsiaTheme="minorEastAsia" w:cstheme="minorEastAsia"/>
          <w:color w:val="auto"/>
          <w:sz w:val="24"/>
          <w:highlight w:val="none"/>
        </w:rPr>
      </w:pPr>
    </w:p>
    <w:p w14:paraId="2119A1A1">
      <w:pPr>
        <w:spacing w:line="360" w:lineRule="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采购人（甲方）：</w:t>
      </w:r>
      <w:r>
        <w:rPr>
          <w:rFonts w:hint="eastAsia" w:asciiTheme="minorEastAsia" w:hAnsiTheme="minorEastAsia" w:eastAsiaTheme="minorEastAsia" w:cstheme="minorEastAsia"/>
          <w:color w:val="auto"/>
          <w:sz w:val="24"/>
          <w:highlight w:val="none"/>
          <w:u w:val="single"/>
        </w:rPr>
        <w:t>灵山县人民医院</w:t>
      </w:r>
      <w:r>
        <w:rPr>
          <w:rFonts w:hint="eastAsia" w:asciiTheme="minorEastAsia" w:hAnsiTheme="minorEastAsia" w:eastAsiaTheme="minorEastAsia" w:cstheme="minorEastAsia"/>
          <w:color w:val="auto"/>
          <w:sz w:val="24"/>
          <w:highlight w:val="none"/>
        </w:rPr>
        <w:t xml:space="preserve">          采购计划号：</w:t>
      </w:r>
      <w:r>
        <w:rPr>
          <w:rFonts w:hint="eastAsia" w:asciiTheme="minorEastAsia" w:hAnsiTheme="minorEastAsia" w:eastAsiaTheme="minorEastAsia" w:cstheme="minorEastAsia"/>
          <w:color w:val="auto"/>
          <w:sz w:val="24"/>
          <w:highlight w:val="none"/>
          <w:u w:val="single"/>
        </w:rPr>
        <w:t xml:space="preserve">               </w:t>
      </w:r>
    </w:p>
    <w:p w14:paraId="271FAE7B">
      <w:pPr>
        <w:spacing w:line="360" w:lineRule="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供应商（乙方）：</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招标编号：</w:t>
      </w:r>
      <w:r>
        <w:rPr>
          <w:rFonts w:hint="eastAsia" w:asciiTheme="minorEastAsia" w:hAnsiTheme="minorEastAsia" w:eastAsiaTheme="minorEastAsia" w:cstheme="minorEastAsia"/>
          <w:color w:val="auto"/>
          <w:sz w:val="24"/>
          <w:highlight w:val="none"/>
          <w:u w:val="single"/>
          <w:lang w:eastAsia="zh-CN"/>
        </w:rPr>
        <w:t>QZZC2026-C3-210106-JGJD</w:t>
      </w:r>
    </w:p>
    <w:p w14:paraId="315F6864">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签订地点：</w:t>
      </w:r>
      <w:r>
        <w:rPr>
          <w:rFonts w:hint="eastAsia" w:asciiTheme="minorEastAsia" w:hAnsiTheme="minorEastAsia" w:eastAsiaTheme="minorEastAsia" w:cstheme="minorEastAsia"/>
          <w:color w:val="auto"/>
          <w:sz w:val="24"/>
          <w:highlight w:val="none"/>
          <w:u w:val="single"/>
        </w:rPr>
        <w:t>灵山县人民医院</w:t>
      </w:r>
      <w:r>
        <w:rPr>
          <w:rFonts w:hint="eastAsia" w:asciiTheme="minorEastAsia" w:hAnsiTheme="minorEastAsia" w:eastAsiaTheme="minorEastAsia" w:cstheme="minorEastAsia"/>
          <w:color w:val="auto"/>
          <w:sz w:val="24"/>
          <w:highlight w:val="none"/>
        </w:rPr>
        <w:t xml:space="preserve">                签订时间：</w:t>
      </w:r>
      <w:r>
        <w:rPr>
          <w:rFonts w:hint="eastAsia" w:asciiTheme="minorEastAsia" w:hAnsiTheme="minorEastAsia" w:eastAsiaTheme="minorEastAsia" w:cstheme="minorEastAsia"/>
          <w:color w:val="auto"/>
          <w:sz w:val="24"/>
          <w:highlight w:val="none"/>
          <w:u w:val="single"/>
        </w:rPr>
        <w:t>2026</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14:paraId="5A02BB98">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本合同为中小企业预留合同：</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4D7D43F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根据《中华人民共和国政府采购法》、《中华人民共和国民法典》等法律、法规规定，按照采购文件规定条款和乙方响应文件及其承诺，甲乙双方签订本合同。</w:t>
      </w:r>
    </w:p>
    <w:p w14:paraId="50D540B2">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第一条：采购内容</w:t>
      </w:r>
    </w:p>
    <w:p w14:paraId="777D7628">
      <w:pPr>
        <w:pStyle w:val="26"/>
        <w:spacing w:line="360" w:lineRule="auto"/>
        <w:ind w:firstLine="480" w:firstLineChars="200"/>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灵山县人民医院营养饭堂营养品供应服务。</w:t>
      </w:r>
    </w:p>
    <w:p w14:paraId="79C43078">
      <w:pPr>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color w:val="auto"/>
          <w:sz w:val="24"/>
          <w:highlight w:val="none"/>
        </w:rPr>
        <w:t>第二条：</w:t>
      </w:r>
      <w:r>
        <w:rPr>
          <w:rFonts w:hint="eastAsia" w:asciiTheme="minorEastAsia" w:hAnsiTheme="minorEastAsia" w:eastAsiaTheme="minorEastAsia" w:cstheme="minorEastAsia"/>
          <w:b/>
          <w:bCs/>
          <w:color w:val="auto"/>
          <w:sz w:val="24"/>
          <w:highlight w:val="none"/>
        </w:rPr>
        <w:t>货品种类及优惠率</w:t>
      </w:r>
    </w:p>
    <w:tbl>
      <w:tblPr>
        <w:tblStyle w:val="31"/>
        <w:tblW w:w="10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3210"/>
        <w:gridCol w:w="5313"/>
      </w:tblGrid>
      <w:tr w14:paraId="751B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14" w:type="dxa"/>
            <w:vAlign w:val="center"/>
          </w:tcPr>
          <w:p w14:paraId="35BA1554">
            <w:pPr>
              <w:tabs>
                <w:tab w:val="left" w:pos="0"/>
                <w:tab w:val="left" w:pos="705"/>
              </w:tabs>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3210" w:type="dxa"/>
            <w:vAlign w:val="center"/>
          </w:tcPr>
          <w:p w14:paraId="0034776E">
            <w:pPr>
              <w:tabs>
                <w:tab w:val="left" w:pos="0"/>
                <w:tab w:val="left" w:pos="705"/>
              </w:tabs>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货品种类</w:t>
            </w:r>
          </w:p>
        </w:tc>
        <w:tc>
          <w:tcPr>
            <w:tcW w:w="5313" w:type="dxa"/>
            <w:vAlign w:val="center"/>
          </w:tcPr>
          <w:p w14:paraId="5D56E653">
            <w:pPr>
              <w:tabs>
                <w:tab w:val="left" w:pos="0"/>
                <w:tab w:val="left" w:pos="705"/>
              </w:tabs>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优惠率（%）</w:t>
            </w:r>
          </w:p>
        </w:tc>
      </w:tr>
      <w:tr w14:paraId="049B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14" w:type="dxa"/>
            <w:vAlign w:val="center"/>
          </w:tcPr>
          <w:p w14:paraId="2ABC6B10">
            <w:pPr>
              <w:tabs>
                <w:tab w:val="left" w:pos="0"/>
                <w:tab w:val="left" w:pos="705"/>
              </w:tabs>
              <w:spacing w:line="400" w:lineRule="exact"/>
              <w:jc w:val="center"/>
              <w:rPr>
                <w:rFonts w:hint="eastAsia" w:asciiTheme="minorEastAsia" w:hAnsiTheme="minorEastAsia" w:eastAsiaTheme="minorEastAsia" w:cstheme="minorEastAsia"/>
                <w:color w:val="auto"/>
                <w:sz w:val="24"/>
                <w:highlight w:val="none"/>
              </w:rPr>
            </w:pPr>
          </w:p>
        </w:tc>
        <w:tc>
          <w:tcPr>
            <w:tcW w:w="3210" w:type="dxa"/>
            <w:vAlign w:val="center"/>
          </w:tcPr>
          <w:p w14:paraId="512A23D7">
            <w:pPr>
              <w:tabs>
                <w:tab w:val="left" w:pos="0"/>
                <w:tab w:val="left" w:pos="705"/>
              </w:tabs>
              <w:spacing w:line="400" w:lineRule="exact"/>
              <w:jc w:val="center"/>
              <w:rPr>
                <w:rFonts w:hint="eastAsia" w:asciiTheme="minorEastAsia" w:hAnsiTheme="minorEastAsia" w:eastAsiaTheme="minorEastAsia" w:cstheme="minorEastAsia"/>
                <w:color w:val="auto"/>
                <w:sz w:val="24"/>
                <w:highlight w:val="none"/>
              </w:rPr>
            </w:pPr>
          </w:p>
        </w:tc>
        <w:tc>
          <w:tcPr>
            <w:tcW w:w="5313" w:type="dxa"/>
            <w:vAlign w:val="center"/>
          </w:tcPr>
          <w:p w14:paraId="39AA8363">
            <w:pPr>
              <w:tabs>
                <w:tab w:val="left" w:pos="0"/>
                <w:tab w:val="left" w:pos="705"/>
              </w:tabs>
              <w:spacing w:line="400" w:lineRule="exact"/>
              <w:jc w:val="center"/>
              <w:rPr>
                <w:rFonts w:hint="eastAsia" w:asciiTheme="minorEastAsia" w:hAnsiTheme="minorEastAsia" w:eastAsiaTheme="minorEastAsia" w:cstheme="minorEastAsia"/>
                <w:color w:val="auto"/>
                <w:sz w:val="24"/>
                <w:highlight w:val="none"/>
              </w:rPr>
            </w:pPr>
          </w:p>
        </w:tc>
      </w:tr>
    </w:tbl>
    <w:p w14:paraId="12E57B4B">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合同价格包含以下部分，甲方指定地点的现场交货价以及合同履约包含的所有风险、责任等各项应有费用，原则上甲方不再支付任何费用，包括：</w:t>
      </w:r>
    </w:p>
    <w:p w14:paraId="42F53873">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（1）产品及标准附件、专用工具、包装、保鲜、加工、保质期内服务价格；</w:t>
      </w:r>
    </w:p>
    <w:p w14:paraId="3B8EF60C">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（2）仓储、包装、运输、搬运、深加工、检验检测、售后服务等相关费用；</w:t>
      </w:r>
    </w:p>
    <w:p w14:paraId="1F424CA8">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（3）人员的工资、加班费及必要的保险费用、招标代理服务费以及各种税费；</w:t>
      </w:r>
    </w:p>
    <w:p w14:paraId="1450D048">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（4）验收过程当中所产生的一切费用，有检测资质的机构出具检测报告费用；</w:t>
      </w:r>
    </w:p>
    <w:p w14:paraId="176A9478">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（5）货物、服务的价格。</w:t>
      </w:r>
    </w:p>
    <w:p w14:paraId="3BE54C61">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2.结算单价=采购控制价×（1-优惠率）。</w:t>
      </w:r>
    </w:p>
    <w:p w14:paraId="2F344B13">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3.实际采购数量根据甲方的实际需求确定。</w:t>
      </w:r>
    </w:p>
    <w:p w14:paraId="08369936">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第三条：合同期限</w:t>
      </w:r>
    </w:p>
    <w:p w14:paraId="2713C4B8">
      <w:pPr>
        <w:spacing w:line="360" w:lineRule="auto"/>
        <w:ind w:firstLine="480" w:firstLineChars="200"/>
        <w:rPr>
          <w:rFonts w:hint="eastAsia" w:asciiTheme="minorEastAsia" w:hAnsiTheme="minorEastAsia" w:eastAsiaTheme="minorEastAsia" w:cstheme="minorEastAsia"/>
          <w:color w:val="auto"/>
          <w:sz w:val="24"/>
          <w:highlight w:val="none"/>
          <w:shd w:val="pct10" w:color="auto" w:fill="FFFFFF"/>
        </w:rPr>
      </w:pPr>
      <w:r>
        <w:rPr>
          <w:rFonts w:hint="eastAsia" w:asciiTheme="minorEastAsia" w:hAnsiTheme="minorEastAsia" w:eastAsiaTheme="minorEastAsia" w:cstheme="minorEastAsia"/>
          <w:color w:val="auto"/>
          <w:sz w:val="24"/>
          <w:highlight w:val="none"/>
          <w:u w:val="single"/>
        </w:rPr>
        <w:t>2026</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日至</w:t>
      </w:r>
      <w:r>
        <w:rPr>
          <w:rFonts w:hint="eastAsia" w:asciiTheme="minorEastAsia" w:hAnsiTheme="minorEastAsia" w:eastAsiaTheme="minorEastAsia" w:cstheme="minorEastAsia"/>
          <w:color w:val="auto"/>
          <w:sz w:val="24"/>
          <w:highlight w:val="none"/>
          <w:u w:val="single"/>
        </w:rPr>
        <w:t>2026</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日，共</w:t>
      </w:r>
      <w:r>
        <w:rPr>
          <w:rFonts w:hint="eastAsia" w:asciiTheme="minorEastAsia" w:hAnsiTheme="minorEastAsia" w:eastAsiaTheme="minorEastAsia" w:cstheme="minorEastAsia"/>
          <w:color w:val="auto"/>
          <w:sz w:val="24"/>
          <w:highlight w:val="none"/>
          <w:u w:val="single"/>
        </w:rPr>
        <w:t xml:space="preserve"> 1 </w:t>
      </w:r>
      <w:r>
        <w:rPr>
          <w:rFonts w:hint="eastAsia" w:asciiTheme="minorEastAsia" w:hAnsiTheme="minorEastAsia" w:eastAsiaTheme="minorEastAsia" w:cstheme="minorEastAsia"/>
          <w:color w:val="auto"/>
          <w:sz w:val="24"/>
          <w:highlight w:val="none"/>
        </w:rPr>
        <w:t>年或者一年内审核结算金额累计达到55万元合同自动终止。</w:t>
      </w:r>
    </w:p>
    <w:p w14:paraId="1C1F890F">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第四条：服务要求</w:t>
      </w:r>
    </w:p>
    <w:p w14:paraId="2DD3262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（一）基本要求</w:t>
      </w:r>
    </w:p>
    <w:p w14:paraId="49B164B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bCs/>
          <w:color w:val="auto"/>
          <w:sz w:val="24"/>
          <w:highlight w:val="none"/>
        </w:rPr>
        <w:t>甲方</w:t>
      </w:r>
      <w:r>
        <w:rPr>
          <w:rFonts w:hint="eastAsia" w:asciiTheme="minorEastAsia" w:hAnsiTheme="minorEastAsia" w:eastAsiaTheme="minorEastAsia" w:cstheme="minorEastAsia"/>
          <w:color w:val="auto"/>
          <w:sz w:val="24"/>
          <w:highlight w:val="none"/>
        </w:rPr>
        <w:t>将对乙方进行实地考察，若考察中发现乙方实际情况与所提供的响应文件不符，</w:t>
      </w:r>
      <w:r>
        <w:rPr>
          <w:rFonts w:hint="eastAsia" w:asciiTheme="minorEastAsia" w:hAnsiTheme="minorEastAsia" w:eastAsiaTheme="minorEastAsia" w:cstheme="minorEastAsia"/>
          <w:bCs/>
          <w:color w:val="auto"/>
          <w:sz w:val="24"/>
          <w:highlight w:val="none"/>
        </w:rPr>
        <w:t>甲方</w:t>
      </w:r>
      <w:r>
        <w:rPr>
          <w:rFonts w:hint="eastAsia" w:asciiTheme="minorEastAsia" w:hAnsiTheme="minorEastAsia" w:eastAsiaTheme="minorEastAsia" w:cstheme="minorEastAsia"/>
          <w:color w:val="auto"/>
          <w:sz w:val="24"/>
          <w:highlight w:val="none"/>
        </w:rPr>
        <w:t>可以按照磋商小组提出的成交候选人名单排序依次考察确定其他成交候选人为成交人，若排名前三的成交候选人均存在实际情况与所提供的响应文件不符的情况，</w:t>
      </w:r>
      <w:r>
        <w:rPr>
          <w:rFonts w:hint="eastAsia" w:asciiTheme="minorEastAsia" w:hAnsiTheme="minorEastAsia" w:eastAsiaTheme="minorEastAsia" w:cstheme="minorEastAsia"/>
          <w:bCs/>
          <w:color w:val="auto"/>
          <w:sz w:val="24"/>
          <w:highlight w:val="none"/>
        </w:rPr>
        <w:t>甲方</w:t>
      </w:r>
      <w:r>
        <w:rPr>
          <w:rFonts w:hint="eastAsia" w:asciiTheme="minorEastAsia" w:hAnsiTheme="minorEastAsia" w:eastAsiaTheme="minorEastAsia" w:cstheme="minorEastAsia"/>
          <w:color w:val="auto"/>
          <w:sz w:val="24"/>
          <w:highlight w:val="none"/>
        </w:rPr>
        <w:t>将重新组织采购，由此产生的损失及法律后果由相关成交人承担且相关成交人保证金将不予退回。</w:t>
      </w:r>
    </w:p>
    <w:p w14:paraId="524A0C4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2.乙方必须是所投产品的生产商、代理商或授权经销商，生产厂家须具有食品生产许可证，代理商或授权经销商须具有本次招标货物经营范围的食品经营许可证</w:t>
      </w:r>
      <w:r>
        <w:rPr>
          <w:rFonts w:hint="eastAsia" w:asciiTheme="minorEastAsia" w:hAnsiTheme="minorEastAsia" w:eastAsiaTheme="minorEastAsia" w:cstheme="minorEastAsia"/>
          <w:color w:val="auto"/>
          <w:sz w:val="24"/>
          <w:highlight w:val="none"/>
          <w:lang w:val="en-US" w:eastAsia="zh-CN"/>
        </w:rPr>
        <w:t>或仅销售预包装食品经营许可备案证</w:t>
      </w:r>
      <w:r>
        <w:rPr>
          <w:rFonts w:hint="eastAsia" w:asciiTheme="minorEastAsia" w:hAnsiTheme="minorEastAsia" w:eastAsiaTheme="minorEastAsia" w:cstheme="minorEastAsia"/>
          <w:color w:val="auto"/>
          <w:sz w:val="24"/>
          <w:highlight w:val="none"/>
        </w:rPr>
        <w:t>。</w:t>
      </w:r>
    </w:p>
    <w:p w14:paraId="3ACC39F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（二）服务需求</w:t>
      </w:r>
    </w:p>
    <w:p w14:paraId="2A3BA075">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.所提供的产品必须是具备厂家合法渠道的全新产品，符合国家各类质量检测标准。</w:t>
      </w:r>
    </w:p>
    <w:p w14:paraId="6D212DE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.按国家有关产品“三包”规定执行“三包”，所送货物应明确标示批号、生产日期和有效期（质量保证期按国家及行业标准实行）。</w:t>
      </w:r>
    </w:p>
    <w:p w14:paraId="3151AB5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.接到</w:t>
      </w:r>
      <w:r>
        <w:rPr>
          <w:rFonts w:hint="eastAsia" w:asciiTheme="minorEastAsia" w:hAnsiTheme="minorEastAsia" w:eastAsiaTheme="minorEastAsia" w:cstheme="minorEastAsia"/>
          <w:color w:val="auto"/>
          <w:sz w:val="24"/>
          <w:highlight w:val="none"/>
          <w:lang w:val="en-US" w:eastAsia="zh-CN"/>
        </w:rPr>
        <w:t>甲方</w:t>
      </w:r>
      <w:r>
        <w:rPr>
          <w:rFonts w:hint="eastAsia" w:asciiTheme="minorEastAsia" w:hAnsiTheme="minorEastAsia" w:eastAsiaTheme="minorEastAsia" w:cstheme="minorEastAsia"/>
          <w:color w:val="auto"/>
          <w:sz w:val="24"/>
          <w:highlight w:val="none"/>
        </w:rPr>
        <w:t>采购需求</w:t>
      </w:r>
      <w:r>
        <w:rPr>
          <w:rFonts w:hint="eastAsia" w:asciiTheme="minorEastAsia" w:hAnsiTheme="minorEastAsia" w:eastAsiaTheme="minorEastAsia" w:cstheme="minorEastAsia"/>
          <w:color w:val="auto"/>
          <w:sz w:val="24"/>
          <w:highlight w:val="none"/>
          <w:lang w:val="en-US" w:eastAsia="zh-CN"/>
        </w:rPr>
        <w:t>通知</w:t>
      </w:r>
      <w:r>
        <w:rPr>
          <w:rFonts w:hint="eastAsia" w:asciiTheme="minorEastAsia" w:hAnsiTheme="minorEastAsia" w:eastAsiaTheme="minorEastAsia" w:cstheme="minorEastAsia"/>
          <w:color w:val="auto"/>
          <w:sz w:val="24"/>
          <w:highlight w:val="none"/>
        </w:rPr>
        <w:t>后24小时内发货，不管需求量的多少，不得以任何理由拒绝供货。免费送货上门，行政上班时间外、周末、节假日做好备货、送货供应。</w:t>
      </w:r>
    </w:p>
    <w:p w14:paraId="142BB86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.为确保采购的原装货品的正品性，</w:t>
      </w:r>
      <w:r>
        <w:rPr>
          <w:rFonts w:hint="eastAsia" w:asciiTheme="minorEastAsia" w:hAnsiTheme="minorEastAsia" w:eastAsiaTheme="minorEastAsia" w:cstheme="minorEastAsia"/>
          <w:color w:val="auto"/>
          <w:sz w:val="24"/>
          <w:highlight w:val="none"/>
          <w:lang w:val="en-US" w:eastAsia="zh-CN"/>
        </w:rPr>
        <w:t>乙方</w:t>
      </w:r>
      <w:r>
        <w:rPr>
          <w:rFonts w:hint="eastAsia" w:asciiTheme="minorEastAsia" w:hAnsiTheme="minorEastAsia" w:eastAsiaTheme="minorEastAsia" w:cstheme="minorEastAsia"/>
          <w:color w:val="auto"/>
          <w:sz w:val="24"/>
          <w:highlight w:val="none"/>
        </w:rPr>
        <w:t>需配合</w:t>
      </w:r>
      <w:r>
        <w:rPr>
          <w:rFonts w:hint="eastAsia" w:asciiTheme="minorEastAsia" w:hAnsiTheme="minorEastAsia" w:eastAsiaTheme="minorEastAsia" w:cstheme="minorEastAsia"/>
          <w:color w:val="auto"/>
          <w:sz w:val="24"/>
          <w:highlight w:val="none"/>
          <w:lang w:val="en-US" w:eastAsia="zh-CN"/>
        </w:rPr>
        <w:t>甲方</w:t>
      </w:r>
      <w:r>
        <w:rPr>
          <w:rFonts w:hint="eastAsia" w:asciiTheme="minorEastAsia" w:hAnsiTheme="minorEastAsia" w:eastAsiaTheme="minorEastAsia" w:cstheme="minorEastAsia"/>
          <w:color w:val="auto"/>
          <w:sz w:val="24"/>
          <w:highlight w:val="none"/>
        </w:rPr>
        <w:t>对相关货品进行电话或二维码查询等正品验证，通过验证方可验收。在验证过程中如发现有假货的，</w:t>
      </w:r>
      <w:r>
        <w:rPr>
          <w:rFonts w:hint="eastAsia" w:asciiTheme="minorEastAsia" w:hAnsiTheme="minorEastAsia" w:eastAsiaTheme="minorEastAsia" w:cstheme="minorEastAsia"/>
          <w:color w:val="auto"/>
          <w:sz w:val="24"/>
          <w:highlight w:val="none"/>
          <w:lang w:val="en-US" w:eastAsia="zh-CN"/>
        </w:rPr>
        <w:t>甲方</w:t>
      </w:r>
      <w:r>
        <w:rPr>
          <w:rFonts w:hint="eastAsia" w:asciiTheme="minorEastAsia" w:hAnsiTheme="minorEastAsia" w:eastAsiaTheme="minorEastAsia" w:cstheme="minorEastAsia"/>
          <w:color w:val="auto"/>
          <w:sz w:val="24"/>
          <w:highlight w:val="none"/>
        </w:rPr>
        <w:t>将拒绝验收该产品并报相关采购监督管理部门。</w:t>
      </w:r>
    </w:p>
    <w:p w14:paraId="70C941B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4.试用不合格则退货，累计退货量超过总供量的20%，则给予10个工作日的停供整改期限，整改完成后开始，两次出现累计退货量超过总供应量的20%，</w:t>
      </w:r>
      <w:r>
        <w:rPr>
          <w:rFonts w:hint="eastAsia" w:asciiTheme="minorEastAsia" w:hAnsiTheme="minorEastAsia" w:eastAsiaTheme="minorEastAsia" w:cstheme="minorEastAsia"/>
          <w:color w:val="auto"/>
          <w:sz w:val="24"/>
          <w:highlight w:val="none"/>
          <w:lang w:val="en-US" w:eastAsia="zh-CN"/>
        </w:rPr>
        <w:t>甲方</w:t>
      </w:r>
      <w:r>
        <w:rPr>
          <w:rFonts w:hint="eastAsia" w:asciiTheme="minorEastAsia" w:hAnsiTheme="minorEastAsia" w:eastAsiaTheme="minorEastAsia" w:cstheme="minorEastAsia"/>
          <w:color w:val="auto"/>
          <w:sz w:val="24"/>
          <w:highlight w:val="none"/>
        </w:rPr>
        <w:t>可终止合同。</w:t>
      </w:r>
    </w:p>
    <w:p w14:paraId="6208C91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5.若合同期内出现二次供应不上，</w:t>
      </w:r>
      <w:r>
        <w:rPr>
          <w:rFonts w:hint="eastAsia" w:asciiTheme="minorEastAsia" w:hAnsiTheme="minorEastAsia" w:eastAsiaTheme="minorEastAsia" w:cstheme="minorEastAsia"/>
          <w:color w:val="auto"/>
          <w:sz w:val="24"/>
          <w:highlight w:val="none"/>
          <w:lang w:val="en-US" w:eastAsia="zh-CN"/>
        </w:rPr>
        <w:t>甲方</w:t>
      </w:r>
      <w:r>
        <w:rPr>
          <w:rFonts w:hint="eastAsia" w:asciiTheme="minorEastAsia" w:hAnsiTheme="minorEastAsia" w:eastAsiaTheme="minorEastAsia" w:cstheme="minorEastAsia"/>
          <w:color w:val="auto"/>
          <w:sz w:val="24"/>
          <w:highlight w:val="none"/>
        </w:rPr>
        <w:t>可终止合同。“供应不上”包括但不限于：因质量问题须退换货,但无法按期提供新批次合格品；合格库存量低于安全库存要求；产能、配送能力、库存原材料不足等因素等等。</w:t>
      </w:r>
    </w:p>
    <w:p w14:paraId="56DF6B6B">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第六条：付款方式</w:t>
      </w:r>
    </w:p>
    <w:p w14:paraId="3AE3F153">
      <w:pPr>
        <w:pStyle w:val="26"/>
        <w:spacing w:line="360" w:lineRule="auto"/>
        <w:ind w:firstLine="480" w:firstLineChars="200"/>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按月和实际供货数量结算，</w:t>
      </w:r>
      <w:r>
        <w:rPr>
          <w:rFonts w:hint="eastAsia" w:asciiTheme="minorEastAsia" w:hAnsiTheme="minorEastAsia" w:eastAsiaTheme="minorEastAsia" w:cstheme="minorEastAsia"/>
          <w:color w:val="auto"/>
          <w:kern w:val="2"/>
          <w:highlight w:val="none"/>
          <w:lang w:val="en-US" w:eastAsia="zh-CN"/>
        </w:rPr>
        <w:t>乙方</w:t>
      </w:r>
      <w:r>
        <w:rPr>
          <w:rFonts w:hint="eastAsia" w:asciiTheme="minorEastAsia" w:hAnsiTheme="minorEastAsia" w:eastAsiaTheme="minorEastAsia" w:cstheme="minorEastAsia"/>
          <w:color w:val="auto"/>
          <w:kern w:val="2"/>
          <w:highlight w:val="none"/>
        </w:rPr>
        <w:t>于次月将上月提供的具体货物数量与</w:t>
      </w:r>
      <w:r>
        <w:rPr>
          <w:rFonts w:hint="eastAsia" w:asciiTheme="minorEastAsia" w:hAnsiTheme="minorEastAsia" w:eastAsiaTheme="minorEastAsia" w:cstheme="minorEastAsia"/>
          <w:color w:val="auto"/>
          <w:kern w:val="2"/>
          <w:highlight w:val="none"/>
          <w:lang w:val="en-US" w:eastAsia="zh-CN"/>
        </w:rPr>
        <w:t>甲方</w:t>
      </w:r>
      <w:r>
        <w:rPr>
          <w:rFonts w:hint="eastAsia" w:asciiTheme="minorEastAsia" w:hAnsiTheme="minorEastAsia" w:eastAsiaTheme="minorEastAsia" w:cstheme="minorEastAsia"/>
          <w:color w:val="auto"/>
          <w:kern w:val="2"/>
          <w:highlight w:val="none"/>
        </w:rPr>
        <w:t>核对，每项货物的结算金额=每项货物的供货数量×参考单价×（1-优惠率）。</w:t>
      </w:r>
      <w:r>
        <w:rPr>
          <w:rFonts w:hint="eastAsia" w:asciiTheme="minorEastAsia" w:hAnsiTheme="minorEastAsia" w:eastAsiaTheme="minorEastAsia" w:cstheme="minorEastAsia"/>
          <w:color w:val="auto"/>
          <w:kern w:val="2"/>
          <w:highlight w:val="none"/>
          <w:lang w:val="en-US" w:eastAsia="zh-CN"/>
        </w:rPr>
        <w:t>乙方</w:t>
      </w:r>
      <w:r>
        <w:rPr>
          <w:rFonts w:hint="eastAsia" w:asciiTheme="minorEastAsia" w:hAnsiTheme="minorEastAsia" w:eastAsiaTheme="minorEastAsia" w:cstheme="minorEastAsia"/>
          <w:color w:val="auto"/>
          <w:kern w:val="2"/>
          <w:highlight w:val="none"/>
        </w:rPr>
        <w:t>应及时向</w:t>
      </w:r>
      <w:r>
        <w:rPr>
          <w:rFonts w:hint="eastAsia" w:asciiTheme="minorEastAsia" w:hAnsiTheme="minorEastAsia" w:eastAsiaTheme="minorEastAsia" w:cstheme="minorEastAsia"/>
          <w:color w:val="auto"/>
          <w:kern w:val="2"/>
          <w:highlight w:val="none"/>
          <w:lang w:val="en-US" w:eastAsia="zh-CN"/>
        </w:rPr>
        <w:t>甲方</w:t>
      </w:r>
      <w:r>
        <w:rPr>
          <w:rFonts w:hint="eastAsia" w:asciiTheme="minorEastAsia" w:hAnsiTheme="minorEastAsia" w:eastAsiaTheme="minorEastAsia" w:cstheme="minorEastAsia"/>
          <w:color w:val="auto"/>
          <w:kern w:val="2"/>
          <w:highlight w:val="none"/>
        </w:rPr>
        <w:t>开具相应金额的正规发票（如有扣除金额的，按扣除后的金额开具），</w:t>
      </w:r>
      <w:r>
        <w:rPr>
          <w:rFonts w:hint="eastAsia" w:asciiTheme="minorEastAsia" w:hAnsiTheme="minorEastAsia" w:eastAsiaTheme="minorEastAsia" w:cstheme="minorEastAsia"/>
          <w:color w:val="auto"/>
          <w:kern w:val="2"/>
          <w:highlight w:val="none"/>
          <w:lang w:val="en-US" w:eastAsia="zh-CN"/>
        </w:rPr>
        <w:t>甲方</w:t>
      </w:r>
      <w:r>
        <w:rPr>
          <w:rFonts w:hint="eastAsia" w:asciiTheme="minorEastAsia" w:hAnsiTheme="minorEastAsia" w:eastAsiaTheme="minorEastAsia" w:cstheme="minorEastAsia"/>
          <w:color w:val="auto"/>
          <w:kern w:val="2"/>
          <w:highlight w:val="none"/>
        </w:rPr>
        <w:t>自收到经双方确认的具体供货数量对账表及发票后30日内通过银行转账支付相应费用。</w:t>
      </w:r>
    </w:p>
    <w:p w14:paraId="274A51E5">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第七条：突发食品卫生事件</w:t>
      </w:r>
    </w:p>
    <w:p w14:paraId="5ABB3CDC">
      <w:pPr>
        <w:pStyle w:val="26"/>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1.保证供给甲方的货物的卫生与安全是乙方的义务和责任，乙方应当完全履行义务和责任。</w:t>
      </w:r>
    </w:p>
    <w:p w14:paraId="31B17C5B">
      <w:pPr>
        <w:pStyle w:val="26"/>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乙方应当建立健全食品安全管理制度，落实食品安全责任制，依法配备与企业规模、食品类别、风险等级、管理水平、安全状况等相适应的食品安全总监、食品安全员等食品安全管理人员，明确企业主要负责人、食品安全总监、食品安全员等的岗位职责。</w:t>
      </w:r>
    </w:p>
    <w:p w14:paraId="129A89E9">
      <w:pPr>
        <w:pStyle w:val="26"/>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乙方应当制定食品安全事故处置方案，定期检查本企业各项食品安全防范措施的落实情况，及时消除事故隐患。当发生突发食品卫生事件时，乙方应当立即采取措施，防止事故扩大，并根据实际情况及时向甲方、事故发生地县级人民政府食品安全监督管理、卫生行政部门等报告。乙方不得对食品安全事故隐瞒、谎报、缓报，不得隐匿、伪造、毁灭有关证据。</w:t>
      </w:r>
    </w:p>
    <w:p w14:paraId="683FEB82">
      <w:pPr>
        <w:pStyle w:val="26"/>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4.因乙方原因导致食品安全事件发生的，乙方应当承担相应责任并赔偿甲方、受害人全部损失。</w:t>
      </w:r>
    </w:p>
    <w:p w14:paraId="61B2FFFB">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第八条：违约责任</w:t>
      </w:r>
    </w:p>
    <w:p w14:paraId="3C2E05A3">
      <w:pPr>
        <w:pStyle w:val="26"/>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val="en-US" w:eastAsia="zh-CN"/>
        </w:rPr>
        <w:t>乙</w:t>
      </w:r>
      <w:r>
        <w:rPr>
          <w:rFonts w:hint="eastAsia" w:asciiTheme="minorEastAsia" w:hAnsiTheme="minorEastAsia" w:eastAsiaTheme="minorEastAsia" w:cstheme="minorEastAsia"/>
          <w:color w:val="auto"/>
          <w:highlight w:val="none"/>
        </w:rPr>
        <w:t>方应严格按照合同要求履行约定，如有违约，甲方有权从</w:t>
      </w:r>
      <w:r>
        <w:rPr>
          <w:rFonts w:hint="eastAsia" w:asciiTheme="minorEastAsia" w:hAnsiTheme="minorEastAsia" w:eastAsiaTheme="minorEastAsia" w:cstheme="minorEastAsia"/>
          <w:color w:val="auto"/>
          <w:highlight w:val="none"/>
          <w:lang w:val="en-US" w:eastAsia="zh-CN"/>
        </w:rPr>
        <w:t>剩余合同款</w:t>
      </w:r>
      <w:r>
        <w:rPr>
          <w:rFonts w:hint="eastAsia" w:asciiTheme="minorEastAsia" w:hAnsiTheme="minorEastAsia" w:eastAsiaTheme="minorEastAsia" w:cstheme="minorEastAsia"/>
          <w:color w:val="auto"/>
          <w:highlight w:val="none"/>
        </w:rPr>
        <w:t>中扣除相应违约金，</w:t>
      </w:r>
      <w:r>
        <w:rPr>
          <w:rFonts w:hint="eastAsia" w:asciiTheme="minorEastAsia" w:hAnsiTheme="minorEastAsia" w:eastAsiaTheme="minorEastAsia" w:cstheme="minorEastAsia"/>
          <w:color w:val="auto"/>
          <w:highlight w:val="none"/>
          <w:lang w:val="en-US" w:eastAsia="zh-CN"/>
        </w:rPr>
        <w:t>剩余合同款</w:t>
      </w:r>
      <w:r>
        <w:rPr>
          <w:rFonts w:hint="eastAsia" w:asciiTheme="minorEastAsia" w:hAnsiTheme="minorEastAsia" w:eastAsiaTheme="minorEastAsia" w:cstheme="minorEastAsia"/>
          <w:color w:val="auto"/>
          <w:highlight w:val="none"/>
        </w:rPr>
        <w:t>不足以弥补损失的，乙方</w:t>
      </w:r>
      <w:r>
        <w:rPr>
          <w:rFonts w:hint="eastAsia" w:asciiTheme="minorEastAsia" w:hAnsiTheme="minorEastAsia" w:eastAsiaTheme="minorEastAsia" w:cstheme="minorEastAsia"/>
          <w:color w:val="auto"/>
          <w:highlight w:val="none"/>
          <w:lang w:val="en-US" w:eastAsia="zh-CN"/>
        </w:rPr>
        <w:t>还</w:t>
      </w:r>
      <w:r>
        <w:rPr>
          <w:rFonts w:hint="eastAsia" w:asciiTheme="minorEastAsia" w:hAnsiTheme="minorEastAsia" w:eastAsiaTheme="minorEastAsia" w:cstheme="minorEastAsia"/>
          <w:color w:val="auto"/>
          <w:highlight w:val="none"/>
        </w:rPr>
        <w:t>需承担相应损失赔偿责任。</w:t>
      </w:r>
    </w:p>
    <w:p w14:paraId="0549DB95">
      <w:pPr>
        <w:pStyle w:val="26"/>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质量违约：乙方所供食材质量不符合要求或无故不按需求品种配送的，经核实，第一次当月货款的20%，第二次当月货款的80%，第三次当月全部货款，并终止合同，同时由此所产生的一切损失均由乙方负责。如果因供应质量原因发生食物中毒的，甲方有权立刻终止合同，扣除乙方当月货款的50%，由此所产生的一切损失均由乙方负责，同时甲方保留通过法律途径解决的权利。</w:t>
      </w:r>
    </w:p>
    <w:p w14:paraId="61E9360D">
      <w:pPr>
        <w:pStyle w:val="26"/>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3.时间违约：因乙方原因导致不能按时配送到位的，影响甲方及相关人员正常开饭，第一次当月货款的20%，第二次当月货款的40%，第三次当月货款的</w:t>
      </w: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0%；第四次终止合同并扣除当</w:t>
      </w:r>
      <w:r>
        <w:rPr>
          <w:rFonts w:hint="eastAsia" w:asciiTheme="minorEastAsia" w:hAnsiTheme="minorEastAsia" w:eastAsiaTheme="minorEastAsia" w:cstheme="minorEastAsia"/>
          <w:color w:val="auto"/>
          <w:highlight w:val="none"/>
          <w:lang w:val="en-US" w:eastAsia="zh-CN"/>
        </w:rPr>
        <w:t>月</w:t>
      </w:r>
      <w:r>
        <w:rPr>
          <w:rFonts w:hint="eastAsia" w:asciiTheme="minorEastAsia" w:hAnsiTheme="minorEastAsia" w:eastAsiaTheme="minorEastAsia" w:cstheme="minorEastAsia"/>
          <w:color w:val="auto"/>
          <w:highlight w:val="none"/>
        </w:rPr>
        <w:t>全部货款。</w:t>
      </w:r>
    </w:p>
    <w:p w14:paraId="125C815C">
      <w:pPr>
        <w:pStyle w:val="26"/>
        <w:spacing w:line="360" w:lineRule="auto"/>
        <w:ind w:firstLine="48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4.当保证金累计扣款超过100%时，甲方将立即终止合同。</w:t>
      </w:r>
    </w:p>
    <w:p w14:paraId="23E7E88B">
      <w:pPr>
        <w:pStyle w:val="26"/>
        <w:spacing w:line="360" w:lineRule="auto"/>
        <w:ind w:firstLine="482" w:firstLineChars="200"/>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color w:val="auto"/>
          <w:kern w:val="2"/>
          <w:highlight w:val="none"/>
        </w:rPr>
        <w:t>第九</w:t>
      </w:r>
      <w:r>
        <w:rPr>
          <w:rFonts w:hint="eastAsia" w:asciiTheme="minorEastAsia" w:hAnsiTheme="minorEastAsia" w:eastAsiaTheme="minorEastAsia" w:cstheme="minorEastAsia"/>
          <w:b/>
          <w:color w:val="auto"/>
          <w:highlight w:val="none"/>
        </w:rPr>
        <w:t>条：</w:t>
      </w:r>
      <w:r>
        <w:rPr>
          <w:rFonts w:hint="eastAsia" w:asciiTheme="minorEastAsia" w:hAnsiTheme="minorEastAsia" w:eastAsiaTheme="minorEastAsia" w:cstheme="minorEastAsia"/>
          <w:b/>
          <w:bCs/>
          <w:color w:val="auto"/>
          <w:highlight w:val="none"/>
        </w:rPr>
        <w:t>不可抗力</w:t>
      </w:r>
    </w:p>
    <w:p w14:paraId="15613754">
      <w:pPr>
        <w:pStyle w:val="26"/>
        <w:spacing w:line="360" w:lineRule="auto"/>
        <w:ind w:firstLine="480" w:firstLineChars="200"/>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highlight w:val="none"/>
        </w:rPr>
        <w:t>在合同执行期内，如发生自然灾害或其他不可抗力的原因，致使当事人一方不能履行、不能完全履行或不能适当履行合同的，应向对方当事人通报理由，经有关主管部门证实后，不负违约责任，并允许变更或解除合同。</w:t>
      </w:r>
    </w:p>
    <w:p w14:paraId="59415F01">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第十条：</w:t>
      </w:r>
      <w:r>
        <w:rPr>
          <w:rFonts w:hint="eastAsia" w:asciiTheme="minorEastAsia" w:hAnsiTheme="minorEastAsia" w:eastAsiaTheme="minorEastAsia" w:cstheme="minorEastAsia"/>
          <w:b/>
          <w:bCs/>
          <w:color w:val="auto"/>
          <w:highlight w:val="none"/>
        </w:rPr>
        <w:t>争议和纠纷处理</w:t>
      </w:r>
    </w:p>
    <w:p w14:paraId="49D74C9D">
      <w:pPr>
        <w:pStyle w:val="26"/>
        <w:spacing w:line="360" w:lineRule="auto"/>
        <w:ind w:firstLine="480"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color w:val="auto"/>
          <w:kern w:val="2"/>
          <w:highlight w:val="none"/>
        </w:rPr>
        <w:t>本合同未尽事宜由甲乙双方友好协商解决。违反本合同引起争议，甲乙双方应尽量协商，协商不能达到一致时，甲乙双方均有权向甲方所在地有管辖权的人民法院提起诉讼。</w:t>
      </w:r>
    </w:p>
    <w:p w14:paraId="5164865B">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第十一条：招响应文件效力</w:t>
      </w:r>
    </w:p>
    <w:p w14:paraId="2D7A514C">
      <w:pPr>
        <w:pStyle w:val="17"/>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本项目采购文件和乙方提交的响应文件是构成本合同不可分割的部分，</w:t>
      </w:r>
      <w:r>
        <w:rPr>
          <w:rFonts w:hint="eastAsia" w:asciiTheme="minorEastAsia" w:hAnsiTheme="minorEastAsia" w:eastAsiaTheme="minorEastAsia" w:cstheme="minorEastAsia"/>
          <w:color w:val="auto"/>
          <w:sz w:val="24"/>
          <w:szCs w:val="24"/>
          <w:highlight w:val="none"/>
        </w:rPr>
        <w:t>具有同等的法律效力。</w:t>
      </w:r>
    </w:p>
    <w:p w14:paraId="23B7D71B">
      <w:pPr>
        <w:pStyle w:val="26"/>
        <w:spacing w:line="360" w:lineRule="auto"/>
        <w:ind w:firstLine="482" w:firstLineChars="200"/>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第十二条：协议生效及其他</w:t>
      </w:r>
    </w:p>
    <w:p w14:paraId="299CCE88">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1.本合同一式</w:t>
      </w:r>
      <w:r>
        <w:rPr>
          <w:rFonts w:hint="eastAsia" w:asciiTheme="minorEastAsia" w:hAnsiTheme="minorEastAsia" w:eastAsiaTheme="minorEastAsia" w:cstheme="minorEastAsia"/>
          <w:color w:val="auto"/>
          <w:sz w:val="24"/>
          <w:highlight w:val="none"/>
          <w:lang w:val="en-US" w:eastAsia="zh-CN"/>
        </w:rPr>
        <w:t>七</w:t>
      </w:r>
      <w:r>
        <w:rPr>
          <w:rFonts w:hint="eastAsia" w:asciiTheme="minorEastAsia" w:hAnsiTheme="minorEastAsia" w:eastAsiaTheme="minorEastAsia" w:cstheme="minorEastAsia"/>
          <w:color w:val="auto"/>
          <w:sz w:val="24"/>
          <w:highlight w:val="none"/>
        </w:rPr>
        <w:t>份，具有同等法律效力，采购代理机构一份，甲方</w:t>
      </w:r>
      <w:r>
        <w:rPr>
          <w:rFonts w:hint="eastAsia" w:asciiTheme="minorEastAsia" w:hAnsiTheme="minorEastAsia" w:eastAsiaTheme="minorEastAsia" w:cstheme="minorEastAsia"/>
          <w:color w:val="auto"/>
          <w:sz w:val="24"/>
          <w:highlight w:val="none"/>
          <w:lang w:val="en-US" w:eastAsia="zh-CN"/>
        </w:rPr>
        <w:t>四</w:t>
      </w:r>
      <w:r>
        <w:rPr>
          <w:rFonts w:hint="eastAsia" w:asciiTheme="minorEastAsia" w:hAnsiTheme="minorEastAsia" w:eastAsiaTheme="minorEastAsia" w:cstheme="minorEastAsia"/>
          <w:color w:val="auto"/>
          <w:sz w:val="24"/>
          <w:highlight w:val="none"/>
        </w:rPr>
        <w:t>份，乙方二份。</w:t>
      </w:r>
    </w:p>
    <w:p w14:paraId="0DCD9EB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2.合同经双方法定代表人或授权代表（委托代理人）签字并加盖单位公章后生效，自签订之日起2个工作日内，采购人或采购代理机构应当将合同在广西壮族自治区政府采购网上进行公示。</w:t>
      </w:r>
    </w:p>
    <w:p w14:paraId="1A82177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3.合同履行中，甲方需追加与合同标的相同的货物、工程或者服务的，在不改变合同其他条款的前提下，可以与乙方协商签订补充合同，但所有补充合同的采购金额不得超过原合同采购金额的百分之十。</w:t>
      </w:r>
    </w:p>
    <w:p w14:paraId="49B9B98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4.合同执行中涉及采购资金和采购内容修改或补充的，须经同级政府采购监督管理部门审批，并签书面补充协议报同级政府采购监督管理部门备案，方可作为主合同不可分割的一部分。</w:t>
      </w:r>
    </w:p>
    <w:p w14:paraId="224BCF66">
      <w:pPr>
        <w:pStyle w:val="17"/>
        <w:spacing w:line="360" w:lineRule="auto"/>
        <w:ind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第十三条：合同的变更、终止与转让</w:t>
      </w:r>
    </w:p>
    <w:p w14:paraId="77772A9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1.除《中华人民共和国政府采购法》第五十条规定的情形外，本合同一经签订，甲乙双方不得擅自变更、中止或终止。</w:t>
      </w:r>
    </w:p>
    <w:p w14:paraId="5133FD33">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2.乙方不得擅自转让（无进口资格的供应商委托进口货物除外）其应履行的合同义务。</w:t>
      </w:r>
    </w:p>
    <w:p w14:paraId="42834280">
      <w:pPr>
        <w:pStyle w:val="17"/>
        <w:spacing w:line="360" w:lineRule="auto"/>
        <w:ind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第十四条：签订本合同依据</w:t>
      </w:r>
    </w:p>
    <w:p w14:paraId="72399391">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1.政府采购采购文件；</w:t>
      </w:r>
    </w:p>
    <w:p w14:paraId="57E6A8D0">
      <w:pPr>
        <w:pStyle w:val="17"/>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2.乙方提供的响应文件；</w:t>
      </w:r>
    </w:p>
    <w:p w14:paraId="22C6F76C">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3.磋商记录及最终报价；</w:t>
      </w:r>
    </w:p>
    <w:p w14:paraId="3759912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4.成交通知书。</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6E23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4516" w:type="dxa"/>
            <w:vAlign w:val="center"/>
          </w:tcPr>
          <w:p w14:paraId="4564D770">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甲方（章）           </w:t>
            </w:r>
          </w:p>
          <w:p w14:paraId="56ABE9BA">
            <w:pPr>
              <w:spacing w:line="400" w:lineRule="exact"/>
              <w:rPr>
                <w:rFonts w:hint="eastAsia" w:asciiTheme="minorEastAsia" w:hAnsiTheme="minorEastAsia" w:eastAsiaTheme="minorEastAsia" w:cstheme="minorEastAsia"/>
                <w:color w:val="auto"/>
                <w:sz w:val="24"/>
                <w:highlight w:val="none"/>
              </w:rPr>
            </w:pPr>
          </w:p>
          <w:p w14:paraId="7F10B2DE">
            <w:pPr>
              <w:spacing w:line="400" w:lineRule="exact"/>
              <w:ind w:firstLine="1080" w:firstLineChars="450"/>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tc>
        <w:tc>
          <w:tcPr>
            <w:tcW w:w="4517" w:type="dxa"/>
            <w:vAlign w:val="center"/>
          </w:tcPr>
          <w:p w14:paraId="34B310CB">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乙方（章）              </w:t>
            </w:r>
          </w:p>
          <w:p w14:paraId="04A2A682">
            <w:pPr>
              <w:spacing w:line="400" w:lineRule="exact"/>
              <w:rPr>
                <w:rFonts w:hint="eastAsia" w:asciiTheme="minorEastAsia" w:hAnsiTheme="minorEastAsia" w:eastAsiaTheme="minorEastAsia" w:cstheme="minorEastAsia"/>
                <w:color w:val="auto"/>
                <w:sz w:val="24"/>
                <w:highlight w:val="none"/>
              </w:rPr>
            </w:pPr>
          </w:p>
          <w:p w14:paraId="086C1D12">
            <w:pPr>
              <w:spacing w:line="400" w:lineRule="exact"/>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tc>
      </w:tr>
      <w:tr w14:paraId="3877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vAlign w:val="center"/>
          </w:tcPr>
          <w:p w14:paraId="4D187B2D">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单位地址：</w:t>
            </w:r>
          </w:p>
        </w:tc>
        <w:tc>
          <w:tcPr>
            <w:tcW w:w="4517" w:type="dxa"/>
            <w:vAlign w:val="center"/>
          </w:tcPr>
          <w:p w14:paraId="4F7159DD">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单位地址：</w:t>
            </w:r>
          </w:p>
        </w:tc>
      </w:tr>
      <w:tr w14:paraId="31AB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vAlign w:val="center"/>
          </w:tcPr>
          <w:p w14:paraId="0CD6C4C5">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w:t>
            </w:r>
          </w:p>
        </w:tc>
        <w:tc>
          <w:tcPr>
            <w:tcW w:w="4517" w:type="dxa"/>
            <w:vAlign w:val="center"/>
          </w:tcPr>
          <w:p w14:paraId="4299FF92">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w:t>
            </w:r>
          </w:p>
        </w:tc>
      </w:tr>
      <w:tr w14:paraId="36E0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vAlign w:val="center"/>
          </w:tcPr>
          <w:p w14:paraId="5FAEE423">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w:t>
            </w:r>
          </w:p>
        </w:tc>
        <w:tc>
          <w:tcPr>
            <w:tcW w:w="4517" w:type="dxa"/>
            <w:vAlign w:val="center"/>
          </w:tcPr>
          <w:p w14:paraId="2A57603D">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w:t>
            </w:r>
          </w:p>
        </w:tc>
      </w:tr>
      <w:tr w14:paraId="5724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vAlign w:val="center"/>
          </w:tcPr>
          <w:p w14:paraId="0A433063">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电话：</w:t>
            </w:r>
          </w:p>
        </w:tc>
        <w:tc>
          <w:tcPr>
            <w:tcW w:w="4517" w:type="dxa"/>
            <w:vAlign w:val="center"/>
          </w:tcPr>
          <w:p w14:paraId="1034EBFE">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电话：</w:t>
            </w:r>
          </w:p>
        </w:tc>
      </w:tr>
      <w:tr w14:paraId="04DF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vAlign w:val="center"/>
          </w:tcPr>
          <w:p w14:paraId="5720C2C9">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电子邮箱：</w:t>
            </w:r>
          </w:p>
        </w:tc>
        <w:tc>
          <w:tcPr>
            <w:tcW w:w="4517" w:type="dxa"/>
            <w:vAlign w:val="center"/>
          </w:tcPr>
          <w:p w14:paraId="387BBABB">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电子邮箱：</w:t>
            </w:r>
          </w:p>
        </w:tc>
      </w:tr>
      <w:tr w14:paraId="2686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vAlign w:val="center"/>
          </w:tcPr>
          <w:p w14:paraId="3B6CA1CA">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p>
        </w:tc>
        <w:tc>
          <w:tcPr>
            <w:tcW w:w="4517" w:type="dxa"/>
            <w:vAlign w:val="center"/>
          </w:tcPr>
          <w:p w14:paraId="78F9CB85">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p>
        </w:tc>
      </w:tr>
      <w:tr w14:paraId="4FDA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vAlign w:val="center"/>
          </w:tcPr>
          <w:p w14:paraId="633B146B">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账号：</w:t>
            </w:r>
          </w:p>
        </w:tc>
        <w:tc>
          <w:tcPr>
            <w:tcW w:w="4517" w:type="dxa"/>
            <w:vAlign w:val="center"/>
          </w:tcPr>
          <w:p w14:paraId="378F1532">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账号：</w:t>
            </w:r>
          </w:p>
        </w:tc>
      </w:tr>
      <w:tr w14:paraId="7231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16" w:type="dxa"/>
            <w:vAlign w:val="center"/>
          </w:tcPr>
          <w:p w14:paraId="59E7942B">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邮政编码：</w:t>
            </w:r>
          </w:p>
        </w:tc>
        <w:tc>
          <w:tcPr>
            <w:tcW w:w="4517" w:type="dxa"/>
            <w:vAlign w:val="center"/>
          </w:tcPr>
          <w:p w14:paraId="4B303E9B">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邮政编码：</w:t>
            </w:r>
          </w:p>
        </w:tc>
      </w:tr>
      <w:tr w14:paraId="6092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033" w:type="dxa"/>
            <w:gridSpan w:val="2"/>
          </w:tcPr>
          <w:p w14:paraId="722CF77C">
            <w:pPr>
              <w:spacing w:line="400" w:lineRule="exact"/>
              <w:ind w:left="2475" w:leftChars="1007" w:hanging="360" w:hanging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574E84D6">
            <w:pPr>
              <w:spacing w:line="400" w:lineRule="exac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经办人：</w:t>
            </w:r>
          </w:p>
          <w:p w14:paraId="70F483F8">
            <w:pPr>
              <w:spacing w:line="400" w:lineRule="exact"/>
              <w:ind w:firstLine="720" w:firstLineChars="300"/>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tc>
      </w:tr>
    </w:tbl>
    <w:p w14:paraId="2973D948">
      <w:pPr>
        <w:spacing w:line="360" w:lineRule="auto"/>
        <w:ind w:firstLine="643" w:firstLineChars="200"/>
        <w:rPr>
          <w:rFonts w:hint="eastAsia" w:asciiTheme="minorEastAsia" w:hAnsiTheme="minorEastAsia" w:eastAsiaTheme="minorEastAsia" w:cstheme="minorEastAsia"/>
          <w:b/>
          <w:bCs/>
          <w:color w:val="auto"/>
          <w:kern w:val="0"/>
          <w:sz w:val="32"/>
          <w:szCs w:val="32"/>
          <w:highlight w:val="none"/>
        </w:rPr>
      </w:pPr>
    </w:p>
    <w:sectPr>
      <w:pgSz w:w="11906" w:h="16838"/>
      <w:pgMar w:top="1134" w:right="1134" w:bottom="1134" w:left="1134"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6FF" w:usb1="0000FCFF" w:usb2="00000001" w:usb3="00000000" w:csb0="6000019F" w:csb1="DFD7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E582B">
    <w:pPr>
      <w:pStyle w:val="21"/>
      <w:tabs>
        <w:tab w:val="clear" w:pos="4153"/>
      </w:tabs>
      <w:jc w:val="both"/>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1270" r="635" b="635"/>
              <wp:wrapNone/>
              <wp:docPr id="4097" name="文本框 6"/>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14:paraId="55C7271F">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UWP1bRAAAAAgEAAA8AAAAAAAAAAQAgAAAAIgAA&#10;AGRycy9kb3ducmV2LnhtbFBLAQIUABQAAAAIAIdO4kDhqHzo1gEAAJsDAAAOAAAAAAAAAAEAIAAA&#10;ACABAABkcnMvZTJvRG9jLnhtbFBLBQYAAAAABgAGAFkBAABoBQAAAAA=&#10;">
              <v:fill on="f" focussize="0,0"/>
              <v:stroke on="f"/>
              <v:imagedata o:title=""/>
              <o:lock v:ext="edit" aspectratio="f"/>
              <v:textbox inset="0mm,0mm,0mm,0mm" style="mso-fit-shape-to-text:t;">
                <w:txbxContent>
                  <w:p w14:paraId="55C7271F">
                    <w:pPr>
                      <w:pStyle w:val="21"/>
                    </w:pPr>
                    <w:r>
                      <w:fldChar w:fldCharType="begin"/>
                    </w:r>
                    <w:r>
                      <w:instrText xml:space="preserve"> PAGE  \* MERGEFORMAT </w:instrText>
                    </w:r>
                    <w:r>
                      <w:fldChar w:fldCharType="separate"/>
                    </w:r>
                    <w:r>
                      <w:t>1</w:t>
                    </w:r>
                    <w:r>
                      <w:fldChar w:fldCharType="end"/>
                    </w:r>
                  </w:p>
                </w:txbxContent>
              </v:textbox>
            </v:rect>
          </w:pict>
        </mc:Fallback>
      </mc:AlternateContent>
    </w:r>
  </w:p>
  <w:p w14:paraId="52FA26DD">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2710B">
    <w:pPr>
      <w:pStyle w:val="21"/>
      <w:tabs>
        <w:tab w:val="clear" w:pos="4153"/>
      </w:tabs>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14935" cy="153035"/>
              <wp:effectExtent l="0" t="0" r="635" b="0"/>
              <wp:wrapNone/>
              <wp:docPr id="4098" name="文本框 5"/>
              <wp:cNvGraphicFramePr/>
              <a:graphic xmlns:a="http://schemas.openxmlformats.org/drawingml/2006/main">
                <a:graphicData uri="http://schemas.microsoft.com/office/word/2010/wordprocessingShape">
                  <wps:wsp>
                    <wps:cNvSpPr/>
                    <wps:spPr>
                      <a:xfrm>
                        <a:off x="0" y="0"/>
                        <a:ext cx="114934" cy="153035"/>
                      </a:xfrm>
                      <a:prstGeom prst="rect">
                        <a:avLst/>
                      </a:prstGeom>
                      <a:ln>
                        <a:noFill/>
                      </a:ln>
                    </wps:spPr>
                    <wps:txbx>
                      <w:txbxContent>
                        <w:p w14:paraId="2F672D77"/>
                      </w:txbxContent>
                    </wps:txbx>
                    <wps:bodyPr vert="horz" wrap="none" lIns="0" tIns="0" rIns="0" bIns="0" anchor="t" upright="1">
                      <a:spAutoFit/>
                    </wps:bodyPr>
                  </wps:wsp>
                </a:graphicData>
              </a:graphic>
            </wp:anchor>
          </w:drawing>
        </mc:Choice>
        <mc:Fallback>
          <w:pict>
            <v:rect id="文本框 5" o:spid="_x0000_s1026" o:spt="1" style="position:absolute;left:0pt;margin-top:0pt;height:12.05pt;width:9.05pt;mso-position-horizontal:center;mso-position-horizontal-relative:margin;mso-wrap-style:none;z-index:251660288;mso-width-relative:page;mso-height-relative:page;" filled="f" stroked="f" coordsize="21600,21600" o:gfxdata="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X+MR0QAAAAMBAAAPAAAAAAAAAAEAIAAAACIA&#10;AABkcnMvZG93bnJldi54bWxQSwECFAAUAAAACACHTuJAb3EmztcBAACcAwAADgAAAAAAAAABACAA&#10;AAAgAQAAZHJzL2Uyb0RvYy54bWxQSwUGAAAAAAYABgBZAQAAaQUAAAAA&#10;">
              <v:fill on="f" focussize="0,0"/>
              <v:stroke on="f"/>
              <v:imagedata o:title=""/>
              <o:lock v:ext="edit" aspectratio="f"/>
              <v:textbox inset="0mm,0mm,0mm,0mm" style="mso-fit-shape-to-text:t;">
                <w:txbxContent>
                  <w:p w14:paraId="2F672D77"/>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3FF4E">
    <w:pPr>
      <w:pStyle w:val="21"/>
      <w:jc w:val="center"/>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1270" r="635" b="635"/>
              <wp:wrapNone/>
              <wp:docPr id="4099" name="文本框 4"/>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14:paraId="5CBD64D7">
                          <w:pPr>
                            <w:pStyle w:val="21"/>
                            <w:jc w:val="center"/>
                          </w:pPr>
                          <w:r>
                            <w:fldChar w:fldCharType="begin"/>
                          </w:r>
                          <w:r>
                            <w:instrText xml:space="preserve"> PAGE  \* MERGEFORMAT </w:instrText>
                          </w:r>
                          <w:r>
                            <w:fldChar w:fldCharType="separate"/>
                          </w:r>
                          <w:r>
                            <w:t>30</w:t>
                          </w:r>
                          <w:r>
                            <w:fldChar w:fldCharType="end"/>
                          </w:r>
                        </w:p>
                      </w:txbxContent>
                    </wps:txbx>
                    <wps:bodyPr vert="horz" wrap="none" lIns="0" tIns="0" rIns="0" bIns="0" anchor="t" upright="1">
                      <a:spAutoFit/>
                    </wps:bodyPr>
                  </wps:wsp>
                </a:graphicData>
              </a:graphic>
            </wp:anchor>
          </w:drawing>
        </mc:Choice>
        <mc:Fallback>
          <w:pict>
            <v:rect id="文本框 4" o:spid="_x0000_s1026" o:spt="1"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VFj9W0QAAAAIBAAAPAAAAAAAAAAEAIAAAACIA&#10;AABkcnMvZG93bnJldi54bWxQSwECFAAUAAAACACHTuJAfpCp9tcBAACbAwAADgAAAAAAAAABACAA&#10;AAAgAQAAZHJzL2Uyb0RvYy54bWxQSwUGAAAAAAYABgBZAQAAaQUAAAAA&#10;">
              <v:fill on="f" focussize="0,0"/>
              <v:stroke on="f"/>
              <v:imagedata o:title=""/>
              <o:lock v:ext="edit" aspectratio="f"/>
              <v:textbox inset="0mm,0mm,0mm,0mm" style="mso-fit-shape-to-text:t;">
                <w:txbxContent>
                  <w:p w14:paraId="5CBD64D7">
                    <w:pPr>
                      <w:pStyle w:val="21"/>
                      <w:jc w:val="center"/>
                    </w:pPr>
                    <w:r>
                      <w:fldChar w:fldCharType="begin"/>
                    </w:r>
                    <w:r>
                      <w:instrText xml:space="preserve"> PAGE  \* MERGEFORMAT </w:instrText>
                    </w:r>
                    <w:r>
                      <w:fldChar w:fldCharType="separate"/>
                    </w:r>
                    <w:r>
                      <w:t>30</w:t>
                    </w:r>
                    <w:r>
                      <w:fldChar w:fldCharType="end"/>
                    </w:r>
                  </w:p>
                </w:txbxContent>
              </v:textbox>
            </v:rect>
          </w:pict>
        </mc:Fallback>
      </mc:AlternateContent>
    </w:r>
  </w:p>
  <w:p w14:paraId="7C65CA1C">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89F5A">
    <w:pPr>
      <w:pStyle w:val="21"/>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635" b="2540"/>
              <wp:wrapNone/>
              <wp:docPr id="4100" name="文本框 3"/>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14:paraId="4373AB3F">
                          <w:pPr>
                            <w:pStyle w:val="21"/>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vert="horz" wrap="none" lIns="0" tIns="0" rIns="0" bIns="0" anchor="t" upright="1">
                      <a:spAutoFit/>
                    </wps:bodyPr>
                  </wps:wsp>
                </a:graphicData>
              </a:graphic>
            </wp:anchor>
          </w:drawing>
        </mc:Choice>
        <mc:Fallback>
          <w:pict>
            <v:rect id="文本框 3" o:spid="_x0000_s1026" o:spt="1"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UWP1bRAAAAAgEAAA8AAAAAAAAAAQAgAAAAIgAA&#10;AGRycy9kb3ducmV2LnhtbFBLAQIUABQAAAAIAIdO4kAKRHzA1gEAAJsDAAAOAAAAAAAAAAEAIAAA&#10;ACABAABkcnMvZTJvRG9jLnhtbFBLBQYAAAAABgAGAFkBAABoBQAAAAA=&#10;">
              <v:fill on="f" focussize="0,0"/>
              <v:stroke on="f"/>
              <v:imagedata o:title=""/>
              <o:lock v:ext="edit" aspectratio="f"/>
              <v:textbox inset="0mm,0mm,0mm,0mm" style="mso-fit-shape-to-text:t;">
                <w:txbxContent>
                  <w:p w14:paraId="4373AB3F">
                    <w:pPr>
                      <w:pStyle w:val="21"/>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78BDF">
    <w:pPr>
      <w:pStyle w:val="22"/>
      <w:pBdr>
        <w:bottom w:val="none" w:color="auto" w:sz="0" w:space="0"/>
      </w:pBdr>
    </w:pPr>
    <w:r>
      <w:rPr>
        <w:sz w:val="18"/>
      </w:rPr>
      <w:pict>
        <v:shape id="PowerPlusWaterMarkObject12462046" o:spid="_x0000_s2074" o:spt="136" type="#_x0000_t136" style="position:absolute;left:0pt;margin-left:490.7pt;margin-top:559.6pt;height:16pt;width:125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1637665" o:spid="_x0000_s2073" o:spt="136" type="#_x0000_t136" style="position:absolute;left:0pt;margin-left:377.55pt;margin-top:672.75pt;height:16pt;width:125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0667135" o:spid="_x0000_s2072" o:spt="136" type="#_x0000_t136" style="position:absolute;left:0pt;margin-left:264.4pt;margin-top:785.9pt;height:16pt;width:125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0587965" o:spid="_x0000_s2071" o:spt="136" type="#_x0000_t136" style="position:absolute;left:0pt;margin-left:490.7pt;margin-top:354.3pt;height:16pt;width:125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0475680" o:spid="_x0000_s2070" o:spt="136" type="#_x0000_t136" style="position:absolute;left:0pt;margin-left:377.55pt;margin-top:467.45pt;height:16pt;width:125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9787217" o:spid="_x0000_s2069" o:spt="136" type="#_x0000_t136" style="position:absolute;left:0pt;margin-left:264.4pt;margin-top:580.55pt;height:16pt;width:125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9641864" o:spid="_x0000_s2068" o:spt="136" type="#_x0000_t136" style="position:absolute;left:0pt;margin-left:151.25pt;margin-top:693.7pt;height:16pt;width:125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8784895" o:spid="_x0000_s2067" o:spt="136" type="#_x0000_t136" style="position:absolute;left:0pt;margin-left:38.15pt;margin-top:806.85pt;height:16pt;width:125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8359752" o:spid="_x0000_s2066" o:spt="136" type="#_x0000_t136" style="position:absolute;left:0pt;margin-left:490.7pt;margin-top:149pt;height:16pt;width:125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7412092" o:spid="_x0000_s2065" o:spt="136" type="#_x0000_t136" style="position:absolute;left:0pt;margin-left:377.55pt;margin-top:262.1pt;height:16pt;width:125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6763835" o:spid="_x0000_s2064" o:spt="136" type="#_x0000_t136" style="position:absolute;left:0pt;margin-left:264.4pt;margin-top:375.25pt;height:16pt;width:125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6380872" o:spid="_x0000_s2063" o:spt="136" type="#_x0000_t136" style="position:absolute;left:0pt;margin-left:151.25pt;margin-top:488.4pt;height:16pt;width:125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989372" o:spid="_x0000_s2062" o:spt="136" type="#_x0000_t136" style="position:absolute;left:0pt;margin-left:38.15pt;margin-top:601.55pt;height:16pt;width:125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259983" o:spid="_x0000_s2061" o:spt="136" type="#_x0000_t136" style="position:absolute;left:0pt;margin-left:-75pt;margin-top:714.65pt;height:16pt;width:125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022847" o:spid="_x0000_s2060" o:spt="136" type="#_x0000_t136" style="position:absolute;left:0pt;margin-left:490.7pt;margin-top:-56.35pt;height:16pt;width:125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881790" o:spid="_x0000_s2059" o:spt="136" type="#_x0000_t136" style="position:absolute;left:0pt;margin-left:377.55pt;margin-top:56.8pt;height:16pt;width:125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887241" o:spid="_x0000_s2058" o:spt="136" type="#_x0000_t136" style="position:absolute;left:0pt;margin-left:264.4pt;margin-top:169.95pt;height:16pt;width:125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749778" o:spid="_x0000_s2057" o:spt="136" type="#_x0000_t136" style="position:absolute;left:0pt;margin-left:151.25pt;margin-top:283.1pt;height:16pt;width:125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857024" o:spid="_x0000_s2056" o:spt="136" type="#_x0000_t136" style="position:absolute;left:0pt;margin-left:38.15pt;margin-top:396.2pt;height:16pt;width:125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117788" o:spid="_x0000_s2055" o:spt="136" type="#_x0000_t136" style="position:absolute;left:0pt;margin-left:-75pt;margin-top:509.35pt;height:16pt;width:125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995077" o:spid="_x0000_s2054" o:spt="136" type="#_x0000_t136" style="position:absolute;left:0pt;margin-left:264.4pt;margin-top:-35.35pt;height:16pt;width:125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488292" o:spid="_x0000_s2053" o:spt="136" type="#_x0000_t136" style="position:absolute;left:0pt;margin-left:151.25pt;margin-top:77.75pt;height:16pt;width:125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130381" o:spid="_x0000_s2052" o:spt="136" type="#_x0000_t136" style="position:absolute;left:0pt;margin-left:38.15pt;margin-top:190.9pt;height:16pt;width:125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020019" o:spid="_x0000_s2051" o:spt="136" type="#_x0000_t136" style="position:absolute;left:0pt;margin-left:-75pt;margin-top:304.05pt;height:16pt;width:125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05795" o:spid="_x0000_s2050" o:spt="136" type="#_x0000_t136" style="position:absolute;left:0pt;margin-left:38.15pt;margin-top:-14.4pt;height:16pt;width:125pt;mso-position-horizontal-relative:margin;mso-position-vertical-relative:margin;rotation:-2949120f;z-index:-25165209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89057" o:spid="_x0000_s2049" o:spt="136" type="#_x0000_t136" style="position:absolute;left:0pt;margin-left:-75pt;margin-top:98.75pt;height:16pt;width:125pt;mso-position-horizontal-relative:margin;mso-position-vertical-relative:margin;rotation:-2949120f;z-index:-25165312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BE24F">
    <w:pPr>
      <w:pStyle w:val="22"/>
      <w:pBdr>
        <w:bottom w:val="none" w:color="auto" w:sz="0" w:space="1"/>
      </w:pBdr>
    </w:pPr>
    <w:r>
      <w:rPr>
        <w:sz w:val="18"/>
      </w:rPr>
      <w:pict>
        <v:shape id="PowerPlusWaterMarkObject27655216" o:spid="_x0000_s2100" o:spt="136" type="#_x0000_t136" style="position:absolute;left:0pt;margin-left:490.7pt;margin-top:559.6pt;height:16pt;width:125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7553042" o:spid="_x0000_s2099" o:spt="136" type="#_x0000_t136" style="position:absolute;left:0pt;margin-left:377.55pt;margin-top:672.75pt;height:16pt;width:125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7149546" o:spid="_x0000_s2098" o:spt="136" type="#_x0000_t136" style="position:absolute;left:0pt;margin-left:264.4pt;margin-top:785.9pt;height:16pt;width:125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6684804" o:spid="_x0000_s2097" o:spt="136" type="#_x0000_t136" style="position:absolute;left:0pt;margin-left:490.7pt;margin-top:354.3pt;height:16pt;width:125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5708794" o:spid="_x0000_s2096" o:spt="136" type="#_x0000_t136" style="position:absolute;left:0pt;margin-left:377.55pt;margin-top:467.45pt;height:16pt;width:125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5221042" o:spid="_x0000_s2095" o:spt="136" type="#_x0000_t136" style="position:absolute;left:0pt;margin-left:264.4pt;margin-top:580.55pt;height:16pt;width:125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4472112" o:spid="_x0000_s2094" o:spt="136" type="#_x0000_t136" style="position:absolute;left:0pt;margin-left:151.25pt;margin-top:693.7pt;height:16pt;width:125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4285716" o:spid="_x0000_s2093" o:spt="136" type="#_x0000_t136" style="position:absolute;left:0pt;margin-left:38.15pt;margin-top:806.85pt;height:16pt;width:125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4130800" o:spid="_x0000_s2092" o:spt="136" type="#_x0000_t136" style="position:absolute;left:0pt;margin-left:490.7pt;margin-top:149pt;height:16pt;width:125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3210405" o:spid="_x0000_s2091" o:spt="136" type="#_x0000_t136" style="position:absolute;left:0pt;margin-left:377.55pt;margin-top:262.1pt;height:16pt;width:125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2842080" o:spid="_x0000_s2090" o:spt="136" type="#_x0000_t136" style="position:absolute;left:0pt;margin-left:264.4pt;margin-top:375.25pt;height:16pt;width:125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2604964" o:spid="_x0000_s2089" o:spt="136" type="#_x0000_t136" style="position:absolute;left:0pt;margin-left:151.25pt;margin-top:488.4pt;height:16pt;width:125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1730119" o:spid="_x0000_s2088" o:spt="136" type="#_x0000_t136" style="position:absolute;left:0pt;margin-left:38.15pt;margin-top:601.55pt;height:16pt;width:125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1172011" o:spid="_x0000_s2087" o:spt="136" type="#_x0000_t136" style="position:absolute;left:0pt;margin-left:-75pt;margin-top:714.65pt;height:16pt;width:125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0247562" o:spid="_x0000_s2086" o:spt="136" type="#_x0000_t136" style="position:absolute;left:0pt;margin-left:490.7pt;margin-top:-56.35pt;height:16pt;width:125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9332851" o:spid="_x0000_s2085" o:spt="136" type="#_x0000_t136" style="position:absolute;left:0pt;margin-left:377.55pt;margin-top:56.8pt;height:16pt;width:125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8589624" o:spid="_x0000_s2084" o:spt="136" type="#_x0000_t136" style="position:absolute;left:0pt;margin-left:264.4pt;margin-top:169.95pt;height:16pt;width:125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7599437" o:spid="_x0000_s2083" o:spt="136" type="#_x0000_t136" style="position:absolute;left:0pt;margin-left:151.25pt;margin-top:283.1pt;height:16pt;width:125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6716973" o:spid="_x0000_s2082" o:spt="136" type="#_x0000_t136" style="position:absolute;left:0pt;margin-left:38.15pt;margin-top:396.2pt;height:16pt;width:125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5756432" o:spid="_x0000_s2081" o:spt="136" type="#_x0000_t136" style="position:absolute;left:0pt;margin-left:-75pt;margin-top:509.35pt;height:16pt;width:125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5089749" o:spid="_x0000_s2080" o:spt="136" type="#_x0000_t136" style="position:absolute;left:0pt;margin-left:264.4pt;margin-top:-35.35pt;height:16pt;width:125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4631327" o:spid="_x0000_s2079" o:spt="136" type="#_x0000_t136" style="position:absolute;left:0pt;margin-left:151.25pt;margin-top:77.75pt;height:16pt;width:125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4433918" o:spid="_x0000_s2078" o:spt="136" type="#_x0000_t136" style="position:absolute;left:0pt;margin-left:38.15pt;margin-top:190.9pt;height:16pt;width:125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3886592" o:spid="_x0000_s2077" o:spt="136" type="#_x0000_t136" style="position:absolute;left:0pt;margin-left:-75pt;margin-top:304.05pt;height:16pt;width:125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3171166" o:spid="_x0000_s2076" o:spt="136" type="#_x0000_t136" style="position:absolute;left:0pt;margin-left:38.15pt;margin-top:-14.4pt;height:16pt;width:125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12930025" o:spid="_x0000_s2075" o:spt="136" type="#_x0000_t136" style="position:absolute;left:0pt;margin-left:-75pt;margin-top:98.75pt;height:16pt;width:125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A8892">
    <w:pPr>
      <w:pStyle w:val="22"/>
      <w:pBdr>
        <w:bottom w:val="none" w:color="auto" w:sz="0" w:space="0"/>
      </w:pBdr>
    </w:pPr>
    <w:r>
      <w:rPr>
        <w:sz w:val="18"/>
      </w:rPr>
      <w:pict>
        <v:shape id="PowerPlusWaterMarkObject42047186" o:spid="_x0000_s2126" o:spt="136" type="#_x0000_t136" style="position:absolute;left:0pt;margin-left:490.7pt;margin-top:559.6pt;height:16pt;width:125pt;mso-position-horizontal-relative:margin;mso-position-vertical-relative:margin;rotation:-2949120f;z-index:-25157427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1273603" o:spid="_x0000_s2125" o:spt="136" type="#_x0000_t136" style="position:absolute;left:0pt;margin-left:377.55pt;margin-top:672.75pt;height:16pt;width:125pt;mso-position-horizontal-relative:margin;mso-position-vertical-relative:margin;rotation:-2949120f;z-index:-25157529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0936790" o:spid="_x0000_s2124" o:spt="136" type="#_x0000_t136" style="position:absolute;left:0pt;margin-left:264.4pt;margin-top:785.9pt;height:16pt;width:125pt;mso-position-horizontal-relative:margin;mso-position-vertical-relative:margin;rotation:-2949120f;z-index:-25157632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0480946" o:spid="_x0000_s2123" o:spt="136" type="#_x0000_t136" style="position:absolute;left:0pt;margin-left:490.7pt;margin-top:354.3pt;height:16pt;width:125pt;mso-position-horizontal-relative:margin;mso-position-vertical-relative:margin;rotation:-2949120f;z-index:-25157734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0177703" o:spid="_x0000_s2122" o:spt="136" type="#_x0000_t136" style="position:absolute;left:0pt;margin-left:377.55pt;margin-top:467.45pt;height:16pt;width:125pt;mso-position-horizontal-relative:margin;mso-position-vertical-relative:margin;rotation:-2949120f;z-index:-25157836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9735167" o:spid="_x0000_s2121" o:spt="136" type="#_x0000_t136" style="position:absolute;left:0pt;margin-left:264.4pt;margin-top:580.55pt;height:16pt;width:125pt;mso-position-horizontal-relative:margin;mso-position-vertical-relative:margin;rotation:-2949120f;z-index:-25157939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9445333" o:spid="_x0000_s2120" o:spt="136" type="#_x0000_t136" style="position:absolute;left:0pt;margin-left:151.25pt;margin-top:693.7pt;height:16pt;width:125pt;mso-position-horizontal-relative:margin;mso-position-vertical-relative:margin;rotation:-2949120f;z-index:-25158041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8720879" o:spid="_x0000_s2119" o:spt="136" type="#_x0000_t136" style="position:absolute;left:0pt;margin-left:38.15pt;margin-top:806.85pt;height:16pt;width:125pt;mso-position-horizontal-relative:margin;mso-position-vertical-relative:margin;rotation:-2949120f;z-index:-25158144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8456874" o:spid="_x0000_s2118" o:spt="136" type="#_x0000_t136" style="position:absolute;left:0pt;margin-left:490.7pt;margin-top:149pt;height:16pt;width:125pt;mso-position-horizontal-relative:margin;mso-position-vertical-relative:margin;rotation:-2949120f;z-index:-25158246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7469096" o:spid="_x0000_s2117" o:spt="136" type="#_x0000_t136" style="position:absolute;left:0pt;margin-left:377.55pt;margin-top:262.1pt;height:16pt;width:125pt;mso-position-horizontal-relative:margin;mso-position-vertical-relative:margin;rotation:-2949120f;z-index:-25158348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6827806" o:spid="_x0000_s2116" o:spt="136" type="#_x0000_t136" style="position:absolute;left:0pt;margin-left:264.4pt;margin-top:375.25pt;height:16pt;width:125pt;mso-position-horizontal-relative:margin;mso-position-vertical-relative:margin;rotation:-2949120f;z-index:-25158451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6272921" o:spid="_x0000_s2115" o:spt="136" type="#_x0000_t136" style="position:absolute;left:0pt;margin-left:151.25pt;margin-top:488.4pt;height:16pt;width:125pt;mso-position-horizontal-relative:margin;mso-position-vertical-relative:margin;rotation:-2949120f;z-index:-25158553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5639279" o:spid="_x0000_s2114" o:spt="136" type="#_x0000_t136" style="position:absolute;left:0pt;margin-left:38.15pt;margin-top:601.55pt;height:16pt;width:125pt;mso-position-horizontal-relative:margin;mso-position-vertical-relative:margin;rotation:-2949120f;z-index:-25158656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5143194" o:spid="_x0000_s2113" o:spt="136" type="#_x0000_t136" style="position:absolute;left:0pt;margin-left:-75pt;margin-top:714.65pt;height:16pt;width:125pt;mso-position-horizontal-relative:margin;mso-position-vertical-relative:margin;rotation:-2949120f;z-index:-25158758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4363256" o:spid="_x0000_s2112" o:spt="136" type="#_x0000_t136" style="position:absolute;left:0pt;margin-left:490.7pt;margin-top:-56.35pt;height:16pt;width:125pt;mso-position-horizontal-relative:margin;mso-position-vertical-relative:margin;rotation:-2949120f;z-index:-25158860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3952313" o:spid="_x0000_s2111" o:spt="136" type="#_x0000_t136" style="position:absolute;left:0pt;margin-left:377.55pt;margin-top:56.8pt;height:16pt;width:125pt;mso-position-horizontal-relative:margin;mso-position-vertical-relative:margin;rotation:-2949120f;z-index:-25158963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3153070" o:spid="_x0000_s2110" o:spt="136" type="#_x0000_t136" style="position:absolute;left:0pt;margin-left:264.4pt;margin-top:169.95pt;height:16pt;width:125pt;mso-position-horizontal-relative:margin;mso-position-vertical-relative:margin;rotation:-2949120f;z-index:-25159065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2857811" o:spid="_x0000_s2109" o:spt="136" type="#_x0000_t136" style="position:absolute;left:0pt;margin-left:151.25pt;margin-top:283.1pt;height:16pt;width:125pt;mso-position-horizontal-relative:margin;mso-position-vertical-relative:margin;rotation:-2949120f;z-index:-25159168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2403252" o:spid="_x0000_s2108" o:spt="136" type="#_x0000_t136" style="position:absolute;left:0pt;margin-left:38.15pt;margin-top:396.2pt;height:16pt;width:125pt;mso-position-horizontal-relative:margin;mso-position-vertical-relative:margin;rotation:-2949120f;z-index:-25159270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1814858" o:spid="_x0000_s2107" o:spt="136" type="#_x0000_t136" style="position:absolute;left:0pt;margin-left:-75pt;margin-top:509.35pt;height:16pt;width:125pt;mso-position-horizontal-relative:margin;mso-position-vertical-relative:margin;rotation:-2949120f;z-index:-25159372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0882643" o:spid="_x0000_s2106" o:spt="136" type="#_x0000_t136" style="position:absolute;left:0pt;margin-left:264.4pt;margin-top:-35.35pt;height:16pt;width:125pt;mso-position-horizontal-relative:margin;mso-position-vertical-relative:margin;rotation:-2949120f;z-index:-25159475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30308330" o:spid="_x0000_s2105" o:spt="136" type="#_x0000_t136" style="position:absolute;left:0pt;margin-left:151.25pt;margin-top:77.75pt;height:16pt;width:125pt;mso-position-horizontal-relative:margin;mso-position-vertical-relative:margin;rotation:-2949120f;z-index:-25159577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9928072" o:spid="_x0000_s2104" o:spt="136" type="#_x0000_t136" style="position:absolute;left:0pt;margin-left:38.15pt;margin-top:190.9pt;height:16pt;width:125pt;mso-position-horizontal-relative:margin;mso-position-vertical-relative:margin;rotation:-2949120f;z-index:-25159680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9791343" o:spid="_x0000_s2103" o:spt="136" type="#_x0000_t136" style="position:absolute;left:0pt;margin-left:-75pt;margin-top:304.05pt;height:16pt;width:125pt;mso-position-horizontal-relative:margin;mso-position-vertical-relative:margin;rotation:-2949120f;z-index:-25159782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9446162" o:spid="_x0000_s2102" o:spt="136" type="#_x0000_t136" style="position:absolute;left:0pt;margin-left:38.15pt;margin-top:-14.4pt;height:16pt;width:125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28588374" o:spid="_x0000_s2101" o:spt="136" type="#_x0000_t136" style="position:absolute;left:0pt;margin-left:-75pt;margin-top:98.75pt;height:16pt;width:125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AE457">
    <w:pPr>
      <w:pStyle w:val="22"/>
      <w:pBdr>
        <w:bottom w:val="none" w:color="auto" w:sz="0" w:space="1"/>
      </w:pBdr>
    </w:pPr>
    <w:r>
      <w:rPr>
        <w:sz w:val="18"/>
      </w:rPr>
      <w:pict>
        <v:shape id="PowerPlusWaterMarkObject55050567" o:spid="_x0000_s2152" o:spt="136" type="#_x0000_t136" style="position:absolute;left:0pt;margin-left:490.7pt;margin-top:559.6pt;height:16pt;width:125pt;mso-position-horizontal-relative:margin;mso-position-vertical-relative:margin;rotation:-2949120f;z-index:-25154764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4555025" o:spid="_x0000_s2151" o:spt="136" type="#_x0000_t136" style="position:absolute;left:0pt;margin-left:377.55pt;margin-top:672.75pt;height:16pt;width:125pt;mso-position-horizontal-relative:margin;mso-position-vertical-relative:margin;rotation:-2949120f;z-index:-25154867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4477018" o:spid="_x0000_s2150" o:spt="136" type="#_x0000_t136" style="position:absolute;left:0pt;margin-left:264.4pt;margin-top:785.9pt;height:16pt;width:125pt;mso-position-horizontal-relative:margin;mso-position-vertical-relative:margin;rotation:-2949120f;z-index:-25154969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4140870" o:spid="_x0000_s2149" o:spt="136" type="#_x0000_t136" style="position:absolute;left:0pt;margin-left:490.7pt;margin-top:354.3pt;height:16pt;width:125pt;mso-position-horizontal-relative:margin;mso-position-vertical-relative:margin;rotation:-2949120f;z-index:-25155072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3391253" o:spid="_x0000_s2148" o:spt="136" type="#_x0000_t136" style="position:absolute;left:0pt;margin-left:377.55pt;margin-top:467.45pt;height:16pt;width:125pt;mso-position-horizontal-relative:margin;mso-position-vertical-relative:margin;rotation:-2949120f;z-index:-25155174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3216495" o:spid="_x0000_s2147" o:spt="136" type="#_x0000_t136" style="position:absolute;left:0pt;margin-left:264.4pt;margin-top:580.55pt;height:16pt;width:125pt;mso-position-horizontal-relative:margin;mso-position-vertical-relative:margin;rotation:-2949120f;z-index:-25155276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2304535" o:spid="_x0000_s2146" o:spt="136" type="#_x0000_t136" style="position:absolute;left:0pt;margin-left:151.25pt;margin-top:693.7pt;height:16pt;width:125pt;mso-position-horizontal-relative:margin;mso-position-vertical-relative:margin;rotation:-2949120f;z-index:-25155379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1940528" o:spid="_x0000_s2145" o:spt="136" type="#_x0000_t136" style="position:absolute;left:0pt;margin-left:38.15pt;margin-top:806.85pt;height:16pt;width:125pt;mso-position-horizontal-relative:margin;mso-position-vertical-relative:margin;rotation:-2949120f;z-index:-25155481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1796738" o:spid="_x0000_s2144" o:spt="136" type="#_x0000_t136" style="position:absolute;left:0pt;margin-left:490.7pt;margin-top:149pt;height:16pt;width:125pt;mso-position-horizontal-relative:margin;mso-position-vertical-relative:margin;rotation:-2949120f;z-index:-25155584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1468707" o:spid="_x0000_s2143" o:spt="136" type="#_x0000_t136" style="position:absolute;left:0pt;margin-left:377.55pt;margin-top:262.1pt;height:16pt;width:125pt;mso-position-horizontal-relative:margin;mso-position-vertical-relative:margin;rotation:-2949120f;z-index:-25155686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0818306" o:spid="_x0000_s2142" o:spt="136" type="#_x0000_t136" style="position:absolute;left:0pt;margin-left:264.4pt;margin-top:375.25pt;height:16pt;width:125pt;mso-position-horizontal-relative:margin;mso-position-vertical-relative:margin;rotation:-2949120f;z-index:-25155788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50032636" o:spid="_x0000_s2141" o:spt="136" type="#_x0000_t136" style="position:absolute;left:0pt;margin-left:151.25pt;margin-top:488.4pt;height:16pt;width:125pt;mso-position-horizontal-relative:margin;mso-position-vertical-relative:margin;rotation:-2949120f;z-index:-25155891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9476959" o:spid="_x0000_s2140" o:spt="136" type="#_x0000_t136" style="position:absolute;left:0pt;margin-left:38.15pt;margin-top:601.55pt;height:16pt;width:125pt;mso-position-horizontal-relative:margin;mso-position-vertical-relative:margin;rotation:-2949120f;z-index:-25155993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9314519" o:spid="_x0000_s2139" o:spt="136" type="#_x0000_t136" style="position:absolute;left:0pt;margin-left:-75pt;margin-top:714.65pt;height:16pt;width:125pt;mso-position-horizontal-relative:margin;mso-position-vertical-relative:margin;rotation:-2949120f;z-index:-25156096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8354204" o:spid="_x0000_s2138" o:spt="136" type="#_x0000_t136" style="position:absolute;left:0pt;margin-left:490.7pt;margin-top:-56.35pt;height:16pt;width:125pt;mso-position-horizontal-relative:margin;mso-position-vertical-relative:margin;rotation:-2949120f;z-index:-25156198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7449974" o:spid="_x0000_s2137" o:spt="136" type="#_x0000_t136" style="position:absolute;left:0pt;margin-left:377.55pt;margin-top:56.8pt;height:16pt;width:125pt;mso-position-horizontal-relative:margin;mso-position-vertical-relative:margin;rotation:-2949120f;z-index:-25156300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7087172" o:spid="_x0000_s2136" o:spt="136" type="#_x0000_t136" style="position:absolute;left:0pt;margin-left:264.4pt;margin-top:169.95pt;height:16pt;width:125pt;mso-position-horizontal-relative:margin;mso-position-vertical-relative:margin;rotation:-2949120f;z-index:-25156403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6208295" o:spid="_x0000_s2135" o:spt="136" type="#_x0000_t136" style="position:absolute;left:0pt;margin-left:151.25pt;margin-top:283.1pt;height:16pt;width:125pt;mso-position-horizontal-relative:margin;mso-position-vertical-relative:margin;rotation:-2949120f;z-index:-25156505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5500767" o:spid="_x0000_s2134" o:spt="136" type="#_x0000_t136" style="position:absolute;left:0pt;margin-left:38.15pt;margin-top:396.2pt;height:16pt;width:125pt;mso-position-horizontal-relative:margin;mso-position-vertical-relative:margin;rotation:-2949120f;z-index:-25156608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5382263" o:spid="_x0000_s2133" o:spt="136" type="#_x0000_t136" style="position:absolute;left:0pt;margin-left:-75pt;margin-top:509.35pt;height:16pt;width:125pt;mso-position-horizontal-relative:margin;mso-position-vertical-relative:margin;rotation:-2949120f;z-index:-25156710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5225901" o:spid="_x0000_s2132" o:spt="136" type="#_x0000_t136" style="position:absolute;left:0pt;margin-left:264.4pt;margin-top:-35.35pt;height:16pt;width:125pt;mso-position-horizontal-relative:margin;mso-position-vertical-relative:margin;rotation:-2949120f;z-index:-25156812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5087720" o:spid="_x0000_s2131" o:spt="136" type="#_x0000_t136" style="position:absolute;left:0pt;margin-left:151.25pt;margin-top:77.75pt;height:16pt;width:125pt;mso-position-horizontal-relative:margin;mso-position-vertical-relative:margin;rotation:-2949120f;z-index:-251569152;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4756377" o:spid="_x0000_s2130" o:spt="136" type="#_x0000_t136" style="position:absolute;left:0pt;margin-left:38.15pt;margin-top:190.9pt;height:16pt;width:125pt;mso-position-horizontal-relative:margin;mso-position-vertical-relative:margin;rotation:-2949120f;z-index:-251570176;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4417110" o:spid="_x0000_s2129" o:spt="136" type="#_x0000_t136" style="position:absolute;left:0pt;margin-left:-75pt;margin-top:304.05pt;height:16pt;width:125pt;mso-position-horizontal-relative:margin;mso-position-vertical-relative:margin;rotation:-2949120f;z-index:-251571200;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3707973" o:spid="_x0000_s2128" o:spt="136" type="#_x0000_t136" style="position:absolute;left:0pt;margin-left:38.15pt;margin-top:-14.4pt;height:16pt;width:125pt;mso-position-horizontal-relative:margin;mso-position-vertical-relative:margin;rotation:-2949120f;z-index:-251572224;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r>
      <w:rPr>
        <w:sz w:val="18"/>
      </w:rPr>
      <w:pict>
        <v:shape id="PowerPlusWaterMarkObject42931056" o:spid="_x0000_s2127" o:spt="136" type="#_x0000_t136" style="position:absolute;left:0pt;margin-left:-75pt;margin-top:98.75pt;height:16pt;width:125pt;mso-position-horizontal-relative:margin;mso-position-vertical-relative:margin;rotation:-2949120f;z-index:-251573248;mso-width-relative:page;mso-height-relative:page;" fillcolor="#D9D9D9" filled="t" stroked="f" coordsize="21600,21600" adj="10800">
          <v:path/>
          <v:fill on="t" opacity="0f" focussize="0,0"/>
          <v:stroke on="f"/>
          <v:imagedata o:title=""/>
          <o:lock v:ext="edit" aspectratio="t"/>
          <v:textpath on="t" fitshape="t" fitpath="t" trim="t" xscale="f" string=" 刘雅婷  2026-07-02 " style="font-family:汉仪旗黑KW 55S;font-size:16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yYTkwZjE3MDRhN2IwZWMwOTg2ODMyNTE0M2NmZDgifQ=="/>
  </w:docVars>
  <w:rsids>
    <w:rsidRoot w:val="00451E3C"/>
    <w:rsid w:val="00087928"/>
    <w:rsid w:val="00100E0F"/>
    <w:rsid w:val="00146346"/>
    <w:rsid w:val="00172F3B"/>
    <w:rsid w:val="00305EF1"/>
    <w:rsid w:val="00324C81"/>
    <w:rsid w:val="00333376"/>
    <w:rsid w:val="00451E3C"/>
    <w:rsid w:val="004D1979"/>
    <w:rsid w:val="00727024"/>
    <w:rsid w:val="00822C2B"/>
    <w:rsid w:val="00851B87"/>
    <w:rsid w:val="008E7474"/>
    <w:rsid w:val="00983BAA"/>
    <w:rsid w:val="009B74FF"/>
    <w:rsid w:val="009E783E"/>
    <w:rsid w:val="00A45656"/>
    <w:rsid w:val="00B35724"/>
    <w:rsid w:val="00C65DC2"/>
    <w:rsid w:val="00CE3C08"/>
    <w:rsid w:val="00D20C96"/>
    <w:rsid w:val="00DC3A37"/>
    <w:rsid w:val="00ED6289"/>
    <w:rsid w:val="00EE7891"/>
    <w:rsid w:val="00F57911"/>
    <w:rsid w:val="01B91D0C"/>
    <w:rsid w:val="01D83930"/>
    <w:rsid w:val="022C0730"/>
    <w:rsid w:val="03E017D2"/>
    <w:rsid w:val="047563BF"/>
    <w:rsid w:val="04AD10C6"/>
    <w:rsid w:val="05A929FC"/>
    <w:rsid w:val="05C84C14"/>
    <w:rsid w:val="0673692E"/>
    <w:rsid w:val="06C70DE3"/>
    <w:rsid w:val="07384D1E"/>
    <w:rsid w:val="077E37DC"/>
    <w:rsid w:val="0788465B"/>
    <w:rsid w:val="08716219"/>
    <w:rsid w:val="09784B65"/>
    <w:rsid w:val="0B1F0C52"/>
    <w:rsid w:val="0CCA3020"/>
    <w:rsid w:val="0D6945E7"/>
    <w:rsid w:val="0EBD39D4"/>
    <w:rsid w:val="10003776"/>
    <w:rsid w:val="12BC78AF"/>
    <w:rsid w:val="12FB57BF"/>
    <w:rsid w:val="13120644"/>
    <w:rsid w:val="13394A5B"/>
    <w:rsid w:val="13B9011A"/>
    <w:rsid w:val="13F77AE2"/>
    <w:rsid w:val="144E4536"/>
    <w:rsid w:val="15584CF3"/>
    <w:rsid w:val="15A524B3"/>
    <w:rsid w:val="17954365"/>
    <w:rsid w:val="18AB1F57"/>
    <w:rsid w:val="19EF3AD4"/>
    <w:rsid w:val="1A3022CF"/>
    <w:rsid w:val="1BE3550C"/>
    <w:rsid w:val="1C215462"/>
    <w:rsid w:val="1C68210B"/>
    <w:rsid w:val="1C7A05BE"/>
    <w:rsid w:val="1CF3211F"/>
    <w:rsid w:val="1DFD647E"/>
    <w:rsid w:val="20733ECA"/>
    <w:rsid w:val="22252D7A"/>
    <w:rsid w:val="231045D3"/>
    <w:rsid w:val="233F7DA7"/>
    <w:rsid w:val="23940A69"/>
    <w:rsid w:val="23AD74CB"/>
    <w:rsid w:val="24C85C3F"/>
    <w:rsid w:val="27532138"/>
    <w:rsid w:val="28DA4193"/>
    <w:rsid w:val="29FF0355"/>
    <w:rsid w:val="2A7C55A8"/>
    <w:rsid w:val="2AD72873"/>
    <w:rsid w:val="2B7B675F"/>
    <w:rsid w:val="2BFC06E9"/>
    <w:rsid w:val="2DF61A6F"/>
    <w:rsid w:val="2E4E3659"/>
    <w:rsid w:val="2ED34A16"/>
    <w:rsid w:val="2F300FB0"/>
    <w:rsid w:val="2F3F9222"/>
    <w:rsid w:val="2F8A246F"/>
    <w:rsid w:val="30B57C82"/>
    <w:rsid w:val="31B10898"/>
    <w:rsid w:val="31EF007A"/>
    <w:rsid w:val="324C3E11"/>
    <w:rsid w:val="3491429F"/>
    <w:rsid w:val="3495278A"/>
    <w:rsid w:val="3498084D"/>
    <w:rsid w:val="350E58F0"/>
    <w:rsid w:val="355A0B35"/>
    <w:rsid w:val="355D23D3"/>
    <w:rsid w:val="358931C8"/>
    <w:rsid w:val="35D15757"/>
    <w:rsid w:val="36C7339A"/>
    <w:rsid w:val="38F207CE"/>
    <w:rsid w:val="39F07CBA"/>
    <w:rsid w:val="3A2E002F"/>
    <w:rsid w:val="3ABA0EF7"/>
    <w:rsid w:val="3B1672AC"/>
    <w:rsid w:val="3CAA05F4"/>
    <w:rsid w:val="3CEB6517"/>
    <w:rsid w:val="3E75253C"/>
    <w:rsid w:val="3E793C4B"/>
    <w:rsid w:val="3EDC792D"/>
    <w:rsid w:val="3F3D1959"/>
    <w:rsid w:val="3F760446"/>
    <w:rsid w:val="3F9A748B"/>
    <w:rsid w:val="3F9D7F9C"/>
    <w:rsid w:val="3FFB3955"/>
    <w:rsid w:val="40004FD0"/>
    <w:rsid w:val="40312E67"/>
    <w:rsid w:val="41FB4FA5"/>
    <w:rsid w:val="42D97C25"/>
    <w:rsid w:val="42EB7271"/>
    <w:rsid w:val="44121843"/>
    <w:rsid w:val="442944F4"/>
    <w:rsid w:val="44FE772F"/>
    <w:rsid w:val="453F7AFB"/>
    <w:rsid w:val="493475DE"/>
    <w:rsid w:val="493C0826"/>
    <w:rsid w:val="49A94649"/>
    <w:rsid w:val="49AF0B18"/>
    <w:rsid w:val="4A0330F2"/>
    <w:rsid w:val="4AB9034A"/>
    <w:rsid w:val="4ABB65DC"/>
    <w:rsid w:val="4BBE2AEB"/>
    <w:rsid w:val="4C265483"/>
    <w:rsid w:val="4D381797"/>
    <w:rsid w:val="4D5B4FF3"/>
    <w:rsid w:val="4E4C0585"/>
    <w:rsid w:val="4F2B1C96"/>
    <w:rsid w:val="4F9A0054"/>
    <w:rsid w:val="509943B6"/>
    <w:rsid w:val="51E23674"/>
    <w:rsid w:val="534A1D91"/>
    <w:rsid w:val="541D642D"/>
    <w:rsid w:val="542A1B2C"/>
    <w:rsid w:val="551045B4"/>
    <w:rsid w:val="55C91693"/>
    <w:rsid w:val="56261E47"/>
    <w:rsid w:val="571B31C5"/>
    <w:rsid w:val="57CC04D6"/>
    <w:rsid w:val="57E30C41"/>
    <w:rsid w:val="580E7831"/>
    <w:rsid w:val="5A7D47FA"/>
    <w:rsid w:val="5AD12C95"/>
    <w:rsid w:val="5AE34FA5"/>
    <w:rsid w:val="5BF71E9E"/>
    <w:rsid w:val="5D683BC1"/>
    <w:rsid w:val="60680A3A"/>
    <w:rsid w:val="60D84E80"/>
    <w:rsid w:val="629B32A0"/>
    <w:rsid w:val="65273CE0"/>
    <w:rsid w:val="65363F24"/>
    <w:rsid w:val="65973B3F"/>
    <w:rsid w:val="65A6554D"/>
    <w:rsid w:val="666E201C"/>
    <w:rsid w:val="670849E7"/>
    <w:rsid w:val="6764746E"/>
    <w:rsid w:val="685F0B4B"/>
    <w:rsid w:val="68953657"/>
    <w:rsid w:val="68BB7A9F"/>
    <w:rsid w:val="6951757E"/>
    <w:rsid w:val="6A266C5C"/>
    <w:rsid w:val="6A8B4D12"/>
    <w:rsid w:val="6B4227D3"/>
    <w:rsid w:val="6B4A5A0A"/>
    <w:rsid w:val="6B7B3B2E"/>
    <w:rsid w:val="6BD66460"/>
    <w:rsid w:val="6C3B62C3"/>
    <w:rsid w:val="6CE4695B"/>
    <w:rsid w:val="6D62169A"/>
    <w:rsid w:val="6D7D7659"/>
    <w:rsid w:val="6DB602F7"/>
    <w:rsid w:val="6E1E4BB6"/>
    <w:rsid w:val="6F040553"/>
    <w:rsid w:val="6F1B2B08"/>
    <w:rsid w:val="6F286FD3"/>
    <w:rsid w:val="6F7044D6"/>
    <w:rsid w:val="7044744D"/>
    <w:rsid w:val="70581D05"/>
    <w:rsid w:val="70DC62C7"/>
    <w:rsid w:val="71B02D05"/>
    <w:rsid w:val="7249798C"/>
    <w:rsid w:val="730613D9"/>
    <w:rsid w:val="74A0760B"/>
    <w:rsid w:val="74B55DA6"/>
    <w:rsid w:val="754752C8"/>
    <w:rsid w:val="75B82733"/>
    <w:rsid w:val="75D25411"/>
    <w:rsid w:val="78874D6A"/>
    <w:rsid w:val="78BF79C0"/>
    <w:rsid w:val="7A28257D"/>
    <w:rsid w:val="7B6B4CD9"/>
    <w:rsid w:val="7B712AF8"/>
    <w:rsid w:val="7BC063B2"/>
    <w:rsid w:val="7BD77DB7"/>
    <w:rsid w:val="7BE44282"/>
    <w:rsid w:val="7C745605"/>
    <w:rsid w:val="7C8415C1"/>
    <w:rsid w:val="7D180403"/>
    <w:rsid w:val="7DAA32A9"/>
    <w:rsid w:val="7EA73659"/>
    <w:rsid w:val="7EB50157"/>
    <w:rsid w:val="7F0E027B"/>
    <w:rsid w:val="7F524FF8"/>
    <w:rsid w:val="7FC45977"/>
    <w:rsid w:val="BEFB8DC0"/>
    <w:rsid w:val="EFEF252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9" w:semiHidden="0" w:name="heading 5"/>
    <w:lsdException w:qFormat="1" w:uiPriority="0" w:name="heading 6"/>
    <w:lsdException w:qFormat="1" w:unhideWhenUsed="0" w:uiPriority="0" w:semiHidden="0" w:name="heading 7"/>
    <w:lsdException w:qFormat="1" w:unhideWhenUsed="0" w:uiPriority="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nhideWhenUsed="0" w:uiPriority="0" w:semiHidden="0" w:name="HTML Preformatted"/>
    <w:lsdException w:qFormat="1" w:unhideWhenUsed="0"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6"/>
    <w:qFormat/>
    <w:uiPriority w:val="0"/>
    <w:pPr>
      <w:keepNext/>
      <w:keepLines/>
      <w:spacing w:before="260" w:after="260" w:line="416" w:lineRule="auto"/>
      <w:outlineLvl w:val="1"/>
    </w:pPr>
    <w:rPr>
      <w:rFonts w:ascii="Cambria" w:hAnsi="Cambria"/>
      <w:b/>
      <w:bCs/>
      <w:sz w:val="32"/>
      <w:szCs w:val="32"/>
    </w:rPr>
  </w:style>
  <w:style w:type="paragraph" w:styleId="5">
    <w:name w:val="heading 4"/>
    <w:basedOn w:val="1"/>
    <w:next w:val="1"/>
    <w:link w:val="47"/>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48"/>
    <w:qFormat/>
    <w:uiPriority w:val="9"/>
    <w:pPr>
      <w:keepNext/>
      <w:keepLines/>
      <w:spacing w:before="280" w:after="290" w:line="376" w:lineRule="auto"/>
      <w:outlineLvl w:val="4"/>
    </w:pPr>
    <w:rPr>
      <w:b/>
      <w:bCs/>
      <w:sz w:val="28"/>
      <w:szCs w:val="28"/>
    </w:rPr>
  </w:style>
  <w:style w:type="paragraph" w:styleId="8">
    <w:name w:val="heading 7"/>
    <w:basedOn w:val="1"/>
    <w:next w:val="1"/>
    <w:link w:val="49"/>
    <w:qFormat/>
    <w:uiPriority w:val="0"/>
    <w:pPr>
      <w:keepNext/>
      <w:keepLines/>
      <w:spacing w:before="240" w:after="64" w:line="320" w:lineRule="auto"/>
      <w:outlineLvl w:val="6"/>
    </w:pPr>
    <w:rPr>
      <w:b/>
      <w:bCs/>
      <w:sz w:val="24"/>
    </w:rPr>
  </w:style>
  <w:style w:type="paragraph" w:styleId="9">
    <w:name w:val="heading 8"/>
    <w:basedOn w:val="1"/>
    <w:next w:val="1"/>
    <w:link w:val="50"/>
    <w:qFormat/>
    <w:uiPriority w:val="9"/>
    <w:pPr>
      <w:keepNext/>
      <w:keepLines/>
      <w:spacing w:before="240" w:after="64" w:line="320" w:lineRule="auto"/>
      <w:outlineLvl w:val="7"/>
    </w:pPr>
    <w:rPr>
      <w:rFonts w:ascii="等线 Light" w:hAnsi="等线 Light" w:eastAsia="等线 Light"/>
      <w:sz w:val="24"/>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2"/>
    <w:qFormat/>
    <w:uiPriority w:val="0"/>
    <w:pPr>
      <w:spacing w:after="120"/>
    </w:pPr>
  </w:style>
  <w:style w:type="paragraph" w:styleId="7">
    <w:name w:val="Normal Indent"/>
    <w:basedOn w:val="1"/>
    <w:qFormat/>
    <w:uiPriority w:val="0"/>
    <w:pPr>
      <w:ind w:firstLine="420"/>
    </w:pPr>
    <w:rPr>
      <w:szCs w:val="20"/>
    </w:rPr>
  </w:style>
  <w:style w:type="paragraph" w:styleId="10">
    <w:name w:val="index 8"/>
    <w:basedOn w:val="1"/>
    <w:next w:val="1"/>
    <w:qFormat/>
    <w:uiPriority w:val="0"/>
    <w:pPr>
      <w:ind w:left="2940"/>
    </w:pPr>
  </w:style>
  <w:style w:type="paragraph" w:styleId="11">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2">
    <w:name w:val="annotation text"/>
    <w:basedOn w:val="1"/>
    <w:link w:val="55"/>
    <w:qFormat/>
    <w:uiPriority w:val="0"/>
    <w:pPr>
      <w:jc w:val="left"/>
    </w:pPr>
  </w:style>
  <w:style w:type="paragraph" w:styleId="13">
    <w:name w:val="Body Text 3"/>
    <w:basedOn w:val="1"/>
    <w:link w:val="56"/>
    <w:qFormat/>
    <w:uiPriority w:val="99"/>
    <w:pPr>
      <w:spacing w:after="120"/>
    </w:pPr>
    <w:rPr>
      <w:sz w:val="16"/>
      <w:szCs w:val="16"/>
    </w:rPr>
  </w:style>
  <w:style w:type="paragraph" w:styleId="14">
    <w:name w:val="Body Text Indent"/>
    <w:basedOn w:val="1"/>
    <w:next w:val="15"/>
    <w:link w:val="57"/>
    <w:qFormat/>
    <w:uiPriority w:val="0"/>
    <w:pPr>
      <w:ind w:firstLine="830" w:firstLineChars="352"/>
    </w:pPr>
    <w:rPr>
      <w:rFonts w:ascii="仿宋_GB2312" w:eastAsia="仿宋_GB2312"/>
      <w:kern w:val="0"/>
      <w:sz w:val="32"/>
      <w:szCs w:val="20"/>
    </w:rPr>
  </w:style>
  <w:style w:type="paragraph" w:styleId="15">
    <w:name w:val="envelope return"/>
    <w:basedOn w:val="1"/>
    <w:qFormat/>
    <w:uiPriority w:val="0"/>
    <w:pPr>
      <w:snapToGrid w:val="0"/>
    </w:pPr>
    <w:rPr>
      <w:rFonts w:ascii="Arial" w:hAnsi="Arial"/>
    </w:rPr>
  </w:style>
  <w:style w:type="paragraph" w:styleId="16">
    <w:name w:val="List 2"/>
    <w:basedOn w:val="1"/>
    <w:qFormat/>
    <w:uiPriority w:val="99"/>
    <w:pPr>
      <w:ind w:left="100" w:leftChars="200" w:hanging="200" w:hangingChars="200"/>
      <w:contextualSpacing/>
    </w:pPr>
  </w:style>
  <w:style w:type="paragraph" w:styleId="17">
    <w:name w:val="Plain Text"/>
    <w:basedOn w:val="1"/>
    <w:link w:val="59"/>
    <w:qFormat/>
    <w:uiPriority w:val="0"/>
    <w:rPr>
      <w:rFonts w:ascii="宋体" w:hAnsi="Courier New"/>
      <w:kern w:val="0"/>
      <w:sz w:val="20"/>
      <w:szCs w:val="21"/>
    </w:rPr>
  </w:style>
  <w:style w:type="paragraph" w:styleId="18">
    <w:name w:val="Date"/>
    <w:basedOn w:val="1"/>
    <w:next w:val="1"/>
    <w:link w:val="60"/>
    <w:qFormat/>
    <w:uiPriority w:val="99"/>
    <w:pPr>
      <w:ind w:left="100" w:leftChars="2500"/>
    </w:pPr>
  </w:style>
  <w:style w:type="paragraph" w:styleId="19">
    <w:name w:val="Body Text Indent 2"/>
    <w:basedOn w:val="1"/>
    <w:link w:val="91"/>
    <w:qFormat/>
    <w:uiPriority w:val="99"/>
    <w:pPr>
      <w:spacing w:after="120" w:line="480" w:lineRule="auto"/>
      <w:ind w:left="420" w:leftChars="200"/>
    </w:pPr>
  </w:style>
  <w:style w:type="paragraph" w:styleId="20">
    <w:name w:val="Balloon Text"/>
    <w:basedOn w:val="1"/>
    <w:link w:val="61"/>
    <w:qFormat/>
    <w:uiPriority w:val="0"/>
    <w:rPr>
      <w:sz w:val="18"/>
      <w:szCs w:val="18"/>
    </w:rPr>
  </w:style>
  <w:style w:type="paragraph" w:styleId="21">
    <w:name w:val="footer"/>
    <w:basedOn w:val="1"/>
    <w:link w:val="44"/>
    <w:qFormat/>
    <w:uiPriority w:val="99"/>
    <w:pPr>
      <w:tabs>
        <w:tab w:val="center" w:pos="4153"/>
        <w:tab w:val="right" w:pos="8306"/>
      </w:tabs>
      <w:snapToGrid w:val="0"/>
      <w:jc w:val="left"/>
    </w:pPr>
    <w:rPr>
      <w:rFonts w:ascii="Calibri" w:hAnsi="Calibri" w:cs="宋体"/>
      <w:sz w:val="18"/>
      <w:szCs w:val="18"/>
    </w:rPr>
  </w:style>
  <w:style w:type="paragraph" w:styleId="22">
    <w:name w:val="header"/>
    <w:basedOn w:val="1"/>
    <w:link w:val="43"/>
    <w:qFormat/>
    <w:uiPriority w:val="99"/>
    <w:pPr>
      <w:pBdr>
        <w:bottom w:val="single" w:color="auto" w:sz="6" w:space="1"/>
      </w:pBdr>
      <w:tabs>
        <w:tab w:val="center" w:pos="4153"/>
        <w:tab w:val="right" w:pos="8306"/>
      </w:tabs>
      <w:snapToGrid w:val="0"/>
      <w:jc w:val="center"/>
    </w:pPr>
    <w:rPr>
      <w:rFonts w:ascii="Calibri" w:hAnsi="Calibri" w:cs="宋体"/>
      <w:sz w:val="18"/>
      <w:szCs w:val="18"/>
    </w:rPr>
  </w:style>
  <w:style w:type="paragraph" w:styleId="23">
    <w:name w:val="toc 1"/>
    <w:basedOn w:val="1"/>
    <w:next w:val="1"/>
    <w:qFormat/>
    <w:uiPriority w:val="39"/>
  </w:style>
  <w:style w:type="paragraph" w:styleId="24">
    <w:name w:val="footnote text"/>
    <w:basedOn w:val="1"/>
    <w:link w:val="90"/>
    <w:qFormat/>
    <w:uiPriority w:val="99"/>
    <w:pPr>
      <w:snapToGrid w:val="0"/>
      <w:jc w:val="left"/>
    </w:pPr>
    <w:rPr>
      <w:sz w:val="18"/>
      <w:szCs w:val="18"/>
    </w:rPr>
  </w:style>
  <w:style w:type="paragraph" w:styleId="25">
    <w:name w:val="toc 2"/>
    <w:basedOn w:val="1"/>
    <w:next w:val="1"/>
    <w:qFormat/>
    <w:uiPriority w:val="39"/>
    <w:pPr>
      <w:tabs>
        <w:tab w:val="right" w:leader="dot" w:pos="8296"/>
      </w:tabs>
      <w:ind w:left="420" w:leftChars="200"/>
    </w:pPr>
  </w:style>
  <w:style w:type="paragraph" w:styleId="26">
    <w:name w:val="Normal (Web)"/>
    <w:basedOn w:val="1"/>
    <w:qFormat/>
    <w:uiPriority w:val="99"/>
    <w:rPr>
      <w:rFonts w:ascii="Calibri" w:hAnsi="Calibri"/>
      <w:kern w:val="0"/>
      <w:sz w:val="24"/>
    </w:rPr>
  </w:style>
  <w:style w:type="paragraph" w:styleId="27">
    <w:name w:val="Title"/>
    <w:basedOn w:val="1"/>
    <w:next w:val="1"/>
    <w:link w:val="53"/>
    <w:qFormat/>
    <w:uiPriority w:val="0"/>
    <w:pPr>
      <w:spacing w:before="240" w:after="60"/>
      <w:jc w:val="center"/>
      <w:outlineLvl w:val="0"/>
    </w:pPr>
    <w:rPr>
      <w:rFonts w:ascii="Arial" w:hAnsi="Arial" w:cs="Arial"/>
      <w:b/>
      <w:bCs/>
      <w:sz w:val="32"/>
      <w:szCs w:val="32"/>
    </w:rPr>
  </w:style>
  <w:style w:type="paragraph" w:styleId="28">
    <w:name w:val="annotation subject"/>
    <w:basedOn w:val="12"/>
    <w:next w:val="12"/>
    <w:link w:val="62"/>
    <w:qFormat/>
    <w:uiPriority w:val="99"/>
    <w:rPr>
      <w:b/>
      <w:bCs/>
    </w:rPr>
  </w:style>
  <w:style w:type="paragraph" w:styleId="29">
    <w:name w:val="Body Text First Indent"/>
    <w:basedOn w:val="2"/>
    <w:next w:val="1"/>
    <w:qFormat/>
    <w:uiPriority w:val="0"/>
    <w:pPr>
      <w:ind w:firstLine="420" w:firstLineChars="100"/>
    </w:pPr>
    <w:rPr>
      <w:rFonts w:ascii="Tahoma" w:hAnsi="Tahoma"/>
      <w:sz w:val="24"/>
    </w:rPr>
  </w:style>
  <w:style w:type="paragraph" w:styleId="30">
    <w:name w:val="Body Text First Indent 2"/>
    <w:basedOn w:val="14"/>
    <w:next w:val="29"/>
    <w:link w:val="63"/>
    <w:qFormat/>
    <w:uiPriority w:val="99"/>
    <w:pPr>
      <w:ind w:firstLine="420" w:firstLineChars="200"/>
    </w:pPr>
    <w:rPr>
      <w:rFonts w:ascii="宋体" w:hAnsi="Courier New"/>
      <w:spacing w:val="-4"/>
      <w:sz w:val="18"/>
    </w:rPr>
  </w:style>
  <w:style w:type="table" w:styleId="32">
    <w:name w:val="Table Grid"/>
    <w:basedOn w:val="3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basedOn w:val="33"/>
    <w:qFormat/>
    <w:uiPriority w:val="22"/>
    <w:rPr>
      <w:b/>
      <w:bCs/>
    </w:rPr>
  </w:style>
  <w:style w:type="character" w:styleId="35">
    <w:name w:val="endnote reference"/>
    <w:qFormat/>
    <w:uiPriority w:val="99"/>
    <w:rPr>
      <w:vertAlign w:val="superscript"/>
    </w:rPr>
  </w:style>
  <w:style w:type="character" w:styleId="36">
    <w:name w:val="FollowedHyperlink"/>
    <w:basedOn w:val="33"/>
    <w:qFormat/>
    <w:uiPriority w:val="99"/>
    <w:rPr>
      <w:color w:val="4D7AD8"/>
      <w:u w:val="none"/>
    </w:rPr>
  </w:style>
  <w:style w:type="character" w:styleId="37">
    <w:name w:val="HTML Definition"/>
    <w:basedOn w:val="33"/>
    <w:qFormat/>
    <w:uiPriority w:val="99"/>
    <w:rPr>
      <w:i/>
      <w:iCs/>
    </w:rPr>
  </w:style>
  <w:style w:type="character" w:styleId="38">
    <w:name w:val="Hyperlink"/>
    <w:qFormat/>
    <w:uiPriority w:val="99"/>
    <w:rPr>
      <w:color w:val="0000FF"/>
      <w:u w:val="single"/>
    </w:rPr>
  </w:style>
  <w:style w:type="character" w:styleId="39">
    <w:name w:val="HTML Code"/>
    <w:basedOn w:val="33"/>
    <w:qFormat/>
    <w:uiPriority w:val="99"/>
    <w:rPr>
      <w:rFonts w:hint="default" w:ascii="Consolas" w:hAnsi="Consolas" w:eastAsia="Consolas" w:cs="Consolas"/>
      <w:sz w:val="21"/>
      <w:szCs w:val="21"/>
    </w:rPr>
  </w:style>
  <w:style w:type="character" w:styleId="40">
    <w:name w:val="annotation reference"/>
    <w:qFormat/>
    <w:uiPriority w:val="0"/>
    <w:rPr>
      <w:sz w:val="21"/>
      <w:szCs w:val="21"/>
    </w:rPr>
  </w:style>
  <w:style w:type="character" w:styleId="41">
    <w:name w:val="HTML Keyboard"/>
    <w:basedOn w:val="33"/>
    <w:qFormat/>
    <w:uiPriority w:val="99"/>
    <w:rPr>
      <w:rFonts w:ascii="Consolas" w:hAnsi="Consolas" w:eastAsia="Consolas" w:cs="Consolas"/>
      <w:sz w:val="21"/>
      <w:szCs w:val="21"/>
    </w:rPr>
  </w:style>
  <w:style w:type="character" w:styleId="42">
    <w:name w:val="HTML Sample"/>
    <w:basedOn w:val="33"/>
    <w:qFormat/>
    <w:uiPriority w:val="99"/>
    <w:rPr>
      <w:rFonts w:hint="default" w:ascii="Consolas" w:hAnsi="Consolas" w:eastAsia="Consolas" w:cs="Consolas"/>
      <w:sz w:val="21"/>
      <w:szCs w:val="21"/>
    </w:rPr>
  </w:style>
  <w:style w:type="character" w:customStyle="1" w:styleId="43">
    <w:name w:val="页眉 字符"/>
    <w:basedOn w:val="33"/>
    <w:link w:val="22"/>
    <w:qFormat/>
    <w:uiPriority w:val="99"/>
    <w:rPr>
      <w:sz w:val="18"/>
      <w:szCs w:val="18"/>
    </w:rPr>
  </w:style>
  <w:style w:type="character" w:customStyle="1" w:styleId="44">
    <w:name w:val="页脚 字符"/>
    <w:basedOn w:val="33"/>
    <w:link w:val="21"/>
    <w:qFormat/>
    <w:uiPriority w:val="99"/>
    <w:rPr>
      <w:sz w:val="18"/>
      <w:szCs w:val="18"/>
    </w:rPr>
  </w:style>
  <w:style w:type="character" w:customStyle="1" w:styleId="45">
    <w:name w:val="标题 1 字符"/>
    <w:basedOn w:val="33"/>
    <w:link w:val="3"/>
    <w:qFormat/>
    <w:uiPriority w:val="9"/>
    <w:rPr>
      <w:rFonts w:ascii="Times New Roman" w:hAnsi="Times New Roman" w:eastAsia="宋体" w:cs="Times New Roman"/>
      <w:b/>
      <w:bCs/>
      <w:kern w:val="44"/>
      <w:sz w:val="44"/>
      <w:szCs w:val="44"/>
    </w:rPr>
  </w:style>
  <w:style w:type="character" w:customStyle="1" w:styleId="46">
    <w:name w:val="标题 2 字符"/>
    <w:basedOn w:val="33"/>
    <w:link w:val="4"/>
    <w:qFormat/>
    <w:uiPriority w:val="0"/>
    <w:rPr>
      <w:rFonts w:ascii="Cambria" w:hAnsi="Cambria" w:eastAsia="宋体" w:cs="Times New Roman"/>
      <w:b/>
      <w:bCs/>
      <w:sz w:val="32"/>
      <w:szCs w:val="32"/>
    </w:rPr>
  </w:style>
  <w:style w:type="character" w:customStyle="1" w:styleId="47">
    <w:name w:val="标题 4 字符"/>
    <w:basedOn w:val="33"/>
    <w:link w:val="5"/>
    <w:qFormat/>
    <w:uiPriority w:val="0"/>
    <w:rPr>
      <w:rFonts w:ascii="Arial" w:hAnsi="Times New Roman" w:eastAsia="黑体" w:cs="Times New Roman"/>
      <w:kern w:val="0"/>
      <w:sz w:val="28"/>
      <w:szCs w:val="20"/>
    </w:rPr>
  </w:style>
  <w:style w:type="character" w:customStyle="1" w:styleId="48">
    <w:name w:val="标题 5 字符"/>
    <w:basedOn w:val="33"/>
    <w:link w:val="6"/>
    <w:qFormat/>
    <w:uiPriority w:val="9"/>
    <w:rPr>
      <w:rFonts w:ascii="Times New Roman" w:hAnsi="Times New Roman" w:eastAsia="宋体" w:cs="Times New Roman"/>
      <w:b/>
      <w:bCs/>
      <w:sz w:val="28"/>
      <w:szCs w:val="28"/>
    </w:rPr>
  </w:style>
  <w:style w:type="character" w:customStyle="1" w:styleId="49">
    <w:name w:val="标题 7 字符"/>
    <w:basedOn w:val="33"/>
    <w:link w:val="8"/>
    <w:qFormat/>
    <w:uiPriority w:val="0"/>
    <w:rPr>
      <w:rFonts w:ascii="Times New Roman" w:hAnsi="Times New Roman" w:eastAsia="宋体" w:cs="Times New Roman"/>
      <w:b/>
      <w:bCs/>
      <w:sz w:val="24"/>
      <w:szCs w:val="24"/>
    </w:rPr>
  </w:style>
  <w:style w:type="character" w:customStyle="1" w:styleId="50">
    <w:name w:val="标题 8 字符"/>
    <w:basedOn w:val="33"/>
    <w:link w:val="9"/>
    <w:qFormat/>
    <w:uiPriority w:val="9"/>
    <w:rPr>
      <w:rFonts w:ascii="等线 Light" w:hAnsi="等线 Light" w:eastAsia="等线 Light" w:cs="Times New Roman"/>
      <w:sz w:val="24"/>
      <w:szCs w:val="24"/>
    </w:rPr>
  </w:style>
  <w:style w:type="character" w:customStyle="1" w:styleId="51">
    <w:name w:val="正文文本 字符"/>
    <w:basedOn w:val="33"/>
    <w:qFormat/>
    <w:uiPriority w:val="0"/>
    <w:rPr>
      <w:rFonts w:ascii="Times New Roman" w:hAnsi="Times New Roman" w:eastAsia="宋体" w:cs="Times New Roman"/>
      <w:szCs w:val="24"/>
    </w:rPr>
  </w:style>
  <w:style w:type="character" w:customStyle="1" w:styleId="52">
    <w:name w:val="正文文本 字符1"/>
    <w:link w:val="2"/>
    <w:qFormat/>
    <w:uiPriority w:val="0"/>
    <w:rPr>
      <w:rFonts w:ascii="Times New Roman" w:hAnsi="Times New Roman" w:eastAsia="宋体" w:cs="Times New Roman"/>
      <w:szCs w:val="24"/>
    </w:rPr>
  </w:style>
  <w:style w:type="character" w:customStyle="1" w:styleId="53">
    <w:name w:val="标题 字符"/>
    <w:basedOn w:val="33"/>
    <w:link w:val="27"/>
    <w:qFormat/>
    <w:uiPriority w:val="0"/>
    <w:rPr>
      <w:rFonts w:ascii="Arial" w:hAnsi="Arial" w:eastAsia="宋体" w:cs="Arial"/>
      <w:b/>
      <w:bCs/>
      <w:sz w:val="32"/>
      <w:szCs w:val="32"/>
    </w:rPr>
  </w:style>
  <w:style w:type="character" w:customStyle="1" w:styleId="54">
    <w:name w:val="批注文字 字符"/>
    <w:basedOn w:val="33"/>
    <w:qFormat/>
    <w:uiPriority w:val="0"/>
    <w:rPr>
      <w:rFonts w:ascii="Times New Roman" w:hAnsi="Times New Roman" w:eastAsia="宋体" w:cs="Times New Roman"/>
      <w:szCs w:val="24"/>
    </w:rPr>
  </w:style>
  <w:style w:type="character" w:customStyle="1" w:styleId="55">
    <w:name w:val="批注文字 字符2"/>
    <w:link w:val="12"/>
    <w:qFormat/>
    <w:uiPriority w:val="0"/>
    <w:rPr>
      <w:rFonts w:ascii="Times New Roman" w:hAnsi="Times New Roman" w:eastAsia="宋体" w:cs="Times New Roman"/>
      <w:szCs w:val="24"/>
    </w:rPr>
  </w:style>
  <w:style w:type="character" w:customStyle="1" w:styleId="56">
    <w:name w:val="正文文本 3 字符"/>
    <w:basedOn w:val="33"/>
    <w:link w:val="13"/>
    <w:qFormat/>
    <w:uiPriority w:val="99"/>
    <w:rPr>
      <w:rFonts w:ascii="Times New Roman" w:hAnsi="Times New Roman" w:eastAsia="宋体" w:cs="Times New Roman"/>
      <w:sz w:val="16"/>
      <w:szCs w:val="16"/>
    </w:rPr>
  </w:style>
  <w:style w:type="character" w:customStyle="1" w:styleId="57">
    <w:name w:val="正文文本缩进 字符"/>
    <w:basedOn w:val="33"/>
    <w:link w:val="14"/>
    <w:qFormat/>
    <w:uiPriority w:val="0"/>
    <w:rPr>
      <w:rFonts w:ascii="仿宋_GB2312" w:hAnsi="Times New Roman" w:eastAsia="仿宋_GB2312" w:cs="Times New Roman"/>
      <w:kern w:val="0"/>
      <w:sz w:val="32"/>
      <w:szCs w:val="20"/>
    </w:rPr>
  </w:style>
  <w:style w:type="character" w:customStyle="1" w:styleId="58">
    <w:name w:val="纯文本 字符"/>
    <w:basedOn w:val="33"/>
    <w:qFormat/>
    <w:uiPriority w:val="0"/>
    <w:rPr>
      <w:rFonts w:ascii="宋体" w:hAnsi="Courier New" w:cs="Courier New"/>
      <w:szCs w:val="24"/>
    </w:rPr>
  </w:style>
  <w:style w:type="character" w:customStyle="1" w:styleId="59">
    <w:name w:val="纯文本 字符3"/>
    <w:link w:val="17"/>
    <w:qFormat/>
    <w:uiPriority w:val="0"/>
    <w:rPr>
      <w:rFonts w:ascii="宋体" w:hAnsi="Courier New" w:eastAsia="宋体" w:cs="Times New Roman"/>
      <w:kern w:val="0"/>
      <w:sz w:val="20"/>
      <w:szCs w:val="21"/>
    </w:rPr>
  </w:style>
  <w:style w:type="character" w:customStyle="1" w:styleId="60">
    <w:name w:val="日期 字符"/>
    <w:basedOn w:val="33"/>
    <w:link w:val="18"/>
    <w:qFormat/>
    <w:uiPriority w:val="99"/>
    <w:rPr>
      <w:rFonts w:ascii="Times New Roman" w:hAnsi="Times New Roman" w:eastAsia="宋体" w:cs="Times New Roman"/>
      <w:szCs w:val="24"/>
    </w:rPr>
  </w:style>
  <w:style w:type="character" w:customStyle="1" w:styleId="61">
    <w:name w:val="批注框文本 字符"/>
    <w:basedOn w:val="33"/>
    <w:link w:val="20"/>
    <w:qFormat/>
    <w:uiPriority w:val="0"/>
    <w:rPr>
      <w:rFonts w:ascii="Times New Roman" w:hAnsi="Times New Roman" w:eastAsia="宋体" w:cs="Times New Roman"/>
      <w:sz w:val="18"/>
      <w:szCs w:val="18"/>
    </w:rPr>
  </w:style>
  <w:style w:type="character" w:customStyle="1" w:styleId="62">
    <w:name w:val="批注主题 字符"/>
    <w:basedOn w:val="54"/>
    <w:link w:val="28"/>
    <w:qFormat/>
    <w:uiPriority w:val="99"/>
    <w:rPr>
      <w:rFonts w:ascii="Times New Roman" w:hAnsi="Times New Roman" w:eastAsia="宋体" w:cs="Times New Roman"/>
      <w:b/>
      <w:bCs/>
      <w:szCs w:val="24"/>
    </w:rPr>
  </w:style>
  <w:style w:type="character" w:customStyle="1" w:styleId="63">
    <w:name w:val="正文文本首行缩进 2 字符"/>
    <w:basedOn w:val="57"/>
    <w:link w:val="30"/>
    <w:qFormat/>
    <w:uiPriority w:val="99"/>
    <w:rPr>
      <w:rFonts w:ascii="宋体" w:hAnsi="Courier New" w:eastAsia="仿宋_GB2312" w:cs="Times New Roman"/>
      <w:spacing w:val="-4"/>
      <w:kern w:val="0"/>
      <w:sz w:val="18"/>
      <w:szCs w:val="20"/>
    </w:rPr>
  </w:style>
  <w:style w:type="character" w:customStyle="1" w:styleId="64">
    <w:name w:val="纯文本 字符1"/>
    <w:qFormat/>
    <w:uiPriority w:val="0"/>
    <w:rPr>
      <w:rFonts w:ascii="宋体" w:hAnsi="Courier New"/>
    </w:rPr>
  </w:style>
  <w:style w:type="character" w:customStyle="1" w:styleId="65">
    <w:name w:val="正文文本 Char"/>
    <w:qFormat/>
    <w:uiPriority w:val="0"/>
    <w:rPr>
      <w:rFonts w:ascii="Times New Roman" w:hAnsi="Times New Roman"/>
      <w:kern w:val="2"/>
      <w:sz w:val="21"/>
      <w:szCs w:val="24"/>
    </w:rPr>
  </w:style>
  <w:style w:type="character" w:customStyle="1" w:styleId="66">
    <w:name w:val="纯文本 字符2"/>
    <w:qFormat/>
    <w:uiPriority w:val="0"/>
    <w:rPr>
      <w:rFonts w:ascii="宋体" w:hAnsi="Courier New" w:eastAsia="宋体" w:cs="Courier New"/>
      <w:szCs w:val="21"/>
    </w:rPr>
  </w:style>
  <w:style w:type="character" w:customStyle="1" w:styleId="67">
    <w:name w:val="apple-style-span"/>
    <w:qFormat/>
    <w:uiPriority w:val="0"/>
  </w:style>
  <w:style w:type="character" w:customStyle="1" w:styleId="68">
    <w:name w:val="批注文字 Char"/>
    <w:qFormat/>
    <w:uiPriority w:val="0"/>
    <w:rPr>
      <w:rFonts w:ascii="Times New Roman" w:hAnsi="Times New Roman"/>
      <w:kern w:val="2"/>
      <w:sz w:val="21"/>
      <w:szCs w:val="24"/>
    </w:rPr>
  </w:style>
  <w:style w:type="character" w:customStyle="1" w:styleId="6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0">
    <w:name w:val="textcontents"/>
    <w:qFormat/>
    <w:uiPriority w:val="0"/>
  </w:style>
  <w:style w:type="character" w:customStyle="1" w:styleId="71">
    <w:name w:val="标题 1 字符1"/>
    <w:qFormat/>
    <w:uiPriority w:val="0"/>
    <w:rPr>
      <w:b/>
      <w:bCs/>
      <w:kern w:val="44"/>
      <w:sz w:val="44"/>
      <w:szCs w:val="44"/>
    </w:rPr>
  </w:style>
  <w:style w:type="character" w:customStyle="1" w:styleId="72">
    <w:name w:val="批注文字 Char2"/>
    <w:qFormat/>
    <w:uiPriority w:val="0"/>
    <w:rPr>
      <w:rFonts w:ascii="Times New Roman" w:hAnsi="Times New Roman"/>
      <w:kern w:val="2"/>
      <w:sz w:val="21"/>
      <w:szCs w:val="24"/>
    </w:rPr>
  </w:style>
  <w:style w:type="character" w:customStyle="1" w:styleId="73">
    <w:name w:val="标题 2 Char"/>
    <w:qFormat/>
    <w:uiPriority w:val="0"/>
    <w:rPr>
      <w:rFonts w:ascii="Cambria" w:hAnsi="Cambria" w:eastAsia="宋体" w:cs="Times New Roman"/>
      <w:b/>
      <w:bCs/>
      <w:kern w:val="2"/>
      <w:sz w:val="32"/>
      <w:szCs w:val="32"/>
    </w:rPr>
  </w:style>
  <w:style w:type="character" w:customStyle="1" w:styleId="74">
    <w:name w:val="纯文本 Char"/>
    <w:qFormat/>
    <w:uiPriority w:val="0"/>
    <w:rPr>
      <w:rFonts w:ascii="宋体" w:hAnsi="Courier New" w:eastAsia="宋体" w:cs="Courier New"/>
      <w:szCs w:val="21"/>
    </w:rPr>
  </w:style>
  <w:style w:type="character" w:customStyle="1" w:styleId="75">
    <w:name w:val="标题 8 Char"/>
    <w:qFormat/>
    <w:uiPriority w:val="0"/>
    <w:rPr>
      <w:rFonts w:ascii="Arial" w:hAnsi="Arial" w:eastAsia="黑体"/>
      <w:kern w:val="2"/>
      <w:sz w:val="24"/>
      <w:szCs w:val="24"/>
    </w:rPr>
  </w:style>
  <w:style w:type="character" w:customStyle="1" w:styleId="76">
    <w:name w:val="font51"/>
    <w:qFormat/>
    <w:uiPriority w:val="0"/>
    <w:rPr>
      <w:rFonts w:hint="default" w:ascii="Times New Roman" w:hAnsi="Times New Roman" w:cs="Times New Roman"/>
      <w:b/>
      <w:color w:val="000000"/>
      <w:sz w:val="18"/>
      <w:szCs w:val="18"/>
      <w:u w:val="none"/>
    </w:rPr>
  </w:style>
  <w:style w:type="character" w:customStyle="1" w:styleId="77">
    <w:name w:val="批注文字 字符1"/>
    <w:qFormat/>
    <w:uiPriority w:val="0"/>
    <w:rPr>
      <w:rFonts w:ascii="Times New Roman" w:hAnsi="Times New Roman"/>
      <w:kern w:val="2"/>
      <w:sz w:val="21"/>
      <w:szCs w:val="24"/>
    </w:rPr>
  </w:style>
  <w:style w:type="paragraph" w:customStyle="1" w:styleId="7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79">
    <w:name w:val="List Paragraph"/>
    <w:basedOn w:val="1"/>
    <w:qFormat/>
    <w:uiPriority w:val="34"/>
    <w:pPr>
      <w:ind w:firstLine="420" w:firstLineChars="200"/>
    </w:pPr>
  </w:style>
  <w:style w:type="paragraph" w:customStyle="1" w:styleId="8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81">
    <w:name w:val="Title1"/>
    <w:basedOn w:val="1"/>
    <w:next w:val="1"/>
    <w:qFormat/>
    <w:uiPriority w:val="0"/>
    <w:pPr>
      <w:jc w:val="center"/>
      <w:outlineLvl w:val="0"/>
    </w:pPr>
    <w:rPr>
      <w:rFonts w:ascii="Calibri Light" w:hAnsi="Calibri Light" w:eastAsia="Arial Unicode MS"/>
      <w:b/>
    </w:rPr>
  </w:style>
  <w:style w:type="paragraph" w:customStyle="1" w:styleId="82">
    <w:name w:val="默认段落字体 Para Char Char Char Char Char Char Char Char Char1 Char Char Char Char"/>
    <w:basedOn w:val="1"/>
    <w:qFormat/>
    <w:uiPriority w:val="0"/>
    <w:rPr>
      <w:rFonts w:ascii="Tahoma" w:hAnsi="Tahoma"/>
      <w:sz w:val="24"/>
      <w:szCs w:val="20"/>
    </w:rPr>
  </w:style>
  <w:style w:type="paragraph" w:customStyle="1" w:styleId="83">
    <w:name w:val="样式 0正文 + 首行缩进:  2 字符1"/>
    <w:basedOn w:val="1"/>
    <w:qFormat/>
    <w:uiPriority w:val="99"/>
    <w:pPr>
      <w:spacing w:line="360" w:lineRule="auto"/>
      <w:ind w:firstLine="200" w:firstLineChars="200"/>
    </w:pPr>
    <w:rPr>
      <w:szCs w:val="20"/>
    </w:rPr>
  </w:style>
  <w:style w:type="paragraph" w:customStyle="1" w:styleId="84">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Table Paragraph"/>
    <w:basedOn w:val="1"/>
    <w:qFormat/>
    <w:uiPriority w:val="1"/>
    <w:pPr>
      <w:jc w:val="left"/>
    </w:pPr>
    <w:rPr>
      <w:rFonts w:ascii="Calibri" w:hAnsi="Calibri"/>
      <w:kern w:val="0"/>
      <w:sz w:val="22"/>
      <w:szCs w:val="22"/>
      <w:lang w:eastAsia="en-US"/>
    </w:rPr>
  </w:style>
  <w:style w:type="paragraph" w:customStyle="1" w:styleId="86">
    <w:name w:val="正文-公11"/>
    <w:basedOn w:val="1"/>
    <w:qFormat/>
    <w:uiPriority w:val="0"/>
    <w:pPr>
      <w:ind w:firstLine="200" w:firstLineChars="200"/>
      <w:jc w:val="left"/>
    </w:pPr>
    <w:rPr>
      <w:rFonts w:eastAsia="仿宋_GB2312"/>
    </w:rPr>
  </w:style>
  <w:style w:type="paragraph" w:customStyle="1" w:styleId="87">
    <w:name w:val="my正文"/>
    <w:basedOn w:val="1"/>
    <w:link w:val="88"/>
    <w:qFormat/>
    <w:uiPriority w:val="0"/>
    <w:pPr>
      <w:spacing w:line="360" w:lineRule="auto"/>
      <w:ind w:firstLine="480" w:firstLineChars="200"/>
    </w:pPr>
    <w:rPr>
      <w:sz w:val="24"/>
      <w:lang w:val="zh-CN"/>
    </w:rPr>
  </w:style>
  <w:style w:type="character" w:customStyle="1" w:styleId="88">
    <w:name w:val="my正文 Char"/>
    <w:link w:val="87"/>
    <w:qFormat/>
    <w:uiPriority w:val="0"/>
    <w:rPr>
      <w:rFonts w:ascii="Times New Roman" w:hAnsi="Times New Roman" w:eastAsia="宋体" w:cs="Times New Roman"/>
      <w:sz w:val="24"/>
      <w:szCs w:val="24"/>
      <w:lang w:val="zh-CN"/>
    </w:rPr>
  </w:style>
  <w:style w:type="character" w:customStyle="1" w:styleId="89">
    <w:name w:val="纯文本 Char2"/>
    <w:qFormat/>
    <w:uiPriority w:val="0"/>
    <w:rPr>
      <w:rFonts w:ascii="宋体" w:hAnsi="Courier New" w:eastAsia="宋体" w:cs="Courier New"/>
      <w:szCs w:val="21"/>
    </w:rPr>
  </w:style>
  <w:style w:type="character" w:customStyle="1" w:styleId="90">
    <w:name w:val="脚注文本 字符"/>
    <w:basedOn w:val="33"/>
    <w:link w:val="24"/>
    <w:qFormat/>
    <w:uiPriority w:val="99"/>
    <w:rPr>
      <w:rFonts w:ascii="Times New Roman" w:hAnsi="Times New Roman" w:eastAsia="宋体" w:cs="Times New Roman"/>
      <w:sz w:val="18"/>
      <w:szCs w:val="18"/>
    </w:rPr>
  </w:style>
  <w:style w:type="character" w:customStyle="1" w:styleId="91">
    <w:name w:val="正文文本缩进 2 字符"/>
    <w:basedOn w:val="33"/>
    <w:link w:val="19"/>
    <w:qFormat/>
    <w:uiPriority w:val="99"/>
    <w:rPr>
      <w:rFonts w:ascii="Times New Roman" w:hAnsi="Times New Roman" w:eastAsia="宋体" w:cs="Times New Roman"/>
      <w:szCs w:val="24"/>
    </w:rPr>
  </w:style>
  <w:style w:type="character" w:customStyle="1" w:styleId="92">
    <w:name w:val="NormalCharacter"/>
    <w:qFormat/>
    <w:uiPriority w:val="0"/>
  </w:style>
  <w:style w:type="character" w:customStyle="1" w:styleId="93">
    <w:name w:val="not-pass-node"/>
    <w:basedOn w:val="33"/>
    <w:qFormat/>
    <w:uiPriority w:val="0"/>
    <w:rPr>
      <w:bdr w:val="single" w:color="5ABD6B" w:sz="6" w:space="0"/>
      <w:shd w:val="clear" w:color="auto" w:fill="BFF3C3"/>
    </w:rPr>
  </w:style>
  <w:style w:type="character" w:customStyle="1" w:styleId="94">
    <w:name w:val="ant-select-tree-checkbox"/>
    <w:basedOn w:val="33"/>
    <w:qFormat/>
    <w:uiPriority w:val="0"/>
  </w:style>
  <w:style w:type="character" w:customStyle="1" w:styleId="95">
    <w:name w:val="hover40"/>
    <w:basedOn w:val="33"/>
    <w:qFormat/>
    <w:uiPriority w:val="0"/>
    <w:rPr>
      <w:color w:val="009DFF"/>
    </w:rPr>
  </w:style>
  <w:style w:type="character" w:customStyle="1" w:styleId="96">
    <w:name w:val="hover41"/>
    <w:basedOn w:val="33"/>
    <w:qFormat/>
    <w:uiPriority w:val="0"/>
    <w:rPr>
      <w:color w:val="009DFF"/>
    </w:rPr>
  </w:style>
  <w:style w:type="character" w:customStyle="1" w:styleId="97">
    <w:name w:val="ant-tree-switcher"/>
    <w:basedOn w:val="33"/>
    <w:qFormat/>
    <w:uiPriority w:val="0"/>
  </w:style>
  <w:style w:type="character" w:customStyle="1" w:styleId="98">
    <w:name w:val="label16"/>
    <w:basedOn w:val="33"/>
    <w:qFormat/>
    <w:uiPriority w:val="0"/>
  </w:style>
  <w:style w:type="character" w:customStyle="1" w:styleId="99">
    <w:name w:val="label17"/>
    <w:basedOn w:val="33"/>
    <w:qFormat/>
    <w:uiPriority w:val="0"/>
  </w:style>
  <w:style w:type="character" w:customStyle="1" w:styleId="100">
    <w:name w:val="first-child"/>
    <w:basedOn w:val="33"/>
    <w:qFormat/>
    <w:uiPriority w:val="0"/>
  </w:style>
  <w:style w:type="character" w:customStyle="1" w:styleId="101">
    <w:name w:val="first-child1"/>
    <w:basedOn w:val="33"/>
    <w:qFormat/>
    <w:uiPriority w:val="0"/>
    <w:rPr>
      <w:color w:val="999999"/>
      <w:sz w:val="33"/>
      <w:szCs w:val="33"/>
    </w:rPr>
  </w:style>
  <w:style w:type="character" w:customStyle="1" w:styleId="102">
    <w:name w:val="first-child2"/>
    <w:basedOn w:val="33"/>
    <w:qFormat/>
    <w:uiPriority w:val="0"/>
  </w:style>
  <w:style w:type="character" w:customStyle="1" w:styleId="103">
    <w:name w:val="wea-thumbnails-doc-content-subtitle"/>
    <w:basedOn w:val="33"/>
    <w:qFormat/>
    <w:uiPriority w:val="0"/>
    <w:rPr>
      <w:color w:val="9A9A9A"/>
    </w:rPr>
  </w:style>
  <w:style w:type="character" w:customStyle="1" w:styleId="104">
    <w:name w:val="ant-radio+*"/>
    <w:basedOn w:val="33"/>
    <w:qFormat/>
    <w:uiPriority w:val="0"/>
  </w:style>
  <w:style w:type="character" w:customStyle="1" w:styleId="105">
    <w:name w:val="nth-child(2)"/>
    <w:basedOn w:val="33"/>
    <w:qFormat/>
    <w:uiPriority w:val="0"/>
  </w:style>
  <w:style w:type="character" w:customStyle="1" w:styleId="106">
    <w:name w:val="ant-select-tree-iconele"/>
    <w:basedOn w:val="33"/>
    <w:qFormat/>
    <w:uiPriority w:val="0"/>
  </w:style>
  <w:style w:type="character" w:customStyle="1" w:styleId="107">
    <w:name w:val="top-label"/>
    <w:basedOn w:val="33"/>
    <w:qFormat/>
    <w:uiPriority w:val="0"/>
  </w:style>
  <w:style w:type="character" w:customStyle="1" w:styleId="108">
    <w:name w:val="ant-table-row-expand-icon4"/>
    <w:basedOn w:val="33"/>
    <w:qFormat/>
    <w:uiPriority w:val="0"/>
    <w:rPr>
      <w:vanish/>
    </w:rPr>
  </w:style>
  <w:style w:type="character" w:customStyle="1" w:styleId="109">
    <w:name w:val="disabled4"/>
    <w:basedOn w:val="33"/>
    <w:qFormat/>
    <w:uiPriority w:val="0"/>
    <w:rPr>
      <w:color w:val="AAAAAA"/>
      <w:shd w:val="clear" w:color="auto" w:fill="F7F7F7"/>
    </w:rPr>
  </w:style>
  <w:style w:type="character" w:customStyle="1" w:styleId="110">
    <w:name w:val="tmpztreemove_arrow"/>
    <w:basedOn w:val="33"/>
    <w:qFormat/>
    <w:uiPriority w:val="0"/>
  </w:style>
  <w:style w:type="character" w:customStyle="1" w:styleId="111">
    <w:name w:val="ant-tree-checkbox7"/>
    <w:basedOn w:val="33"/>
    <w:qFormat/>
    <w:uiPriority w:val="0"/>
  </w:style>
  <w:style w:type="character" w:customStyle="1" w:styleId="112">
    <w:name w:val="ant-tree-iconele"/>
    <w:basedOn w:val="33"/>
    <w:qFormat/>
    <w:uiPriority w:val="0"/>
  </w:style>
  <w:style w:type="character" w:customStyle="1" w:styleId="113">
    <w:name w:val="ant-select-tree-switcher"/>
    <w:basedOn w:val="33"/>
    <w:qFormat/>
    <w:uiPriority w:val="0"/>
  </w:style>
  <w:style w:type="character" w:customStyle="1" w:styleId="114">
    <w:name w:val="button"/>
    <w:basedOn w:val="33"/>
    <w:qFormat/>
    <w:uiPriority w:val="0"/>
  </w:style>
  <w:style w:type="character" w:customStyle="1" w:styleId="115">
    <w:name w:val="button1"/>
    <w:basedOn w:val="33"/>
    <w:qFormat/>
    <w:uiPriority w:val="0"/>
  </w:style>
  <w:style w:type="character" w:customStyle="1" w:styleId="116">
    <w:name w:val="first-of-type"/>
    <w:basedOn w:val="33"/>
    <w:qFormat/>
    <w:uiPriority w:val="0"/>
    <w:rPr>
      <w:color w:val="FF0000"/>
    </w:rPr>
  </w:style>
  <w:style w:type="character" w:customStyle="1" w:styleId="117">
    <w:name w:val="first-of-type1"/>
    <w:basedOn w:val="33"/>
    <w:qFormat/>
    <w:uiPriority w:val="0"/>
    <w:rPr>
      <w:color w:val="FF0000"/>
    </w:rPr>
  </w:style>
  <w:style w:type="character" w:customStyle="1" w:styleId="118">
    <w:name w:val="first-of-type2"/>
    <w:basedOn w:val="33"/>
    <w:qFormat/>
    <w:uiPriority w:val="0"/>
    <w:rPr>
      <w:color w:val="FF0000"/>
    </w:rPr>
  </w:style>
  <w:style w:type="character" w:customStyle="1" w:styleId="119">
    <w:name w:val="current-node"/>
    <w:basedOn w:val="33"/>
    <w:qFormat/>
    <w:uiPriority w:val="0"/>
    <w:rPr>
      <w:bdr w:val="single" w:color="F5B87B" w:sz="6" w:space="0"/>
      <w:shd w:val="clear" w:color="auto" w:fill="FFE8CC"/>
    </w:rPr>
  </w:style>
  <w:style w:type="character" w:customStyle="1" w:styleId="120">
    <w:name w:val="auto-pass-node"/>
    <w:basedOn w:val="33"/>
    <w:qFormat/>
    <w:uiPriority w:val="0"/>
    <w:rPr>
      <w:bdr w:val="single" w:color="DC4446" w:sz="6" w:space="0"/>
      <w:shd w:val="clear" w:color="auto" w:fill="A9E2FF"/>
    </w:rPr>
  </w:style>
  <w:style w:type="character" w:customStyle="1" w:styleId="121">
    <w:name w:val="passed-node"/>
    <w:basedOn w:val="33"/>
    <w:qFormat/>
    <w:uiPriority w:val="0"/>
    <w:rPr>
      <w:bdr w:val="single" w:color="49A8D4" w:sz="6" w:space="0"/>
      <w:shd w:val="clear" w:color="auto" w:fill="A9E3FF"/>
    </w:rPr>
  </w:style>
  <w:style w:type="character" w:customStyle="1" w:styleId="122">
    <w:name w:val="last-child1"/>
    <w:basedOn w:val="33"/>
    <w:qFormat/>
    <w:uiPriority w:val="0"/>
  </w:style>
  <w:style w:type="character" w:customStyle="1" w:styleId="123">
    <w:name w:val="wea-dropdown-triangle2"/>
    <w:basedOn w:val="33"/>
    <w:qFormat/>
    <w:uiPriority w:val="0"/>
  </w:style>
  <w:style w:type="character" w:customStyle="1" w:styleId="124">
    <w:name w:val="isrevision"/>
    <w:basedOn w:val="33"/>
    <w:qFormat/>
    <w:uiPriority w:val="0"/>
    <w:rPr>
      <w:color w:val="000000"/>
      <w:sz w:val="18"/>
      <w:szCs w:val="18"/>
      <w:bdr w:val="single" w:color="E9E9E9" w:sz="6" w:space="0"/>
      <w:shd w:val="clear" w:color="auto" w:fill="FFFFFF"/>
    </w:rPr>
  </w:style>
  <w:style w:type="character" w:customStyle="1" w:styleId="125">
    <w:name w:val="font11"/>
    <w:basedOn w:val="3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49"/>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1026"/>
    <customShpInfo spid="_x0000_s2126"/>
    <customShpInfo spid="_x0000_s2125"/>
    <customShpInfo spid="_x0000_s2124"/>
    <customShpInfo spid="_x0000_s2123"/>
    <customShpInfo spid="_x0000_s2122"/>
    <customShpInfo spid="_x0000_s2121"/>
    <customShpInfo spid="_x0000_s2120"/>
    <customShpInfo spid="_x0000_s2119"/>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09"/>
    <customShpInfo spid="_x0000_s2108"/>
    <customShpInfo spid="_x0000_s2107"/>
    <customShpInfo spid="_x0000_s2106"/>
    <customShpInfo spid="_x0000_s2105"/>
    <customShpInfo spid="_x0000_s2104"/>
    <customShpInfo spid="_x0000_s2103"/>
    <customShpInfo spid="_x0000_s2102"/>
    <customShpInfo spid="_x0000_s2101"/>
    <customShpInfo spid="_x0000_s2152"/>
    <customShpInfo spid="_x0000_s2151"/>
    <customShpInfo spid="_x0000_s2150"/>
    <customShpInfo spid="_x0000_s2149"/>
    <customShpInfo spid="_x0000_s2148"/>
    <customShpInfo spid="_x0000_s2147"/>
    <customShpInfo spid="_x0000_s2146"/>
    <customShpInfo spid="_x0000_s2145"/>
    <customShpInfo spid="_x0000_s2144"/>
    <customShpInfo spid="_x0000_s2143"/>
    <customShpInfo spid="_x0000_s2142"/>
    <customShpInfo spid="_x0000_s2141"/>
    <customShpInfo spid="_x0000_s2140"/>
    <customShpInfo spid="_x0000_s2139"/>
    <customShpInfo spid="_x0000_s2138"/>
    <customShpInfo spid="_x0000_s2137"/>
    <customShpInfo spid="_x0000_s2136"/>
    <customShpInfo spid="_x0000_s2135"/>
    <customShpInfo spid="_x0000_s2134"/>
    <customShpInfo spid="_x0000_s2133"/>
    <customShpInfo spid="_x0000_s2132"/>
    <customShpInfo spid="_x0000_s2131"/>
    <customShpInfo spid="_x0000_s2130"/>
    <customShpInfo spid="_x0000_s2129"/>
    <customShpInfo spid="_x0000_s2128"/>
    <customShpInfo spid="_x0000_s2127"/>
  </customShpExts>
</s:customData>
</file>

<file path=customXml/item2.xml><?xml version="1.0" encoding="utf-8"?>
<mcd:customData xmlns:mcd="http://www.wps.cn/android/officeDocument/2013/mofficeCustomData" xmlns="http://www.wps.cn/android/officeDocument/2013/mofficeCustomData" version="2">
  <mcd:comments xmlns:mcd="http://www.wps.cn/android/officeDocument/2013/mofficeCustomData"/>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6DA47C-F6AC-4A00-BC2E-65259E7C5611}">
  <ds:schemaRefs/>
</ds:datastoreItem>
</file>

<file path=docProps/app.xml><?xml version="1.0" encoding="utf-8"?>
<Properties xmlns="http://schemas.openxmlformats.org/officeDocument/2006/extended-properties" xmlns:vt="http://schemas.openxmlformats.org/officeDocument/2006/docPropsVTypes">
  <Company>dell</Company>
  <Pages>71</Pages>
  <Words>100</Words>
  <Characters>125</Characters>
  <Lines>394</Lines>
  <Paragraphs>111</Paragraphs>
  <TotalTime>31</TotalTime>
  <ScaleCrop>false</ScaleCrop>
  <LinksUpToDate>false</LinksUpToDate>
  <CharactersWithSpaces>131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2023-04-14T17:42:00Z</dcterms:created>
  <dc:creator>TSE James</dc:creator>
  <cp:lastModifiedBy>admin</cp:lastModifiedBy>
  <dcterms:modified xsi:type="dcterms:W3CDTF">2026-07-17T02:51:10Z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9EF7C91F074145AE8FBA58EB8680BB82_13</vt:lpwstr>
  </property>
  <property fmtid="{D5CDD505-2E9C-101B-9397-08002B2CF9AE}" pid="4" name="KSOTemplateDocerSaveRecord">
    <vt:lpwstr>eyJoZGlkIjoiMjczZDhjOWEyNjU2ZjgxYWNiZjBlYTc2NGMzZWFmZWEiLCJ1c2VySWQiOiI3MDU4MzI3MjMifQ==</vt:lpwstr>
  </property>
</Properties>
</file>