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80A76">
      <w:pPr>
        <w:spacing w:before="165" w:beforeLines="50"/>
        <w:jc w:val="center"/>
        <w:rPr>
          <w:rFonts w:hint="eastAsia" w:ascii="宋体" w:hAnsi="宋体" w:eastAsia="宋体" w:cs="宋体"/>
          <w:b/>
          <w:bCs/>
          <w:color w:val="auto"/>
          <w:sz w:val="52"/>
        </w:rPr>
      </w:pPr>
      <w:bookmarkStart w:id="101" w:name="_GoBack"/>
      <w:bookmarkEnd w:id="101"/>
    </w:p>
    <w:p w14:paraId="5FD5D625">
      <w:pPr>
        <w:spacing w:before="165" w:beforeLines="50"/>
        <w:jc w:val="center"/>
        <w:rPr>
          <w:rFonts w:hint="eastAsia" w:ascii="宋体" w:hAnsi="宋体" w:eastAsia="宋体" w:cs="宋体"/>
          <w:b/>
          <w:bCs/>
          <w:color w:val="auto"/>
          <w:sz w:val="70"/>
          <w:szCs w:val="48"/>
        </w:rPr>
      </w:pPr>
      <w:r>
        <w:rPr>
          <w:rFonts w:hint="eastAsia" w:ascii="宋体" w:hAnsi="宋体" w:eastAsia="宋体" w:cs="宋体"/>
          <w:b/>
          <w:bCs/>
          <w:color w:val="auto"/>
          <w:sz w:val="52"/>
        </w:rPr>
        <w:t>广西同泽工程项目管理股份有限公司</w:t>
      </w:r>
    </w:p>
    <w:p w14:paraId="58C62626">
      <w:pPr>
        <w:spacing w:before="165" w:beforeLines="50"/>
        <w:jc w:val="center"/>
        <w:rPr>
          <w:rFonts w:hint="eastAsia" w:ascii="宋体" w:hAnsi="宋体" w:eastAsia="宋体" w:cs="宋体"/>
          <w:b/>
          <w:bCs/>
          <w:color w:val="auto"/>
          <w:sz w:val="70"/>
          <w:szCs w:val="48"/>
        </w:rPr>
      </w:pPr>
      <w:r>
        <w:rPr>
          <w:rFonts w:hint="eastAsia" w:ascii="宋体" w:hAnsi="宋体" w:eastAsia="宋体" w:cs="宋体"/>
          <w:b/>
          <w:bCs/>
          <w:color w:val="auto"/>
          <w:sz w:val="70"/>
          <w:szCs w:val="48"/>
        </w:rPr>
        <w:t>竞争性磋商文件</w:t>
      </w:r>
    </w:p>
    <w:p w14:paraId="764C9212">
      <w:pPr>
        <w:spacing w:before="331" w:beforeLines="100" w:after="165" w:afterLines="50" w:line="360" w:lineRule="auto"/>
        <w:jc w:val="center"/>
        <w:rPr>
          <w:rFonts w:hint="eastAsia" w:ascii="宋体" w:hAnsi="宋体" w:eastAsia="宋体" w:cs="宋体"/>
          <w:color w:val="auto"/>
          <w:sz w:val="24"/>
        </w:rPr>
      </w:pPr>
      <w:r>
        <w:rPr>
          <w:rFonts w:hint="eastAsia" w:ascii="宋体" w:hAnsi="宋体" w:eastAsia="宋体" w:cs="宋体"/>
          <w:b/>
          <w:bCs/>
          <w:color w:val="auto"/>
          <w:sz w:val="48"/>
          <w:szCs w:val="48"/>
        </w:rPr>
        <w:drawing>
          <wp:anchor distT="0" distB="0" distL="114300" distR="114300" simplePos="0" relativeHeight="251659264" behindDoc="1" locked="0" layoutInCell="1" allowOverlap="1">
            <wp:simplePos x="0" y="0"/>
            <wp:positionH relativeFrom="column">
              <wp:posOffset>791210</wp:posOffset>
            </wp:positionH>
            <wp:positionV relativeFrom="paragraph">
              <wp:posOffset>528320</wp:posOffset>
            </wp:positionV>
            <wp:extent cx="4057650" cy="2971800"/>
            <wp:effectExtent l="0" t="0" r="0" b="0"/>
            <wp:wrapNone/>
            <wp:docPr id="8" name="图片 1" descr="（首选）同泽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首选）同泽logo -"/>
                    <pic:cNvPicPr>
                      <a:picLocks noChangeAspect="1"/>
                    </pic:cNvPicPr>
                  </pic:nvPicPr>
                  <pic:blipFill>
                    <a:blip r:embed="rId20"/>
                    <a:stretch>
                      <a:fillRect/>
                    </a:stretch>
                  </pic:blipFill>
                  <pic:spPr>
                    <a:xfrm>
                      <a:off x="0" y="0"/>
                      <a:ext cx="4057650" cy="2971800"/>
                    </a:xfrm>
                    <a:prstGeom prst="rect">
                      <a:avLst/>
                    </a:prstGeom>
                    <a:noFill/>
                    <a:ln>
                      <a:noFill/>
                    </a:ln>
                  </pic:spPr>
                </pic:pic>
              </a:graphicData>
            </a:graphic>
          </wp:anchor>
        </w:drawing>
      </w:r>
      <w:r>
        <w:rPr>
          <w:rFonts w:hint="eastAsia" w:ascii="宋体" w:hAnsi="宋体" w:eastAsia="宋体" w:cs="宋体"/>
          <w:color w:val="auto"/>
          <w:sz w:val="24"/>
        </w:rPr>
        <w:t>（全流程电子化评标）</w:t>
      </w:r>
    </w:p>
    <w:p w14:paraId="3444EC99">
      <w:pPr>
        <w:spacing w:line="360" w:lineRule="auto"/>
        <w:jc w:val="center"/>
        <w:rPr>
          <w:rFonts w:hint="eastAsia" w:ascii="宋体" w:hAnsi="宋体" w:eastAsia="宋体" w:cs="宋体"/>
          <w:b/>
          <w:color w:val="auto"/>
          <w:sz w:val="32"/>
          <w:szCs w:val="32"/>
        </w:rPr>
      </w:pPr>
    </w:p>
    <w:p w14:paraId="116581BA">
      <w:pPr>
        <w:pStyle w:val="12"/>
        <w:snapToGrid w:val="0"/>
        <w:spacing w:before="50" w:after="120" w:line="360" w:lineRule="auto"/>
        <w:rPr>
          <w:rFonts w:hint="eastAsia" w:ascii="宋体" w:hAnsi="宋体" w:eastAsia="宋体" w:cs="宋体"/>
          <w:b/>
          <w:bCs/>
          <w:color w:val="auto"/>
          <w:sz w:val="30"/>
          <w:szCs w:val="30"/>
        </w:rPr>
      </w:pPr>
    </w:p>
    <w:p w14:paraId="7D48FE2C">
      <w:pPr>
        <w:pStyle w:val="12"/>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418806BF">
      <w:pPr>
        <w:pStyle w:val="12"/>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39661072">
      <w:pPr>
        <w:pStyle w:val="12"/>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2716643D">
      <w:pPr>
        <w:pStyle w:val="12"/>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1C9633D5">
      <w:pPr>
        <w:pStyle w:val="12"/>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308B7D5E">
      <w:pPr>
        <w:pStyle w:val="12"/>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49CF7255">
      <w:pPr>
        <w:pStyle w:val="12"/>
        <w:snapToGrid w:val="0"/>
        <w:spacing w:before="50" w:after="120" w:line="360" w:lineRule="auto"/>
        <w:ind w:firstLine="572" w:firstLineChars="200"/>
        <w:rPr>
          <w:rFonts w:hint="eastAsia" w:ascii="宋体" w:hAnsi="宋体" w:eastAsia="宋体" w:cs="宋体"/>
          <w:b/>
          <w:bCs/>
          <w:color w:val="auto"/>
          <w:w w:val="95"/>
          <w:kern w:val="2"/>
          <w:sz w:val="30"/>
          <w:szCs w:val="30"/>
          <w:lang w:eastAsia="zh-CN"/>
        </w:rPr>
      </w:pPr>
      <w:r>
        <w:rPr>
          <w:rFonts w:hint="eastAsia" w:ascii="宋体" w:hAnsi="宋体" w:eastAsia="宋体" w:cs="宋体"/>
          <w:b/>
          <w:bCs/>
          <w:color w:val="auto"/>
          <w:w w:val="95"/>
          <w:kern w:val="2"/>
          <w:sz w:val="30"/>
          <w:szCs w:val="30"/>
        </w:rPr>
        <w:t>项目名称：</w:t>
      </w:r>
      <w:r>
        <w:rPr>
          <w:rFonts w:hint="eastAsia" w:ascii="宋体" w:hAnsi="宋体" w:eastAsia="宋体" w:cs="宋体"/>
          <w:b/>
          <w:bCs/>
          <w:color w:val="auto"/>
          <w:w w:val="95"/>
          <w:kern w:val="2"/>
          <w:sz w:val="30"/>
          <w:szCs w:val="30"/>
          <w:lang w:eastAsia="zh-CN"/>
        </w:rPr>
        <w:t>城中区2026年除“四害”消杀服务</w:t>
      </w:r>
    </w:p>
    <w:p w14:paraId="49D334E1">
      <w:pPr>
        <w:snapToGrid w:val="0"/>
        <w:spacing w:before="165" w:beforeLines="50" w:line="360" w:lineRule="auto"/>
        <w:ind w:firstLine="572" w:firstLineChars="200"/>
        <w:rPr>
          <w:rFonts w:hint="eastAsia" w:ascii="宋体" w:hAnsi="宋体" w:eastAsia="宋体" w:cs="宋体"/>
          <w:b/>
          <w:color w:val="auto"/>
          <w:sz w:val="30"/>
          <w:szCs w:val="48"/>
        </w:rPr>
      </w:pPr>
      <w:r>
        <w:rPr>
          <w:rFonts w:hint="eastAsia" w:ascii="宋体" w:hAnsi="宋体" w:eastAsia="宋体" w:cs="宋体"/>
          <w:b/>
          <w:bCs/>
          <w:color w:val="auto"/>
          <w:w w:val="95"/>
          <w:sz w:val="30"/>
          <w:szCs w:val="30"/>
        </w:rPr>
        <w:t>项目</w:t>
      </w:r>
      <w:r>
        <w:rPr>
          <w:rFonts w:hint="eastAsia" w:ascii="宋体" w:hAnsi="宋体" w:eastAsia="宋体" w:cs="宋体"/>
          <w:b/>
          <w:bCs/>
          <w:color w:val="auto"/>
          <w:sz w:val="30"/>
          <w:szCs w:val="30"/>
        </w:rPr>
        <w:t>编号</w:t>
      </w:r>
      <w:r>
        <w:rPr>
          <w:rFonts w:hint="eastAsia" w:ascii="宋体" w:hAnsi="宋体" w:eastAsia="宋体" w:cs="宋体"/>
          <w:b/>
          <w:bCs/>
          <w:color w:val="auto"/>
          <w:w w:val="95"/>
          <w:sz w:val="30"/>
          <w:szCs w:val="30"/>
        </w:rPr>
        <w:t>：</w:t>
      </w:r>
      <w:r>
        <w:rPr>
          <w:rFonts w:hint="eastAsia" w:ascii="宋体" w:hAnsi="宋体" w:cs="宋体"/>
          <w:b/>
          <w:bCs/>
          <w:color w:val="auto"/>
          <w:w w:val="95"/>
          <w:sz w:val="30"/>
          <w:szCs w:val="30"/>
          <w:lang w:eastAsia="zh-CN"/>
        </w:rPr>
        <w:t>LZZC2026-C3-020011-GXTZ</w:t>
      </w:r>
      <w:r>
        <w:rPr>
          <w:rFonts w:hint="eastAsia" w:ascii="宋体" w:hAnsi="宋体" w:eastAsia="宋体" w:cs="宋体"/>
          <w:b/>
          <w:bCs/>
          <w:color w:val="auto"/>
          <w:w w:val="95"/>
          <w:sz w:val="30"/>
          <w:szCs w:val="30"/>
        </w:rPr>
        <w:t xml:space="preserve"> </w:t>
      </w:r>
      <w:r>
        <w:rPr>
          <w:rFonts w:hint="eastAsia" w:ascii="宋体" w:hAnsi="宋体" w:eastAsia="宋体" w:cs="宋体"/>
          <w:b/>
          <w:color w:val="auto"/>
          <w:sz w:val="30"/>
          <w:szCs w:val="48"/>
        </w:rPr>
        <w:t xml:space="preserve"> </w:t>
      </w:r>
    </w:p>
    <w:p w14:paraId="7EBA3684">
      <w:pPr>
        <w:snapToGrid w:val="0"/>
        <w:spacing w:before="165" w:beforeLines="50" w:line="360" w:lineRule="auto"/>
        <w:ind w:firstLine="572" w:firstLineChars="200"/>
        <w:rPr>
          <w:rFonts w:hint="eastAsia" w:ascii="宋体" w:hAnsi="宋体" w:eastAsia="宋体" w:cs="宋体"/>
          <w:b/>
          <w:bCs/>
          <w:color w:val="auto"/>
          <w:w w:val="95"/>
          <w:sz w:val="30"/>
          <w:szCs w:val="30"/>
          <w:lang w:eastAsia="zh-CN"/>
        </w:rPr>
      </w:pPr>
      <w:r>
        <w:rPr>
          <w:rFonts w:hint="eastAsia" w:ascii="宋体" w:hAnsi="宋体" w:eastAsia="宋体" w:cs="宋体"/>
          <w:b/>
          <w:bCs/>
          <w:color w:val="auto"/>
          <w:w w:val="95"/>
          <w:sz w:val="30"/>
          <w:szCs w:val="30"/>
        </w:rPr>
        <w:t>采 购 人：</w:t>
      </w:r>
      <w:r>
        <w:rPr>
          <w:rFonts w:hint="eastAsia" w:ascii="宋体" w:hAnsi="宋体" w:eastAsia="宋体" w:cs="宋体"/>
          <w:b/>
          <w:bCs/>
          <w:color w:val="auto"/>
          <w:w w:val="95"/>
          <w:sz w:val="30"/>
          <w:szCs w:val="30"/>
          <w:lang w:eastAsia="zh-CN"/>
        </w:rPr>
        <w:t>柳州市城中区卫生健康局</w:t>
      </w:r>
    </w:p>
    <w:p w14:paraId="15140193">
      <w:pPr>
        <w:snapToGrid w:val="0"/>
        <w:spacing w:before="165" w:beforeLines="50" w:line="360" w:lineRule="auto"/>
        <w:ind w:firstLine="572" w:firstLineChars="200"/>
        <w:rPr>
          <w:rFonts w:hint="eastAsia" w:ascii="宋体" w:hAnsi="宋体" w:eastAsia="宋体" w:cs="宋体"/>
          <w:b/>
          <w:bCs/>
          <w:color w:val="auto"/>
          <w:w w:val="95"/>
          <w:sz w:val="30"/>
          <w:szCs w:val="30"/>
        </w:rPr>
      </w:pPr>
      <w:r>
        <w:rPr>
          <w:rFonts w:hint="eastAsia" w:ascii="宋体" w:hAnsi="宋体" w:eastAsia="宋体" w:cs="宋体"/>
          <w:b/>
          <w:bCs/>
          <w:color w:val="auto"/>
          <w:w w:val="95"/>
          <w:sz w:val="30"/>
          <w:szCs w:val="30"/>
        </w:rPr>
        <w:t>采购代理机构：广西同泽工程项目管理股份有限公司</w:t>
      </w:r>
    </w:p>
    <w:p w14:paraId="268EF8F4">
      <w:pPr>
        <w:pStyle w:val="12"/>
        <w:snapToGrid w:val="0"/>
        <w:spacing w:before="50" w:after="120" w:line="360" w:lineRule="auto"/>
        <w:ind w:firstLine="841" w:firstLineChars="294"/>
        <w:rPr>
          <w:rFonts w:hint="eastAsia" w:ascii="宋体" w:hAnsi="宋体" w:eastAsia="宋体" w:cs="宋体"/>
          <w:b/>
          <w:bCs/>
          <w:color w:val="auto"/>
          <w:w w:val="95"/>
          <w:sz w:val="30"/>
          <w:szCs w:val="30"/>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rPr>
        <w:t xml:space="preserve">                   2026年</w:t>
      </w:r>
      <w:r>
        <w:rPr>
          <w:rFonts w:hint="eastAsia" w:ascii="宋体" w:hAnsi="宋体" w:eastAsia="宋体" w:cs="宋体"/>
          <w:b/>
          <w:bCs/>
          <w:color w:val="auto"/>
          <w:w w:val="95"/>
          <w:sz w:val="30"/>
          <w:szCs w:val="30"/>
          <w:lang w:val="en-US" w:eastAsia="zh-CN"/>
        </w:rPr>
        <w:t>6</w:t>
      </w:r>
      <w:r>
        <w:rPr>
          <w:rFonts w:hint="eastAsia" w:ascii="宋体" w:hAnsi="宋体" w:eastAsia="宋体" w:cs="宋体"/>
          <w:b/>
          <w:bCs/>
          <w:color w:val="auto"/>
          <w:w w:val="95"/>
          <w:sz w:val="30"/>
          <w:szCs w:val="30"/>
        </w:rPr>
        <w:t>月</w:t>
      </w:r>
    </w:p>
    <w:p w14:paraId="6B015D1F">
      <w:pPr>
        <w:spacing w:line="360" w:lineRule="auto"/>
        <w:ind w:firstLine="3534" w:firstLineChars="800"/>
        <w:rPr>
          <w:rFonts w:hint="eastAsia" w:ascii="宋体" w:hAnsi="宋体" w:eastAsia="宋体" w:cs="宋体"/>
          <w:b/>
          <w:color w:val="auto"/>
          <w:sz w:val="44"/>
          <w:szCs w:val="44"/>
        </w:rPr>
      </w:pPr>
      <w:r>
        <w:rPr>
          <w:rFonts w:hint="eastAsia" w:ascii="宋体" w:hAnsi="宋体" w:eastAsia="宋体" w:cs="宋体"/>
          <w:b/>
          <w:color w:val="auto"/>
          <w:sz w:val="44"/>
          <w:szCs w:val="44"/>
        </w:rPr>
        <w:t>目   录</w:t>
      </w:r>
    </w:p>
    <w:p w14:paraId="2C257759">
      <w:pPr>
        <w:spacing w:line="400" w:lineRule="exact"/>
        <w:jc w:val="center"/>
        <w:rPr>
          <w:rFonts w:hint="eastAsia" w:ascii="宋体" w:hAnsi="宋体" w:eastAsia="宋体" w:cs="宋体"/>
          <w:b/>
          <w:color w:val="auto"/>
          <w:sz w:val="44"/>
          <w:szCs w:val="44"/>
        </w:rPr>
      </w:pPr>
    </w:p>
    <w:p w14:paraId="0F55EB6B">
      <w:pPr>
        <w:pStyle w:val="15"/>
        <w:tabs>
          <w:tab w:val="right" w:leader="dot" w:pos="8879"/>
        </w:tabs>
        <w:rPr>
          <w:rFonts w:hint="eastAsia" w:ascii="宋体" w:hAnsi="宋体" w:eastAsia="宋体" w:cs="宋体"/>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TOC \o "1-2" \h \u </w:instrText>
      </w:r>
      <w:r>
        <w:rPr>
          <w:rFonts w:hint="eastAsia" w:ascii="宋体" w:hAnsi="宋体" w:eastAsia="宋体" w:cs="宋体"/>
          <w:b/>
          <w:color w:val="auto"/>
          <w:sz w:val="28"/>
          <w:szCs w:val="28"/>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"_Toc26590"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第一章  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_Toc26590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E9B6C8C">
      <w:pPr>
        <w:pStyle w:val="15"/>
        <w:tabs>
          <w:tab w:val="right" w:leader="dot" w:pos="8879"/>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"_Toc29104"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第二章 采购需求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_Toc29104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2C9A02C">
      <w:pPr>
        <w:pStyle w:val="15"/>
        <w:tabs>
          <w:tab w:val="right" w:leader="dot" w:pos="8879"/>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"_Toc3033"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第三章  供应商须知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_Toc3033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BCF44C2">
      <w:pPr>
        <w:pStyle w:val="17"/>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"_Toc1187"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第一节 供应商须知前附表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_Toc1187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E2FF5B2">
      <w:pPr>
        <w:pStyle w:val="17"/>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"_Toc17203"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第二节 供应商须知正文</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_Toc17203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EEE4444">
      <w:pPr>
        <w:pStyle w:val="15"/>
        <w:tabs>
          <w:tab w:val="right" w:leader="dot" w:pos="8879"/>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"_Toc19564"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第四章  评审程序、评审方法和评审标准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_Toc19564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4F0D6AB">
      <w:pPr>
        <w:pStyle w:val="17"/>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"_Toc25328"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第一节 评审程序和评审方法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_Toc25328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CA9D81F">
      <w:pPr>
        <w:pStyle w:val="17"/>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"_Toc17933"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第二节 评标报告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_Toc17933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839CD5E">
      <w:pPr>
        <w:pStyle w:val="17"/>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"_Toc12591"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第三节 评审过程的保密与录像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_Toc12591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E72B5D4">
      <w:pPr>
        <w:pStyle w:val="15"/>
        <w:tabs>
          <w:tab w:val="right" w:leader="dot" w:pos="8879"/>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"_Toc22794"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第五章  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_Toc22794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AAC14D6">
      <w:pPr>
        <w:pStyle w:val="17"/>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"_Toc21386" </w:instrText>
      </w:r>
      <w:r>
        <w:rPr>
          <w:rFonts w:hint="eastAsia" w:ascii="宋体" w:hAnsi="宋体" w:eastAsia="宋体" w:cs="宋体"/>
          <w:color w:val="auto"/>
        </w:rPr>
        <w:fldChar w:fldCharType="separate"/>
      </w:r>
      <w:r>
        <w:rPr>
          <w:rFonts w:hint="eastAsia" w:ascii="宋体" w:hAnsi="宋体" w:eastAsia="宋体" w:cs="宋体"/>
          <w:bCs/>
          <w:color w:val="auto"/>
          <w:sz w:val="28"/>
          <w:szCs w:val="28"/>
        </w:rPr>
        <w:t>第一节 资格证明文件格式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_Toc21386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28A4089">
      <w:pPr>
        <w:pStyle w:val="17"/>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"_Toc22058" </w:instrText>
      </w:r>
      <w:r>
        <w:rPr>
          <w:rFonts w:hint="eastAsia" w:ascii="宋体" w:hAnsi="宋体" w:eastAsia="宋体" w:cs="宋体"/>
          <w:color w:val="auto"/>
        </w:rPr>
        <w:fldChar w:fldCharType="separate"/>
      </w:r>
      <w:r>
        <w:rPr>
          <w:rFonts w:hint="eastAsia" w:ascii="宋体" w:hAnsi="宋体" w:eastAsia="宋体" w:cs="宋体"/>
          <w:bCs/>
          <w:color w:val="auto"/>
          <w:sz w:val="28"/>
          <w:szCs w:val="28"/>
        </w:rPr>
        <w:t>第二节 商务技术文件格式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_Toc22058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06829D9">
      <w:pPr>
        <w:pStyle w:val="17"/>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"_Toc4865" </w:instrText>
      </w:r>
      <w:r>
        <w:rPr>
          <w:rFonts w:hint="eastAsia" w:ascii="宋体" w:hAnsi="宋体" w:eastAsia="宋体" w:cs="宋体"/>
          <w:color w:val="auto"/>
        </w:rPr>
        <w:fldChar w:fldCharType="separate"/>
      </w:r>
      <w:r>
        <w:rPr>
          <w:rFonts w:hint="eastAsia" w:ascii="宋体" w:hAnsi="宋体" w:eastAsia="宋体" w:cs="宋体"/>
          <w:bCs/>
          <w:color w:val="auto"/>
          <w:sz w:val="28"/>
          <w:szCs w:val="28"/>
        </w:rPr>
        <w:t>第三节 报价文件格式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_Toc4865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FA0EDC2">
      <w:pPr>
        <w:pStyle w:val="15"/>
        <w:tabs>
          <w:tab w:val="right" w:leader="dot" w:pos="8879"/>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"_Toc24020"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第六章  合同文本</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_Toc24020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DA27EA9">
      <w:pPr>
        <w:pStyle w:val="17"/>
        <w:rPr>
          <w:rFonts w:hint="eastAsia" w:ascii="宋体" w:hAnsi="宋体" w:eastAsia="宋体" w:cs="宋体"/>
          <w:b/>
          <w:color w:val="auto"/>
          <w:sz w:val="28"/>
          <w:szCs w:val="28"/>
        </w:rPr>
      </w:pPr>
      <w:r>
        <w:rPr>
          <w:rFonts w:hint="eastAsia" w:ascii="宋体" w:hAnsi="宋体" w:eastAsia="宋体" w:cs="宋体"/>
          <w:color w:val="auto"/>
          <w:sz w:val="28"/>
          <w:szCs w:val="28"/>
        </w:rPr>
        <w:fldChar w:fldCharType="end"/>
      </w:r>
    </w:p>
    <w:p w14:paraId="74699F47">
      <w:pPr>
        <w:spacing w:line="400" w:lineRule="exact"/>
        <w:jc w:val="center"/>
        <w:rPr>
          <w:rFonts w:hint="eastAsia" w:ascii="宋体" w:hAnsi="宋体" w:eastAsia="宋体" w:cs="宋体"/>
          <w:b/>
          <w:color w:val="auto"/>
          <w:sz w:val="32"/>
          <w:szCs w:val="32"/>
        </w:rPr>
      </w:pPr>
    </w:p>
    <w:p w14:paraId="1DF817CE">
      <w:pPr>
        <w:spacing w:line="400" w:lineRule="exact"/>
        <w:rPr>
          <w:rFonts w:hint="eastAsia" w:ascii="宋体" w:hAnsi="宋体" w:eastAsia="宋体" w:cs="宋体"/>
          <w:b/>
          <w:color w:val="auto"/>
          <w:sz w:val="32"/>
          <w:szCs w:val="32"/>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2F01DC4B">
      <w:pPr>
        <w:pStyle w:val="2"/>
        <w:spacing w:line="400" w:lineRule="exact"/>
        <w:jc w:val="center"/>
        <w:rPr>
          <w:rFonts w:hint="eastAsia" w:ascii="宋体" w:hAnsi="宋体" w:eastAsia="宋体" w:cs="宋体"/>
          <w:color w:val="auto"/>
        </w:rPr>
      </w:pPr>
      <w:bookmarkStart w:id="0" w:name="_Toc26590"/>
      <w:bookmarkStart w:id="1" w:name="_Toc80886925"/>
      <w:bookmarkStart w:id="2" w:name="_Toc10528"/>
      <w:r>
        <w:rPr>
          <w:rFonts w:hint="eastAsia" w:ascii="宋体" w:hAnsi="宋体" w:eastAsia="宋体" w:cs="宋体"/>
          <w:color w:val="auto"/>
        </w:rPr>
        <w:t>第一章 竞争性磋商公告</w:t>
      </w:r>
      <w:bookmarkEnd w:id="0"/>
      <w:bookmarkEnd w:id="1"/>
      <w:bookmarkEnd w:id="2"/>
      <w:bookmarkStart w:id="3" w:name="_Toc28359012"/>
      <w:bookmarkStart w:id="4" w:name="_Toc35393798"/>
      <w:bookmarkStart w:id="5" w:name="_Toc35393629"/>
      <w:bookmarkStart w:id="6" w:name="_Toc44229878"/>
      <w:bookmarkStart w:id="7" w:name="_Toc28359089"/>
      <w:bookmarkStart w:id="8" w:name="_Toc35393792"/>
      <w:bookmarkStart w:id="9" w:name="_Toc35393623"/>
      <w:bookmarkStart w:id="10" w:name="_Toc28359004"/>
      <w:bookmarkStart w:id="11" w:name="_Toc28359081"/>
    </w:p>
    <w:p w14:paraId="23E5D236">
      <w:pPr>
        <w:spacing w:line="400" w:lineRule="exact"/>
        <w:rPr>
          <w:rFonts w:hint="eastAsia" w:ascii="宋体" w:hAnsi="宋体" w:eastAsia="宋体" w:cs="宋体"/>
          <w:bCs/>
          <w:color w:val="auto"/>
          <w:sz w:val="24"/>
        </w:rPr>
      </w:pPr>
    </w:p>
    <w:p w14:paraId="0FAFAA71">
      <w:pPr>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广西同泽工程项目管理股份有限公司关于</w:t>
      </w:r>
      <w:r>
        <w:rPr>
          <w:rFonts w:hint="eastAsia" w:ascii="宋体" w:hAnsi="宋体" w:eastAsia="宋体" w:cs="宋体"/>
          <w:b/>
          <w:color w:val="auto"/>
          <w:sz w:val="28"/>
          <w:szCs w:val="28"/>
          <w:lang w:eastAsia="zh-CN"/>
        </w:rPr>
        <w:t>城中区2026年除“四害”消杀服务</w:t>
      </w:r>
      <w:r>
        <w:rPr>
          <w:rFonts w:hint="eastAsia" w:ascii="宋体" w:hAnsi="宋体" w:eastAsia="宋体" w:cs="宋体"/>
          <w:b/>
          <w:color w:val="auto"/>
          <w:sz w:val="28"/>
          <w:szCs w:val="28"/>
        </w:rPr>
        <w:t>竞争性磋商公告</w:t>
      </w:r>
    </w:p>
    <w:p w14:paraId="205D0AA0">
      <w:pPr>
        <w:spacing w:line="400" w:lineRule="exact"/>
        <w:rPr>
          <w:rFonts w:hint="eastAsia" w:ascii="宋体" w:hAnsi="宋体" w:eastAsia="宋体" w:cs="宋体"/>
          <w:bCs/>
          <w:color w:val="auto"/>
          <w:sz w:val="24"/>
        </w:rPr>
      </w:pPr>
    </w:p>
    <w:p w14:paraId="661A2EE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项目概况</w:t>
      </w:r>
    </w:p>
    <w:p w14:paraId="39FE632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城中区2026年除“四害</w:t>
      </w:r>
      <w:r>
        <w:rPr>
          <w:rFonts w:hint="eastAsia" w:ascii="宋体" w:hAnsi="宋体" w:eastAsia="宋体" w:cs="宋体"/>
          <w:bCs/>
          <w:color w:val="auto"/>
          <w:szCs w:val="21"/>
          <w:lang w:eastAsia="zh-CN"/>
        </w:rPr>
        <w:t>”消杀服务</w:t>
      </w:r>
      <w:r>
        <w:rPr>
          <w:rFonts w:hint="eastAsia" w:ascii="宋体" w:hAnsi="宋体" w:eastAsia="宋体" w:cs="宋体"/>
          <w:bCs/>
          <w:color w:val="auto"/>
          <w:szCs w:val="21"/>
        </w:rPr>
        <w:t>的潜在供应商应在广西政府采购云平台获取采购文件，并于2026年</w:t>
      </w:r>
      <w:r>
        <w:rPr>
          <w:rFonts w:hint="eastAsia" w:ascii="宋体" w:hAnsi="宋体" w:cs="宋体"/>
          <w:bCs/>
          <w:color w:val="auto"/>
          <w:szCs w:val="21"/>
          <w:lang w:val="en-US" w:eastAsia="zh-CN"/>
        </w:rPr>
        <w:t>06</w:t>
      </w:r>
      <w:r>
        <w:rPr>
          <w:rFonts w:hint="eastAsia" w:ascii="宋体" w:hAnsi="宋体" w:eastAsia="宋体" w:cs="宋体"/>
          <w:bCs/>
          <w:color w:val="auto"/>
          <w:szCs w:val="21"/>
        </w:rPr>
        <w:t>月</w:t>
      </w:r>
      <w:r>
        <w:rPr>
          <w:rFonts w:hint="eastAsia" w:ascii="宋体" w:hAnsi="宋体" w:cs="宋体"/>
          <w:bCs/>
          <w:color w:val="auto"/>
          <w:szCs w:val="21"/>
          <w:lang w:val="en-US" w:eastAsia="zh-CN"/>
        </w:rPr>
        <w:t>29</w:t>
      </w:r>
      <w:r>
        <w:rPr>
          <w:rFonts w:hint="eastAsia" w:ascii="宋体" w:hAnsi="宋体" w:eastAsia="宋体" w:cs="宋体"/>
          <w:bCs/>
          <w:color w:val="auto"/>
          <w:szCs w:val="21"/>
        </w:rPr>
        <w:t>日09：</w:t>
      </w:r>
      <w:r>
        <w:rPr>
          <w:rFonts w:hint="eastAsia" w:ascii="宋体" w:hAnsi="宋体" w:eastAsia="宋体" w:cs="宋体"/>
          <w:color w:val="auto"/>
          <w:szCs w:val="21"/>
        </w:rPr>
        <w:t>20</w:t>
      </w:r>
      <w:r>
        <w:rPr>
          <w:rFonts w:hint="eastAsia" w:ascii="宋体" w:hAnsi="宋体" w:eastAsia="宋体" w:cs="宋体"/>
          <w:bCs/>
          <w:color w:val="auto"/>
          <w:szCs w:val="21"/>
        </w:rPr>
        <w:t>（北京时间）前提交响应文件</w:t>
      </w:r>
      <w:r>
        <w:rPr>
          <w:rFonts w:hint="eastAsia" w:ascii="宋体" w:hAnsi="宋体" w:eastAsia="宋体" w:cs="宋体"/>
          <w:color w:val="auto"/>
          <w:szCs w:val="21"/>
        </w:rPr>
        <w:t>。</w:t>
      </w:r>
    </w:p>
    <w:p w14:paraId="73310526">
      <w:pPr>
        <w:spacing w:line="400" w:lineRule="exact"/>
        <w:rPr>
          <w:rFonts w:hint="eastAsia" w:ascii="宋体" w:hAnsi="宋体" w:eastAsia="宋体" w:cs="宋体"/>
          <w:bCs/>
          <w:color w:val="auto"/>
          <w:sz w:val="24"/>
        </w:rPr>
      </w:pPr>
    </w:p>
    <w:p w14:paraId="1A0452A5">
      <w:pPr>
        <w:spacing w:line="400" w:lineRule="exact"/>
        <w:rPr>
          <w:rFonts w:hint="eastAsia" w:ascii="宋体" w:hAnsi="宋体" w:eastAsia="宋体" w:cs="宋体"/>
          <w:color w:val="auto"/>
        </w:rPr>
      </w:pPr>
      <w:r>
        <w:rPr>
          <w:rFonts w:hint="eastAsia" w:ascii="宋体" w:hAnsi="宋体" w:eastAsia="宋体" w:cs="宋体"/>
          <w:bCs/>
          <w:color w:val="auto"/>
          <w:sz w:val="24"/>
        </w:rPr>
        <w:t>一、项目基本情况</w:t>
      </w:r>
      <w:bookmarkEnd w:id="3"/>
      <w:bookmarkEnd w:id="4"/>
      <w:bookmarkEnd w:id="5"/>
      <w:bookmarkEnd w:id="6"/>
      <w:bookmarkEnd w:id="7"/>
    </w:p>
    <w:p w14:paraId="2150559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项目编号：</w:t>
      </w:r>
      <w:r>
        <w:rPr>
          <w:rFonts w:hint="eastAsia" w:ascii="宋体" w:hAnsi="宋体" w:cs="宋体"/>
          <w:color w:val="auto"/>
          <w:szCs w:val="21"/>
          <w:lang w:eastAsia="zh-CN"/>
        </w:rPr>
        <w:t>LZZC2026-C3-020011-GXTZ</w:t>
      </w:r>
      <w:r>
        <w:rPr>
          <w:rFonts w:hint="eastAsia" w:ascii="宋体" w:hAnsi="宋体" w:eastAsia="宋体" w:cs="宋体"/>
          <w:color w:val="auto"/>
          <w:szCs w:val="21"/>
        </w:rPr>
        <w:t xml:space="preserve"> </w:t>
      </w:r>
    </w:p>
    <w:p w14:paraId="504E81D6">
      <w:pPr>
        <w:spacing w:line="400" w:lineRule="exact"/>
        <w:ind w:firstLine="420" w:firstLineChars="200"/>
        <w:rPr>
          <w:rFonts w:hint="eastAsia" w:ascii="宋体" w:hAnsi="宋体" w:eastAsia="宋体" w:cs="宋体"/>
          <w:color w:val="auto"/>
          <w:szCs w:val="21"/>
          <w:u w:val="single"/>
          <w:lang w:eastAsia="zh-CN"/>
        </w:rPr>
      </w:pPr>
      <w:r>
        <w:rPr>
          <w:rFonts w:hint="eastAsia" w:ascii="宋体" w:hAnsi="宋体" w:eastAsia="宋体" w:cs="宋体"/>
          <w:color w:val="auto"/>
          <w:szCs w:val="21"/>
        </w:rPr>
        <w:t>项目名称：</w:t>
      </w:r>
      <w:r>
        <w:rPr>
          <w:rFonts w:hint="eastAsia" w:ascii="宋体" w:hAnsi="宋体" w:eastAsia="宋体" w:cs="宋体"/>
          <w:color w:val="auto"/>
          <w:szCs w:val="21"/>
          <w:lang w:eastAsia="zh-CN"/>
        </w:rPr>
        <w:t>城中区2026年除“四害”消杀服务</w:t>
      </w:r>
    </w:p>
    <w:p w14:paraId="3ADD6E3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采购方式：竞争性磋商</w:t>
      </w:r>
    </w:p>
    <w:p w14:paraId="13795E6C">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预算金额（元）：</w:t>
      </w:r>
      <w:r>
        <w:rPr>
          <w:rFonts w:hint="eastAsia" w:ascii="宋体" w:hAnsi="宋体" w:eastAsia="宋体" w:cs="宋体"/>
          <w:color w:val="auto"/>
          <w:szCs w:val="21"/>
          <w:lang w:eastAsia="zh-CN"/>
        </w:rPr>
        <w:t>500000</w:t>
      </w:r>
    </w:p>
    <w:p w14:paraId="570D3984">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采购需求： </w:t>
      </w:r>
    </w:p>
    <w:p w14:paraId="5FAFD2CC">
      <w:pPr>
        <w:pStyle w:val="21"/>
        <w:rPr>
          <w:rFonts w:hint="eastAsia" w:ascii="宋体" w:hAnsi="宋体" w:eastAsia="宋体" w:cs="宋体"/>
          <w:color w:val="auto"/>
        </w:rPr>
      </w:pPr>
    </w:p>
    <w:p w14:paraId="6A8C3F6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标项一 </w:t>
      </w:r>
    </w:p>
    <w:p w14:paraId="16945149">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标项名称：</w:t>
      </w:r>
      <w:r>
        <w:rPr>
          <w:rFonts w:hint="eastAsia" w:ascii="宋体" w:hAnsi="宋体" w:eastAsia="宋体" w:cs="宋体"/>
          <w:color w:val="auto"/>
          <w:szCs w:val="21"/>
          <w:lang w:eastAsia="zh-CN"/>
        </w:rPr>
        <w:t>城中区2026年除“四害”消杀服务</w:t>
      </w:r>
    </w:p>
    <w:p w14:paraId="476CC112">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数量：1</w:t>
      </w:r>
    </w:p>
    <w:p w14:paraId="7ECF118A">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预算金额（元）：</w:t>
      </w:r>
      <w:r>
        <w:rPr>
          <w:rFonts w:hint="eastAsia" w:ascii="宋体" w:hAnsi="宋体" w:eastAsia="宋体" w:cs="宋体"/>
          <w:color w:val="auto"/>
          <w:szCs w:val="21"/>
          <w:lang w:eastAsia="zh-CN"/>
        </w:rPr>
        <w:t>500000</w:t>
      </w:r>
    </w:p>
    <w:p w14:paraId="5AC83045">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简要规格描述或项目基本概况介绍、用途：</w:t>
      </w:r>
      <w:r>
        <w:rPr>
          <w:rFonts w:hint="eastAsia" w:ascii="宋体" w:hAnsi="宋体" w:eastAsia="宋体" w:cs="宋体"/>
          <w:color w:val="auto"/>
          <w:szCs w:val="21"/>
          <w:lang w:eastAsia="zh-CN"/>
        </w:rPr>
        <w:t>城中区2026年除“四害”消杀服务</w:t>
      </w:r>
      <w:r>
        <w:rPr>
          <w:rFonts w:hint="eastAsia" w:ascii="宋体" w:hAnsi="宋体" w:eastAsia="宋体" w:cs="宋体"/>
          <w:color w:val="auto"/>
          <w:szCs w:val="21"/>
        </w:rPr>
        <w:t>一项，具体内容详见磋商文件《采购需求》</w:t>
      </w:r>
      <w:r>
        <w:rPr>
          <w:rFonts w:hint="eastAsia" w:ascii="宋体" w:hAnsi="宋体" w:eastAsia="宋体" w:cs="宋体"/>
          <w:color w:val="auto"/>
          <w:szCs w:val="21"/>
          <w:lang w:eastAsia="zh-CN"/>
        </w:rPr>
        <w:t>。</w:t>
      </w:r>
    </w:p>
    <w:p w14:paraId="0DA10223">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最高限价（如有）：</w:t>
      </w:r>
      <w:r>
        <w:rPr>
          <w:rFonts w:hint="eastAsia" w:ascii="宋体" w:hAnsi="宋体" w:eastAsia="宋体" w:cs="宋体"/>
          <w:color w:val="auto"/>
          <w:szCs w:val="21"/>
          <w:lang w:eastAsia="zh-CN"/>
        </w:rPr>
        <w:t>500000</w:t>
      </w:r>
    </w:p>
    <w:p w14:paraId="5334B80B">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合同履约期限：</w:t>
      </w:r>
      <w:r>
        <w:rPr>
          <w:rFonts w:hint="eastAsia" w:ascii="宋体" w:hAnsi="宋体" w:eastAsia="宋体" w:cs="宋体"/>
          <w:color w:val="auto"/>
          <w:szCs w:val="21"/>
          <w:lang w:eastAsia="zh-CN"/>
        </w:rPr>
        <w:t>合同签订之日起至2027年7月30日。</w:t>
      </w:r>
    </w:p>
    <w:p w14:paraId="28741BF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本标项（否）接受联合体投标</w:t>
      </w:r>
    </w:p>
    <w:p w14:paraId="7FE4735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备注：本项目为线上电子招标项目，采用远程异地评标，有意向参与本项目的供应商应当做好参与全流程电子招投标交易的充分准备。</w:t>
      </w:r>
    </w:p>
    <w:p w14:paraId="498F0732">
      <w:pPr>
        <w:spacing w:line="400" w:lineRule="exact"/>
        <w:rPr>
          <w:rFonts w:hint="eastAsia" w:ascii="宋体" w:hAnsi="宋体" w:eastAsia="宋体" w:cs="宋体"/>
          <w:b/>
          <w:color w:val="auto"/>
          <w:kern w:val="44"/>
          <w:sz w:val="24"/>
        </w:rPr>
      </w:pPr>
      <w:bookmarkStart w:id="12" w:name="_Toc28359013"/>
      <w:bookmarkStart w:id="13" w:name="_Toc28359090"/>
      <w:bookmarkStart w:id="14" w:name="_Toc35393799"/>
      <w:bookmarkStart w:id="15" w:name="_Toc44229879"/>
      <w:bookmarkStart w:id="16" w:name="_Toc35393630"/>
    </w:p>
    <w:p w14:paraId="456721D1">
      <w:pPr>
        <w:spacing w:line="400" w:lineRule="exact"/>
        <w:ind w:firstLine="482" w:firstLineChars="200"/>
        <w:rPr>
          <w:rFonts w:hint="eastAsia" w:ascii="宋体" w:hAnsi="宋体" w:eastAsia="宋体" w:cs="宋体"/>
          <w:bCs/>
          <w:color w:val="auto"/>
          <w:sz w:val="24"/>
        </w:rPr>
      </w:pPr>
      <w:r>
        <w:rPr>
          <w:rFonts w:hint="eastAsia" w:ascii="宋体" w:hAnsi="宋体" w:eastAsia="宋体" w:cs="宋体"/>
          <w:b/>
          <w:color w:val="auto"/>
          <w:kern w:val="44"/>
          <w:sz w:val="24"/>
        </w:rPr>
        <w:t>二、</w:t>
      </w:r>
      <w:bookmarkEnd w:id="12"/>
      <w:bookmarkEnd w:id="13"/>
      <w:bookmarkEnd w:id="14"/>
      <w:bookmarkEnd w:id="15"/>
      <w:bookmarkEnd w:id="16"/>
      <w:r>
        <w:rPr>
          <w:rFonts w:hint="eastAsia" w:ascii="宋体" w:hAnsi="宋体" w:eastAsia="宋体" w:cs="宋体"/>
          <w:b/>
          <w:color w:val="auto"/>
          <w:kern w:val="44"/>
          <w:sz w:val="24"/>
        </w:rPr>
        <w:t>申请人的资格要求：</w:t>
      </w:r>
    </w:p>
    <w:p w14:paraId="2AF1027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0137BAB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2.落实政府采购政策需满足的资格要求：本项目专门面向小微企业采购，监狱企业或残疾人福利性单位视同为小微企业。</w:t>
      </w:r>
    </w:p>
    <w:p w14:paraId="54CC1E3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3.本项目的特定资格要求：分标1</w:t>
      </w:r>
      <w:r>
        <w:rPr>
          <w:rFonts w:hint="eastAsia" w:ascii="宋体" w:hAnsi="宋体" w:eastAsia="宋体" w:cs="宋体"/>
          <w:color w:val="auto"/>
          <w:szCs w:val="21"/>
          <w:lang w:eastAsia="zh-CN"/>
        </w:rPr>
        <w:t>：</w:t>
      </w:r>
      <w:r>
        <w:rPr>
          <w:rFonts w:hint="eastAsia" w:ascii="宋体" w:hAnsi="宋体" w:eastAsia="宋体" w:cs="宋体"/>
          <w:color w:val="auto"/>
          <w:szCs w:val="21"/>
        </w:rPr>
        <w:t>无</w:t>
      </w:r>
    </w:p>
    <w:p w14:paraId="11022219">
      <w:pPr>
        <w:spacing w:line="4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三、获取竞争性磋商文件</w:t>
      </w:r>
      <w:bookmarkEnd w:id="8"/>
      <w:bookmarkEnd w:id="9"/>
      <w:bookmarkEnd w:id="10"/>
      <w:bookmarkEnd w:id="11"/>
    </w:p>
    <w:p w14:paraId="66E0B086">
      <w:pPr>
        <w:snapToGrid w:val="0"/>
        <w:spacing w:line="400" w:lineRule="exact"/>
        <w:ind w:firstLine="420" w:firstLineChars="200"/>
        <w:rPr>
          <w:rFonts w:hint="eastAsia" w:ascii="宋体" w:hAnsi="宋体" w:eastAsia="宋体" w:cs="宋体"/>
          <w:color w:val="auto"/>
          <w:szCs w:val="21"/>
        </w:rPr>
      </w:pPr>
      <w:bookmarkStart w:id="17" w:name="_Toc35393793"/>
      <w:bookmarkStart w:id="18" w:name="_Toc28359005"/>
      <w:bookmarkStart w:id="19" w:name="_Toc28359082"/>
      <w:bookmarkStart w:id="20" w:name="_Toc35393624"/>
      <w:r>
        <w:rPr>
          <w:rFonts w:hint="eastAsia" w:ascii="宋体" w:hAnsi="宋体" w:eastAsia="宋体" w:cs="宋体"/>
          <w:color w:val="auto"/>
          <w:szCs w:val="21"/>
        </w:rPr>
        <w:t>时间：2026年</w:t>
      </w:r>
      <w:r>
        <w:rPr>
          <w:rFonts w:hint="eastAsia" w:ascii="宋体" w:hAnsi="宋体" w:cs="宋体"/>
          <w:color w:val="auto"/>
          <w:szCs w:val="21"/>
          <w:lang w:val="en-US" w:eastAsia="zh-CN"/>
        </w:rPr>
        <w:t>06</w:t>
      </w:r>
      <w:r>
        <w:rPr>
          <w:rFonts w:hint="eastAsia" w:ascii="宋体" w:hAnsi="宋体" w:eastAsia="宋体" w:cs="宋体"/>
          <w:color w:val="auto"/>
          <w:szCs w:val="21"/>
        </w:rPr>
        <w:t>月</w:t>
      </w:r>
      <w:r>
        <w:rPr>
          <w:rFonts w:hint="eastAsia" w:ascii="宋体" w:hAnsi="宋体" w:cs="宋体"/>
          <w:color w:val="auto"/>
          <w:szCs w:val="21"/>
          <w:lang w:val="en-US" w:eastAsia="zh-CN"/>
        </w:rPr>
        <w:t>15</w:t>
      </w:r>
      <w:r>
        <w:rPr>
          <w:rFonts w:hint="eastAsia" w:ascii="宋体" w:hAnsi="宋体" w:eastAsia="宋体" w:cs="宋体"/>
          <w:color w:val="auto"/>
          <w:szCs w:val="21"/>
        </w:rPr>
        <w:t>日至2026年</w:t>
      </w:r>
      <w:r>
        <w:rPr>
          <w:rFonts w:hint="eastAsia" w:ascii="宋体" w:hAnsi="宋体" w:cs="宋体"/>
          <w:color w:val="auto"/>
          <w:szCs w:val="21"/>
          <w:lang w:val="en-US" w:eastAsia="zh-CN"/>
        </w:rPr>
        <w:t>06</w:t>
      </w:r>
      <w:r>
        <w:rPr>
          <w:rFonts w:hint="eastAsia" w:ascii="宋体" w:hAnsi="宋体" w:eastAsia="宋体" w:cs="宋体"/>
          <w:color w:val="auto"/>
          <w:szCs w:val="21"/>
        </w:rPr>
        <w:t>月</w:t>
      </w:r>
      <w:r>
        <w:rPr>
          <w:rFonts w:hint="eastAsia" w:ascii="宋体" w:hAnsi="宋体" w:cs="宋体"/>
          <w:color w:val="auto"/>
          <w:szCs w:val="21"/>
          <w:lang w:val="en-US" w:eastAsia="zh-CN"/>
        </w:rPr>
        <w:t>23</w:t>
      </w:r>
      <w:r>
        <w:rPr>
          <w:rFonts w:hint="eastAsia" w:ascii="宋体" w:hAnsi="宋体" w:eastAsia="宋体" w:cs="宋体"/>
          <w:color w:val="auto"/>
          <w:szCs w:val="21"/>
        </w:rPr>
        <w:t>日，每天上午00：00至12：00，下午12：00至23：59（北京时间，法定节假日除外）</w:t>
      </w:r>
    </w:p>
    <w:p w14:paraId="40DA341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地点（网站）：广西政府采购云平台</w:t>
      </w:r>
    </w:p>
    <w:p w14:paraId="7E992931">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方式：供应商登录广西政府采购云平台https：//www.gcy.zfcg.gxzf.gov.cn/在线申请获取采购文件（进入“项目采购”应用，在获取采购文件菜单中选择项目，申请获取采购文件）</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p>
    <w:p w14:paraId="1339E568">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售价（元）：0</w:t>
      </w:r>
    </w:p>
    <w:p w14:paraId="0E3302A4">
      <w:pPr>
        <w:spacing w:line="4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四、</w:t>
      </w:r>
      <w:bookmarkEnd w:id="17"/>
      <w:bookmarkEnd w:id="18"/>
      <w:bookmarkEnd w:id="19"/>
      <w:bookmarkEnd w:id="20"/>
      <w:r>
        <w:rPr>
          <w:rFonts w:hint="eastAsia" w:ascii="宋体" w:hAnsi="宋体" w:eastAsia="宋体" w:cs="宋体"/>
          <w:b/>
          <w:bCs/>
          <w:color w:val="auto"/>
          <w:sz w:val="24"/>
        </w:rPr>
        <w:t>响应文件提交</w:t>
      </w:r>
    </w:p>
    <w:p w14:paraId="0280E446">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截止时间：2026年</w:t>
      </w:r>
      <w:r>
        <w:rPr>
          <w:rFonts w:hint="eastAsia" w:ascii="宋体" w:hAnsi="宋体" w:cs="宋体"/>
          <w:bCs/>
          <w:color w:val="auto"/>
          <w:szCs w:val="21"/>
          <w:lang w:val="en-US" w:eastAsia="zh-CN"/>
        </w:rPr>
        <w:t>06</w:t>
      </w:r>
      <w:r>
        <w:rPr>
          <w:rFonts w:hint="eastAsia" w:ascii="宋体" w:hAnsi="宋体" w:eastAsia="宋体" w:cs="宋体"/>
          <w:bCs/>
          <w:color w:val="auto"/>
          <w:szCs w:val="21"/>
        </w:rPr>
        <w:t>月</w:t>
      </w:r>
      <w:r>
        <w:rPr>
          <w:rFonts w:hint="eastAsia" w:ascii="宋体" w:hAnsi="宋体" w:cs="宋体"/>
          <w:bCs/>
          <w:color w:val="auto"/>
          <w:szCs w:val="21"/>
          <w:lang w:val="en-US" w:eastAsia="zh-CN"/>
        </w:rPr>
        <w:t>29</w:t>
      </w:r>
      <w:r>
        <w:rPr>
          <w:rFonts w:hint="eastAsia" w:ascii="宋体" w:hAnsi="宋体" w:eastAsia="宋体" w:cs="宋体"/>
          <w:bCs/>
          <w:color w:val="auto"/>
          <w:szCs w:val="21"/>
        </w:rPr>
        <w:t>日</w:t>
      </w:r>
      <w:r>
        <w:rPr>
          <w:rFonts w:hint="eastAsia" w:ascii="宋体" w:hAnsi="宋体" w:eastAsia="宋体" w:cs="宋体"/>
          <w:color w:val="auto"/>
          <w:szCs w:val="21"/>
        </w:rPr>
        <w:t>09：20 （北京时间）</w:t>
      </w:r>
    </w:p>
    <w:p w14:paraId="5DFE6706">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地点（网址）：广西政府采购云平台https：//www.gcy.zfcg.gxzf.gov.cn/</w:t>
      </w:r>
    </w:p>
    <w:p w14:paraId="4DCE1F83">
      <w:pPr>
        <w:spacing w:line="4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五、开启（首次响应文件开启时间）</w:t>
      </w:r>
    </w:p>
    <w:p w14:paraId="789BB3D8">
      <w:pPr>
        <w:spacing w:line="400" w:lineRule="exact"/>
        <w:ind w:firstLine="420" w:firstLineChars="200"/>
        <w:rPr>
          <w:rFonts w:hint="eastAsia" w:ascii="宋体" w:hAnsi="宋体" w:eastAsia="宋体" w:cs="宋体"/>
          <w:bCs/>
          <w:color w:val="auto"/>
          <w:szCs w:val="21"/>
          <w:u w:val="single"/>
        </w:rPr>
      </w:pPr>
      <w:bookmarkStart w:id="21" w:name="_Toc35393794"/>
      <w:bookmarkStart w:id="22" w:name="_Toc28359007"/>
      <w:bookmarkStart w:id="23" w:name="_Toc35393625"/>
      <w:bookmarkStart w:id="24" w:name="_Toc28359084"/>
      <w:r>
        <w:rPr>
          <w:rFonts w:hint="eastAsia" w:ascii="宋体" w:hAnsi="宋体" w:eastAsia="宋体" w:cs="宋体"/>
          <w:color w:val="auto"/>
          <w:szCs w:val="21"/>
        </w:rPr>
        <w:t>开启时间：2026年</w:t>
      </w:r>
      <w:r>
        <w:rPr>
          <w:rFonts w:hint="eastAsia" w:ascii="宋体" w:hAnsi="宋体" w:cs="宋体"/>
          <w:bCs/>
          <w:color w:val="auto"/>
          <w:szCs w:val="21"/>
          <w:lang w:val="en-US" w:eastAsia="zh-CN"/>
        </w:rPr>
        <w:t>06</w:t>
      </w:r>
      <w:r>
        <w:rPr>
          <w:rFonts w:hint="eastAsia" w:ascii="宋体" w:hAnsi="宋体" w:eastAsia="宋体" w:cs="宋体"/>
          <w:bCs/>
          <w:color w:val="auto"/>
          <w:szCs w:val="21"/>
        </w:rPr>
        <w:t>月</w:t>
      </w:r>
      <w:r>
        <w:rPr>
          <w:rFonts w:hint="eastAsia" w:ascii="宋体" w:hAnsi="宋体" w:cs="宋体"/>
          <w:bCs/>
          <w:color w:val="auto"/>
          <w:szCs w:val="21"/>
          <w:lang w:val="en-US" w:eastAsia="zh-CN"/>
        </w:rPr>
        <w:t>29</w:t>
      </w:r>
      <w:r>
        <w:rPr>
          <w:rFonts w:hint="eastAsia" w:ascii="宋体" w:hAnsi="宋体" w:eastAsia="宋体" w:cs="宋体"/>
          <w:bCs/>
          <w:color w:val="auto"/>
          <w:szCs w:val="21"/>
        </w:rPr>
        <w:t>日</w:t>
      </w:r>
      <w:r>
        <w:rPr>
          <w:rFonts w:hint="eastAsia" w:ascii="宋体" w:hAnsi="宋体" w:eastAsia="宋体" w:cs="宋体"/>
          <w:color w:val="auto"/>
          <w:szCs w:val="21"/>
        </w:rPr>
        <w:t>09：20（北京时间）</w:t>
      </w:r>
    </w:p>
    <w:p w14:paraId="7E87B2C4">
      <w:pPr>
        <w:spacing w:line="400" w:lineRule="exact"/>
        <w:ind w:firstLine="420" w:firstLineChars="200"/>
        <w:rPr>
          <w:rFonts w:hint="eastAsia" w:ascii="宋体" w:hAnsi="宋体" w:eastAsia="宋体" w:cs="宋体"/>
          <w:bCs/>
          <w:color w:val="auto"/>
          <w:szCs w:val="21"/>
          <w:u w:val="single"/>
        </w:rPr>
      </w:pPr>
      <w:r>
        <w:rPr>
          <w:rFonts w:hint="eastAsia" w:ascii="宋体" w:hAnsi="宋体" w:eastAsia="宋体" w:cs="宋体"/>
          <w:color w:val="auto"/>
          <w:szCs w:val="21"/>
        </w:rPr>
        <w:t>地点：广西政府采购云平台https：//www.gcy.zfcg.gxzf.gov.cn/</w:t>
      </w:r>
    </w:p>
    <w:p w14:paraId="69CD8BCE">
      <w:pPr>
        <w:spacing w:line="4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六、公告期限</w:t>
      </w:r>
      <w:bookmarkEnd w:id="21"/>
      <w:bookmarkEnd w:id="22"/>
      <w:bookmarkEnd w:id="23"/>
      <w:bookmarkEnd w:id="24"/>
    </w:p>
    <w:p w14:paraId="7D2EC5C8">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自本公告发布之日起5个工作日。</w:t>
      </w:r>
    </w:p>
    <w:p w14:paraId="6E4C228E">
      <w:pPr>
        <w:spacing w:line="400" w:lineRule="exact"/>
        <w:ind w:firstLine="482" w:firstLineChars="200"/>
        <w:rPr>
          <w:rFonts w:hint="eastAsia" w:ascii="宋体" w:hAnsi="宋体" w:eastAsia="宋体" w:cs="宋体"/>
          <w:b/>
          <w:bCs/>
          <w:color w:val="auto"/>
          <w:sz w:val="24"/>
        </w:rPr>
      </w:pPr>
      <w:bookmarkStart w:id="25" w:name="_Toc35393795"/>
      <w:bookmarkStart w:id="26" w:name="_Toc35393626"/>
      <w:r>
        <w:rPr>
          <w:rFonts w:hint="eastAsia" w:ascii="宋体" w:hAnsi="宋体" w:eastAsia="宋体" w:cs="宋体"/>
          <w:b/>
          <w:bCs/>
          <w:color w:val="auto"/>
          <w:sz w:val="24"/>
        </w:rPr>
        <w:t>七、其他补充事宜</w:t>
      </w:r>
      <w:bookmarkEnd w:id="25"/>
      <w:bookmarkEnd w:id="26"/>
    </w:p>
    <w:p w14:paraId="7AF07756">
      <w:pPr>
        <w:pStyle w:val="8"/>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1.磋商保证金：无要求</w:t>
      </w:r>
    </w:p>
    <w:p w14:paraId="23D5B5E4">
      <w:pPr>
        <w:pStyle w:val="8"/>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2.网上查询地址：广西柳州政府采购网、中国政府采购网、广西壮族自治区政府采购网。</w:t>
      </w:r>
    </w:p>
    <w:p w14:paraId="2C22E185">
      <w:pPr>
        <w:pStyle w:val="8"/>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3.供应商参与电子投标特别说明</w:t>
      </w:r>
    </w:p>
    <w:p w14:paraId="0C45E94D">
      <w:pPr>
        <w:pStyle w:val="8"/>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投标文件提交方式：本项目为全流程电子化项目，通过广西政府采购云平台（https：//www.gcy.zfcg.gxzf.gov.cn/）实行在线电子投标，供应商应先安装“广西政府采购云平台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电子投标具体操作流程参考广西政府采购云平台提供的《政府采购项目电子交易管理操作指南－供应商》，供应商如在操作过程中遇到问题或需要技术支持，请致电广西政府采购云平台服务热线：95763。</w:t>
      </w:r>
    </w:p>
    <w:p w14:paraId="48AF7BAD">
      <w:pPr>
        <w:pStyle w:val="8"/>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未进行网上注册并办理数字证书（CA认证）的供应商将无法参与本项目政府采购活动，潜在供应商应当在投标截止时间前，完成电子交易平台上的CA数字证书办理及投标文件的提交。完成CA数字证书办理预计7日左右，供应商只需办理其中一家CA数字证书及签章，建议各供应商抓紧时间办理。</w:t>
      </w:r>
    </w:p>
    <w:p w14:paraId="3CFCDDFD">
      <w:pPr>
        <w:pStyle w:val="8"/>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（3）为确保网上操作合法、有效和安全，请投标供应商确保在电子投标过程中能够对相关数据电文进行加密和使用电子印章，妥善保管CA数字证书并使用有效的CA数字证书参与整个招标活动。</w:t>
      </w:r>
    </w:p>
    <w:p w14:paraId="1C6B8B88">
      <w:pPr>
        <w:pStyle w:val="8"/>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供应商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A8ABCA3">
      <w:pPr>
        <w:pStyle w:val="8"/>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（4）CA证书在线解密：供应商投标时，需携带制作投标文件时用来加密的有效数字证书（CA认证）登录广西政府采购云平台电子开标大厅现场按规定时间对加密的投标文件进行解密，否则后果自负。</w:t>
      </w:r>
    </w:p>
    <w:p w14:paraId="4A7589CD">
      <w:pPr>
        <w:pStyle w:val="8"/>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4.关于申请人资格要求的其他说明</w:t>
      </w:r>
    </w:p>
    <w:p w14:paraId="7D1469F1">
      <w:pPr>
        <w:pStyle w:val="8"/>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5A7960E">
      <w:pPr>
        <w:pStyle w:val="8"/>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（2）对在“信用中国”网站（www.creditchina.gov.cn） 、中国政府采购网（www.ccgp.gov.cn）、中国执行信息公开网（https://zxgk.court.gov.cn/）等渠道列入失信被执行人、重大税收违法失信主体、政府采购严重违法失信行为记录名单的供应商及其他不符合《中华人民共和国政府采购法》第二十二条规定条件的供应商，不得参与政府采购活动。</w:t>
      </w:r>
    </w:p>
    <w:p w14:paraId="783D1AAB">
      <w:pPr>
        <w:pStyle w:val="8"/>
        <w:widowControl/>
        <w:spacing w:line="38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5.监督部门：</w:t>
      </w:r>
      <w:r>
        <w:rPr>
          <w:rFonts w:hint="eastAsia" w:ascii="宋体" w:hAnsi="宋体" w:eastAsia="宋体" w:cs="宋体"/>
          <w:color w:val="auto"/>
          <w:sz w:val="21"/>
          <w:szCs w:val="21"/>
          <w:lang w:val="en-US" w:eastAsia="zh-CN"/>
        </w:rPr>
        <w:t xml:space="preserve">柳州市城中区财政局 </w:t>
      </w:r>
    </w:p>
    <w:p w14:paraId="18F9D737">
      <w:pPr>
        <w:spacing w:line="400" w:lineRule="exact"/>
        <w:ind w:firstLine="482" w:firstLineChars="200"/>
        <w:rPr>
          <w:rFonts w:hint="eastAsia" w:ascii="宋体" w:hAnsi="宋体" w:eastAsia="宋体" w:cs="宋体"/>
          <w:bCs/>
          <w:color w:val="auto"/>
          <w:sz w:val="24"/>
        </w:rPr>
      </w:pPr>
      <w:r>
        <w:rPr>
          <w:rFonts w:hint="eastAsia" w:ascii="宋体" w:hAnsi="宋体" w:eastAsia="宋体" w:cs="宋体"/>
          <w:b/>
          <w:color w:val="auto"/>
          <w:kern w:val="44"/>
          <w:sz w:val="24"/>
        </w:rPr>
        <w:t>八、凡对本次采购提出询问，请按以下方式联系</w:t>
      </w:r>
    </w:p>
    <w:p w14:paraId="6266BC25">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1.采购人信息</w:t>
      </w:r>
    </w:p>
    <w:p w14:paraId="3C656918">
      <w:pPr>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名    称：</w:t>
      </w:r>
      <w:r>
        <w:rPr>
          <w:rFonts w:hint="eastAsia" w:ascii="宋体" w:hAnsi="宋体" w:eastAsia="宋体" w:cs="宋体"/>
          <w:color w:val="auto"/>
          <w:szCs w:val="21"/>
          <w:lang w:eastAsia="zh-CN"/>
        </w:rPr>
        <w:t>柳州市城中区卫生健康局</w:t>
      </w:r>
    </w:p>
    <w:p w14:paraId="1677DE65">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lang w:eastAsia="zh-CN"/>
        </w:rPr>
        <w:t>柳州城中区沿江路河东管理大厦</w:t>
      </w:r>
      <w:r>
        <w:rPr>
          <w:rFonts w:hint="eastAsia" w:ascii="宋体" w:hAnsi="宋体" w:eastAsia="宋体" w:cs="宋体"/>
          <w:color w:val="auto"/>
          <w:szCs w:val="21"/>
        </w:rPr>
        <w:t xml:space="preserve"> </w:t>
      </w:r>
    </w:p>
    <w:p w14:paraId="1D3F5B85">
      <w:pPr>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项目联系人：</w:t>
      </w:r>
      <w:r>
        <w:rPr>
          <w:rFonts w:hint="eastAsia" w:ascii="宋体" w:hAnsi="宋体" w:cs="宋体"/>
          <w:color w:val="auto"/>
          <w:szCs w:val="21"/>
          <w:lang w:eastAsia="zh-CN"/>
        </w:rPr>
        <w:t>朱磊</w:t>
      </w:r>
    </w:p>
    <w:p w14:paraId="0BBA98DA">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项目联系方式：</w:t>
      </w:r>
      <w:r>
        <w:rPr>
          <w:rFonts w:hint="eastAsia" w:ascii="宋体" w:hAnsi="宋体" w:eastAsia="宋体" w:cs="宋体"/>
          <w:color w:val="auto"/>
          <w:szCs w:val="21"/>
          <w:lang w:eastAsia="zh-CN"/>
        </w:rPr>
        <w:t>0772-2620767</w:t>
      </w:r>
      <w:r>
        <w:rPr>
          <w:rFonts w:hint="eastAsia" w:ascii="宋体" w:hAnsi="宋体" w:eastAsia="宋体" w:cs="宋体"/>
          <w:color w:val="auto"/>
          <w:szCs w:val="21"/>
        </w:rPr>
        <w:t xml:space="preserve">  </w:t>
      </w:r>
    </w:p>
    <w:p w14:paraId="46270E88">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2.采购代理机构信息</w:t>
      </w:r>
    </w:p>
    <w:p w14:paraId="567CA26C">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名    称：广西同泽工程项目管理股份有限公司 </w:t>
      </w:r>
    </w:p>
    <w:p w14:paraId="616DD926">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地    址：柳州市桂中大道南端6号九洲国际10楼 </w:t>
      </w:r>
    </w:p>
    <w:p w14:paraId="1F3DD86A">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项目联系人：黄春柳</w:t>
      </w:r>
    </w:p>
    <w:p w14:paraId="3134A8EE">
      <w:pPr>
        <w:spacing w:line="400" w:lineRule="exact"/>
        <w:ind w:firstLine="420" w:firstLineChars="200"/>
        <w:jc w:val="left"/>
        <w:rPr>
          <w:rFonts w:hint="eastAsia" w:ascii="宋体" w:hAnsi="宋体" w:eastAsia="宋体" w:cs="宋体"/>
          <w:color w:val="auto"/>
        </w:rPr>
      </w:pPr>
      <w:r>
        <w:rPr>
          <w:rFonts w:hint="eastAsia" w:ascii="宋体" w:hAnsi="宋体" w:eastAsia="宋体" w:cs="宋体"/>
          <w:color w:val="auto"/>
          <w:szCs w:val="21"/>
        </w:rPr>
        <w:t xml:space="preserve">项目联系方式：0772-3808868 </w:t>
      </w:r>
    </w:p>
    <w:p w14:paraId="5CB09114">
      <w:pPr>
        <w:pStyle w:val="2"/>
        <w:jc w:val="center"/>
        <w:rPr>
          <w:rFonts w:hint="eastAsia" w:ascii="宋体" w:hAnsi="宋体" w:eastAsia="宋体" w:cs="宋体"/>
          <w:bCs w:val="0"/>
          <w:color w:val="auto"/>
          <w:sz w:val="32"/>
          <w:szCs w:val="32"/>
        </w:rPr>
        <w:sectPr>
          <w:footerReference r:id="rId10" w:type="default"/>
          <w:pgSz w:w="11910" w:h="16840"/>
          <w:pgMar w:top="1440" w:right="1803" w:bottom="1440" w:left="1803" w:header="720" w:footer="720" w:gutter="0"/>
          <w:pgNumType w:start="1"/>
          <w:cols w:space="720" w:num="1"/>
        </w:sectPr>
      </w:pPr>
      <w:bookmarkStart w:id="27" w:name="_Toc80886926"/>
    </w:p>
    <w:p w14:paraId="4D6D2AED">
      <w:pPr>
        <w:pStyle w:val="2"/>
        <w:jc w:val="center"/>
        <w:rPr>
          <w:rFonts w:hint="eastAsia" w:ascii="宋体" w:hAnsi="宋体" w:eastAsia="宋体" w:cs="宋体"/>
          <w:color w:val="auto"/>
        </w:rPr>
      </w:pPr>
      <w:bookmarkStart w:id="28" w:name="_Toc32665"/>
      <w:bookmarkStart w:id="29" w:name="_Toc29104"/>
      <w:r>
        <w:rPr>
          <w:rFonts w:hint="eastAsia" w:ascii="宋体" w:hAnsi="宋体" w:eastAsia="宋体" w:cs="宋体"/>
          <w:bCs w:val="0"/>
          <w:color w:val="auto"/>
          <w:sz w:val="32"/>
          <w:szCs w:val="32"/>
        </w:rPr>
        <w:t>第二章 采购需求</w:t>
      </w:r>
      <w:bookmarkEnd w:id="27"/>
      <w:bookmarkEnd w:id="28"/>
      <w:bookmarkEnd w:id="29"/>
    </w:p>
    <w:p w14:paraId="4C7B90CC">
      <w:pPr>
        <w:spacing w:line="420" w:lineRule="exact"/>
        <w:jc w:val="left"/>
        <w:rPr>
          <w:rFonts w:hint="eastAsia" w:ascii="宋体" w:hAnsi="宋体" w:eastAsia="宋体" w:cs="宋体"/>
          <w:color w:val="auto"/>
          <w:szCs w:val="21"/>
        </w:rPr>
      </w:pPr>
      <w:r>
        <w:rPr>
          <w:rFonts w:hint="eastAsia" w:ascii="宋体" w:hAnsi="宋体" w:eastAsia="宋体" w:cs="宋体"/>
          <w:color w:val="auto"/>
          <w:szCs w:val="21"/>
        </w:rPr>
        <w:t>说明：</w:t>
      </w:r>
    </w:p>
    <w:p w14:paraId="4F442196">
      <w:pPr>
        <w:spacing w:line="4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rPr>
        <w:t>1. 为落实政府采购政策需满足的要求（根据项目实际情况填写内容）</w:t>
      </w:r>
    </w:p>
    <w:p w14:paraId="0F4164E8">
      <w:pPr>
        <w:spacing w:line="4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（1）本竞争性磋商采购文件所称中小企业必须符合《政府采购促进中小企业发展管理办法》（财库〔2020〕46号）的规定。</w:t>
      </w:r>
    </w:p>
    <w:p w14:paraId="409CFE09">
      <w:pPr>
        <w:tabs>
          <w:tab w:val="left" w:pos="180"/>
          <w:tab w:val="left" w:pos="1620"/>
        </w:tabs>
        <w:spacing w:line="420" w:lineRule="exact"/>
        <w:ind w:firstLine="420" w:firstLineChars="200"/>
        <w:rPr>
          <w:rFonts w:hint="eastAsia" w:ascii="宋体" w:hAnsi="宋体" w:eastAsia="宋体" w:cs="宋体"/>
          <w:b/>
          <w:bCs/>
          <w:color w:val="auto"/>
          <w:szCs w:val="21"/>
        </w:rPr>
      </w:pPr>
      <w:r>
        <w:rPr>
          <w:rFonts w:hint="eastAsia" w:ascii="宋体" w:hAnsi="宋体" w:eastAsia="宋体" w:cs="宋体"/>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评审程序、评审方法和评审标准”。</w:t>
      </w:r>
    </w:p>
    <w:p w14:paraId="7B88D4A6">
      <w:pPr>
        <w:spacing w:line="4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CA电子公章），否则响应文件作无效处理。</w:t>
      </w:r>
    </w:p>
    <w:p w14:paraId="6345D2FF">
      <w:pPr>
        <w:spacing w:line="420" w:lineRule="exact"/>
        <w:ind w:firstLine="424" w:firstLineChars="202"/>
        <w:jc w:val="left"/>
        <w:rPr>
          <w:rFonts w:hint="eastAsia" w:ascii="宋体" w:hAnsi="宋体" w:eastAsia="宋体" w:cs="宋体"/>
          <w:color w:val="auto"/>
          <w:szCs w:val="21"/>
        </w:rPr>
      </w:pPr>
      <w:r>
        <w:rPr>
          <w:rFonts w:hint="eastAsia" w:ascii="宋体" w:hAnsi="宋体" w:eastAsia="宋体" w:cs="宋体"/>
          <w:color w:val="auto"/>
          <w:szCs w:val="21"/>
        </w:rPr>
        <w:t>……</w:t>
      </w:r>
    </w:p>
    <w:p w14:paraId="35E4A168">
      <w:pPr>
        <w:spacing w:line="420" w:lineRule="exact"/>
        <w:ind w:firstLine="413" w:firstLineChars="196"/>
        <w:rPr>
          <w:rFonts w:hint="eastAsia" w:ascii="宋体" w:hAnsi="宋体" w:eastAsia="宋体" w:cs="宋体"/>
          <w:b/>
          <w:bCs/>
          <w:color w:val="auto"/>
          <w:szCs w:val="21"/>
        </w:rPr>
      </w:pPr>
      <w:r>
        <w:rPr>
          <w:rFonts w:hint="eastAsia" w:ascii="宋体" w:hAnsi="宋体" w:eastAsia="宋体" w:cs="宋体"/>
          <w:b/>
          <w:bCs/>
          <w:color w:val="auto"/>
          <w:szCs w:val="21"/>
        </w:rPr>
        <w:t>2.“实质性要求”是指采购需求中带“▲”的条款或者不能负偏离的条款或者已经指明不满足按响应文件作无效处理的条款。</w:t>
      </w:r>
    </w:p>
    <w:p w14:paraId="6FF9723E">
      <w:pPr>
        <w:pStyle w:val="9"/>
        <w:spacing w:line="420" w:lineRule="exact"/>
        <w:ind w:firstLine="420" w:firstLineChars="200"/>
        <w:rPr>
          <w:rFonts w:hint="eastAsia" w:ascii="宋体" w:hAnsi="宋体" w:eastAsia="宋体" w:cs="宋体"/>
          <w:color w:val="auto"/>
        </w:rPr>
      </w:pPr>
      <w:r>
        <w:rPr>
          <w:rFonts w:hint="eastAsia" w:ascii="宋体" w:hAnsi="宋体" w:eastAsia="宋体" w:cs="宋体"/>
          <w:color w:val="auto"/>
          <w:szCs w:val="21"/>
        </w:rPr>
        <w:t xml:space="preserve">3. </w:t>
      </w:r>
      <w:r>
        <w:rPr>
          <w:rFonts w:hint="eastAsia" w:ascii="宋体" w:hAnsi="宋体" w:eastAsia="宋体" w:cs="宋体"/>
          <w:color w:val="auto"/>
        </w:rPr>
        <w:t>如供应商投标产品存在侵犯他人的知识产权或者专利成果行为的，应承担相应法律责任。</w:t>
      </w:r>
    </w:p>
    <w:p w14:paraId="1920EED4">
      <w:pPr>
        <w:tabs>
          <w:tab w:val="left" w:pos="180"/>
          <w:tab w:val="left" w:pos="1620"/>
        </w:tabs>
        <w:spacing w:line="360" w:lineRule="auto"/>
        <w:rPr>
          <w:rFonts w:hint="eastAsia" w:ascii="宋体" w:hAnsi="宋体" w:eastAsia="宋体" w:cs="宋体"/>
          <w:b/>
          <w:bCs/>
          <w:color w:val="auto"/>
          <w:sz w:val="24"/>
        </w:rPr>
        <w:sectPr>
          <w:pgSz w:w="11910" w:h="16840"/>
          <w:pgMar w:top="1520" w:right="1500" w:bottom="1440" w:left="1680" w:header="720" w:footer="720" w:gutter="0"/>
          <w:cols w:space="720" w:num="1"/>
        </w:sectPr>
      </w:pPr>
    </w:p>
    <w:p w14:paraId="4DFF8394">
      <w:pPr>
        <w:pStyle w:val="21"/>
        <w:jc w:val="center"/>
        <w:rPr>
          <w:rFonts w:hint="eastAsia" w:ascii="宋体" w:hAnsi="宋体" w:eastAsia="宋体" w:cs="宋体"/>
          <w:b/>
          <w:bCs/>
          <w:color w:val="auto"/>
          <w:sz w:val="44"/>
          <w:szCs w:val="44"/>
        </w:rPr>
      </w:pPr>
      <w:r>
        <w:rPr>
          <w:rFonts w:hint="eastAsia" w:ascii="宋体" w:hAnsi="宋体" w:eastAsia="宋体" w:cs="宋体"/>
          <w:b/>
          <w:bCs/>
          <w:color w:val="auto"/>
          <w:sz w:val="32"/>
          <w:szCs w:val="32"/>
        </w:rPr>
        <w:t xml:space="preserve">第一部分  服务需求  </w:t>
      </w:r>
    </w:p>
    <w:p w14:paraId="1A137939">
      <w:pPr>
        <w:keepNext w:val="0"/>
        <w:keepLines w:val="0"/>
        <w:pageBreakBefore w:val="0"/>
        <w:shd w:val="clear"/>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一、项目概况</w:t>
      </w:r>
    </w:p>
    <w:p w14:paraId="5D7479CC">
      <w:pPr>
        <w:keepNext w:val="0"/>
        <w:keepLines w:val="0"/>
        <w:pageBreakBefore w:val="0"/>
        <w:shd w:val="clear"/>
        <w:kinsoku/>
        <w:wordWrap/>
        <w:overflowPunct/>
        <w:topLinePunct w:val="0"/>
        <w:autoSpaceDE/>
        <w:autoSpaceDN/>
        <w:bidi w:val="0"/>
        <w:adjustRightInd/>
        <w:snapToGrid/>
        <w:spacing w:line="360" w:lineRule="auto"/>
        <w:ind w:firstLine="566" w:firstLineChars="236"/>
        <w:rPr>
          <w:rFonts w:hint="eastAsia" w:ascii="宋体" w:hAnsi="宋体" w:eastAsia="宋体" w:cs="宋体"/>
          <w:b w:val="0"/>
          <w:bCs w:val="0"/>
          <w:sz w:val="24"/>
          <w:szCs w:val="24"/>
        </w:rPr>
      </w:pPr>
      <w:r>
        <w:rPr>
          <w:rFonts w:hint="eastAsia" w:ascii="宋体" w:hAnsi="宋体" w:eastAsia="宋体" w:cs="宋体"/>
          <w:b w:val="0"/>
          <w:bCs w:val="0"/>
          <w:sz w:val="24"/>
          <w:szCs w:val="24"/>
        </w:rPr>
        <w:t>1、防治范围</w:t>
      </w:r>
    </w:p>
    <w:tbl>
      <w:tblPr>
        <w:tblStyle w:val="18"/>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38"/>
        <w:gridCol w:w="3017"/>
        <w:gridCol w:w="825"/>
        <w:gridCol w:w="735"/>
        <w:gridCol w:w="1228"/>
        <w:gridCol w:w="1697"/>
        <w:gridCol w:w="1090"/>
      </w:tblGrid>
      <w:tr w14:paraId="10EB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538" w:type="dxa"/>
            <w:shd w:val="clear" w:color="auto" w:fill="auto"/>
            <w:noWrap w:val="0"/>
            <w:vAlign w:val="center"/>
          </w:tcPr>
          <w:p w14:paraId="5661543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017" w:type="dxa"/>
            <w:shd w:val="clear" w:color="auto" w:fill="auto"/>
            <w:noWrap w:val="0"/>
            <w:vAlign w:val="center"/>
          </w:tcPr>
          <w:p w14:paraId="5E90291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消杀区域</w:t>
            </w:r>
          </w:p>
        </w:tc>
        <w:tc>
          <w:tcPr>
            <w:tcW w:w="825" w:type="dxa"/>
            <w:noWrap w:val="0"/>
            <w:vAlign w:val="center"/>
          </w:tcPr>
          <w:p w14:paraId="3F4D9CA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735" w:type="dxa"/>
            <w:noWrap w:val="0"/>
            <w:vAlign w:val="center"/>
          </w:tcPr>
          <w:p w14:paraId="3A04395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228" w:type="dxa"/>
            <w:noWrap w:val="0"/>
            <w:vAlign w:val="center"/>
          </w:tcPr>
          <w:p w14:paraId="7157843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占地</w:t>
            </w:r>
            <w:r>
              <w:rPr>
                <w:rFonts w:hint="eastAsia" w:ascii="宋体" w:hAnsi="宋体" w:eastAsia="宋体" w:cs="宋体"/>
                <w:b/>
                <w:bCs/>
                <w:sz w:val="24"/>
                <w:szCs w:val="24"/>
              </w:rPr>
              <w:t>面积</w:t>
            </w:r>
            <w:r>
              <w:rPr>
                <w:rFonts w:hint="eastAsia" w:ascii="宋体" w:hAnsi="宋体" w:eastAsia="宋体" w:cs="宋体"/>
                <w:b/>
                <w:bCs/>
                <w:i w:val="0"/>
                <w:iCs w:val="0"/>
                <w:color w:val="000000"/>
                <w:kern w:val="0"/>
                <w:sz w:val="24"/>
                <w:szCs w:val="24"/>
                <w:u w:val="none"/>
                <w:lang w:val="en-US" w:eastAsia="zh-CN" w:bidi="ar"/>
              </w:rPr>
              <w:t>m</w:t>
            </w:r>
            <w:r>
              <w:rPr>
                <w:rStyle w:val="26"/>
                <w:rFonts w:hint="eastAsia" w:ascii="宋体" w:hAnsi="宋体" w:eastAsia="宋体" w:cs="宋体"/>
                <w:b/>
                <w:bCs/>
                <w:sz w:val="24"/>
                <w:szCs w:val="24"/>
                <w:lang w:val="en-US" w:eastAsia="zh-CN" w:bidi="ar"/>
              </w:rPr>
              <w:t>2</w:t>
            </w:r>
          </w:p>
        </w:tc>
        <w:tc>
          <w:tcPr>
            <w:tcW w:w="1697" w:type="dxa"/>
            <w:noWrap w:val="0"/>
            <w:vAlign w:val="center"/>
          </w:tcPr>
          <w:p w14:paraId="16419C4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防治面积</w:t>
            </w:r>
            <w:r>
              <w:rPr>
                <w:rFonts w:hint="eastAsia" w:ascii="宋体" w:hAnsi="宋体" w:eastAsia="宋体" w:cs="宋体"/>
                <w:b/>
                <w:bCs/>
                <w:i w:val="0"/>
                <w:iCs w:val="0"/>
                <w:color w:val="000000"/>
                <w:kern w:val="0"/>
                <w:sz w:val="24"/>
                <w:szCs w:val="24"/>
                <w:u w:val="none"/>
                <w:lang w:val="en-US" w:eastAsia="zh-CN" w:bidi="ar"/>
              </w:rPr>
              <w:t>m</w:t>
            </w:r>
            <w:r>
              <w:rPr>
                <w:rStyle w:val="26"/>
                <w:rFonts w:hint="eastAsia" w:ascii="宋体" w:hAnsi="宋体" w:eastAsia="宋体" w:cs="宋体"/>
                <w:b/>
                <w:bCs/>
                <w:sz w:val="24"/>
                <w:szCs w:val="24"/>
                <w:lang w:val="en-US" w:eastAsia="zh-CN" w:bidi="ar"/>
              </w:rPr>
              <w:t>2</w:t>
            </w:r>
          </w:p>
        </w:tc>
        <w:tc>
          <w:tcPr>
            <w:tcW w:w="1090" w:type="dxa"/>
            <w:noWrap w:val="0"/>
            <w:vAlign w:val="center"/>
          </w:tcPr>
          <w:p w14:paraId="2EEE09F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lang w:eastAsia="zh-CN"/>
              </w:rPr>
            </w:pPr>
            <w:r>
              <w:rPr>
                <w:rFonts w:hint="eastAsia" w:ascii="宋体" w:hAnsi="宋体" w:eastAsia="宋体" w:cs="宋体"/>
                <w:b/>
                <w:bCs/>
                <w:sz w:val="24"/>
                <w:szCs w:val="24"/>
              </w:rPr>
              <w:t>井口数</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个</w:t>
            </w:r>
            <w:r>
              <w:rPr>
                <w:rFonts w:hint="eastAsia" w:ascii="宋体" w:hAnsi="宋体" w:eastAsia="宋体" w:cs="宋体"/>
                <w:b/>
                <w:bCs/>
                <w:sz w:val="24"/>
                <w:szCs w:val="24"/>
                <w:lang w:eastAsia="zh-CN"/>
              </w:rPr>
              <w:t>）</w:t>
            </w:r>
          </w:p>
        </w:tc>
      </w:tr>
      <w:tr w14:paraId="57C3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538" w:type="dxa"/>
            <w:shd w:val="clear" w:color="auto" w:fill="auto"/>
            <w:noWrap w:val="0"/>
            <w:vAlign w:val="center"/>
          </w:tcPr>
          <w:p w14:paraId="703C6FA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3017" w:type="dxa"/>
            <w:shd w:val="clear" w:color="auto" w:fill="auto"/>
            <w:noWrap w:val="0"/>
            <w:vAlign w:val="center"/>
          </w:tcPr>
          <w:p w14:paraId="183C24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城中村和城乡结合部+井口</w:t>
            </w:r>
          </w:p>
        </w:tc>
        <w:tc>
          <w:tcPr>
            <w:tcW w:w="825" w:type="dxa"/>
            <w:tcBorders>
              <w:top w:val="nil"/>
              <w:left w:val="single" w:color="auto" w:sz="4" w:space="0"/>
              <w:bottom w:val="single" w:color="auto" w:sz="4" w:space="0"/>
              <w:right w:val="single" w:color="auto" w:sz="4" w:space="0"/>
            </w:tcBorders>
            <w:noWrap w:val="0"/>
            <w:vAlign w:val="center"/>
          </w:tcPr>
          <w:p w14:paraId="65D002F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17</w:t>
            </w:r>
          </w:p>
        </w:tc>
        <w:tc>
          <w:tcPr>
            <w:tcW w:w="735" w:type="dxa"/>
            <w:tcBorders>
              <w:top w:val="nil"/>
              <w:left w:val="nil"/>
              <w:bottom w:val="single" w:color="auto" w:sz="4" w:space="0"/>
              <w:right w:val="single" w:color="auto" w:sz="4" w:space="0"/>
            </w:tcBorders>
            <w:noWrap w:val="0"/>
            <w:vAlign w:val="center"/>
          </w:tcPr>
          <w:p w14:paraId="45F30C1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auto" w:sz="4" w:space="0"/>
              <w:left w:val="nil"/>
              <w:bottom w:val="single" w:color="auto" w:sz="4" w:space="0"/>
              <w:right w:val="single" w:color="auto" w:sz="4" w:space="0"/>
            </w:tcBorders>
            <w:noWrap w:val="0"/>
            <w:vAlign w:val="center"/>
          </w:tcPr>
          <w:p w14:paraId="13F5D59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12634566</w:t>
            </w:r>
          </w:p>
        </w:tc>
        <w:tc>
          <w:tcPr>
            <w:tcW w:w="1697" w:type="dxa"/>
            <w:tcBorders>
              <w:top w:val="single" w:color="auto" w:sz="4" w:space="0"/>
              <w:left w:val="nil"/>
              <w:bottom w:val="single" w:color="auto" w:sz="4" w:space="0"/>
              <w:right w:val="single" w:color="auto" w:sz="4" w:space="0"/>
            </w:tcBorders>
            <w:noWrap w:val="0"/>
            <w:vAlign w:val="center"/>
          </w:tcPr>
          <w:p w14:paraId="52F0A4F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349800</w:t>
            </w:r>
          </w:p>
        </w:tc>
        <w:tc>
          <w:tcPr>
            <w:tcW w:w="1090" w:type="dxa"/>
            <w:noWrap w:val="0"/>
            <w:vAlign w:val="center"/>
          </w:tcPr>
          <w:p w14:paraId="2A1C3B0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2726</w:t>
            </w:r>
          </w:p>
        </w:tc>
      </w:tr>
      <w:tr w14:paraId="1107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538" w:type="dxa"/>
            <w:shd w:val="clear" w:color="auto" w:fill="auto"/>
            <w:noWrap w:val="0"/>
            <w:vAlign w:val="center"/>
          </w:tcPr>
          <w:p w14:paraId="5C64762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3017" w:type="dxa"/>
            <w:shd w:val="clear" w:color="auto" w:fill="auto"/>
            <w:noWrap w:val="0"/>
            <w:vAlign w:val="center"/>
          </w:tcPr>
          <w:p w14:paraId="2F03B98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三无小区</w:t>
            </w:r>
          </w:p>
        </w:tc>
        <w:tc>
          <w:tcPr>
            <w:tcW w:w="825" w:type="dxa"/>
            <w:tcBorders>
              <w:top w:val="nil"/>
              <w:left w:val="single" w:color="auto" w:sz="4" w:space="0"/>
              <w:bottom w:val="single" w:color="auto" w:sz="4" w:space="0"/>
              <w:right w:val="single" w:color="auto" w:sz="4" w:space="0"/>
            </w:tcBorders>
            <w:noWrap w:val="0"/>
            <w:vAlign w:val="center"/>
          </w:tcPr>
          <w:p w14:paraId="6278108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279</w:t>
            </w:r>
          </w:p>
        </w:tc>
        <w:tc>
          <w:tcPr>
            <w:tcW w:w="735" w:type="dxa"/>
            <w:tcBorders>
              <w:top w:val="nil"/>
              <w:left w:val="nil"/>
              <w:bottom w:val="single" w:color="auto" w:sz="4" w:space="0"/>
              <w:right w:val="single" w:color="auto" w:sz="4" w:space="0"/>
            </w:tcBorders>
            <w:noWrap w:val="0"/>
            <w:vAlign w:val="center"/>
          </w:tcPr>
          <w:p w14:paraId="6F6A617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nil"/>
              <w:left w:val="nil"/>
              <w:bottom w:val="single" w:color="auto" w:sz="4" w:space="0"/>
              <w:right w:val="single" w:color="auto" w:sz="4" w:space="0"/>
            </w:tcBorders>
            <w:noWrap w:val="0"/>
            <w:vAlign w:val="center"/>
          </w:tcPr>
          <w:p w14:paraId="716CF99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872565</w:t>
            </w:r>
          </w:p>
        </w:tc>
        <w:tc>
          <w:tcPr>
            <w:tcW w:w="1697" w:type="dxa"/>
            <w:tcBorders>
              <w:top w:val="nil"/>
              <w:left w:val="nil"/>
              <w:bottom w:val="single" w:color="auto" w:sz="4" w:space="0"/>
              <w:right w:val="single" w:color="auto" w:sz="4" w:space="0"/>
            </w:tcBorders>
            <w:noWrap w:val="0"/>
            <w:vAlign w:val="center"/>
          </w:tcPr>
          <w:p w14:paraId="32B7C0E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174500</w:t>
            </w:r>
          </w:p>
        </w:tc>
        <w:tc>
          <w:tcPr>
            <w:tcW w:w="1090" w:type="dxa"/>
            <w:noWrap w:val="0"/>
            <w:vAlign w:val="center"/>
          </w:tcPr>
          <w:p w14:paraId="7DEBADDD">
            <w:pPr>
              <w:keepNext w:val="0"/>
              <w:keepLines w:val="0"/>
              <w:pageBreakBefore w:val="0"/>
              <w:shd w:val="clear"/>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p>
        </w:tc>
      </w:tr>
      <w:tr w14:paraId="4E36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538" w:type="dxa"/>
            <w:shd w:val="clear" w:color="auto" w:fill="auto"/>
            <w:noWrap w:val="0"/>
            <w:vAlign w:val="center"/>
          </w:tcPr>
          <w:p w14:paraId="7E50F65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3017" w:type="dxa"/>
            <w:shd w:val="clear" w:color="auto" w:fill="auto"/>
            <w:noWrap w:val="0"/>
            <w:vAlign w:val="center"/>
          </w:tcPr>
          <w:p w14:paraId="06F91DD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小街小巷+井口</w:t>
            </w:r>
          </w:p>
        </w:tc>
        <w:tc>
          <w:tcPr>
            <w:tcW w:w="825" w:type="dxa"/>
            <w:tcBorders>
              <w:top w:val="nil"/>
              <w:left w:val="single" w:color="auto" w:sz="4" w:space="0"/>
              <w:bottom w:val="single" w:color="auto" w:sz="4" w:space="0"/>
              <w:right w:val="single" w:color="auto" w:sz="4" w:space="0"/>
            </w:tcBorders>
            <w:noWrap w:val="0"/>
            <w:vAlign w:val="center"/>
          </w:tcPr>
          <w:p w14:paraId="7D64152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i w:val="0"/>
                <w:iCs w:val="0"/>
                <w:color w:val="000000"/>
                <w:kern w:val="0"/>
                <w:sz w:val="24"/>
                <w:szCs w:val="24"/>
                <w:u w:val="none"/>
                <w:lang w:val="en-US" w:eastAsia="zh-CN" w:bidi="ar"/>
              </w:rPr>
              <w:t>90</w:t>
            </w:r>
          </w:p>
        </w:tc>
        <w:tc>
          <w:tcPr>
            <w:tcW w:w="735" w:type="dxa"/>
            <w:tcBorders>
              <w:top w:val="nil"/>
              <w:left w:val="nil"/>
              <w:bottom w:val="single" w:color="auto" w:sz="4" w:space="0"/>
              <w:right w:val="single" w:color="auto" w:sz="4" w:space="0"/>
            </w:tcBorders>
            <w:noWrap w:val="0"/>
            <w:vAlign w:val="center"/>
          </w:tcPr>
          <w:p w14:paraId="4421E30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1228" w:type="dxa"/>
            <w:tcBorders>
              <w:top w:val="nil"/>
              <w:left w:val="nil"/>
              <w:bottom w:val="single" w:color="auto" w:sz="4" w:space="0"/>
              <w:right w:val="single" w:color="auto" w:sz="4" w:space="0"/>
            </w:tcBorders>
            <w:noWrap w:val="0"/>
            <w:vAlign w:val="center"/>
          </w:tcPr>
          <w:p w14:paraId="1DB0623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389270</w:t>
            </w:r>
          </w:p>
        </w:tc>
        <w:tc>
          <w:tcPr>
            <w:tcW w:w="1697" w:type="dxa"/>
            <w:tcBorders>
              <w:top w:val="nil"/>
              <w:left w:val="nil"/>
              <w:bottom w:val="single" w:color="auto" w:sz="4" w:space="0"/>
              <w:right w:val="single" w:color="auto" w:sz="4" w:space="0"/>
            </w:tcBorders>
            <w:noWrap w:val="0"/>
            <w:vAlign w:val="center"/>
          </w:tcPr>
          <w:p w14:paraId="7C52173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64950</w:t>
            </w:r>
          </w:p>
        </w:tc>
        <w:tc>
          <w:tcPr>
            <w:tcW w:w="1090" w:type="dxa"/>
            <w:noWrap w:val="0"/>
            <w:vAlign w:val="center"/>
          </w:tcPr>
          <w:p w14:paraId="5DD068C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1492</w:t>
            </w:r>
          </w:p>
        </w:tc>
      </w:tr>
      <w:tr w14:paraId="5B1B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538" w:type="dxa"/>
            <w:shd w:val="clear" w:color="auto" w:fill="auto"/>
            <w:noWrap w:val="0"/>
            <w:vAlign w:val="center"/>
          </w:tcPr>
          <w:p w14:paraId="61B0814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3017" w:type="dxa"/>
            <w:shd w:val="clear" w:color="auto" w:fill="auto"/>
            <w:noWrap w:val="0"/>
            <w:vAlign w:val="center"/>
          </w:tcPr>
          <w:p w14:paraId="496DBC3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集贸市场</w:t>
            </w:r>
          </w:p>
        </w:tc>
        <w:tc>
          <w:tcPr>
            <w:tcW w:w="825" w:type="dxa"/>
            <w:tcBorders>
              <w:top w:val="nil"/>
              <w:left w:val="single" w:color="auto" w:sz="4" w:space="0"/>
              <w:bottom w:val="single" w:color="auto" w:sz="4" w:space="0"/>
              <w:right w:val="single" w:color="auto" w:sz="4" w:space="0"/>
            </w:tcBorders>
            <w:noWrap w:val="0"/>
            <w:vAlign w:val="center"/>
          </w:tcPr>
          <w:p w14:paraId="2AE0F82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i w:val="0"/>
                <w:iCs w:val="0"/>
                <w:color w:val="000000"/>
                <w:kern w:val="0"/>
                <w:sz w:val="24"/>
                <w:szCs w:val="24"/>
                <w:u w:val="none"/>
                <w:lang w:val="en-US" w:eastAsia="zh-CN" w:bidi="ar"/>
              </w:rPr>
              <w:t>8</w:t>
            </w:r>
          </w:p>
        </w:tc>
        <w:tc>
          <w:tcPr>
            <w:tcW w:w="735" w:type="dxa"/>
            <w:tcBorders>
              <w:top w:val="nil"/>
              <w:left w:val="nil"/>
              <w:bottom w:val="single" w:color="auto" w:sz="4" w:space="0"/>
              <w:right w:val="single" w:color="auto" w:sz="4" w:space="0"/>
            </w:tcBorders>
            <w:noWrap w:val="0"/>
            <w:vAlign w:val="center"/>
          </w:tcPr>
          <w:p w14:paraId="31F348F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nil"/>
              <w:left w:val="nil"/>
              <w:bottom w:val="single" w:color="auto" w:sz="4" w:space="0"/>
              <w:right w:val="single" w:color="auto" w:sz="4" w:space="0"/>
            </w:tcBorders>
            <w:noWrap w:val="0"/>
            <w:vAlign w:val="center"/>
          </w:tcPr>
          <w:p w14:paraId="5647854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31450</w:t>
            </w:r>
          </w:p>
        </w:tc>
        <w:tc>
          <w:tcPr>
            <w:tcW w:w="1697" w:type="dxa"/>
            <w:tcBorders>
              <w:top w:val="nil"/>
              <w:left w:val="nil"/>
              <w:bottom w:val="single" w:color="auto" w:sz="4" w:space="0"/>
              <w:right w:val="single" w:color="auto" w:sz="4" w:space="0"/>
            </w:tcBorders>
            <w:noWrap w:val="0"/>
            <w:vAlign w:val="center"/>
          </w:tcPr>
          <w:p w14:paraId="6A84F23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24450</w:t>
            </w:r>
          </w:p>
        </w:tc>
        <w:tc>
          <w:tcPr>
            <w:tcW w:w="1090" w:type="dxa"/>
            <w:noWrap w:val="0"/>
            <w:vAlign w:val="center"/>
          </w:tcPr>
          <w:p w14:paraId="57F63057">
            <w:pPr>
              <w:keepNext w:val="0"/>
              <w:keepLines w:val="0"/>
              <w:pageBreakBefore w:val="0"/>
              <w:shd w:val="clear"/>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p>
        </w:tc>
      </w:tr>
      <w:tr w14:paraId="78B8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538" w:type="dxa"/>
            <w:shd w:val="clear" w:color="auto" w:fill="auto"/>
            <w:noWrap w:val="0"/>
            <w:vAlign w:val="center"/>
          </w:tcPr>
          <w:p w14:paraId="4FD05C5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3017" w:type="dxa"/>
            <w:shd w:val="clear" w:color="auto" w:fill="auto"/>
            <w:noWrap w:val="0"/>
            <w:vAlign w:val="center"/>
          </w:tcPr>
          <w:p w14:paraId="063B25A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公厕、垃圾中转站</w:t>
            </w:r>
          </w:p>
        </w:tc>
        <w:tc>
          <w:tcPr>
            <w:tcW w:w="825" w:type="dxa"/>
            <w:tcBorders>
              <w:top w:val="nil"/>
              <w:left w:val="single" w:color="auto" w:sz="4" w:space="0"/>
              <w:bottom w:val="single" w:color="auto" w:sz="4" w:space="0"/>
              <w:right w:val="single" w:color="auto" w:sz="4" w:space="0"/>
            </w:tcBorders>
            <w:noWrap w:val="0"/>
            <w:vAlign w:val="center"/>
          </w:tcPr>
          <w:p w14:paraId="16059E1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66</w:t>
            </w:r>
          </w:p>
        </w:tc>
        <w:tc>
          <w:tcPr>
            <w:tcW w:w="735" w:type="dxa"/>
            <w:tcBorders>
              <w:top w:val="nil"/>
              <w:left w:val="nil"/>
              <w:bottom w:val="single" w:color="auto" w:sz="4" w:space="0"/>
              <w:right w:val="single" w:color="auto" w:sz="4" w:space="0"/>
            </w:tcBorders>
            <w:noWrap w:val="0"/>
            <w:vAlign w:val="center"/>
          </w:tcPr>
          <w:p w14:paraId="630E378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nil"/>
              <w:left w:val="nil"/>
              <w:bottom w:val="single" w:color="000000" w:sz="4" w:space="0"/>
              <w:right w:val="single" w:color="000000" w:sz="4" w:space="0"/>
            </w:tcBorders>
            <w:noWrap w:val="0"/>
            <w:vAlign w:val="center"/>
          </w:tcPr>
          <w:p w14:paraId="6FE4FA3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9051</w:t>
            </w:r>
          </w:p>
        </w:tc>
        <w:tc>
          <w:tcPr>
            <w:tcW w:w="1697" w:type="dxa"/>
            <w:tcBorders>
              <w:top w:val="nil"/>
              <w:left w:val="nil"/>
              <w:bottom w:val="single" w:color="auto" w:sz="4" w:space="0"/>
              <w:right w:val="single" w:color="auto" w:sz="4" w:space="0"/>
            </w:tcBorders>
            <w:noWrap w:val="0"/>
            <w:vAlign w:val="center"/>
          </w:tcPr>
          <w:p w14:paraId="50EF6BB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9050</w:t>
            </w:r>
          </w:p>
        </w:tc>
        <w:tc>
          <w:tcPr>
            <w:tcW w:w="1090" w:type="dxa"/>
            <w:noWrap w:val="0"/>
            <w:vAlign w:val="center"/>
          </w:tcPr>
          <w:p w14:paraId="124F80E3">
            <w:pPr>
              <w:keepNext w:val="0"/>
              <w:keepLines w:val="0"/>
              <w:pageBreakBefore w:val="0"/>
              <w:shd w:val="clear"/>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p>
        </w:tc>
      </w:tr>
      <w:tr w14:paraId="0B40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538" w:type="dxa"/>
            <w:shd w:val="clear" w:color="auto" w:fill="auto"/>
            <w:noWrap w:val="0"/>
            <w:vAlign w:val="center"/>
          </w:tcPr>
          <w:p w14:paraId="549DAB3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w:t>
            </w:r>
          </w:p>
        </w:tc>
        <w:tc>
          <w:tcPr>
            <w:tcW w:w="3017" w:type="dxa"/>
            <w:shd w:val="clear" w:color="auto" w:fill="auto"/>
            <w:noWrap w:val="0"/>
            <w:vAlign w:val="center"/>
          </w:tcPr>
          <w:p w14:paraId="5DD7EAD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主次干道绿化带+井口</w:t>
            </w:r>
          </w:p>
        </w:tc>
        <w:tc>
          <w:tcPr>
            <w:tcW w:w="825" w:type="dxa"/>
            <w:tcBorders>
              <w:top w:val="nil"/>
              <w:left w:val="single" w:color="auto" w:sz="4" w:space="0"/>
              <w:bottom w:val="nil"/>
              <w:right w:val="single" w:color="auto" w:sz="4" w:space="0"/>
            </w:tcBorders>
            <w:noWrap w:val="0"/>
            <w:vAlign w:val="center"/>
          </w:tcPr>
          <w:p w14:paraId="3619C28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116</w:t>
            </w:r>
          </w:p>
        </w:tc>
        <w:tc>
          <w:tcPr>
            <w:tcW w:w="735" w:type="dxa"/>
            <w:tcBorders>
              <w:top w:val="nil"/>
              <w:left w:val="nil"/>
              <w:bottom w:val="single" w:color="auto" w:sz="4" w:space="0"/>
              <w:right w:val="single" w:color="auto" w:sz="4" w:space="0"/>
            </w:tcBorders>
            <w:noWrap w:val="0"/>
            <w:vAlign w:val="center"/>
          </w:tcPr>
          <w:p w14:paraId="4969C88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1228" w:type="dxa"/>
            <w:tcBorders>
              <w:top w:val="nil"/>
              <w:left w:val="nil"/>
              <w:bottom w:val="single" w:color="000000" w:sz="4" w:space="0"/>
              <w:right w:val="single" w:color="000000" w:sz="4" w:space="0"/>
            </w:tcBorders>
            <w:noWrap w:val="0"/>
            <w:vAlign w:val="center"/>
          </w:tcPr>
          <w:p w14:paraId="63D3E00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970432</w:t>
            </w:r>
          </w:p>
        </w:tc>
        <w:tc>
          <w:tcPr>
            <w:tcW w:w="1697" w:type="dxa"/>
            <w:tcBorders>
              <w:top w:val="nil"/>
              <w:left w:val="nil"/>
              <w:bottom w:val="single" w:color="auto" w:sz="4" w:space="0"/>
              <w:right w:val="single" w:color="auto" w:sz="4" w:space="0"/>
            </w:tcBorders>
            <w:noWrap w:val="0"/>
            <w:vAlign w:val="center"/>
          </w:tcPr>
          <w:p w14:paraId="2C68726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192755</w:t>
            </w:r>
          </w:p>
        </w:tc>
        <w:tc>
          <w:tcPr>
            <w:tcW w:w="1090" w:type="dxa"/>
            <w:noWrap w:val="0"/>
            <w:vAlign w:val="center"/>
          </w:tcPr>
          <w:p w14:paraId="034EF53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2192</w:t>
            </w:r>
          </w:p>
        </w:tc>
      </w:tr>
      <w:tr w14:paraId="27AA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538" w:type="dxa"/>
            <w:shd w:val="clear" w:color="auto" w:fill="auto"/>
            <w:noWrap w:val="0"/>
            <w:vAlign w:val="center"/>
          </w:tcPr>
          <w:p w14:paraId="6889EAD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w:t>
            </w:r>
          </w:p>
        </w:tc>
        <w:tc>
          <w:tcPr>
            <w:tcW w:w="3017" w:type="dxa"/>
            <w:shd w:val="clear" w:color="auto" w:fill="auto"/>
            <w:noWrap w:val="0"/>
            <w:vAlign w:val="center"/>
          </w:tcPr>
          <w:p w14:paraId="0429CF2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河东管理大厦</w:t>
            </w:r>
          </w:p>
        </w:tc>
        <w:tc>
          <w:tcPr>
            <w:tcW w:w="825" w:type="dxa"/>
            <w:tcBorders>
              <w:top w:val="single" w:color="auto" w:sz="4" w:space="0"/>
              <w:left w:val="single" w:color="auto" w:sz="4" w:space="0"/>
              <w:bottom w:val="nil"/>
              <w:right w:val="single" w:color="auto" w:sz="4" w:space="0"/>
            </w:tcBorders>
            <w:noWrap w:val="0"/>
            <w:vAlign w:val="center"/>
          </w:tcPr>
          <w:p w14:paraId="254B23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nil"/>
              <w:left w:val="nil"/>
              <w:bottom w:val="single" w:color="auto" w:sz="4" w:space="0"/>
              <w:right w:val="single" w:color="auto" w:sz="4" w:space="0"/>
            </w:tcBorders>
            <w:noWrap w:val="0"/>
            <w:vAlign w:val="center"/>
          </w:tcPr>
          <w:p w14:paraId="3772E3E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nil"/>
              <w:left w:val="nil"/>
              <w:bottom w:val="single" w:color="000000" w:sz="4" w:space="0"/>
              <w:right w:val="single" w:color="000000" w:sz="4" w:space="0"/>
            </w:tcBorders>
            <w:noWrap w:val="0"/>
            <w:vAlign w:val="center"/>
          </w:tcPr>
          <w:p w14:paraId="63065B7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18080</w:t>
            </w:r>
          </w:p>
        </w:tc>
        <w:tc>
          <w:tcPr>
            <w:tcW w:w="1697" w:type="dxa"/>
            <w:tcBorders>
              <w:top w:val="nil"/>
              <w:left w:val="nil"/>
              <w:bottom w:val="single" w:color="auto" w:sz="4" w:space="0"/>
              <w:right w:val="single" w:color="auto" w:sz="4" w:space="0"/>
            </w:tcBorders>
            <w:noWrap w:val="0"/>
            <w:vAlign w:val="center"/>
          </w:tcPr>
          <w:p w14:paraId="61790B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18080</w:t>
            </w:r>
          </w:p>
        </w:tc>
        <w:tc>
          <w:tcPr>
            <w:tcW w:w="1090" w:type="dxa"/>
            <w:noWrap w:val="0"/>
            <w:vAlign w:val="center"/>
          </w:tcPr>
          <w:p w14:paraId="220E3F32">
            <w:pPr>
              <w:keepNext w:val="0"/>
              <w:keepLines w:val="0"/>
              <w:pageBreakBefore w:val="0"/>
              <w:shd w:val="clear"/>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p>
        </w:tc>
      </w:tr>
      <w:tr w14:paraId="1F03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538" w:type="dxa"/>
            <w:shd w:val="clear" w:color="auto" w:fill="auto"/>
            <w:noWrap w:val="0"/>
            <w:vAlign w:val="center"/>
          </w:tcPr>
          <w:p w14:paraId="7D73F48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3017" w:type="dxa"/>
            <w:shd w:val="clear" w:color="auto" w:fill="auto"/>
            <w:noWrap w:val="0"/>
            <w:vAlign w:val="center"/>
          </w:tcPr>
          <w:p w14:paraId="0D468AC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花鸟市场</w:t>
            </w:r>
          </w:p>
        </w:tc>
        <w:tc>
          <w:tcPr>
            <w:tcW w:w="825" w:type="dxa"/>
            <w:tcBorders>
              <w:top w:val="single" w:color="auto" w:sz="4" w:space="0"/>
              <w:left w:val="single" w:color="auto" w:sz="4" w:space="0"/>
              <w:bottom w:val="nil"/>
              <w:right w:val="single" w:color="auto" w:sz="4" w:space="0"/>
            </w:tcBorders>
            <w:noWrap w:val="0"/>
            <w:vAlign w:val="center"/>
          </w:tcPr>
          <w:p w14:paraId="6F6AA41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nil"/>
              <w:left w:val="nil"/>
              <w:bottom w:val="single" w:color="auto" w:sz="4" w:space="0"/>
              <w:right w:val="single" w:color="auto" w:sz="4" w:space="0"/>
            </w:tcBorders>
            <w:noWrap w:val="0"/>
            <w:vAlign w:val="center"/>
          </w:tcPr>
          <w:p w14:paraId="32C8572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nil"/>
              <w:left w:val="nil"/>
              <w:bottom w:val="single" w:color="000000" w:sz="4" w:space="0"/>
              <w:right w:val="single" w:color="000000" w:sz="4" w:space="0"/>
            </w:tcBorders>
            <w:noWrap w:val="0"/>
            <w:vAlign w:val="center"/>
          </w:tcPr>
          <w:p w14:paraId="2CC3CD9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5000</w:t>
            </w:r>
          </w:p>
        </w:tc>
        <w:tc>
          <w:tcPr>
            <w:tcW w:w="1697" w:type="dxa"/>
            <w:tcBorders>
              <w:top w:val="nil"/>
              <w:left w:val="nil"/>
              <w:bottom w:val="single" w:color="auto" w:sz="4" w:space="0"/>
              <w:right w:val="single" w:color="auto" w:sz="4" w:space="0"/>
            </w:tcBorders>
            <w:noWrap w:val="0"/>
            <w:vAlign w:val="center"/>
          </w:tcPr>
          <w:p w14:paraId="04672CA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3350</w:t>
            </w:r>
          </w:p>
        </w:tc>
        <w:tc>
          <w:tcPr>
            <w:tcW w:w="1090" w:type="dxa"/>
            <w:noWrap w:val="0"/>
            <w:vAlign w:val="center"/>
          </w:tcPr>
          <w:p w14:paraId="326CB4F1">
            <w:pPr>
              <w:keepNext w:val="0"/>
              <w:keepLines w:val="0"/>
              <w:pageBreakBefore w:val="0"/>
              <w:shd w:val="clear"/>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p>
        </w:tc>
      </w:tr>
      <w:tr w14:paraId="13D4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538" w:type="dxa"/>
            <w:shd w:val="clear" w:color="auto" w:fill="auto"/>
            <w:noWrap w:val="0"/>
            <w:vAlign w:val="center"/>
          </w:tcPr>
          <w:p w14:paraId="773BB2E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w:t>
            </w:r>
          </w:p>
        </w:tc>
        <w:tc>
          <w:tcPr>
            <w:tcW w:w="3017" w:type="dxa"/>
            <w:shd w:val="clear" w:color="auto" w:fill="auto"/>
            <w:noWrap w:val="0"/>
            <w:vAlign w:val="center"/>
          </w:tcPr>
          <w:p w14:paraId="6838F7F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基层医疗卫生机构</w:t>
            </w:r>
          </w:p>
        </w:tc>
        <w:tc>
          <w:tcPr>
            <w:tcW w:w="825" w:type="dxa"/>
            <w:tcBorders>
              <w:top w:val="single" w:color="auto" w:sz="4" w:space="0"/>
              <w:left w:val="single" w:color="auto" w:sz="4" w:space="0"/>
              <w:bottom w:val="nil"/>
              <w:right w:val="single" w:color="auto" w:sz="4" w:space="0"/>
            </w:tcBorders>
            <w:noWrap w:val="0"/>
            <w:vAlign w:val="center"/>
          </w:tcPr>
          <w:p w14:paraId="259F4F7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w:t>
            </w:r>
          </w:p>
        </w:tc>
        <w:tc>
          <w:tcPr>
            <w:tcW w:w="735" w:type="dxa"/>
            <w:tcBorders>
              <w:top w:val="nil"/>
              <w:left w:val="nil"/>
              <w:bottom w:val="single" w:color="auto" w:sz="4" w:space="0"/>
              <w:right w:val="single" w:color="auto" w:sz="4" w:space="0"/>
            </w:tcBorders>
            <w:noWrap w:val="0"/>
            <w:vAlign w:val="center"/>
          </w:tcPr>
          <w:p w14:paraId="2FFD46E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nil"/>
              <w:left w:val="nil"/>
              <w:bottom w:val="single" w:color="000000" w:sz="4" w:space="0"/>
              <w:right w:val="single" w:color="000000" w:sz="4" w:space="0"/>
            </w:tcBorders>
            <w:noWrap w:val="0"/>
            <w:vAlign w:val="center"/>
          </w:tcPr>
          <w:p w14:paraId="1468F95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11990</w:t>
            </w:r>
          </w:p>
        </w:tc>
        <w:tc>
          <w:tcPr>
            <w:tcW w:w="1697" w:type="dxa"/>
            <w:tcBorders>
              <w:top w:val="nil"/>
              <w:left w:val="nil"/>
              <w:bottom w:val="single" w:color="auto" w:sz="4" w:space="0"/>
              <w:right w:val="single" w:color="auto" w:sz="4" w:space="0"/>
            </w:tcBorders>
            <w:noWrap w:val="0"/>
            <w:vAlign w:val="center"/>
          </w:tcPr>
          <w:p w14:paraId="535D33B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4000</w:t>
            </w:r>
          </w:p>
        </w:tc>
        <w:tc>
          <w:tcPr>
            <w:tcW w:w="1090" w:type="dxa"/>
            <w:noWrap w:val="0"/>
            <w:vAlign w:val="center"/>
          </w:tcPr>
          <w:p w14:paraId="2A12835F">
            <w:pPr>
              <w:keepNext w:val="0"/>
              <w:keepLines w:val="0"/>
              <w:pageBreakBefore w:val="0"/>
              <w:shd w:val="clear"/>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p>
        </w:tc>
      </w:tr>
      <w:tr w14:paraId="06A7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3555" w:type="dxa"/>
            <w:gridSpan w:val="2"/>
            <w:noWrap w:val="0"/>
            <w:vAlign w:val="center"/>
          </w:tcPr>
          <w:p w14:paraId="2F1F821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合计</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4FD9EE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584</w:t>
            </w:r>
          </w:p>
        </w:tc>
        <w:tc>
          <w:tcPr>
            <w:tcW w:w="735" w:type="dxa"/>
            <w:tcBorders>
              <w:top w:val="nil"/>
              <w:left w:val="nil"/>
              <w:bottom w:val="single" w:color="auto" w:sz="4" w:space="0"/>
              <w:right w:val="single" w:color="auto" w:sz="4" w:space="0"/>
            </w:tcBorders>
            <w:noWrap w:val="0"/>
            <w:vAlign w:val="center"/>
          </w:tcPr>
          <w:p w14:paraId="54CF07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个</w:t>
            </w:r>
          </w:p>
        </w:tc>
        <w:tc>
          <w:tcPr>
            <w:tcW w:w="1228" w:type="dxa"/>
            <w:tcBorders>
              <w:top w:val="nil"/>
              <w:left w:val="nil"/>
              <w:bottom w:val="single" w:color="auto" w:sz="4" w:space="0"/>
              <w:right w:val="single" w:color="auto" w:sz="4" w:space="0"/>
            </w:tcBorders>
            <w:noWrap w:val="0"/>
            <w:vAlign w:val="center"/>
          </w:tcPr>
          <w:p w14:paraId="6B7C506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fldChar w:fldCharType="begin"/>
            </w:r>
            <w:r>
              <w:rPr>
                <w:rFonts w:hint="eastAsia" w:ascii="宋体" w:hAnsi="宋体" w:eastAsia="宋体" w:cs="宋体"/>
                <w:b/>
                <w:bCs/>
                <w:i w:val="0"/>
                <w:iCs w:val="0"/>
                <w:color w:val="000000"/>
                <w:kern w:val="0"/>
                <w:sz w:val="24"/>
                <w:szCs w:val="24"/>
                <w:u w:val="none"/>
                <w:lang w:val="en-US" w:eastAsia="zh-CN" w:bidi="ar"/>
              </w:rPr>
              <w:instrText xml:space="preserve"> = sum(E2:E10) \* MERGEFORMAT </w:instrText>
            </w:r>
            <w:r>
              <w:rPr>
                <w:rFonts w:hint="eastAsia" w:ascii="宋体" w:hAnsi="宋体" w:eastAsia="宋体" w:cs="宋体"/>
                <w:b/>
                <w:bCs/>
                <w:i w:val="0"/>
                <w:iCs w:val="0"/>
                <w:color w:val="000000"/>
                <w:kern w:val="0"/>
                <w:sz w:val="24"/>
                <w:szCs w:val="24"/>
                <w:u w:val="none"/>
                <w:lang w:val="en-US" w:eastAsia="zh-CN" w:bidi="ar"/>
              </w:rPr>
              <w:fldChar w:fldCharType="separate"/>
            </w:r>
            <w:r>
              <w:rPr>
                <w:rFonts w:hint="eastAsia" w:ascii="宋体" w:hAnsi="宋体" w:eastAsia="宋体" w:cs="宋体"/>
                <w:b/>
                <w:bCs/>
                <w:i w:val="0"/>
                <w:iCs w:val="0"/>
                <w:color w:val="000000"/>
                <w:kern w:val="0"/>
                <w:sz w:val="24"/>
                <w:szCs w:val="24"/>
                <w:u w:val="none"/>
                <w:lang w:val="en-US" w:eastAsia="zh-CN" w:bidi="ar"/>
              </w:rPr>
              <w:t>14942404</w:t>
            </w:r>
            <w:r>
              <w:rPr>
                <w:rFonts w:hint="eastAsia" w:ascii="宋体" w:hAnsi="宋体" w:eastAsia="宋体" w:cs="宋体"/>
                <w:b/>
                <w:bCs/>
                <w:i w:val="0"/>
                <w:iCs w:val="0"/>
                <w:color w:val="000000"/>
                <w:kern w:val="0"/>
                <w:sz w:val="24"/>
                <w:szCs w:val="24"/>
                <w:u w:val="none"/>
                <w:lang w:val="en-US" w:eastAsia="zh-CN" w:bidi="ar"/>
              </w:rPr>
              <w:fldChar w:fldCharType="end"/>
            </w:r>
          </w:p>
        </w:tc>
        <w:tc>
          <w:tcPr>
            <w:tcW w:w="1697" w:type="dxa"/>
            <w:tcBorders>
              <w:top w:val="nil"/>
              <w:left w:val="nil"/>
              <w:bottom w:val="single" w:color="auto" w:sz="4" w:space="0"/>
              <w:right w:val="single" w:color="auto" w:sz="4" w:space="0"/>
            </w:tcBorders>
            <w:noWrap w:val="0"/>
            <w:vAlign w:val="center"/>
          </w:tcPr>
          <w:p w14:paraId="7429F16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fldChar w:fldCharType="begin"/>
            </w:r>
            <w:r>
              <w:rPr>
                <w:rFonts w:hint="eastAsia" w:ascii="宋体" w:hAnsi="宋体" w:eastAsia="宋体" w:cs="宋体"/>
                <w:b/>
                <w:bCs/>
                <w:i w:val="0"/>
                <w:iCs w:val="0"/>
                <w:color w:val="000000"/>
                <w:kern w:val="0"/>
                <w:sz w:val="24"/>
                <w:szCs w:val="24"/>
                <w:u w:val="none"/>
                <w:lang w:val="en-US" w:eastAsia="zh-CN" w:bidi="ar"/>
              </w:rPr>
              <w:instrText xml:space="preserve"> = sum(F2:F10) \* MERGEFORMAT </w:instrText>
            </w:r>
            <w:r>
              <w:rPr>
                <w:rFonts w:hint="eastAsia" w:ascii="宋体" w:hAnsi="宋体" w:eastAsia="宋体" w:cs="宋体"/>
                <w:b/>
                <w:bCs/>
                <w:i w:val="0"/>
                <w:iCs w:val="0"/>
                <w:color w:val="000000"/>
                <w:kern w:val="0"/>
                <w:sz w:val="24"/>
                <w:szCs w:val="24"/>
                <w:u w:val="none"/>
                <w:lang w:val="en-US" w:eastAsia="zh-CN" w:bidi="ar"/>
              </w:rPr>
              <w:fldChar w:fldCharType="separate"/>
            </w:r>
            <w:r>
              <w:rPr>
                <w:rFonts w:hint="eastAsia" w:ascii="宋体" w:hAnsi="宋体" w:eastAsia="宋体" w:cs="宋体"/>
                <w:b/>
                <w:bCs/>
                <w:i w:val="0"/>
                <w:iCs w:val="0"/>
                <w:color w:val="000000"/>
                <w:kern w:val="0"/>
                <w:sz w:val="24"/>
                <w:szCs w:val="24"/>
                <w:u w:val="none"/>
                <w:lang w:val="en-US" w:eastAsia="zh-CN" w:bidi="ar"/>
              </w:rPr>
              <w:t>840935</w:t>
            </w:r>
            <w:r>
              <w:rPr>
                <w:rFonts w:hint="eastAsia" w:ascii="宋体" w:hAnsi="宋体" w:eastAsia="宋体" w:cs="宋体"/>
                <w:b/>
                <w:bCs/>
                <w:i w:val="0"/>
                <w:iCs w:val="0"/>
                <w:color w:val="000000"/>
                <w:kern w:val="0"/>
                <w:sz w:val="24"/>
                <w:szCs w:val="24"/>
                <w:u w:val="none"/>
                <w:lang w:val="en-US" w:eastAsia="zh-CN" w:bidi="ar"/>
              </w:rPr>
              <w:fldChar w:fldCharType="end"/>
            </w:r>
          </w:p>
        </w:tc>
        <w:tc>
          <w:tcPr>
            <w:tcW w:w="1090" w:type="dxa"/>
            <w:noWrap w:val="0"/>
            <w:vAlign w:val="center"/>
          </w:tcPr>
          <w:p w14:paraId="1DD7B6A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fldChar w:fldCharType="begin"/>
            </w:r>
            <w:r>
              <w:rPr>
                <w:rFonts w:hint="eastAsia" w:ascii="宋体" w:hAnsi="宋体" w:eastAsia="宋体" w:cs="宋体"/>
                <w:b/>
                <w:bCs/>
                <w:i w:val="0"/>
                <w:iCs w:val="0"/>
                <w:color w:val="000000"/>
                <w:kern w:val="0"/>
                <w:sz w:val="24"/>
                <w:szCs w:val="24"/>
                <w:u w:val="none"/>
                <w:lang w:val="en-US" w:eastAsia="zh-CN" w:bidi="ar"/>
              </w:rPr>
              <w:instrText xml:space="preserve"> = sum(G2:G9) \* MERGEFORMAT </w:instrText>
            </w:r>
            <w:r>
              <w:rPr>
                <w:rFonts w:hint="eastAsia" w:ascii="宋体" w:hAnsi="宋体" w:eastAsia="宋体" w:cs="宋体"/>
                <w:b/>
                <w:bCs/>
                <w:i w:val="0"/>
                <w:iCs w:val="0"/>
                <w:color w:val="000000"/>
                <w:kern w:val="0"/>
                <w:sz w:val="24"/>
                <w:szCs w:val="24"/>
                <w:u w:val="none"/>
                <w:lang w:val="en-US" w:eastAsia="zh-CN" w:bidi="ar"/>
              </w:rPr>
              <w:fldChar w:fldCharType="separate"/>
            </w:r>
            <w:r>
              <w:rPr>
                <w:rFonts w:hint="eastAsia" w:ascii="宋体" w:hAnsi="宋体" w:eastAsia="宋体" w:cs="宋体"/>
                <w:b/>
                <w:bCs/>
                <w:i w:val="0"/>
                <w:iCs w:val="0"/>
                <w:color w:val="000000"/>
                <w:kern w:val="0"/>
                <w:sz w:val="24"/>
                <w:szCs w:val="24"/>
                <w:u w:val="none"/>
                <w:lang w:val="en-US" w:eastAsia="zh-CN" w:bidi="ar"/>
              </w:rPr>
              <w:t>6410</w:t>
            </w:r>
            <w:r>
              <w:rPr>
                <w:rFonts w:hint="eastAsia" w:ascii="宋体" w:hAnsi="宋体" w:eastAsia="宋体" w:cs="宋体"/>
                <w:b/>
                <w:bCs/>
                <w:i w:val="0"/>
                <w:iCs w:val="0"/>
                <w:color w:val="000000"/>
                <w:kern w:val="0"/>
                <w:sz w:val="24"/>
                <w:szCs w:val="24"/>
                <w:u w:val="none"/>
                <w:lang w:val="en-US" w:eastAsia="zh-CN" w:bidi="ar"/>
              </w:rPr>
              <w:fldChar w:fldCharType="end"/>
            </w:r>
          </w:p>
        </w:tc>
      </w:tr>
    </w:tbl>
    <w:p w14:paraId="1844196F">
      <w:pPr>
        <w:keepNext w:val="0"/>
        <w:keepLines w:val="0"/>
        <w:pageBreakBefore w:val="0"/>
        <w:shd w:val="clear"/>
        <w:kinsoku/>
        <w:wordWrap/>
        <w:overflowPunct/>
        <w:topLinePunct w:val="0"/>
        <w:autoSpaceDE/>
        <w:autoSpaceDN/>
        <w:bidi w:val="0"/>
        <w:adjustRightInd/>
        <w:snapToGrid/>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2、服务内容</w:t>
      </w:r>
    </w:p>
    <w:p w14:paraId="0A97C732">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对城中区范围内</w:t>
      </w:r>
      <w:r>
        <w:rPr>
          <w:rFonts w:hint="eastAsia" w:ascii="宋体" w:hAnsi="宋体" w:eastAsia="宋体" w:cs="宋体"/>
          <w:color w:val="000000"/>
          <w:kern w:val="0"/>
          <w:sz w:val="24"/>
          <w:szCs w:val="24"/>
          <w:lang w:val="en-US" w:eastAsia="zh-CN"/>
        </w:rPr>
        <w:t>城中村和城乡结合部、</w:t>
      </w:r>
      <w:r>
        <w:rPr>
          <w:rFonts w:hint="eastAsia" w:ascii="宋体" w:hAnsi="宋体" w:eastAsia="宋体" w:cs="宋体"/>
          <w:color w:val="000000"/>
          <w:kern w:val="0"/>
          <w:sz w:val="24"/>
          <w:szCs w:val="24"/>
        </w:rPr>
        <w:t>背街小巷、三无小区、集贸市场、公厕及垃圾中转站、公共厕所、</w:t>
      </w:r>
      <w:r>
        <w:rPr>
          <w:rFonts w:hint="eastAsia" w:ascii="宋体" w:hAnsi="宋体" w:eastAsia="宋体" w:cs="宋体"/>
          <w:color w:val="000000"/>
          <w:kern w:val="0"/>
          <w:sz w:val="24"/>
          <w:szCs w:val="24"/>
          <w:lang w:val="en-US" w:eastAsia="zh-CN"/>
        </w:rPr>
        <w:t>绿化带、</w:t>
      </w:r>
      <w:r>
        <w:rPr>
          <w:rFonts w:hint="eastAsia" w:ascii="宋体" w:hAnsi="宋体" w:eastAsia="宋体" w:cs="宋体"/>
          <w:color w:val="000000"/>
          <w:kern w:val="0"/>
          <w:sz w:val="24"/>
          <w:szCs w:val="24"/>
        </w:rPr>
        <w:t>井口（下水道）、花鸟市场、基层医疗卫生机构等</w:t>
      </w:r>
      <w:r>
        <w:rPr>
          <w:rFonts w:hint="eastAsia" w:ascii="宋体" w:hAnsi="宋体" w:eastAsia="宋体" w:cs="宋体"/>
          <w:color w:val="000000"/>
          <w:kern w:val="0"/>
          <w:sz w:val="24"/>
          <w:szCs w:val="24"/>
          <w:lang w:val="en-US" w:eastAsia="zh-CN"/>
        </w:rPr>
        <w:t>重点区域</w:t>
      </w:r>
      <w:r>
        <w:rPr>
          <w:rFonts w:hint="eastAsia" w:ascii="宋体" w:hAnsi="宋体" w:eastAsia="宋体" w:cs="宋体"/>
          <w:color w:val="000000"/>
          <w:kern w:val="0"/>
          <w:sz w:val="24"/>
          <w:szCs w:val="24"/>
        </w:rPr>
        <w:t xml:space="preserve">开展“四害”防制工作，并清理“四害”痕迹（包括填堵鼠洞、清理死鼠、鼠粪等，灭后两周内清理）。 </w:t>
      </w:r>
    </w:p>
    <w:p w14:paraId="51A91B42">
      <w:pPr>
        <w:keepNext w:val="0"/>
        <w:keepLines w:val="0"/>
        <w:pageBreakBefore w:val="0"/>
        <w:widowControl/>
        <w:shd w:val="clear"/>
        <w:kinsoku/>
        <w:wordWrap/>
        <w:overflowPunct/>
        <w:topLinePunct w:val="0"/>
        <w:autoSpaceDE/>
        <w:autoSpaceDN/>
        <w:bidi w:val="0"/>
        <w:adjustRightInd/>
        <w:snapToGrid/>
        <w:spacing w:line="360" w:lineRule="auto"/>
        <w:ind w:firstLine="480"/>
        <w:jc w:val="left"/>
        <w:rPr>
          <w:rFonts w:hint="eastAsia" w:ascii="宋体" w:hAnsi="宋体" w:eastAsia="宋体" w:cs="宋体"/>
          <w:b/>
          <w:bCs/>
          <w:color w:val="auto"/>
          <w:kern w:val="0"/>
          <w:sz w:val="24"/>
          <w:szCs w:val="24"/>
          <w:lang w:eastAsia="zh-CN"/>
        </w:rPr>
      </w:pPr>
      <w:r>
        <w:rPr>
          <w:rFonts w:hint="eastAsia" w:ascii="宋体" w:hAnsi="宋体" w:eastAsia="宋体" w:cs="宋体"/>
          <w:color w:val="auto"/>
          <w:kern w:val="0"/>
          <w:sz w:val="24"/>
          <w:szCs w:val="24"/>
        </w:rPr>
        <w:t>（一）全区公共场所（小街小巷、花鸟市场、集贸市场和“三无”小区、公厕等）</w:t>
      </w:r>
      <w:r>
        <w:rPr>
          <w:rFonts w:hint="eastAsia" w:ascii="宋体" w:hAnsi="宋体" w:eastAsia="宋体" w:cs="宋体"/>
          <w:color w:val="auto"/>
          <w:kern w:val="0"/>
          <w:sz w:val="24"/>
          <w:szCs w:val="24"/>
          <w:lang w:val="en-US" w:eastAsia="zh-CN"/>
        </w:rPr>
        <w:t>消杀所需用到的</w:t>
      </w:r>
      <w:r>
        <w:rPr>
          <w:rFonts w:hint="eastAsia" w:ascii="宋体" w:hAnsi="宋体" w:eastAsia="宋体" w:cs="宋体"/>
          <w:color w:val="auto"/>
          <w:kern w:val="0"/>
          <w:sz w:val="24"/>
          <w:szCs w:val="24"/>
        </w:rPr>
        <w:t>除“四害”</w:t>
      </w:r>
      <w:r>
        <w:rPr>
          <w:rFonts w:hint="eastAsia" w:ascii="宋体" w:hAnsi="宋体" w:eastAsia="宋体" w:cs="宋体"/>
          <w:color w:val="auto"/>
          <w:kern w:val="0"/>
          <w:sz w:val="24"/>
          <w:szCs w:val="24"/>
          <w:lang w:val="en-US" w:eastAsia="zh-CN"/>
        </w:rPr>
        <w:t>药械优先使用市卫健委</w:t>
      </w:r>
      <w:r>
        <w:rPr>
          <w:rFonts w:hint="eastAsia" w:ascii="宋体" w:hAnsi="宋体" w:eastAsia="宋体" w:cs="宋体"/>
          <w:color w:val="auto"/>
          <w:kern w:val="0"/>
          <w:sz w:val="24"/>
          <w:szCs w:val="24"/>
        </w:rPr>
        <w:t>提供</w:t>
      </w:r>
      <w:r>
        <w:rPr>
          <w:rFonts w:hint="eastAsia" w:ascii="宋体" w:hAnsi="宋体" w:eastAsia="宋体" w:cs="宋体"/>
          <w:color w:val="auto"/>
          <w:kern w:val="0"/>
          <w:sz w:val="24"/>
          <w:szCs w:val="24"/>
          <w:lang w:val="en-US" w:eastAsia="zh-CN"/>
        </w:rPr>
        <w:t>的产品</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药械在服务期</w:t>
      </w:r>
      <w:r>
        <w:rPr>
          <w:rFonts w:hint="eastAsia" w:ascii="宋体" w:hAnsi="宋体" w:eastAsia="宋体" w:cs="宋体"/>
          <w:color w:val="auto"/>
          <w:kern w:val="0"/>
          <w:sz w:val="24"/>
          <w:szCs w:val="24"/>
        </w:rPr>
        <w:t>中出现不足的情况，须由成交服务商免费提供</w:t>
      </w:r>
      <w:r>
        <w:rPr>
          <w:rFonts w:hint="eastAsia" w:ascii="宋体" w:hAnsi="宋体" w:eastAsia="宋体" w:cs="宋体"/>
          <w:color w:val="auto"/>
          <w:kern w:val="0"/>
          <w:sz w:val="24"/>
          <w:szCs w:val="24"/>
          <w:lang w:val="en-US" w:eastAsia="zh-CN"/>
        </w:rPr>
        <w:t>符合国家相关标准的药械</w:t>
      </w:r>
      <w:r>
        <w:rPr>
          <w:rFonts w:hint="eastAsia" w:ascii="宋体" w:hAnsi="宋体" w:eastAsia="宋体" w:cs="宋体"/>
          <w:color w:val="auto"/>
          <w:kern w:val="0"/>
          <w:sz w:val="24"/>
          <w:szCs w:val="24"/>
        </w:rPr>
        <w:t>。</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本服务项目为包工包料项目</w:t>
      </w:r>
      <w:r>
        <w:rPr>
          <w:rFonts w:hint="eastAsia" w:ascii="宋体" w:hAnsi="宋体" w:eastAsia="宋体" w:cs="宋体"/>
          <w:b/>
          <w:bCs/>
          <w:color w:val="auto"/>
          <w:kern w:val="0"/>
          <w:sz w:val="24"/>
          <w:szCs w:val="24"/>
          <w:lang w:eastAsia="zh-CN"/>
        </w:rPr>
        <w:t>）</w:t>
      </w:r>
    </w:p>
    <w:p w14:paraId="2A531796">
      <w:pPr>
        <w:keepNext w:val="0"/>
        <w:keepLines w:val="0"/>
        <w:pageBreakBefore w:val="0"/>
        <w:widowControl/>
        <w:shd w:val="clear"/>
        <w:kinsoku/>
        <w:wordWrap/>
        <w:overflowPunct/>
        <w:topLinePunct w:val="0"/>
        <w:autoSpaceDE/>
        <w:autoSpaceDN/>
        <w:bidi w:val="0"/>
        <w:adjustRightInd/>
        <w:snapToGrid/>
        <w:spacing w:line="360" w:lineRule="auto"/>
        <w:ind w:firstLine="48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（二）必须确保消杀范围内密度达到国家卫生城市标准，消杀的同时对重点行业、重点场所灭鼠工作进行指导。 </w:t>
      </w:r>
    </w:p>
    <w:p w14:paraId="15689B4D">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highlight w:val="none"/>
        </w:rPr>
        <w:t>（三）</w:t>
      </w:r>
      <w:r>
        <w:rPr>
          <w:rFonts w:hint="eastAsia" w:ascii="宋体" w:hAnsi="宋体" w:eastAsia="宋体" w:cs="宋体"/>
          <w:color w:val="000000"/>
          <w:kern w:val="0"/>
          <w:sz w:val="24"/>
          <w:szCs w:val="24"/>
        </w:rPr>
        <w:t>免费负责全区范围内开展病媒生物</w:t>
      </w:r>
      <w:r>
        <w:rPr>
          <w:rFonts w:hint="eastAsia" w:ascii="宋体" w:hAnsi="宋体" w:eastAsia="宋体" w:cs="宋体"/>
          <w:kern w:val="0"/>
          <w:sz w:val="24"/>
          <w:szCs w:val="24"/>
        </w:rPr>
        <w:t>孳生地调查，开展病媒生物危害调查,有调查方案、孳生地台账。调查方法及内容须按《</w:t>
      </w:r>
      <w:r>
        <w:rPr>
          <w:rFonts w:hint="eastAsia" w:ascii="宋体" w:hAnsi="宋体" w:eastAsia="宋体" w:cs="宋体"/>
          <w:kern w:val="0"/>
          <w:sz w:val="24"/>
          <w:szCs w:val="24"/>
          <w:lang w:val="en-US" w:eastAsia="zh-CN"/>
        </w:rPr>
        <w:t>2025</w:t>
      </w:r>
      <w:r>
        <w:rPr>
          <w:rFonts w:hint="eastAsia" w:ascii="宋体" w:hAnsi="宋体" w:eastAsia="宋体" w:cs="宋体"/>
          <w:kern w:val="0"/>
          <w:sz w:val="24"/>
          <w:szCs w:val="24"/>
        </w:rPr>
        <w:t>年柳州市病媒生物防制工作方案》</w:t>
      </w:r>
      <w:r>
        <w:rPr>
          <w:rFonts w:hint="eastAsia" w:ascii="宋体" w:hAnsi="宋体" w:eastAsia="宋体" w:cs="宋体"/>
          <w:color w:val="000000"/>
          <w:kern w:val="0"/>
          <w:sz w:val="24"/>
          <w:szCs w:val="24"/>
        </w:rPr>
        <w:t xml:space="preserve">进行。 </w:t>
      </w:r>
    </w:p>
    <w:p w14:paraId="42277C3D">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highlight w:val="none"/>
        </w:rPr>
        <w:t xml:space="preserve">   （四）免费负责灭前及灭后“四害”密度监测，并填报服务时间内</w:t>
      </w:r>
      <w:r>
        <w:rPr>
          <w:rFonts w:hint="eastAsia" w:ascii="宋体" w:hAnsi="宋体" w:eastAsia="宋体" w:cs="宋体"/>
          <w:color w:val="000000"/>
          <w:kern w:val="0"/>
          <w:sz w:val="24"/>
          <w:szCs w:val="24"/>
          <w:highlight w:val="none"/>
          <w:lang w:val="en-US" w:eastAsia="zh-CN"/>
        </w:rPr>
        <w:t>上级</w:t>
      </w:r>
      <w:r>
        <w:rPr>
          <w:rFonts w:hint="eastAsia" w:ascii="宋体" w:hAnsi="宋体" w:eastAsia="宋体" w:cs="宋体"/>
          <w:color w:val="000000"/>
          <w:kern w:val="0"/>
          <w:sz w:val="24"/>
          <w:szCs w:val="24"/>
          <w:highlight w:val="none"/>
        </w:rPr>
        <w:t xml:space="preserve">所需填报的密度调查表。 </w:t>
      </w:r>
    </w:p>
    <w:p w14:paraId="7D6395CA">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kern w:val="0"/>
          <w:sz w:val="24"/>
          <w:szCs w:val="24"/>
          <w:highlight w:val="none"/>
        </w:rPr>
        <w:t xml:space="preserve">    </w:t>
      </w:r>
      <w:bookmarkStart w:id="30" w:name="OLE_LINK3"/>
      <w:r>
        <w:rPr>
          <w:rFonts w:hint="eastAsia" w:ascii="宋体" w:hAnsi="宋体" w:eastAsia="宋体" w:cs="宋体"/>
          <w:color w:val="auto"/>
          <w:kern w:val="0"/>
          <w:sz w:val="24"/>
          <w:szCs w:val="24"/>
          <w:highlight w:val="none"/>
        </w:rPr>
        <w:t>（五）按市级要求做好工作档案记录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包括药品使用的出入库记录和管理、毒饵站日常维护和管理、消杀记录等其他相关建档工作。</w:t>
      </w:r>
    </w:p>
    <w:p w14:paraId="1C12F981">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 xml:space="preserve">    </w:t>
      </w:r>
      <w:bookmarkStart w:id="31" w:name="OLE_LINK4"/>
      <w:r>
        <w:rPr>
          <w:rFonts w:hint="eastAsia" w:ascii="宋体" w:hAnsi="宋体" w:eastAsia="宋体" w:cs="宋体"/>
          <w:color w:val="000000"/>
          <w:kern w:val="0"/>
          <w:sz w:val="24"/>
          <w:szCs w:val="24"/>
          <w:highlight w:val="none"/>
        </w:rPr>
        <w:t>（六）</w:t>
      </w:r>
      <w:r>
        <w:rPr>
          <w:rFonts w:hint="eastAsia" w:ascii="宋体" w:hAnsi="宋体" w:eastAsia="宋体" w:cs="宋体"/>
          <w:color w:val="000000"/>
          <w:kern w:val="0"/>
          <w:sz w:val="24"/>
          <w:szCs w:val="24"/>
          <w:highlight w:val="none"/>
          <w:lang w:val="en-US" w:eastAsia="zh-CN"/>
        </w:rPr>
        <w:t>本次消杀服务组织开展</w:t>
      </w:r>
      <w:r>
        <w:rPr>
          <w:rFonts w:hint="eastAsia" w:ascii="宋体" w:hAnsi="宋体" w:eastAsia="宋体" w:cs="宋体"/>
          <w:color w:val="000000"/>
          <w:kern w:val="0"/>
          <w:sz w:val="24"/>
          <w:szCs w:val="24"/>
          <w:highlight w:val="none"/>
        </w:rPr>
        <w:t xml:space="preserve"> 4 次统一消杀活动。其中第一</w:t>
      </w:r>
      <w:r>
        <w:rPr>
          <w:rFonts w:hint="eastAsia" w:ascii="宋体" w:hAnsi="宋体" w:eastAsia="宋体" w:cs="宋体"/>
          <w:color w:val="000000"/>
          <w:kern w:val="0"/>
          <w:sz w:val="24"/>
          <w:szCs w:val="24"/>
          <w:highlight w:val="none"/>
          <w:lang w:val="en-US" w:eastAsia="zh-CN"/>
        </w:rPr>
        <w:t>阶段</w:t>
      </w:r>
      <w:r>
        <w:rPr>
          <w:rFonts w:hint="eastAsia" w:ascii="宋体" w:hAnsi="宋体" w:eastAsia="宋体" w:cs="宋体"/>
          <w:color w:val="000000"/>
          <w:kern w:val="0"/>
          <w:sz w:val="24"/>
          <w:szCs w:val="24"/>
          <w:highlight w:val="none"/>
        </w:rPr>
        <w:t>为</w:t>
      </w:r>
      <w:r>
        <w:rPr>
          <w:rFonts w:hint="eastAsia" w:ascii="宋体" w:hAnsi="宋体" w:eastAsia="宋体" w:cs="宋体"/>
          <w:color w:val="000000"/>
          <w:kern w:val="0"/>
          <w:sz w:val="24"/>
          <w:szCs w:val="24"/>
          <w:highlight w:val="none"/>
          <w:lang w:val="en-US" w:eastAsia="zh-CN"/>
        </w:rPr>
        <w:t>2026年7</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月，第二</w:t>
      </w:r>
      <w:r>
        <w:rPr>
          <w:rFonts w:hint="eastAsia" w:ascii="宋体" w:hAnsi="宋体" w:eastAsia="宋体" w:cs="宋体"/>
          <w:color w:val="000000"/>
          <w:kern w:val="0"/>
          <w:sz w:val="24"/>
          <w:szCs w:val="24"/>
          <w:highlight w:val="none"/>
          <w:lang w:val="en-US" w:eastAsia="zh-CN"/>
        </w:rPr>
        <w:t>阶段2026年10</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月，第三</w:t>
      </w:r>
      <w:r>
        <w:rPr>
          <w:rFonts w:hint="eastAsia" w:ascii="宋体" w:hAnsi="宋体" w:eastAsia="宋体" w:cs="宋体"/>
          <w:color w:val="000000"/>
          <w:kern w:val="0"/>
          <w:sz w:val="24"/>
          <w:szCs w:val="24"/>
          <w:highlight w:val="none"/>
          <w:lang w:val="en-US" w:eastAsia="zh-CN"/>
        </w:rPr>
        <w:t>阶段2027年1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 xml:space="preserve"> 月，第四</w:t>
      </w:r>
      <w:r>
        <w:rPr>
          <w:rFonts w:hint="eastAsia" w:ascii="宋体" w:hAnsi="宋体" w:eastAsia="宋体" w:cs="宋体"/>
          <w:color w:val="000000"/>
          <w:kern w:val="0"/>
          <w:sz w:val="24"/>
          <w:szCs w:val="24"/>
          <w:highlight w:val="none"/>
          <w:lang w:val="en-US" w:eastAsia="zh-CN"/>
        </w:rPr>
        <w:t>阶段</w:t>
      </w:r>
      <w:r>
        <w:rPr>
          <w:rFonts w:hint="eastAsia" w:ascii="宋体" w:hAnsi="宋体" w:eastAsia="宋体" w:cs="宋体"/>
          <w:color w:val="000000"/>
          <w:kern w:val="0"/>
          <w:sz w:val="24"/>
          <w:szCs w:val="24"/>
          <w:highlight w:val="none"/>
        </w:rPr>
        <w:t xml:space="preserve"> 202</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每阶段时间为3个月，其中包括2个月施工期，1个月保质期</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消杀效果需保持到 202</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底</w:t>
      </w:r>
      <w:r>
        <w:rPr>
          <w:rFonts w:hint="eastAsia" w:ascii="宋体" w:hAnsi="宋体" w:eastAsia="宋体" w:cs="宋体"/>
          <w:color w:val="000000"/>
          <w:kern w:val="0"/>
          <w:sz w:val="24"/>
          <w:szCs w:val="24"/>
          <w:highlight w:val="none"/>
        </w:rPr>
        <w:t xml:space="preserve">。 </w:t>
      </w:r>
      <w:bookmarkEnd w:id="31"/>
    </w:p>
    <w:p w14:paraId="562386C0">
      <w:pPr>
        <w:keepNext w:val="0"/>
        <w:keepLines w:val="0"/>
        <w:pageBreakBefore w:val="0"/>
        <w:widowControl/>
        <w:shd w:val="clear"/>
        <w:kinsoku/>
        <w:wordWrap/>
        <w:overflowPunct/>
        <w:topLinePunct w:val="0"/>
        <w:autoSpaceDE/>
        <w:autoSpaceDN/>
        <w:bidi w:val="0"/>
        <w:adjustRightInd/>
        <w:snapToGrid/>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（七）</w:t>
      </w:r>
      <w:bookmarkStart w:id="32" w:name="OLE_LINK1"/>
      <w:r>
        <w:rPr>
          <w:rFonts w:hint="eastAsia" w:ascii="宋体" w:hAnsi="宋体" w:eastAsia="宋体" w:cs="宋体"/>
          <w:color w:val="000000"/>
          <w:kern w:val="0"/>
          <w:sz w:val="24"/>
          <w:szCs w:val="24"/>
          <w:highlight w:val="none"/>
        </w:rPr>
        <w:t>合同期间若发生突发公共医疗卫生相关的应急事件，中标供应商需免费续</w:t>
      </w:r>
      <w:r>
        <w:rPr>
          <w:rFonts w:hint="eastAsia" w:ascii="宋体" w:hAnsi="宋体" w:eastAsia="宋体" w:cs="宋体"/>
          <w:color w:val="000000"/>
          <w:kern w:val="0"/>
          <w:sz w:val="24"/>
          <w:szCs w:val="24"/>
          <w:highlight w:val="none"/>
          <w:lang w:val="en-US" w:eastAsia="zh-CN"/>
        </w:rPr>
        <w:t>往</w:t>
      </w:r>
      <w:r>
        <w:rPr>
          <w:rFonts w:hint="eastAsia" w:ascii="宋体" w:hAnsi="宋体" w:eastAsia="宋体" w:cs="宋体"/>
          <w:color w:val="000000"/>
          <w:kern w:val="0"/>
          <w:sz w:val="24"/>
          <w:szCs w:val="24"/>
          <w:highlight w:val="none"/>
        </w:rPr>
        <w:t>开展相关工作</w:t>
      </w:r>
      <w:r>
        <w:rPr>
          <w:rFonts w:hint="eastAsia" w:ascii="宋体" w:hAnsi="宋体" w:eastAsia="宋体" w:cs="宋体"/>
          <w:color w:val="000000"/>
          <w:kern w:val="0"/>
          <w:sz w:val="24"/>
          <w:szCs w:val="24"/>
          <w:highlight w:val="none"/>
          <w:lang w:val="en-US" w:eastAsia="zh-CN"/>
        </w:rPr>
        <w:t>。</w:t>
      </w:r>
    </w:p>
    <w:bookmarkEnd w:id="30"/>
    <w:bookmarkEnd w:id="32"/>
    <w:p w14:paraId="2543CBE9">
      <w:pPr>
        <w:keepNext w:val="0"/>
        <w:keepLines w:val="0"/>
        <w:pageBreakBefore w:val="0"/>
        <w:widowControl/>
        <w:shd w:val="clear"/>
        <w:kinsoku/>
        <w:wordWrap/>
        <w:overflowPunct/>
        <w:topLinePunct w:val="0"/>
        <w:autoSpaceDE/>
        <w:autoSpaceDN/>
        <w:bidi w:val="0"/>
        <w:adjustRightInd/>
        <w:snapToGrid/>
        <w:spacing w:line="360" w:lineRule="auto"/>
        <w:ind w:firstLine="480"/>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 xml:space="preserve">（八）免费提供技术培训。组织技术培训，对“四害”孳生地调查、“四害”危害调查、防制方法、药械使用配制及投药方法等，进行科学讲解指导。（培训对象：街道、社区、村爱卫成员单位、中小学、托幼机构、重点行业重点单位等）。 </w:t>
      </w:r>
    </w:p>
    <w:p w14:paraId="13D8C290">
      <w:pPr>
        <w:keepNext w:val="0"/>
        <w:keepLines w:val="0"/>
        <w:pageBreakBefore w:val="0"/>
        <w:widowControl/>
        <w:shd w:val="clear"/>
        <w:kinsoku/>
        <w:wordWrap/>
        <w:overflowPunct/>
        <w:topLinePunct w:val="0"/>
        <w:autoSpaceDE/>
        <w:autoSpaceDN/>
        <w:bidi w:val="0"/>
        <w:adjustRightInd/>
        <w:snapToGrid/>
        <w:spacing w:line="360" w:lineRule="auto"/>
        <w:ind w:firstLine="480"/>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 xml:space="preserve">（九）免费开展多种方式宣传工作，提高居民知晓率和满意度，并做好材料收集，视频、图文并茂。 </w:t>
      </w:r>
    </w:p>
    <w:p w14:paraId="2B5F8E49">
      <w:pPr>
        <w:keepNext w:val="0"/>
        <w:keepLines w:val="0"/>
        <w:pageBreakBefore w:val="0"/>
        <w:widowControl/>
        <w:shd w:val="clear"/>
        <w:kinsoku/>
        <w:wordWrap/>
        <w:overflowPunct/>
        <w:topLinePunct w:val="0"/>
        <w:autoSpaceDE/>
        <w:autoSpaceDN/>
        <w:bidi w:val="0"/>
        <w:adjustRightInd/>
        <w:snapToGrid/>
        <w:spacing w:line="360" w:lineRule="auto"/>
        <w:ind w:firstLine="48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（十）成交供应商免费负责迎检点的药物补充，消杀资料准备。</w:t>
      </w:r>
    </w:p>
    <w:p w14:paraId="0BA9D6F7">
      <w:pPr>
        <w:keepNext w:val="0"/>
        <w:keepLines w:val="0"/>
        <w:pageBreakBefore w:val="0"/>
        <w:shd w:val="clear"/>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服务</w:t>
      </w:r>
      <w:r>
        <w:rPr>
          <w:rFonts w:hint="eastAsia" w:ascii="宋体" w:hAnsi="宋体" w:eastAsia="宋体" w:cs="宋体"/>
          <w:b/>
          <w:bCs/>
          <w:sz w:val="24"/>
          <w:szCs w:val="24"/>
        </w:rPr>
        <w:t>要求</w:t>
      </w:r>
    </w:p>
    <w:p w14:paraId="4B699509">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b/>
          <w:bCs/>
          <w:color w:val="000000"/>
          <w:kern w:val="0"/>
          <w:sz w:val="24"/>
          <w:szCs w:val="24"/>
        </w:rPr>
        <w:t xml:space="preserve">（一）技术要求 </w:t>
      </w:r>
    </w:p>
    <w:p w14:paraId="47711091">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b/>
          <w:bCs/>
          <w:color w:val="000000"/>
          <w:kern w:val="0"/>
          <w:sz w:val="24"/>
          <w:szCs w:val="24"/>
        </w:rPr>
        <w:t xml:space="preserve"> 1、工作要求：</w:t>
      </w:r>
      <w:r>
        <w:rPr>
          <w:rFonts w:hint="eastAsia" w:ascii="宋体" w:hAnsi="宋体" w:eastAsia="宋体" w:cs="宋体"/>
          <w:color w:val="000000"/>
          <w:kern w:val="0"/>
          <w:sz w:val="24"/>
          <w:szCs w:val="24"/>
        </w:rPr>
        <w:t xml:space="preserve"> </w:t>
      </w:r>
    </w:p>
    <w:p w14:paraId="034DEDBC">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▲（1）所辖区域灭鼠灭蟑灭蝇灭蚊服务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本次消杀服务组织开展 4 次统一消杀活动，必须确保除“四害” 达标（国家病媒生物密度控制水平 C 级），确保通过城中区</w:t>
      </w:r>
      <w:r>
        <w:rPr>
          <w:rFonts w:hint="eastAsia" w:ascii="宋体" w:hAnsi="宋体" w:eastAsia="宋体" w:cs="宋体"/>
          <w:color w:val="000000"/>
          <w:kern w:val="0"/>
          <w:sz w:val="24"/>
          <w:szCs w:val="24"/>
        </w:rPr>
        <w:t>疾控中心或自治区专家</w:t>
      </w:r>
      <w:r>
        <w:rPr>
          <w:rFonts w:hint="eastAsia" w:ascii="宋体" w:hAnsi="宋体" w:eastAsia="宋体" w:cs="宋体"/>
          <w:color w:val="000000"/>
          <w:kern w:val="0"/>
          <w:sz w:val="24"/>
          <w:szCs w:val="24"/>
          <w:lang w:val="en-US" w:eastAsia="zh-CN"/>
        </w:rPr>
        <w:t>等其他专业机构的</w:t>
      </w:r>
      <w:r>
        <w:rPr>
          <w:rFonts w:hint="eastAsia" w:ascii="宋体" w:hAnsi="宋体" w:eastAsia="宋体" w:cs="宋体"/>
          <w:color w:val="000000"/>
          <w:kern w:val="0"/>
          <w:sz w:val="24"/>
          <w:szCs w:val="24"/>
        </w:rPr>
        <w:t xml:space="preserve">考核验收。如果所需除四害药械超出合同范围，由成交人负责不足部分。 </w:t>
      </w:r>
    </w:p>
    <w:p w14:paraId="1B09C047">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▲（2）必须保证灭鼠灭蟑灭蝇灭蚊药械的安全使用。 </w:t>
      </w:r>
    </w:p>
    <w:p w14:paraId="1D21BDA3">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（3）提供除“四害”动员、宣传、技术培训。 </w:t>
      </w:r>
    </w:p>
    <w:p w14:paraId="6A8EFBF9">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 （4）负责投药前后“四害”密度监测。 </w:t>
      </w:r>
    </w:p>
    <w:p w14:paraId="6ABBA8FC">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color w:val="FF0000"/>
          <w:kern w:val="0"/>
          <w:sz w:val="24"/>
          <w:szCs w:val="24"/>
        </w:rPr>
      </w:pPr>
      <w:r>
        <w:rPr>
          <w:rFonts w:hint="eastAsia" w:ascii="宋体" w:hAnsi="宋体" w:eastAsia="宋体" w:cs="宋体"/>
          <w:color w:val="000000"/>
          <w:kern w:val="0"/>
          <w:sz w:val="24"/>
          <w:szCs w:val="24"/>
        </w:rPr>
        <w:t xml:space="preserve">  </w:t>
      </w:r>
      <w:bookmarkStart w:id="33" w:name="OLE_LINK2"/>
      <w:r>
        <w:rPr>
          <w:rFonts w:hint="eastAsia" w:ascii="宋体" w:hAnsi="宋体" w:eastAsia="宋体" w:cs="宋体"/>
          <w:color w:val="000000"/>
          <w:kern w:val="0"/>
          <w:sz w:val="24"/>
          <w:szCs w:val="24"/>
        </w:rPr>
        <w:t>▲</w:t>
      </w:r>
      <w:bookmarkEnd w:id="33"/>
      <w:r>
        <w:rPr>
          <w:rFonts w:hint="eastAsia" w:ascii="宋体" w:hAnsi="宋体" w:eastAsia="宋体" w:cs="宋体"/>
          <w:color w:val="000000"/>
          <w:kern w:val="0"/>
          <w:sz w:val="24"/>
          <w:szCs w:val="24"/>
        </w:rPr>
        <w:t>（5）不得使用国家、自治区禁止使用的灭鼠灭蟑灭蝇灭蚊的药物。</w:t>
      </w:r>
    </w:p>
    <w:p w14:paraId="171349D7">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 xml:space="preserve">）竞标人中标后必须配备服务范围内相应的消杀设备，包括至少 1 台大中型外环境消杀器械、3 台热烟雾机。 </w:t>
      </w:r>
    </w:p>
    <w:p w14:paraId="4B703E05">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）成交方完成四次除“四害”工作后，须提供</w:t>
      </w:r>
      <w:r>
        <w:rPr>
          <w:rFonts w:hint="eastAsia" w:ascii="宋体" w:hAnsi="宋体" w:eastAsia="宋体" w:cs="宋体"/>
          <w:color w:val="000000"/>
          <w:kern w:val="0"/>
          <w:sz w:val="24"/>
          <w:szCs w:val="24"/>
          <w:lang w:val="en-US" w:eastAsia="zh-CN"/>
        </w:rPr>
        <w:t>城中区</w:t>
      </w:r>
      <w:r>
        <w:rPr>
          <w:rFonts w:hint="eastAsia" w:ascii="宋体" w:hAnsi="宋体" w:eastAsia="宋体" w:cs="宋体"/>
          <w:color w:val="000000"/>
          <w:kern w:val="0"/>
          <w:sz w:val="24"/>
          <w:szCs w:val="24"/>
        </w:rPr>
        <w:t>疾病预防控制中心</w:t>
      </w:r>
      <w:r>
        <w:rPr>
          <w:rFonts w:hint="eastAsia" w:ascii="宋体" w:hAnsi="宋体" w:eastAsia="宋体" w:cs="宋体"/>
          <w:color w:val="000000"/>
          <w:kern w:val="0"/>
          <w:sz w:val="24"/>
          <w:szCs w:val="24"/>
          <w:lang w:val="en-US" w:eastAsia="zh-CN"/>
        </w:rPr>
        <w:t>或其他专业机构</w:t>
      </w:r>
      <w:r>
        <w:rPr>
          <w:rFonts w:hint="eastAsia" w:ascii="宋体" w:hAnsi="宋体" w:eastAsia="宋体" w:cs="宋体"/>
          <w:color w:val="000000"/>
          <w:kern w:val="0"/>
          <w:sz w:val="24"/>
          <w:szCs w:val="24"/>
        </w:rPr>
        <w:t xml:space="preserve">的除四害杀灭效果评估报告以证明确实达到了杀灭要求。 </w:t>
      </w:r>
    </w:p>
    <w:p w14:paraId="27093AEB">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注：带“▲”号技术要求必须满足，否则竞标无效。 </w:t>
      </w:r>
    </w:p>
    <w:p w14:paraId="68A2A7F8">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b/>
          <w:bCs/>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b/>
          <w:bCs/>
          <w:color w:val="000000"/>
          <w:kern w:val="0"/>
          <w:sz w:val="24"/>
          <w:szCs w:val="24"/>
        </w:rPr>
        <w:t xml:space="preserve">（二）“四害”防制标准 </w:t>
      </w:r>
    </w:p>
    <w:p w14:paraId="5F1E7346">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b/>
          <w:bCs/>
          <w:color w:val="000000"/>
          <w:kern w:val="0"/>
          <w:sz w:val="24"/>
          <w:szCs w:val="24"/>
        </w:rPr>
        <w:t xml:space="preserve"> 1.鼠类防制</w:t>
      </w:r>
      <w:r>
        <w:rPr>
          <w:rFonts w:hint="eastAsia" w:ascii="宋体" w:hAnsi="宋体" w:eastAsia="宋体" w:cs="宋体"/>
          <w:color w:val="000000"/>
          <w:kern w:val="0"/>
          <w:sz w:val="24"/>
          <w:szCs w:val="24"/>
        </w:rPr>
        <w:t xml:space="preserve"> </w:t>
      </w:r>
    </w:p>
    <w:p w14:paraId="2C1AEEE4">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根据《病媒生物密度控制水平鼠类》GB/T 27770-2011 城镇鼠密度控制水平 C 级。 </w:t>
      </w:r>
    </w:p>
    <w:p w14:paraId="4E94511D">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（1）防鼠设施 </w:t>
      </w:r>
    </w:p>
    <w:p w14:paraId="26F60F69">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防鼠设施合格率≥95% 被检查单位：农贸市场、饭店、宾馆、饮食店、食堂、副食店、食品加工厂（店）、酿造厂、屠宰场、粮库、饲料厂等。 </w:t>
      </w:r>
    </w:p>
    <w:p w14:paraId="7CB922EA">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要求：在外环境或下水道的鼠可能进入室内的地方设置防鼠闸（竖箅子缝小于 10mm）、防鼠网（≤6mm）、挡鼠板(≥0.6m)、门框包铁皮（≥0.3m)等建筑或设施。 </w:t>
      </w:r>
    </w:p>
    <w:p w14:paraId="1A3E1C09">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（2）室内鼠密度控制水平 </w:t>
      </w:r>
    </w:p>
    <w:p w14:paraId="0AF5D494">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鼠迹阳性率≤5%，有 1 处鼠迹的房间就算鼠迹阳性房间，15 平方或不足 15 平方的房间算 1 间，大于 15 平方房间按 15 平方为 1 间折算，计算公式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鼠迹阳性率=阳性房间数/总房间数×100%，鼠迹阳性率即鼠密度。 </w:t>
      </w:r>
    </w:p>
    <w:p w14:paraId="74710489">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被检查单位：农贸市场、饭店、宾馆、饮食店、食堂、副食店、食品加工厂、酿造厂、屠宰场、粮库、饲料厂、医院、机场、港口、火车站、汽车站等。 </w:t>
      </w:r>
    </w:p>
    <w:p w14:paraId="03D07E67">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要求</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一般采用鼠迹法，即用手电筒照明检查室内环境，查找鼠迹（活鼠、鼠尸、鼠爪印、鼠粪、鼠咬痕、鼠洞、鼠道等）。 </w:t>
      </w:r>
    </w:p>
    <w:p w14:paraId="68A901E9">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（3）外环境鼠密度控制水平 </w:t>
      </w:r>
    </w:p>
    <w:p w14:paraId="4E00A69E">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 xml:space="preserve">外环境路径指数≤5（即在农贸市场、建筑工地、垃圾收集站、公园、动物园、单位院内、住宅区内、公路或铁路两侧、河湖两岸或公共绿地行走,累计检查每 1000 米路径所发现鼠迹的处数，计算公式：路径指数=鼠迹数/检查距离，路径指数即鼠密度）。 </w:t>
      </w:r>
    </w:p>
    <w:p w14:paraId="0BF99EDB">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要求</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开展全面的环境卫生整治，包括：清除孳生地，彻底清除鼠尸、鼠粪、鼠道，堵鼠洞，修补鼠咬痕迹。 </w:t>
      </w:r>
    </w:p>
    <w:p w14:paraId="233A4FE5">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投药要求：开展全市统一的灭鼠专项行动，做到统一时间、统一行动、统一用药。做好日常室内外环境卫生整治，在断鼠粮的基础上开展灭鼠投药工作，投药前要做好鼠情调查，知道哪里有鼠洞、鼠迹，投放毒饵要有的放矢，不能随意投放。连续 5-7 天每天检查毒饵量，吃多少补多少，保证足够的毒饵量，如毒饵已潮湿失效，则换新鲜的补上，确保毒饵饱和率达100％（因为鼠再次取食毒饵的间隔在 48 小时内，才能充分发挥其毒力，避免鼠再次无毒饵可食）。</w:t>
      </w:r>
    </w:p>
    <w:p w14:paraId="1FAAAECE">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b/>
          <w:bCs/>
          <w:color w:val="000000"/>
          <w:kern w:val="0"/>
          <w:sz w:val="24"/>
          <w:szCs w:val="24"/>
        </w:rPr>
        <w:t xml:space="preserve">   2.蟑螂防制</w:t>
      </w:r>
      <w:r>
        <w:rPr>
          <w:rFonts w:hint="eastAsia" w:ascii="宋体" w:hAnsi="宋体" w:eastAsia="宋体" w:cs="宋体"/>
          <w:color w:val="000000"/>
          <w:kern w:val="0"/>
          <w:sz w:val="24"/>
          <w:szCs w:val="24"/>
        </w:rPr>
        <w:t xml:space="preserve"> </w:t>
      </w:r>
    </w:p>
    <w:p w14:paraId="3AFB3442">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根据《病媒生物密度控制水平蜚蠊》GB/T 27773-2011 城镇蜚蠊密度控制水平 C 级 </w:t>
      </w:r>
    </w:p>
    <w:p w14:paraId="2C3C1129">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（1）成若虫侵害率：成若虫侵害率小于或等于 5%，平均每阳性间（处）成若虫数小蠊小于或等于 10 只，大蠊小于或等于 5 只。（蜚蠊即蟑螂；大蠊即美洲大蠊，俗称大蟑螂；小蠊即德国小蠊，俗称小蟑螂、小强） </w:t>
      </w:r>
    </w:p>
    <w:p w14:paraId="10C418A3">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（2）卵鞘查获率：蜚蠊卵鞘查获率小于或等于 3%，平均每阳性间（处）卵鞘数小于或等于 8只。 </w:t>
      </w:r>
    </w:p>
    <w:p w14:paraId="38928CFB">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（3）蟑迹查获率：蟑迹查获率小于或等于 7%。 </w:t>
      </w:r>
    </w:p>
    <w:p w14:paraId="6AED5F0A">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被检查单位：餐饮店、食堂、宾馆饭店、医院、商城超市、机场和车站、学校、农贸市场、居民住房等。 </w:t>
      </w:r>
    </w:p>
    <w:p w14:paraId="250EB842">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要求：灭蟑螂要保持环境卫生、清洁，减少蟑螂躲藏场所，结合药物消杀，对外环境的下水道、化粪池等密闭环境，要在蟑螂可能逃跑的地方先喷洒灭蟑螂药水，然后用烟剂进行熏杀，对室内有小蠊出现的场所必须放置灭蟑螂胶饵。彻底清除蟑螂的卵鞘、蟑尸、残尸、蟑粪，须在确定杀灭蟑螂卵鞘内卵的情况下，才将卵鞘投放垃圾箱。 </w:t>
      </w:r>
    </w:p>
    <w:p w14:paraId="57BC4842">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b/>
          <w:bCs/>
          <w:color w:val="000000"/>
          <w:kern w:val="0"/>
          <w:sz w:val="24"/>
          <w:szCs w:val="24"/>
        </w:rPr>
        <w:t xml:space="preserve">    3.苍蝇防制</w:t>
      </w:r>
      <w:r>
        <w:rPr>
          <w:rFonts w:hint="eastAsia" w:ascii="宋体" w:hAnsi="宋体" w:eastAsia="宋体" w:cs="宋体"/>
          <w:color w:val="000000"/>
          <w:kern w:val="0"/>
          <w:sz w:val="24"/>
          <w:szCs w:val="24"/>
        </w:rPr>
        <w:t xml:space="preserve"> </w:t>
      </w:r>
    </w:p>
    <w:p w14:paraId="44D577E4">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根据《病媒生物密度控制水平蝇类》GB/T 27772-2011 城镇蝇类密度控制水平 C 级。 </w:t>
      </w:r>
    </w:p>
    <w:p w14:paraId="5D8BDB4E">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（1）生产销售直接入口食品的场所不得有蝇，室内不得存在蝇类孳生地。被检查单位：餐饮店、商城超市、单位食堂、饭店宾馆、农贸市场等。 </w:t>
      </w:r>
    </w:p>
    <w:p w14:paraId="62B192F2">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（2）室内成蝇密度控制水平</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有蝇房间阳性率小于或等于 9%，阳性间蝇密度小于或等于 3 只/间。 </w:t>
      </w:r>
    </w:p>
    <w:p w14:paraId="121A6401">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被检查单位：餐饮店、商城超市、单位食堂、饭店宾馆、农贸市场、医院、建筑及拆迁工地、机场和车站等。 </w:t>
      </w:r>
    </w:p>
    <w:p w14:paraId="74214ABF">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（3）室外蝇类孳生地密度控制水平：蝇类孳生地阳性率小于或等于 5%。 </w:t>
      </w:r>
    </w:p>
    <w:p w14:paraId="6C2B13A3">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被检查单位：室外垃圾容器、垃圾中转站、外环境散在孳生地、公共厕所；外环境延长米包括农贸市场、车站、公共绿地、居民区等，每处不超过 100 米。 </w:t>
      </w:r>
    </w:p>
    <w:p w14:paraId="50E23C4E">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被检查单位及原则：生产销售直接入口食品的场所（如厨房、熟食间、无包装食品橱柜等），应安装防蝇设施的原则。 </w:t>
      </w:r>
    </w:p>
    <w:p w14:paraId="36398F9C">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要求：灭蝇要加强人畜粪便、腐败动物和植物质类、生活垃圾、下水道沉淤井的管理，重点孳生地垃圾中转站等应采取（捕蝇笼、粘蝇板、防蝇灯、化学药物）方法有效降低蝇类密度。通过环境治理，达到消除、隔离孳生物，完善餐饮业、食品加工销售单位纱门纱窗、纱帘、纱网、风幕、防蝇灯等防蝇设施，严格执行卫生制度。 </w:t>
      </w:r>
    </w:p>
    <w:p w14:paraId="08525A6E">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b/>
          <w:bCs/>
          <w:color w:val="000000"/>
          <w:kern w:val="0"/>
          <w:sz w:val="24"/>
          <w:szCs w:val="24"/>
        </w:rPr>
        <w:t xml:space="preserve">    4.蚊虫防制</w:t>
      </w:r>
      <w:r>
        <w:rPr>
          <w:rFonts w:hint="eastAsia" w:ascii="宋体" w:hAnsi="宋体" w:eastAsia="宋体" w:cs="宋体"/>
          <w:color w:val="000000"/>
          <w:kern w:val="0"/>
          <w:sz w:val="24"/>
          <w:szCs w:val="24"/>
        </w:rPr>
        <w:t xml:space="preserve"> </w:t>
      </w:r>
    </w:p>
    <w:p w14:paraId="7A467640">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根据《病媒生物密度控制水平蚊虫》GB/T 27771-2011 城镇蚊虫密度控制水平 C 级。 </w:t>
      </w:r>
    </w:p>
    <w:p w14:paraId="0B52162A">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（1）小型积水蚊虫密度控制水平：路径指数小于或等于 0.8。累计检查每 1000 米路径所发现蚊幼虫阳性积水处数。被检查单位：居委会、单位（有独立院落）、建筑工地、道路（雨水井口）延长米。 </w:t>
      </w:r>
    </w:p>
    <w:p w14:paraId="7E60CCC5">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（2）大中型水体蚊虫密度控制水平：采样勺指数小于或等于 5%，平均每阳性勺少于 8 只虫幼虫和蛹。从大中型水体，包括池塘、湖泊和河流，沿岸每隔 10 米用容积 500 毫升的长柄勺取水，发现有蚊虫幼虫和蛹的为阳性勺。 </w:t>
      </w:r>
    </w:p>
    <w:p w14:paraId="20AEBDC2">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（3）外环境蚊虫密度控制水平：停留指数小于或等于 1.5。考核人员在公园、花房、汽修厂、轮胎集放地，暴露右小腿，上午 8</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00-10</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00 或 16</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00-18</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00 观察在 0.5 小时内腿上蚊虫的停落数，单位为停落蚊数/人次。 </w:t>
      </w:r>
    </w:p>
    <w:p w14:paraId="5351A9C5">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考核人员在居民区、单位、公共场所等外环境，暴露右小腿，日落后 0.5 小时，观察在0.5 小时内腿上蚊虫的停落数，单位为停落蚊数/人次。 </w:t>
      </w:r>
    </w:p>
    <w:p w14:paraId="741789BD">
      <w:pPr>
        <w:keepNext w:val="0"/>
        <w:keepLines w:val="0"/>
        <w:pageBreakBefore w:val="0"/>
        <w:widowControl/>
        <w:shd w:val="clear"/>
        <w:kinsoku/>
        <w:wordWrap/>
        <w:overflowPunct/>
        <w:topLinePunct w:val="0"/>
        <w:autoSpaceDE/>
        <w:autoSpaceDN/>
        <w:bidi w:val="0"/>
        <w:adjustRightInd/>
        <w:snapToGrid/>
        <w:spacing w:line="360" w:lineRule="auto"/>
        <w:jc w:val="left"/>
        <w:rPr>
          <w:rFonts w:hint="eastAsia" w:ascii="宋体" w:hAnsi="宋体" w:eastAsia="宋体" w:cs="宋体"/>
          <w:iCs/>
          <w:sz w:val="24"/>
          <w:szCs w:val="24"/>
        </w:rPr>
      </w:pPr>
      <w:r>
        <w:rPr>
          <w:rFonts w:hint="eastAsia" w:ascii="宋体" w:hAnsi="宋体" w:eastAsia="宋体" w:cs="宋体"/>
          <w:color w:val="000000"/>
          <w:kern w:val="0"/>
          <w:sz w:val="24"/>
          <w:szCs w:val="24"/>
        </w:rPr>
        <w:t xml:space="preserve">    要求：清除室内外环境容器积水，翻盆倒罐，疏通排水管网，填平洼地，清除杂草等蚊虫孳生场所。在公园、住宅小区、花木种养销售市场、学校、医院等易有积水、人群集中的场所和单位推广安置灭蚊灯具，各类道路下水道沉沙井口设置防蚊闸。对成蚊栖息场所用烟雾剂速杀和喷洒滞留药水处理。 </w:t>
      </w:r>
    </w:p>
    <w:p w14:paraId="1777F751">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1AF17DD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pacing w:val="-2"/>
          <w:sz w:val="30"/>
          <w:szCs w:val="30"/>
        </w:rPr>
        <w:sectPr>
          <w:footerReference r:id="rId13" w:type="first"/>
          <w:headerReference r:id="rId11" w:type="default"/>
          <w:footerReference r:id="rId12" w:type="default"/>
          <w:pgSz w:w="11910" w:h="16840"/>
          <w:pgMar w:top="1440" w:right="1500" w:bottom="1440" w:left="1680" w:header="720" w:footer="720" w:gutter="0"/>
          <w:cols w:space="720" w:num="1"/>
        </w:sectPr>
      </w:pPr>
    </w:p>
    <w:p w14:paraId="6D98D6BC">
      <w:pPr>
        <w:pStyle w:val="21"/>
        <w:keepNext w:val="0"/>
        <w:keepLines w:val="0"/>
        <w:pageBreakBefore w:val="0"/>
        <w:widowControl/>
        <w:kinsoku/>
        <w:wordWrap/>
        <w:overflowPunct/>
        <w:topLinePunct w:val="0"/>
        <w:autoSpaceDE/>
        <w:autoSpaceDN/>
        <w:bidi w:val="0"/>
        <w:adjustRightInd/>
        <w:snapToGrid/>
        <w:spacing w:line="360" w:lineRule="auto"/>
        <w:ind w:left="102"/>
        <w:jc w:val="center"/>
        <w:textAlignment w:val="baseline"/>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第二部分  商务要求</w:t>
      </w:r>
    </w:p>
    <w:p w14:paraId="2C934F8C">
      <w:pPr>
        <w:pStyle w:val="21"/>
        <w:keepNext w:val="0"/>
        <w:keepLines w:val="0"/>
        <w:pageBreakBefore w:val="0"/>
        <w:widowControl/>
        <w:kinsoku/>
        <w:wordWrap/>
        <w:overflowPunct/>
        <w:topLinePunct w:val="0"/>
        <w:autoSpaceDE/>
        <w:autoSpaceDN/>
        <w:bidi w:val="0"/>
        <w:adjustRightInd/>
        <w:snapToGrid/>
        <w:spacing w:line="360" w:lineRule="auto"/>
        <w:ind w:left="102"/>
        <w:textAlignment w:val="baseline"/>
        <w:rPr>
          <w:rFonts w:hint="eastAsia" w:ascii="宋体" w:hAnsi="宋体" w:eastAsia="宋体" w:cs="宋体"/>
          <w:color w:val="auto"/>
          <w:sz w:val="24"/>
        </w:rPr>
      </w:pPr>
      <w:r>
        <w:rPr>
          <w:rFonts w:hint="eastAsia" w:ascii="宋体" w:hAnsi="宋体" w:eastAsia="宋体" w:cs="宋体"/>
          <w:b/>
          <w:bCs/>
          <w:color w:val="auto"/>
          <w:sz w:val="24"/>
        </w:rPr>
        <w:t>1、合同签订期：</w:t>
      </w:r>
      <w:r>
        <w:rPr>
          <w:rFonts w:hint="eastAsia" w:ascii="宋体" w:hAnsi="宋体" w:eastAsia="宋体" w:cs="宋体"/>
          <w:color w:val="auto"/>
          <w:sz w:val="24"/>
        </w:rPr>
        <w:t>自成交通知书发出之日起 25 日内；</w:t>
      </w:r>
    </w:p>
    <w:p w14:paraId="3361C375">
      <w:pPr>
        <w:pStyle w:val="21"/>
        <w:keepNext w:val="0"/>
        <w:keepLines w:val="0"/>
        <w:pageBreakBefore w:val="0"/>
        <w:widowControl/>
        <w:kinsoku/>
        <w:wordWrap/>
        <w:overflowPunct/>
        <w:topLinePunct w:val="0"/>
        <w:autoSpaceDE/>
        <w:autoSpaceDN/>
        <w:bidi w:val="0"/>
        <w:adjustRightInd/>
        <w:snapToGrid/>
        <w:spacing w:line="360" w:lineRule="auto"/>
        <w:ind w:left="102"/>
        <w:textAlignment w:val="baseline"/>
        <w:rPr>
          <w:rFonts w:hint="eastAsia" w:ascii="宋体" w:hAnsi="宋体" w:eastAsia="宋体" w:cs="宋体"/>
          <w:color w:val="auto"/>
          <w:sz w:val="24"/>
          <w:lang w:eastAsia="zh-CN"/>
        </w:rPr>
      </w:pPr>
      <w:r>
        <w:rPr>
          <w:rFonts w:hint="eastAsia" w:ascii="宋体" w:hAnsi="宋体" w:eastAsia="宋体" w:cs="宋体"/>
          <w:b/>
          <w:bCs/>
          <w:color w:val="auto"/>
          <w:sz w:val="24"/>
        </w:rPr>
        <w:t>2、服务期限：</w:t>
      </w:r>
      <w:r>
        <w:rPr>
          <w:rFonts w:hint="eastAsia" w:ascii="宋体" w:hAnsi="宋体" w:eastAsia="宋体" w:cs="宋体"/>
          <w:color w:val="auto"/>
          <w:sz w:val="24"/>
          <w:lang w:eastAsia="zh-CN"/>
        </w:rPr>
        <w:t>合同签订之日起至2027年7月30日。</w:t>
      </w:r>
    </w:p>
    <w:p w14:paraId="063980BF">
      <w:pPr>
        <w:pStyle w:val="21"/>
        <w:keepNext w:val="0"/>
        <w:keepLines w:val="0"/>
        <w:pageBreakBefore w:val="0"/>
        <w:widowControl/>
        <w:kinsoku/>
        <w:wordWrap/>
        <w:overflowPunct/>
        <w:topLinePunct w:val="0"/>
        <w:autoSpaceDE/>
        <w:autoSpaceDN/>
        <w:bidi w:val="0"/>
        <w:adjustRightInd/>
        <w:snapToGrid/>
        <w:spacing w:line="360" w:lineRule="auto"/>
        <w:ind w:left="102"/>
        <w:textAlignment w:val="baseline"/>
        <w:rPr>
          <w:rFonts w:hint="eastAsia" w:ascii="宋体" w:hAnsi="宋体" w:eastAsia="宋体" w:cs="宋体"/>
          <w:color w:val="auto"/>
          <w:sz w:val="24"/>
          <w:lang w:eastAsia="zh-CN"/>
        </w:rPr>
      </w:pPr>
      <w:r>
        <w:rPr>
          <w:rFonts w:hint="eastAsia" w:ascii="宋体" w:hAnsi="宋体" w:eastAsia="宋体" w:cs="宋体"/>
          <w:b/>
          <w:bCs/>
          <w:color w:val="auto"/>
          <w:sz w:val="24"/>
        </w:rPr>
        <w:t>3、服务地点：</w:t>
      </w:r>
      <w:r>
        <w:rPr>
          <w:rFonts w:hint="eastAsia" w:ascii="宋体" w:hAnsi="宋体" w:eastAsia="宋体" w:cs="宋体"/>
          <w:color w:val="auto"/>
          <w:sz w:val="24"/>
        </w:rPr>
        <w:t>柳州市城中区范围内城中村和城乡结合部、背街小巷、三无小区、集贸市场、公厕及垃圾中转站、公共厕所、绿化带、井口（下水道）、花鸟市场、基层医疗卫生机构等重点区</w:t>
      </w:r>
      <w:r>
        <w:rPr>
          <w:rFonts w:hint="eastAsia" w:ascii="宋体" w:hAnsi="宋体" w:eastAsia="宋体" w:cs="宋体"/>
          <w:color w:val="auto"/>
          <w:sz w:val="24"/>
          <w:lang w:eastAsia="zh-CN"/>
        </w:rPr>
        <w:t>。</w:t>
      </w:r>
    </w:p>
    <w:p w14:paraId="06BCAC82">
      <w:pPr>
        <w:pStyle w:val="21"/>
        <w:keepNext w:val="0"/>
        <w:keepLines w:val="0"/>
        <w:pageBreakBefore w:val="0"/>
        <w:widowControl/>
        <w:kinsoku/>
        <w:wordWrap/>
        <w:overflowPunct/>
        <w:topLinePunct w:val="0"/>
        <w:autoSpaceDE/>
        <w:autoSpaceDN/>
        <w:bidi w:val="0"/>
        <w:adjustRightInd/>
        <w:snapToGrid/>
        <w:spacing w:line="360" w:lineRule="auto"/>
        <w:ind w:left="102"/>
        <w:textAlignment w:val="baseline"/>
        <w:rPr>
          <w:rFonts w:hint="eastAsia" w:ascii="宋体" w:hAnsi="宋体" w:eastAsia="宋体" w:cs="宋体"/>
          <w:color w:val="auto"/>
          <w:sz w:val="24"/>
        </w:rPr>
      </w:pPr>
      <w:r>
        <w:rPr>
          <w:rFonts w:hint="eastAsia" w:ascii="宋体" w:hAnsi="宋体" w:eastAsia="宋体" w:cs="宋体"/>
          <w:b/>
          <w:bCs/>
          <w:color w:val="auto"/>
          <w:sz w:val="24"/>
        </w:rPr>
        <w:t>4、验收标准、规范：</w:t>
      </w:r>
      <w:r>
        <w:rPr>
          <w:rFonts w:hint="eastAsia" w:ascii="宋体" w:hAnsi="宋体" w:eastAsia="宋体" w:cs="宋体"/>
          <w:b w:val="0"/>
          <w:bCs w:val="0"/>
          <w:color w:val="auto"/>
          <w:sz w:val="24"/>
        </w:rPr>
        <w:t>所辖区域灭鼠灭蟑灭蝇灭蚊服务，共组织 4 次统一消杀，必须确保除“四害”达标（国家病媒生物密度控制水平 C 级），确保可以通过城中区疾控中心或自治区专家等其他专业机构考核验收。且须提供城中区疾病预防控制中心或其他专业机构的除四害杀灭效果评估报告以证明确实达到了杀灭要求。如果所需除四害药械超出合同范围，由成交人负责不足部分。</w:t>
      </w:r>
      <w:r>
        <w:rPr>
          <w:rFonts w:hint="eastAsia" w:ascii="宋体" w:hAnsi="宋体" w:eastAsia="宋体" w:cs="宋体"/>
          <w:b/>
          <w:bCs/>
          <w:color w:val="auto"/>
          <w:sz w:val="24"/>
        </w:rPr>
        <w:t xml:space="preserve"> </w:t>
      </w:r>
      <w:r>
        <w:rPr>
          <w:rFonts w:hint="eastAsia" w:ascii="宋体" w:hAnsi="宋体" w:eastAsia="宋体" w:cs="宋体"/>
          <w:color w:val="auto"/>
          <w:sz w:val="24"/>
        </w:rPr>
        <w:t>执行的国家标准、行业标准、地方标准或者其他标准、规范。</w:t>
      </w:r>
    </w:p>
    <w:p w14:paraId="7E1EA470">
      <w:pPr>
        <w:pStyle w:val="21"/>
        <w:keepNext w:val="0"/>
        <w:keepLines w:val="0"/>
        <w:pageBreakBefore w:val="0"/>
        <w:widowControl/>
        <w:kinsoku/>
        <w:wordWrap/>
        <w:overflowPunct/>
        <w:topLinePunct w:val="0"/>
        <w:autoSpaceDE/>
        <w:autoSpaceDN/>
        <w:bidi w:val="0"/>
        <w:adjustRightInd/>
        <w:snapToGrid/>
        <w:spacing w:line="360" w:lineRule="auto"/>
        <w:ind w:left="102"/>
        <w:textAlignment w:val="baseline"/>
        <w:rPr>
          <w:rFonts w:hint="eastAsia" w:ascii="宋体" w:hAnsi="宋体" w:eastAsia="宋体" w:cs="宋体"/>
          <w:color w:val="auto"/>
          <w:sz w:val="24"/>
        </w:rPr>
      </w:pPr>
      <w:r>
        <w:rPr>
          <w:rFonts w:hint="eastAsia" w:ascii="宋体" w:hAnsi="宋体" w:eastAsia="宋体" w:cs="宋体"/>
          <w:b/>
          <w:bCs/>
          <w:color w:val="auto"/>
          <w:sz w:val="24"/>
        </w:rPr>
        <w:t>5、磋商报价：</w:t>
      </w:r>
      <w:r>
        <w:rPr>
          <w:rFonts w:hint="eastAsia" w:ascii="宋体" w:hAnsi="宋体" w:eastAsia="宋体" w:cs="宋体"/>
          <w:color w:val="auto"/>
          <w:sz w:val="24"/>
        </w:rPr>
        <w:t>磋商报价必须包含但不限于以下部分：</w:t>
      </w:r>
    </w:p>
    <w:p w14:paraId="26B9BBBD">
      <w:pPr>
        <w:pStyle w:val="21"/>
        <w:keepNext w:val="0"/>
        <w:keepLines w:val="0"/>
        <w:pageBreakBefore w:val="0"/>
        <w:widowControl/>
        <w:kinsoku/>
        <w:wordWrap/>
        <w:overflowPunct/>
        <w:topLinePunct w:val="0"/>
        <w:autoSpaceDE/>
        <w:autoSpaceDN/>
        <w:bidi w:val="0"/>
        <w:adjustRightInd/>
        <w:snapToGrid/>
        <w:spacing w:line="360" w:lineRule="auto"/>
        <w:ind w:left="102"/>
        <w:textAlignment w:val="baseline"/>
        <w:rPr>
          <w:rFonts w:hint="eastAsia" w:ascii="宋体" w:hAnsi="宋体" w:eastAsia="宋体" w:cs="宋体"/>
          <w:color w:val="auto"/>
          <w:sz w:val="24"/>
        </w:rPr>
      </w:pPr>
      <w:r>
        <w:rPr>
          <w:rFonts w:hint="eastAsia" w:ascii="宋体" w:hAnsi="宋体" w:eastAsia="宋体" w:cs="宋体"/>
          <w:color w:val="auto"/>
          <w:sz w:val="24"/>
        </w:rPr>
        <w:t>（1）项目费用：人员保险费、住宿费、伙食费、交通费、劳务费、劳保费、实地考察、各项税金等相关费用；</w:t>
      </w:r>
    </w:p>
    <w:p w14:paraId="5CF453BC">
      <w:pPr>
        <w:pStyle w:val="21"/>
        <w:keepNext w:val="0"/>
        <w:keepLines w:val="0"/>
        <w:pageBreakBefore w:val="0"/>
        <w:widowControl/>
        <w:kinsoku/>
        <w:wordWrap/>
        <w:overflowPunct/>
        <w:topLinePunct w:val="0"/>
        <w:autoSpaceDE/>
        <w:autoSpaceDN/>
        <w:bidi w:val="0"/>
        <w:adjustRightInd/>
        <w:snapToGrid/>
        <w:spacing w:line="360" w:lineRule="auto"/>
        <w:ind w:left="102"/>
        <w:textAlignment w:val="baseline"/>
        <w:rPr>
          <w:rFonts w:hint="eastAsia" w:ascii="宋体" w:hAnsi="宋体" w:eastAsia="宋体" w:cs="宋体"/>
          <w:color w:val="auto"/>
          <w:sz w:val="24"/>
        </w:rPr>
      </w:pPr>
      <w:r>
        <w:rPr>
          <w:rFonts w:hint="eastAsia" w:ascii="宋体" w:hAnsi="宋体" w:eastAsia="宋体" w:cs="宋体"/>
          <w:color w:val="auto"/>
          <w:sz w:val="24"/>
        </w:rPr>
        <w:t>（2）供应商应综合考虑自身实力、实施成本等因素后做出竞标报价，成交后竞标报价报价将不予以调整；本项目至验收结束，采购人不另支付任何费用。</w:t>
      </w:r>
    </w:p>
    <w:p w14:paraId="49C0D742">
      <w:pPr>
        <w:pStyle w:val="21"/>
        <w:keepNext w:val="0"/>
        <w:keepLines w:val="0"/>
        <w:pageBreakBefore w:val="0"/>
        <w:widowControl/>
        <w:kinsoku/>
        <w:wordWrap/>
        <w:overflowPunct/>
        <w:topLinePunct w:val="0"/>
        <w:autoSpaceDE/>
        <w:autoSpaceDN/>
        <w:bidi w:val="0"/>
        <w:adjustRightInd/>
        <w:snapToGrid/>
        <w:spacing w:line="360" w:lineRule="auto"/>
        <w:ind w:left="102"/>
        <w:textAlignment w:val="baseline"/>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6、付款方式：</w:t>
      </w:r>
      <w:r>
        <w:rPr>
          <w:rFonts w:hint="eastAsia" w:ascii="宋体" w:hAnsi="宋体" w:eastAsia="宋体" w:cs="宋体"/>
          <w:color w:val="auto"/>
          <w:sz w:val="24"/>
        </w:rPr>
        <w:t>本项目合同签订</w:t>
      </w:r>
      <w:r>
        <w:rPr>
          <w:rFonts w:hint="eastAsia" w:ascii="宋体" w:hAnsi="宋体" w:eastAsia="宋体" w:cs="宋体"/>
          <w:color w:val="auto"/>
          <w:sz w:val="24"/>
          <w:lang w:val="en-US" w:eastAsia="zh-CN"/>
        </w:rPr>
        <w:t>后十五个工作日内预</w:t>
      </w:r>
      <w:r>
        <w:rPr>
          <w:rFonts w:hint="eastAsia" w:ascii="宋体" w:hAnsi="宋体" w:eastAsia="宋体" w:cs="宋体"/>
          <w:color w:val="auto"/>
          <w:sz w:val="24"/>
        </w:rPr>
        <w:t>付合同总价</w:t>
      </w:r>
      <w:r>
        <w:rPr>
          <w:rFonts w:hint="eastAsia" w:ascii="宋体" w:hAnsi="宋体" w:eastAsia="宋体" w:cs="宋体"/>
          <w:color w:val="auto"/>
          <w:sz w:val="24"/>
          <w:lang w:val="en-US" w:eastAsia="zh-CN"/>
        </w:rPr>
        <w:t>的30%</w:t>
      </w:r>
      <w:r>
        <w:rPr>
          <w:rFonts w:hint="eastAsia" w:ascii="宋体" w:hAnsi="宋体" w:eastAsia="宋体" w:cs="宋体"/>
          <w:color w:val="auto"/>
          <w:sz w:val="24"/>
        </w:rPr>
        <w:t>，在第一、二阶段消杀工作验收合格后支付合同总价的</w:t>
      </w:r>
      <w:r>
        <w:rPr>
          <w:rFonts w:hint="eastAsia" w:ascii="宋体" w:hAnsi="宋体" w:eastAsia="宋体" w:cs="宋体"/>
          <w:color w:val="auto"/>
          <w:sz w:val="24"/>
          <w:lang w:val="en-US" w:eastAsia="zh-CN"/>
        </w:rPr>
        <w:t>20</w:t>
      </w:r>
      <w:r>
        <w:rPr>
          <w:rFonts w:hint="eastAsia" w:ascii="宋体" w:hAnsi="宋体" w:eastAsia="宋体" w:cs="宋体"/>
          <w:color w:val="auto"/>
          <w:sz w:val="24"/>
        </w:rPr>
        <w:t>%，在第</w:t>
      </w:r>
      <w:r>
        <w:rPr>
          <w:rFonts w:hint="eastAsia" w:ascii="宋体" w:hAnsi="宋体" w:eastAsia="宋体" w:cs="宋体"/>
          <w:color w:val="auto"/>
          <w:sz w:val="24"/>
          <w:lang w:val="en-US" w:eastAsia="zh-CN"/>
        </w:rPr>
        <w:t>三</w:t>
      </w:r>
      <w:r>
        <w:rPr>
          <w:rFonts w:hint="eastAsia" w:ascii="宋体" w:hAnsi="宋体" w:eastAsia="宋体" w:cs="宋体"/>
          <w:color w:val="auto"/>
          <w:sz w:val="24"/>
        </w:rPr>
        <w:t>阶段消杀工作验收合格</w:t>
      </w:r>
      <w:r>
        <w:rPr>
          <w:rFonts w:hint="eastAsia" w:ascii="宋体" w:hAnsi="宋体" w:eastAsia="宋体" w:cs="宋体"/>
          <w:color w:val="auto"/>
          <w:sz w:val="24"/>
          <w:lang w:val="en-US" w:eastAsia="zh-CN"/>
        </w:rPr>
        <w:t>后支付总价的25%，</w:t>
      </w:r>
      <w:r>
        <w:rPr>
          <w:rFonts w:hint="eastAsia" w:ascii="宋体" w:hAnsi="宋体" w:eastAsia="宋体" w:cs="宋体"/>
          <w:color w:val="auto"/>
          <w:sz w:val="24"/>
        </w:rPr>
        <w:t>在第四阶段消杀工作验收合格同时通过相关部门的综合评审合格后，且消杀效果保持到202</w:t>
      </w:r>
      <w:r>
        <w:rPr>
          <w:rFonts w:hint="eastAsia" w:ascii="宋体" w:hAnsi="宋体" w:eastAsia="宋体" w:cs="宋体"/>
          <w:color w:val="auto"/>
          <w:sz w:val="24"/>
          <w:lang w:val="en-US" w:eastAsia="zh-CN"/>
        </w:rPr>
        <w:t>7</w:t>
      </w:r>
      <w:r>
        <w:rPr>
          <w:rFonts w:hint="eastAsia" w:ascii="宋体" w:hAnsi="宋体" w:eastAsia="宋体" w:cs="宋体"/>
          <w:color w:val="auto"/>
          <w:sz w:val="24"/>
        </w:rPr>
        <w:t>年</w:t>
      </w:r>
      <w:r>
        <w:rPr>
          <w:rFonts w:hint="eastAsia" w:ascii="宋体" w:hAnsi="宋体" w:eastAsia="宋体" w:cs="宋体"/>
          <w:color w:val="auto"/>
          <w:sz w:val="24"/>
          <w:lang w:val="en-US" w:eastAsia="zh-CN"/>
        </w:rPr>
        <w:t>6</w:t>
      </w:r>
      <w:r>
        <w:rPr>
          <w:rFonts w:hint="eastAsia" w:ascii="宋体" w:hAnsi="宋体" w:eastAsia="宋体" w:cs="宋体"/>
          <w:color w:val="auto"/>
          <w:sz w:val="24"/>
        </w:rPr>
        <w:t>月份，再按照合同金额支付尾款。（不计利息）。</w:t>
      </w:r>
    </w:p>
    <w:p w14:paraId="52D12016">
      <w:pPr>
        <w:pStyle w:val="2"/>
        <w:jc w:val="center"/>
        <w:rPr>
          <w:rFonts w:hint="eastAsia" w:ascii="宋体" w:hAnsi="宋体" w:eastAsia="宋体" w:cs="宋体"/>
          <w:color w:val="auto"/>
        </w:rPr>
      </w:pPr>
      <w:r>
        <w:rPr>
          <w:rFonts w:hint="eastAsia" w:ascii="宋体" w:hAnsi="宋体" w:eastAsia="宋体" w:cs="宋体"/>
          <w:color w:val="auto"/>
          <w:sz w:val="32"/>
          <w:szCs w:val="32"/>
        </w:rPr>
        <w:br w:type="page"/>
      </w:r>
      <w:bookmarkStart w:id="34" w:name="_Toc3033"/>
      <w:bookmarkStart w:id="35" w:name="_Toc80886927"/>
      <w:bookmarkStart w:id="36" w:name="_Toc22137"/>
      <w:r>
        <w:rPr>
          <w:rFonts w:hint="eastAsia" w:ascii="宋体" w:hAnsi="宋体" w:eastAsia="宋体" w:cs="宋体"/>
          <w:bCs w:val="0"/>
          <w:color w:val="auto"/>
          <w:sz w:val="32"/>
          <w:szCs w:val="32"/>
        </w:rPr>
        <w:t>第三章 供应商须知</w:t>
      </w:r>
      <w:bookmarkEnd w:id="34"/>
      <w:bookmarkEnd w:id="35"/>
      <w:bookmarkEnd w:id="36"/>
    </w:p>
    <w:p w14:paraId="175D1CA3">
      <w:pPr>
        <w:pStyle w:val="3"/>
        <w:spacing w:line="500" w:lineRule="exact"/>
        <w:jc w:val="center"/>
        <w:rPr>
          <w:rFonts w:hint="eastAsia" w:ascii="宋体" w:hAnsi="宋体" w:eastAsia="宋体" w:cs="宋体"/>
          <w:b w:val="0"/>
          <w:color w:val="auto"/>
        </w:rPr>
      </w:pPr>
      <w:bookmarkStart w:id="37" w:name="_Toc80886928"/>
      <w:bookmarkStart w:id="38" w:name="_Toc23023"/>
      <w:bookmarkStart w:id="39" w:name="_Toc1187"/>
      <w:r>
        <w:rPr>
          <w:rFonts w:hint="eastAsia" w:ascii="宋体" w:hAnsi="宋体" w:eastAsia="宋体" w:cs="宋体"/>
          <w:b w:val="0"/>
          <w:color w:val="auto"/>
        </w:rPr>
        <w:t>第一节 供应商须知前附表</w:t>
      </w:r>
      <w:bookmarkEnd w:id="37"/>
      <w:bookmarkEnd w:id="38"/>
      <w:bookmarkEnd w:id="39"/>
    </w:p>
    <w:tbl>
      <w:tblPr>
        <w:tblStyle w:val="18"/>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4BCC7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Pr>
          <w:p w14:paraId="09AD9A6C">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2786" w:type="dxa"/>
            <w:vAlign w:val="center"/>
          </w:tcPr>
          <w:p w14:paraId="51A9C17B">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条款内容</w:t>
            </w:r>
          </w:p>
        </w:tc>
        <w:tc>
          <w:tcPr>
            <w:tcW w:w="6853" w:type="dxa"/>
          </w:tcPr>
          <w:p w14:paraId="4BD02E38">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具体要求</w:t>
            </w:r>
          </w:p>
        </w:tc>
      </w:tr>
      <w:tr w14:paraId="14573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5261CF3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3.1</w:t>
            </w:r>
          </w:p>
        </w:tc>
        <w:tc>
          <w:tcPr>
            <w:tcW w:w="2786" w:type="dxa"/>
            <w:vAlign w:val="center"/>
          </w:tcPr>
          <w:p w14:paraId="45EC108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供应商资格条件</w:t>
            </w:r>
          </w:p>
        </w:tc>
        <w:tc>
          <w:tcPr>
            <w:tcW w:w="6853" w:type="dxa"/>
          </w:tcPr>
          <w:p w14:paraId="5E945F92">
            <w:pPr>
              <w:spacing w:line="360" w:lineRule="auto"/>
              <w:rPr>
                <w:rFonts w:hint="eastAsia" w:ascii="宋体" w:hAnsi="宋体" w:eastAsia="宋体" w:cs="宋体"/>
                <w:color w:val="auto"/>
                <w:szCs w:val="21"/>
              </w:rPr>
            </w:pPr>
            <w:r>
              <w:rPr>
                <w:rFonts w:hint="eastAsia" w:ascii="宋体" w:hAnsi="宋体" w:eastAsia="宋体" w:cs="宋体"/>
                <w:color w:val="auto"/>
                <w:szCs w:val="21"/>
              </w:rPr>
              <w:t>供应商资格条件要求详见公告。</w:t>
            </w:r>
          </w:p>
        </w:tc>
      </w:tr>
      <w:tr w14:paraId="4EF2B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2F9573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5.1</w:t>
            </w:r>
          </w:p>
        </w:tc>
        <w:tc>
          <w:tcPr>
            <w:tcW w:w="2786" w:type="dxa"/>
            <w:vAlign w:val="center"/>
          </w:tcPr>
          <w:p w14:paraId="2853F94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是否接受联合体竞标</w:t>
            </w:r>
          </w:p>
        </w:tc>
        <w:tc>
          <w:tcPr>
            <w:tcW w:w="6853" w:type="dxa"/>
            <w:vAlign w:val="center"/>
          </w:tcPr>
          <w:p w14:paraId="74AF24FF">
            <w:pPr>
              <w:spacing w:line="360" w:lineRule="auto"/>
              <w:rPr>
                <w:rFonts w:hint="eastAsia" w:ascii="宋体" w:hAnsi="宋体" w:eastAsia="宋体" w:cs="宋体"/>
                <w:color w:val="auto"/>
                <w:szCs w:val="21"/>
              </w:rPr>
            </w:pPr>
            <w:bookmarkStart w:id="40" w:name="PO_3000001868_PM007"/>
            <w:r>
              <w:rPr>
                <w:rFonts w:hint="eastAsia" w:ascii="宋体" w:hAnsi="宋体" w:eastAsia="宋体" w:cs="宋体"/>
                <w:color w:val="auto"/>
                <w:szCs w:val="21"/>
              </w:rPr>
              <w:t>不允许联合体投标</w:t>
            </w:r>
            <w:bookmarkEnd w:id="40"/>
          </w:p>
        </w:tc>
      </w:tr>
      <w:tr w14:paraId="1797D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CA8637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5.2</w:t>
            </w:r>
          </w:p>
        </w:tc>
        <w:tc>
          <w:tcPr>
            <w:tcW w:w="2786" w:type="dxa"/>
            <w:vAlign w:val="center"/>
          </w:tcPr>
          <w:p w14:paraId="710F1E1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联合体竞标要求</w:t>
            </w:r>
          </w:p>
        </w:tc>
        <w:tc>
          <w:tcPr>
            <w:tcW w:w="6853" w:type="dxa"/>
            <w:vAlign w:val="center"/>
          </w:tcPr>
          <w:p w14:paraId="3CC2E917">
            <w:pPr>
              <w:spacing w:line="360" w:lineRule="auto"/>
              <w:rPr>
                <w:rFonts w:hint="eastAsia" w:ascii="宋体" w:hAnsi="宋体" w:eastAsia="宋体" w:cs="宋体"/>
                <w:color w:val="auto"/>
                <w:szCs w:val="21"/>
              </w:rPr>
            </w:pPr>
            <w:r>
              <w:rPr>
                <w:rFonts w:hint="eastAsia" w:ascii="宋体" w:hAnsi="宋体" w:eastAsia="宋体" w:cs="宋体"/>
                <w:color w:val="auto"/>
                <w:szCs w:val="21"/>
              </w:rPr>
              <w:t>无</w:t>
            </w:r>
          </w:p>
        </w:tc>
      </w:tr>
      <w:tr w14:paraId="23F24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0AE0999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6.1</w:t>
            </w:r>
          </w:p>
        </w:tc>
        <w:tc>
          <w:tcPr>
            <w:tcW w:w="2786" w:type="dxa"/>
            <w:vAlign w:val="center"/>
          </w:tcPr>
          <w:p w14:paraId="311F0C5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是否允许分包</w:t>
            </w:r>
          </w:p>
        </w:tc>
        <w:tc>
          <w:tcPr>
            <w:tcW w:w="6853" w:type="dxa"/>
            <w:vAlign w:val="center"/>
          </w:tcPr>
          <w:p w14:paraId="2BDEE369">
            <w:pPr>
              <w:pStyle w:val="9"/>
              <w:spacing w:line="360" w:lineRule="auto"/>
              <w:rPr>
                <w:rFonts w:hint="eastAsia" w:ascii="宋体" w:hAnsi="宋体" w:eastAsia="宋体" w:cs="宋体"/>
                <w:color w:val="auto"/>
                <w:szCs w:val="21"/>
              </w:rPr>
            </w:pPr>
            <w:r>
              <w:rPr>
                <w:rFonts w:hint="eastAsia" w:ascii="宋体" w:hAnsi="宋体" w:eastAsia="宋体" w:cs="宋体"/>
                <w:color w:val="auto"/>
                <w:szCs w:val="21"/>
              </w:rPr>
              <w:t>☑不允许分包</w:t>
            </w:r>
          </w:p>
          <w:p w14:paraId="38A4D6AB">
            <w:pPr>
              <w:pStyle w:val="9"/>
              <w:spacing w:line="360" w:lineRule="auto"/>
              <w:rPr>
                <w:rFonts w:hint="eastAsia" w:ascii="宋体" w:hAnsi="宋体" w:eastAsia="宋体" w:cs="宋体"/>
                <w:color w:val="auto"/>
                <w:szCs w:val="21"/>
              </w:rPr>
            </w:pPr>
            <w:r>
              <w:rPr>
                <w:rFonts w:hint="eastAsia" w:ascii="宋体" w:hAnsi="宋体" w:eastAsia="宋体" w:cs="宋体"/>
                <w:color w:val="auto"/>
                <w:szCs w:val="21"/>
              </w:rPr>
              <w:t>□允许分包</w:t>
            </w:r>
          </w:p>
          <w:p w14:paraId="08442C66">
            <w:pPr>
              <w:pStyle w:val="9"/>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分包内容：</w:t>
            </w:r>
            <w:r>
              <w:rPr>
                <w:rFonts w:hint="eastAsia" w:ascii="宋体" w:hAnsi="宋体" w:eastAsia="宋体" w:cs="宋体"/>
                <w:color w:val="auto"/>
                <w:szCs w:val="21"/>
                <w:u w:val="single"/>
              </w:rPr>
              <w:t xml:space="preserve">                                     。</w:t>
            </w:r>
          </w:p>
          <w:p w14:paraId="29547029">
            <w:pPr>
              <w:pStyle w:val="9"/>
              <w:spacing w:line="360" w:lineRule="auto"/>
              <w:rPr>
                <w:rFonts w:hint="eastAsia" w:ascii="宋体" w:hAnsi="宋体" w:eastAsia="宋体" w:cs="宋体"/>
                <w:color w:val="auto"/>
                <w:szCs w:val="21"/>
              </w:rPr>
            </w:pPr>
            <w:r>
              <w:rPr>
                <w:rFonts w:hint="eastAsia" w:ascii="宋体" w:hAnsi="宋体" w:eastAsia="宋体" w:cs="宋体"/>
                <w:color w:val="auto"/>
                <w:szCs w:val="21"/>
              </w:rPr>
              <w:t>分包金额或者比例：</w:t>
            </w:r>
            <w:r>
              <w:rPr>
                <w:rFonts w:hint="eastAsia" w:ascii="宋体" w:hAnsi="宋体" w:eastAsia="宋体" w:cs="宋体"/>
                <w:color w:val="auto"/>
                <w:szCs w:val="21"/>
                <w:u w:val="single"/>
              </w:rPr>
              <w:t xml:space="preserve">                                     。</w:t>
            </w:r>
          </w:p>
        </w:tc>
      </w:tr>
      <w:tr w14:paraId="2A119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5C8C9F8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12.1.1</w:t>
            </w:r>
          </w:p>
        </w:tc>
        <w:tc>
          <w:tcPr>
            <w:tcW w:w="2786" w:type="dxa"/>
            <w:vAlign w:val="center"/>
          </w:tcPr>
          <w:p w14:paraId="57780F54">
            <w:pPr>
              <w:snapToGrid w:val="0"/>
              <w:spacing w:line="360" w:lineRule="auto"/>
              <w:jc w:val="center"/>
              <w:rPr>
                <w:rFonts w:hint="eastAsia" w:ascii="宋体" w:hAnsi="宋体" w:eastAsia="宋体" w:cs="宋体"/>
                <w:color w:val="auto"/>
                <w:szCs w:val="21"/>
              </w:rPr>
            </w:pPr>
            <w:r>
              <w:rPr>
                <w:rFonts w:hint="eastAsia" w:ascii="宋体" w:hAnsi="宋体" w:eastAsia="宋体" w:cs="宋体"/>
                <w:b/>
                <w:color w:val="auto"/>
                <w:szCs w:val="21"/>
              </w:rPr>
              <w:t>资格证明文件组成</w:t>
            </w:r>
          </w:p>
        </w:tc>
        <w:tc>
          <w:tcPr>
            <w:tcW w:w="6853" w:type="dxa"/>
            <w:vAlign w:val="center"/>
          </w:tcPr>
          <w:p w14:paraId="2B7773E9">
            <w:pPr>
              <w:snapToGrid w:val="0"/>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1.本项目供应商要求为</w:t>
            </w:r>
            <w:r>
              <w:rPr>
                <w:rFonts w:hint="eastAsia" w:ascii="宋体" w:hAnsi="宋体" w:eastAsia="宋体" w:cs="宋体"/>
                <w:b/>
                <w:bCs/>
                <w:color w:val="auto"/>
                <w:szCs w:val="21"/>
                <w:lang w:val="en-US" w:eastAsia="zh-CN"/>
              </w:rPr>
              <w:t>小微</w:t>
            </w:r>
            <w:r>
              <w:rPr>
                <w:rFonts w:hint="eastAsia" w:ascii="宋体" w:hAnsi="宋体" w:eastAsia="宋体" w:cs="宋体"/>
                <w:b/>
                <w:bCs/>
                <w:color w:val="auto"/>
                <w:szCs w:val="21"/>
                <w:lang w:eastAsia="zh-CN"/>
              </w:rPr>
              <w:t>企业</w:t>
            </w:r>
            <w:r>
              <w:rPr>
                <w:rFonts w:hint="eastAsia" w:ascii="宋体" w:hAnsi="宋体" w:eastAsia="宋体" w:cs="宋体"/>
                <w:b/>
                <w:bCs/>
                <w:color w:val="auto"/>
                <w:szCs w:val="21"/>
              </w:rPr>
              <w:t>，必须提供以下证明材料之一：</w:t>
            </w:r>
          </w:p>
          <w:p w14:paraId="3689F669">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①中小企业声明函（服务由中小企业承接的必须提供，格式见第五章）；</w:t>
            </w:r>
          </w:p>
          <w:p w14:paraId="124E4087">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②残疾人福利性单位声明函（服务由残疾人福利性单位承接的必须提供，格式见第五章）；</w:t>
            </w:r>
          </w:p>
          <w:p w14:paraId="1F6F8A3D">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③监狱企业由省级以上监狱管理局、戒毒管理局（含新疆生产建设兵团）出具的属于监狱企业的证明文件（服务由于监狱企业承接的必须提供）。</w:t>
            </w:r>
          </w:p>
          <w:p w14:paraId="3BEAE4F4">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72C2E2FE">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3.政府采购供应商资格信用承诺函（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628E9E4A">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4.供应商直接控股股东信息表、管理关系信息表；（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0A737E9F">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5.资格声明函。（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6EB3F3D2">
            <w:pPr>
              <w:snapToGrid w:val="0"/>
              <w:spacing w:line="360" w:lineRule="auto"/>
              <w:jc w:val="left"/>
              <w:rPr>
                <w:rFonts w:hint="eastAsia" w:ascii="宋体" w:hAnsi="宋体" w:eastAsia="宋体" w:cs="宋体"/>
                <w:b/>
                <w:color w:val="auto"/>
                <w:szCs w:val="21"/>
              </w:rPr>
            </w:pPr>
          </w:p>
          <w:p w14:paraId="4FFB6A40">
            <w:pPr>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注：</w:t>
            </w:r>
          </w:p>
          <w:p w14:paraId="1BAE6AC9">
            <w:pPr>
              <w:snapToGrid w:val="0"/>
              <w:spacing w:line="360" w:lineRule="auto"/>
              <w:ind w:firstLine="413" w:firstLineChars="196"/>
              <w:jc w:val="left"/>
              <w:rPr>
                <w:rFonts w:hint="eastAsia" w:ascii="宋体" w:hAnsi="宋体" w:eastAsia="宋体" w:cs="宋体"/>
                <w:b/>
                <w:color w:val="auto"/>
                <w:szCs w:val="21"/>
              </w:rPr>
            </w:pPr>
            <w:r>
              <w:rPr>
                <w:rFonts w:hint="eastAsia" w:ascii="宋体" w:hAnsi="宋体" w:eastAsia="宋体" w:cs="宋体"/>
                <w:b/>
                <w:color w:val="auto"/>
                <w:szCs w:val="21"/>
              </w:rPr>
              <w:t>以上标明“必须提供”的材料属于复印件的扫描件的，必须加盖供应商电子公章，否则响应文件按无效响应处理。</w:t>
            </w:r>
          </w:p>
        </w:tc>
      </w:tr>
      <w:tr w14:paraId="5FDFA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8" w:hRule="atLeast"/>
          <w:jc w:val="center"/>
        </w:trPr>
        <w:tc>
          <w:tcPr>
            <w:tcW w:w="725" w:type="dxa"/>
            <w:vMerge w:val="restart"/>
            <w:vAlign w:val="center"/>
          </w:tcPr>
          <w:p w14:paraId="5F84D5B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12.1.2</w:t>
            </w:r>
          </w:p>
        </w:tc>
        <w:tc>
          <w:tcPr>
            <w:tcW w:w="2786" w:type="dxa"/>
            <w:vAlign w:val="center"/>
          </w:tcPr>
          <w:p w14:paraId="51FA0A4C">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商务文件组成</w:t>
            </w:r>
          </w:p>
        </w:tc>
        <w:tc>
          <w:tcPr>
            <w:tcW w:w="6853" w:type="dxa"/>
            <w:vAlign w:val="center"/>
          </w:tcPr>
          <w:p w14:paraId="47568AA1">
            <w:pPr>
              <w:spacing w:line="360" w:lineRule="auto"/>
              <w:rPr>
                <w:rFonts w:hint="eastAsia" w:ascii="宋体" w:hAnsi="宋体" w:eastAsia="宋体" w:cs="宋体"/>
                <w:color w:val="auto"/>
                <w:szCs w:val="21"/>
              </w:rPr>
            </w:pPr>
            <w:r>
              <w:rPr>
                <w:rFonts w:hint="eastAsia" w:ascii="宋体" w:hAnsi="宋体" w:eastAsia="宋体" w:cs="宋体"/>
                <w:color w:val="auto"/>
                <w:szCs w:val="21"/>
              </w:rPr>
              <w:t>1.无串通竞标行为的承诺函；（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3C98F63">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2.法定代表人身份证明书及法定代表人有效身份证正反面复印件；（</w:t>
            </w:r>
            <w:r>
              <w:rPr>
                <w:rFonts w:hint="eastAsia" w:ascii="宋体" w:hAnsi="宋体" w:eastAsia="宋体" w:cs="宋体"/>
                <w:b/>
                <w:bCs/>
                <w:color w:val="auto"/>
                <w:szCs w:val="21"/>
              </w:rPr>
              <w:t>除自然人竞标外</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6D527F1">
            <w:pPr>
              <w:spacing w:line="360" w:lineRule="auto"/>
              <w:rPr>
                <w:rFonts w:hint="eastAsia" w:ascii="宋体" w:hAnsi="宋体" w:eastAsia="宋体" w:cs="宋体"/>
                <w:b/>
                <w:color w:val="auto"/>
                <w:szCs w:val="21"/>
              </w:rPr>
            </w:pPr>
            <w:r>
              <w:rPr>
                <w:rFonts w:hint="eastAsia" w:ascii="宋体" w:hAnsi="宋体" w:eastAsia="宋体" w:cs="宋体"/>
                <w:color w:val="auto"/>
                <w:szCs w:val="21"/>
              </w:rPr>
              <w:t>3.法定代表人授权委托书及委托代理人有效身份证正反面复印件；（</w:t>
            </w:r>
            <w:r>
              <w:rPr>
                <w:rFonts w:hint="eastAsia" w:ascii="宋体" w:hAnsi="宋体" w:eastAsia="宋体" w:cs="宋体"/>
                <w:b/>
                <w:color w:val="auto"/>
                <w:szCs w:val="21"/>
              </w:rPr>
              <w:t>委托时必须提供，否则响应文件按无效响应处理</w:t>
            </w:r>
            <w:r>
              <w:rPr>
                <w:rFonts w:hint="eastAsia" w:ascii="宋体" w:hAnsi="宋体" w:eastAsia="宋体" w:cs="宋体"/>
                <w:color w:val="auto"/>
                <w:szCs w:val="21"/>
              </w:rPr>
              <w:t>）</w:t>
            </w:r>
          </w:p>
          <w:p w14:paraId="71341034">
            <w:pPr>
              <w:spacing w:line="360" w:lineRule="auto"/>
              <w:rPr>
                <w:rFonts w:hint="eastAsia" w:ascii="宋体" w:hAnsi="宋体" w:eastAsia="宋体" w:cs="宋体"/>
                <w:color w:val="auto"/>
                <w:szCs w:val="21"/>
              </w:rPr>
            </w:pPr>
            <w:r>
              <w:rPr>
                <w:rFonts w:hint="eastAsia" w:ascii="宋体" w:hAnsi="宋体" w:eastAsia="宋体" w:cs="宋体"/>
                <w:color w:val="auto"/>
                <w:szCs w:val="21"/>
              </w:rPr>
              <w:t>4.商务条款偏离表；（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3B381F66">
            <w:pPr>
              <w:spacing w:line="360" w:lineRule="auto"/>
              <w:rPr>
                <w:rFonts w:hint="eastAsia" w:ascii="宋体" w:hAnsi="宋体" w:eastAsia="宋体" w:cs="宋体"/>
                <w:color w:val="auto"/>
                <w:szCs w:val="21"/>
              </w:rPr>
            </w:pPr>
            <w:r>
              <w:rPr>
                <w:rFonts w:hint="eastAsia" w:ascii="宋体" w:hAnsi="宋体" w:eastAsia="宋体" w:cs="宋体"/>
                <w:color w:val="auto"/>
                <w:szCs w:val="21"/>
              </w:rPr>
              <w:t>5.供应商情况介绍；</w:t>
            </w:r>
          </w:p>
          <w:p w14:paraId="5398753E">
            <w:pPr>
              <w:spacing w:line="360" w:lineRule="auto"/>
              <w:rPr>
                <w:rFonts w:hint="eastAsia" w:ascii="宋体" w:hAnsi="宋体" w:eastAsia="宋体" w:cs="宋体"/>
                <w:color w:val="auto"/>
                <w:szCs w:val="21"/>
              </w:rPr>
            </w:pPr>
            <w:r>
              <w:rPr>
                <w:rFonts w:hint="eastAsia" w:ascii="宋体" w:hAnsi="宋体" w:eastAsia="宋体" w:cs="宋体"/>
                <w:color w:val="auto"/>
                <w:szCs w:val="21"/>
              </w:rPr>
              <w:t>6.供应商认为需要提供的其他有关资料（如类似业绩的证明文件等）。</w:t>
            </w:r>
          </w:p>
          <w:p w14:paraId="5B29A24B">
            <w:pPr>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 xml:space="preserve">注： </w:t>
            </w:r>
          </w:p>
          <w:p w14:paraId="37CC3FDF">
            <w:pPr>
              <w:snapToGrid w:val="0"/>
              <w:spacing w:line="360" w:lineRule="auto"/>
              <w:ind w:firstLine="413" w:firstLineChars="196"/>
              <w:jc w:val="left"/>
              <w:rPr>
                <w:rFonts w:hint="eastAsia" w:ascii="宋体" w:hAnsi="宋体" w:eastAsia="宋体" w:cs="宋体"/>
                <w:b/>
                <w:color w:val="auto"/>
                <w:szCs w:val="21"/>
              </w:rPr>
            </w:pPr>
            <w:r>
              <w:rPr>
                <w:rFonts w:hint="eastAsia" w:ascii="宋体" w:hAnsi="宋体" w:eastAsia="宋体" w:cs="宋体"/>
                <w:b/>
                <w:color w:val="auto"/>
                <w:szCs w:val="21"/>
              </w:rPr>
              <w:t>1.法定代表人授权委托书必须由法定代表人及委托代理人签字，并加盖供应商电子公章，否则响应文件按无效响应处理。</w:t>
            </w:r>
          </w:p>
          <w:p w14:paraId="5AEBEDE6">
            <w:pPr>
              <w:spacing w:line="360" w:lineRule="auto"/>
              <w:ind w:firstLine="413" w:firstLineChars="196"/>
              <w:rPr>
                <w:rFonts w:hint="eastAsia" w:ascii="宋体" w:hAnsi="宋体" w:eastAsia="宋体" w:cs="宋体"/>
                <w:b/>
                <w:color w:val="auto"/>
                <w:szCs w:val="21"/>
              </w:rPr>
            </w:pPr>
            <w:r>
              <w:rPr>
                <w:rFonts w:hint="eastAsia" w:ascii="宋体" w:hAnsi="宋体" w:eastAsia="宋体" w:cs="宋体"/>
                <w:b/>
                <w:color w:val="auto"/>
                <w:szCs w:val="21"/>
              </w:rPr>
              <w:t>2.以上标明“必须提供”的材料属于复印件的扫描件的，必须加盖供应商电子公章，否则响应文件按无效响应处理。</w:t>
            </w:r>
          </w:p>
        </w:tc>
      </w:tr>
      <w:tr w14:paraId="4C927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6" w:hRule="atLeast"/>
          <w:jc w:val="center"/>
        </w:trPr>
        <w:tc>
          <w:tcPr>
            <w:tcW w:w="725" w:type="dxa"/>
            <w:vMerge w:val="continue"/>
            <w:vAlign w:val="center"/>
          </w:tcPr>
          <w:p w14:paraId="7827B88E">
            <w:pPr>
              <w:spacing w:line="360" w:lineRule="auto"/>
              <w:jc w:val="center"/>
              <w:rPr>
                <w:rFonts w:hint="eastAsia" w:ascii="宋体" w:hAnsi="宋体" w:eastAsia="宋体" w:cs="宋体"/>
                <w:color w:val="auto"/>
                <w:szCs w:val="21"/>
              </w:rPr>
            </w:pPr>
          </w:p>
        </w:tc>
        <w:tc>
          <w:tcPr>
            <w:tcW w:w="2786" w:type="dxa"/>
            <w:vAlign w:val="center"/>
          </w:tcPr>
          <w:p w14:paraId="0A7B47E6">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技术文件组成</w:t>
            </w:r>
          </w:p>
        </w:tc>
        <w:tc>
          <w:tcPr>
            <w:tcW w:w="6853" w:type="dxa"/>
            <w:vAlign w:val="center"/>
          </w:tcPr>
          <w:p w14:paraId="2CB2D29D">
            <w:pPr>
              <w:spacing w:line="360" w:lineRule="auto"/>
              <w:rPr>
                <w:rFonts w:hint="eastAsia" w:ascii="宋体" w:hAnsi="宋体" w:eastAsia="宋体" w:cs="宋体"/>
                <w:color w:val="auto"/>
                <w:szCs w:val="21"/>
              </w:rPr>
            </w:pPr>
            <w:r>
              <w:rPr>
                <w:rFonts w:hint="eastAsia" w:ascii="宋体" w:hAnsi="宋体" w:eastAsia="宋体" w:cs="宋体"/>
                <w:color w:val="auto"/>
                <w:szCs w:val="21"/>
              </w:rPr>
              <w:t>1.服务需求偏离表；（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3E1936F2">
            <w:pPr>
              <w:spacing w:line="360" w:lineRule="auto"/>
              <w:rPr>
                <w:rFonts w:hint="eastAsia" w:ascii="宋体" w:hAnsi="宋体" w:eastAsia="宋体" w:cs="宋体"/>
                <w:color w:val="auto"/>
                <w:szCs w:val="21"/>
              </w:rPr>
            </w:pPr>
            <w:r>
              <w:rPr>
                <w:rFonts w:hint="eastAsia" w:ascii="宋体" w:hAnsi="宋体" w:eastAsia="宋体" w:cs="宋体"/>
                <w:color w:val="auto"/>
                <w:szCs w:val="21"/>
              </w:rPr>
              <w:t>2.服务方案；（</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FA6FD8F">
            <w:pPr>
              <w:spacing w:line="360" w:lineRule="auto"/>
              <w:rPr>
                <w:rFonts w:hint="eastAsia" w:ascii="宋体" w:hAnsi="宋体" w:eastAsia="宋体" w:cs="宋体"/>
                <w:color w:val="auto"/>
                <w:szCs w:val="21"/>
              </w:rPr>
            </w:pPr>
            <w:r>
              <w:rPr>
                <w:rFonts w:hint="eastAsia" w:ascii="宋体" w:hAnsi="宋体" w:eastAsia="宋体" w:cs="宋体"/>
                <w:color w:val="auto"/>
                <w:szCs w:val="21"/>
              </w:rPr>
              <w:t>3.项目实施人员一览表；</w:t>
            </w:r>
          </w:p>
          <w:p w14:paraId="269E0790">
            <w:pPr>
              <w:spacing w:line="360" w:lineRule="auto"/>
              <w:rPr>
                <w:rFonts w:hint="eastAsia" w:ascii="宋体" w:hAnsi="宋体" w:eastAsia="宋体" w:cs="宋体"/>
                <w:color w:val="auto"/>
                <w:szCs w:val="21"/>
              </w:rPr>
            </w:pPr>
            <w:r>
              <w:rPr>
                <w:rFonts w:hint="eastAsia" w:ascii="宋体" w:hAnsi="宋体" w:eastAsia="宋体" w:cs="宋体"/>
                <w:color w:val="auto"/>
                <w:szCs w:val="21"/>
              </w:rPr>
              <w:t>4.对应采购需求的服务需求、商务条款提供的其他文件资料；</w:t>
            </w:r>
          </w:p>
          <w:p w14:paraId="4B49DBAA">
            <w:pPr>
              <w:spacing w:line="360" w:lineRule="auto"/>
              <w:rPr>
                <w:rFonts w:hint="eastAsia" w:ascii="宋体" w:hAnsi="宋体" w:eastAsia="宋体" w:cs="宋体"/>
                <w:color w:val="auto"/>
                <w:szCs w:val="21"/>
              </w:rPr>
            </w:pPr>
            <w:r>
              <w:rPr>
                <w:rFonts w:hint="eastAsia" w:ascii="宋体" w:hAnsi="宋体" w:eastAsia="宋体" w:cs="宋体"/>
                <w:color w:val="auto"/>
                <w:szCs w:val="21"/>
              </w:rPr>
              <w:t>5.供应商认为需要提供的其他有关资料。</w:t>
            </w:r>
          </w:p>
          <w:p w14:paraId="520D43CC">
            <w:pPr>
              <w:pStyle w:val="13"/>
              <w:rPr>
                <w:rFonts w:hint="eastAsia" w:ascii="宋体" w:hAnsi="宋体" w:eastAsia="宋体" w:cs="宋体"/>
                <w:b/>
                <w:color w:val="auto"/>
                <w:szCs w:val="21"/>
              </w:rPr>
            </w:pPr>
            <w:r>
              <w:rPr>
                <w:rFonts w:hint="eastAsia" w:ascii="宋体" w:hAnsi="宋体" w:eastAsia="宋体" w:cs="宋体"/>
                <w:b/>
                <w:color w:val="auto"/>
                <w:kern w:val="2"/>
                <w:sz w:val="21"/>
                <w:szCs w:val="21"/>
              </w:rPr>
              <w:t>注：以上标明“必须提供”的材料属于复印件的扫描件的，必须加盖供应商电子公章，否则响应文件按无效响应处理。</w:t>
            </w:r>
          </w:p>
        </w:tc>
      </w:tr>
      <w:tr w14:paraId="5133A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4719938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12.1.2</w:t>
            </w:r>
          </w:p>
        </w:tc>
        <w:tc>
          <w:tcPr>
            <w:tcW w:w="2786" w:type="dxa"/>
            <w:vAlign w:val="center"/>
          </w:tcPr>
          <w:p w14:paraId="4AE64AD5">
            <w:pPr>
              <w:spacing w:line="360" w:lineRule="auto"/>
              <w:jc w:val="center"/>
              <w:rPr>
                <w:rFonts w:hint="eastAsia" w:ascii="宋体" w:hAnsi="宋体" w:eastAsia="宋体" w:cs="宋体"/>
                <w:color w:val="auto"/>
                <w:szCs w:val="21"/>
              </w:rPr>
            </w:pPr>
            <w:r>
              <w:rPr>
                <w:rFonts w:hint="eastAsia" w:ascii="宋体" w:hAnsi="宋体" w:eastAsia="宋体" w:cs="宋体"/>
                <w:b/>
                <w:bCs/>
                <w:color w:val="auto"/>
                <w:szCs w:val="21"/>
              </w:rPr>
              <w:t>报价文件组成</w:t>
            </w:r>
          </w:p>
        </w:tc>
        <w:tc>
          <w:tcPr>
            <w:tcW w:w="6853" w:type="dxa"/>
            <w:vAlign w:val="center"/>
          </w:tcPr>
          <w:p w14:paraId="31151395">
            <w:pPr>
              <w:spacing w:line="360" w:lineRule="auto"/>
              <w:rPr>
                <w:rFonts w:hint="eastAsia" w:ascii="宋体" w:hAnsi="宋体" w:eastAsia="宋体" w:cs="宋体"/>
                <w:color w:val="auto"/>
                <w:szCs w:val="21"/>
              </w:rPr>
            </w:pPr>
            <w:r>
              <w:rPr>
                <w:rFonts w:hint="eastAsia" w:ascii="宋体" w:hAnsi="宋体" w:eastAsia="宋体" w:cs="宋体"/>
                <w:color w:val="auto"/>
                <w:szCs w:val="21"/>
              </w:rPr>
              <w:t>1.响应函；（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2C5E2A11">
            <w:pPr>
              <w:spacing w:line="360" w:lineRule="auto"/>
              <w:rPr>
                <w:rFonts w:hint="eastAsia" w:ascii="宋体" w:hAnsi="宋体" w:eastAsia="宋体" w:cs="宋体"/>
                <w:color w:val="auto"/>
                <w:szCs w:val="21"/>
              </w:rPr>
            </w:pPr>
            <w:r>
              <w:rPr>
                <w:rFonts w:hint="eastAsia" w:ascii="宋体" w:hAnsi="宋体" w:eastAsia="宋体" w:cs="宋体"/>
                <w:color w:val="auto"/>
                <w:szCs w:val="21"/>
              </w:rPr>
              <w:t>2.响应报价表。</w:t>
            </w:r>
            <w:r>
              <w:rPr>
                <w:rFonts w:hint="eastAsia" w:ascii="宋体" w:hAnsi="宋体" w:eastAsia="宋体" w:cs="宋体"/>
                <w:b/>
                <w:bCs/>
                <w:color w:val="auto"/>
                <w:szCs w:val="21"/>
              </w:rPr>
              <w:t>（必须提供，否则响应文件按无效响应处理）</w:t>
            </w:r>
          </w:p>
          <w:p w14:paraId="4C58C0F0">
            <w:pPr>
              <w:spacing w:line="360" w:lineRule="auto"/>
              <w:rPr>
                <w:rFonts w:hint="eastAsia" w:ascii="宋体" w:hAnsi="宋体" w:eastAsia="宋体" w:cs="宋体"/>
                <w:color w:val="auto"/>
                <w:szCs w:val="21"/>
              </w:rPr>
            </w:pPr>
            <w:r>
              <w:rPr>
                <w:rFonts w:hint="eastAsia" w:ascii="宋体" w:hAnsi="宋体" w:eastAsia="宋体" w:cs="宋体"/>
                <w:b/>
                <w:color w:val="auto"/>
                <w:szCs w:val="21"/>
              </w:rPr>
              <w:t>注：以上标明“必须提供”的材料必须加盖供应商电子公章，否则响应文件按无效响应处理。</w:t>
            </w:r>
          </w:p>
        </w:tc>
      </w:tr>
      <w:tr w14:paraId="66A3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7A0AA88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12.2</w:t>
            </w:r>
          </w:p>
        </w:tc>
        <w:tc>
          <w:tcPr>
            <w:tcW w:w="2786" w:type="dxa"/>
            <w:vAlign w:val="center"/>
          </w:tcPr>
          <w:p w14:paraId="4056AB5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响应文件电子版要求</w:t>
            </w:r>
          </w:p>
        </w:tc>
        <w:tc>
          <w:tcPr>
            <w:tcW w:w="6853" w:type="dxa"/>
            <w:vAlign w:val="center"/>
          </w:tcPr>
          <w:p w14:paraId="79D76A2B">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rPr>
              <w:t>否则响应文件按无效响应处理</w:t>
            </w:r>
            <w:r>
              <w:rPr>
                <w:rFonts w:hint="eastAsia" w:ascii="宋体" w:hAnsi="宋体" w:eastAsia="宋体" w:cs="宋体"/>
                <w:color w:val="auto"/>
                <w:szCs w:val="21"/>
              </w:rPr>
              <w:t>。</w:t>
            </w:r>
          </w:p>
          <w:p w14:paraId="45B8E73B">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2.响应文件电子版密封方式：电子响应文件通过平台有效CA加密后在广西政府采购云平台投送。</w:t>
            </w:r>
          </w:p>
        </w:tc>
      </w:tr>
      <w:tr w14:paraId="40714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AD14A8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15.2</w:t>
            </w:r>
          </w:p>
        </w:tc>
        <w:tc>
          <w:tcPr>
            <w:tcW w:w="2786" w:type="dxa"/>
            <w:vAlign w:val="center"/>
          </w:tcPr>
          <w:p w14:paraId="320976C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响应报价要求</w:t>
            </w:r>
          </w:p>
        </w:tc>
        <w:tc>
          <w:tcPr>
            <w:tcW w:w="6853" w:type="dxa"/>
            <w:vAlign w:val="center"/>
          </w:tcPr>
          <w:p w14:paraId="7C745879">
            <w:pPr>
              <w:tabs>
                <w:tab w:val="left" w:pos="180"/>
                <w:tab w:val="left" w:pos="1620"/>
              </w:tabs>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磋商报价必须包含但不限于以下部分：</w:t>
            </w:r>
          </w:p>
          <w:p w14:paraId="6517F3B5">
            <w:pPr>
              <w:tabs>
                <w:tab w:val="left" w:pos="180"/>
                <w:tab w:val="left" w:pos="1620"/>
              </w:tabs>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（1）项目费用：人员保险费、住宿费、伙食费、交通费、劳务费、劳保费、实地考察、各项税金等相关费用；</w:t>
            </w:r>
          </w:p>
          <w:p w14:paraId="6FF5E1DF">
            <w:pPr>
              <w:tabs>
                <w:tab w:val="left" w:pos="180"/>
                <w:tab w:val="left" w:pos="1620"/>
              </w:tabs>
              <w:spacing w:line="360" w:lineRule="auto"/>
              <w:jc w:val="left"/>
              <w:rPr>
                <w:rFonts w:hint="eastAsia" w:ascii="宋体" w:hAnsi="宋体" w:eastAsia="宋体" w:cs="宋体"/>
                <w:b/>
                <w:color w:val="auto"/>
                <w:szCs w:val="21"/>
              </w:rPr>
            </w:pPr>
            <w:r>
              <w:rPr>
                <w:rFonts w:hint="eastAsia" w:ascii="宋体" w:hAnsi="宋体" w:eastAsia="宋体" w:cs="宋体"/>
                <w:bCs/>
                <w:color w:val="auto"/>
                <w:szCs w:val="21"/>
              </w:rPr>
              <w:t>（2）供应商应综合考虑自身实力、实施成本等因素后做出竞标报价，成交后竞标报价报价将不予以调整；本项目至验收结束，采购人不另支付任何费用。</w:t>
            </w:r>
          </w:p>
        </w:tc>
      </w:tr>
      <w:tr w14:paraId="701C1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31CEB2A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16.2</w:t>
            </w:r>
          </w:p>
        </w:tc>
        <w:tc>
          <w:tcPr>
            <w:tcW w:w="2786" w:type="dxa"/>
            <w:vAlign w:val="center"/>
          </w:tcPr>
          <w:p w14:paraId="0BAC491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竞标有效期</w:t>
            </w:r>
          </w:p>
        </w:tc>
        <w:tc>
          <w:tcPr>
            <w:tcW w:w="6853" w:type="dxa"/>
            <w:vAlign w:val="center"/>
          </w:tcPr>
          <w:p w14:paraId="5BCFB04E">
            <w:pPr>
              <w:pStyle w:val="5"/>
              <w:tabs>
                <w:tab w:val="left" w:pos="720"/>
                <w:tab w:val="left" w:pos="840"/>
              </w:tabs>
              <w:snapToGrid w:val="0"/>
              <w:spacing w:line="360" w:lineRule="auto"/>
              <w:ind w:left="283" w:hanging="283" w:hangingChars="135"/>
              <w:rPr>
                <w:rFonts w:hint="eastAsia" w:ascii="宋体" w:hAnsi="宋体" w:eastAsia="宋体" w:cs="宋体"/>
                <w:color w:val="auto"/>
                <w:szCs w:val="21"/>
              </w:rPr>
            </w:pPr>
            <w:r>
              <w:rPr>
                <w:rFonts w:hint="eastAsia" w:ascii="宋体" w:hAnsi="宋体" w:eastAsia="宋体" w:cs="宋体"/>
                <w:color w:val="auto"/>
                <w:szCs w:val="21"/>
              </w:rPr>
              <w:t>自首次响应文件提交截止之日起</w:t>
            </w:r>
            <w:r>
              <w:rPr>
                <w:rFonts w:hint="eastAsia" w:ascii="宋体" w:hAnsi="宋体" w:eastAsia="宋体" w:cs="宋体"/>
                <w:color w:val="auto"/>
                <w:szCs w:val="21"/>
                <w:u w:val="single"/>
              </w:rPr>
              <w:t xml:space="preserve"> 60  </w:t>
            </w:r>
            <w:r>
              <w:rPr>
                <w:rFonts w:hint="eastAsia" w:ascii="宋体" w:hAnsi="宋体" w:eastAsia="宋体" w:cs="宋体"/>
                <w:color w:val="auto"/>
                <w:szCs w:val="21"/>
              </w:rPr>
              <w:t>日。</w:t>
            </w:r>
          </w:p>
        </w:tc>
      </w:tr>
      <w:tr w14:paraId="0BC6A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3D671DA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17.1</w:t>
            </w:r>
          </w:p>
        </w:tc>
        <w:tc>
          <w:tcPr>
            <w:tcW w:w="2786" w:type="dxa"/>
            <w:vAlign w:val="center"/>
          </w:tcPr>
          <w:p w14:paraId="254D361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磋商保证金</w:t>
            </w:r>
          </w:p>
        </w:tc>
        <w:tc>
          <w:tcPr>
            <w:tcW w:w="6853" w:type="dxa"/>
            <w:vAlign w:val="center"/>
          </w:tcPr>
          <w:p w14:paraId="601B1832">
            <w:pPr>
              <w:spacing w:line="400" w:lineRule="exact"/>
              <w:jc w:val="left"/>
              <w:rPr>
                <w:rFonts w:hint="eastAsia" w:ascii="宋体" w:hAnsi="宋体" w:eastAsia="宋体" w:cs="宋体"/>
                <w:color w:val="auto"/>
              </w:rPr>
            </w:pPr>
            <w:r>
              <w:rPr>
                <w:rFonts w:hint="eastAsia" w:ascii="宋体" w:hAnsi="宋体" w:eastAsia="宋体" w:cs="宋体"/>
                <w:color w:val="auto"/>
              </w:rPr>
              <w:t>无要求</w:t>
            </w:r>
          </w:p>
        </w:tc>
      </w:tr>
      <w:tr w14:paraId="07575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vAlign w:val="center"/>
          </w:tcPr>
          <w:p w14:paraId="10EEE01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20.1</w:t>
            </w:r>
          </w:p>
        </w:tc>
        <w:tc>
          <w:tcPr>
            <w:tcW w:w="2786" w:type="dxa"/>
            <w:vAlign w:val="center"/>
          </w:tcPr>
          <w:p w14:paraId="6E08C47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首次响应文件提交起止时间</w:t>
            </w:r>
          </w:p>
        </w:tc>
        <w:tc>
          <w:tcPr>
            <w:tcW w:w="6853" w:type="dxa"/>
            <w:vAlign w:val="center"/>
          </w:tcPr>
          <w:p w14:paraId="121C6099">
            <w:pPr>
              <w:snapToGrid w:val="0"/>
              <w:spacing w:line="360" w:lineRule="auto"/>
              <w:jc w:val="left"/>
              <w:rPr>
                <w:rFonts w:hint="eastAsia" w:ascii="宋体" w:hAnsi="宋体" w:eastAsia="宋体" w:cs="宋体"/>
                <w:color w:val="auto"/>
                <w:szCs w:val="21"/>
                <w:u w:val="single"/>
              </w:rPr>
            </w:pPr>
            <w:r>
              <w:rPr>
                <w:rFonts w:hint="eastAsia" w:ascii="宋体" w:hAnsi="宋体" w:eastAsia="宋体" w:cs="宋体"/>
                <w:color w:val="auto"/>
                <w:szCs w:val="21"/>
              </w:rPr>
              <w:t>详见竞争性磋商公告。</w:t>
            </w:r>
          </w:p>
        </w:tc>
      </w:tr>
      <w:tr w14:paraId="5E554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vAlign w:val="center"/>
          </w:tcPr>
          <w:p w14:paraId="001FFBE1">
            <w:pPr>
              <w:spacing w:line="360" w:lineRule="auto"/>
              <w:jc w:val="center"/>
              <w:rPr>
                <w:rFonts w:hint="eastAsia" w:ascii="宋体" w:hAnsi="宋体" w:eastAsia="宋体" w:cs="宋体"/>
                <w:color w:val="auto"/>
                <w:szCs w:val="21"/>
              </w:rPr>
            </w:pPr>
          </w:p>
        </w:tc>
        <w:tc>
          <w:tcPr>
            <w:tcW w:w="2786" w:type="dxa"/>
            <w:vAlign w:val="center"/>
          </w:tcPr>
          <w:p w14:paraId="05820C5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首次响应文件提交地点</w:t>
            </w:r>
          </w:p>
        </w:tc>
        <w:tc>
          <w:tcPr>
            <w:tcW w:w="6853" w:type="dxa"/>
            <w:vAlign w:val="center"/>
          </w:tcPr>
          <w:p w14:paraId="1C0BE669">
            <w:pPr>
              <w:snapToGrid w:val="0"/>
              <w:spacing w:line="360" w:lineRule="auto"/>
              <w:jc w:val="left"/>
              <w:rPr>
                <w:rFonts w:hint="eastAsia" w:ascii="宋体" w:hAnsi="宋体" w:eastAsia="宋体" w:cs="宋体"/>
                <w:color w:val="auto"/>
                <w:szCs w:val="21"/>
                <w:u w:val="single"/>
              </w:rPr>
            </w:pPr>
            <w:r>
              <w:rPr>
                <w:rFonts w:hint="eastAsia" w:ascii="宋体" w:hAnsi="宋体" w:eastAsia="宋体" w:cs="宋体"/>
                <w:color w:val="auto"/>
                <w:szCs w:val="21"/>
              </w:rPr>
              <w:t>详见竞争性磋商公告。</w:t>
            </w:r>
          </w:p>
        </w:tc>
      </w:tr>
      <w:tr w14:paraId="7ECAE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680C344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20.6</w:t>
            </w:r>
          </w:p>
        </w:tc>
        <w:tc>
          <w:tcPr>
            <w:tcW w:w="2786" w:type="dxa"/>
            <w:vAlign w:val="center"/>
          </w:tcPr>
          <w:p w14:paraId="726821B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备份响应文件</w:t>
            </w:r>
          </w:p>
        </w:tc>
        <w:tc>
          <w:tcPr>
            <w:tcW w:w="6853" w:type="dxa"/>
            <w:vAlign w:val="center"/>
          </w:tcPr>
          <w:p w14:paraId="10370FF4">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本项目不接受备份响应文件。</w:t>
            </w:r>
          </w:p>
        </w:tc>
      </w:tr>
      <w:tr w14:paraId="4FB5D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7633FA6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21</w:t>
            </w:r>
          </w:p>
        </w:tc>
        <w:tc>
          <w:tcPr>
            <w:tcW w:w="2786" w:type="dxa"/>
            <w:vAlign w:val="center"/>
          </w:tcPr>
          <w:p w14:paraId="221048D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首次响应文件的退回</w:t>
            </w:r>
          </w:p>
        </w:tc>
        <w:tc>
          <w:tcPr>
            <w:tcW w:w="6853" w:type="dxa"/>
            <w:vAlign w:val="center"/>
          </w:tcPr>
          <w:p w14:paraId="1E863444">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详见竞争性磋商公告。</w:t>
            </w:r>
          </w:p>
        </w:tc>
      </w:tr>
      <w:tr w14:paraId="388D3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vAlign w:val="center"/>
          </w:tcPr>
          <w:p w14:paraId="5C5158B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26.2</w:t>
            </w:r>
          </w:p>
        </w:tc>
        <w:tc>
          <w:tcPr>
            <w:tcW w:w="2786" w:type="dxa"/>
            <w:vAlign w:val="center"/>
          </w:tcPr>
          <w:p w14:paraId="3D58312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负偏离要求</w:t>
            </w:r>
          </w:p>
        </w:tc>
        <w:tc>
          <w:tcPr>
            <w:tcW w:w="6853" w:type="dxa"/>
            <w:vAlign w:val="center"/>
          </w:tcPr>
          <w:p w14:paraId="23E28534">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商务条款评审中允许负偏离的条款数为</w:t>
            </w:r>
            <w:r>
              <w:rPr>
                <w:rFonts w:hint="eastAsia" w:ascii="宋体" w:hAnsi="宋体" w:eastAsia="宋体" w:cs="宋体"/>
                <w:color w:val="auto"/>
                <w:szCs w:val="21"/>
                <w:u w:val="single"/>
              </w:rPr>
              <w:t xml:space="preserve"> 0  </w:t>
            </w:r>
            <w:r>
              <w:rPr>
                <w:rFonts w:hint="eastAsia" w:ascii="宋体" w:hAnsi="宋体" w:eastAsia="宋体" w:cs="宋体"/>
                <w:color w:val="auto"/>
                <w:szCs w:val="21"/>
              </w:rPr>
              <w:t>项。</w:t>
            </w:r>
          </w:p>
          <w:p w14:paraId="2F377C01">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服务需求评审中允许负偏离的条款数为</w:t>
            </w:r>
            <w:r>
              <w:rPr>
                <w:rFonts w:hint="eastAsia" w:ascii="宋体" w:hAnsi="宋体" w:eastAsia="宋体" w:cs="宋体"/>
                <w:color w:val="auto"/>
                <w:szCs w:val="21"/>
                <w:u w:val="single"/>
              </w:rPr>
              <w:t xml:space="preserve">  0 </w:t>
            </w:r>
            <w:r>
              <w:rPr>
                <w:rFonts w:hint="eastAsia" w:ascii="宋体" w:hAnsi="宋体" w:eastAsia="宋体" w:cs="宋体"/>
                <w:color w:val="auto"/>
                <w:szCs w:val="21"/>
              </w:rPr>
              <w:t>项。</w:t>
            </w:r>
          </w:p>
        </w:tc>
      </w:tr>
      <w:tr w14:paraId="7F5B4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545FA9C9">
            <w:pPr>
              <w:spacing w:line="360" w:lineRule="auto"/>
              <w:jc w:val="center"/>
              <w:rPr>
                <w:rFonts w:hint="eastAsia" w:ascii="宋体" w:hAnsi="宋体" w:eastAsia="宋体" w:cs="宋体"/>
                <w:color w:val="auto"/>
                <w:szCs w:val="21"/>
              </w:rPr>
            </w:pPr>
          </w:p>
        </w:tc>
        <w:tc>
          <w:tcPr>
            <w:tcW w:w="2786" w:type="dxa"/>
            <w:vAlign w:val="center"/>
          </w:tcPr>
          <w:p w14:paraId="44B8D840">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磋商的顺序</w:t>
            </w:r>
          </w:p>
        </w:tc>
        <w:tc>
          <w:tcPr>
            <w:tcW w:w="6853" w:type="dxa"/>
            <w:vAlign w:val="center"/>
          </w:tcPr>
          <w:p w14:paraId="60C6C372">
            <w:pPr>
              <w:snapToGrid w:val="0"/>
              <w:spacing w:line="360" w:lineRule="auto"/>
              <w:rPr>
                <w:rFonts w:hint="eastAsia" w:ascii="宋体" w:hAnsi="宋体" w:eastAsia="宋体" w:cs="宋体"/>
                <w:b/>
                <w:color w:val="auto"/>
                <w:szCs w:val="21"/>
              </w:rPr>
            </w:pPr>
            <w:r>
              <w:rPr>
                <w:rFonts w:hint="eastAsia" w:ascii="宋体" w:hAnsi="宋体" w:eastAsia="宋体" w:cs="宋体"/>
                <w:color w:val="auto"/>
                <w:szCs w:val="21"/>
              </w:rPr>
              <w:t>随机排序。</w:t>
            </w:r>
          </w:p>
        </w:tc>
      </w:tr>
      <w:tr w14:paraId="1F19B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325EC8C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28</w:t>
            </w:r>
          </w:p>
        </w:tc>
        <w:tc>
          <w:tcPr>
            <w:tcW w:w="2786" w:type="dxa"/>
            <w:vAlign w:val="center"/>
          </w:tcPr>
          <w:p w14:paraId="41E9BFD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履约保证金</w:t>
            </w:r>
          </w:p>
        </w:tc>
        <w:tc>
          <w:tcPr>
            <w:tcW w:w="6853" w:type="dxa"/>
            <w:vAlign w:val="center"/>
          </w:tcPr>
          <w:p w14:paraId="64F8E89C">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本项目不收取履约保证金 </w:t>
            </w:r>
          </w:p>
        </w:tc>
      </w:tr>
      <w:tr w14:paraId="1D0F4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5A51D9E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29.5</w:t>
            </w:r>
          </w:p>
        </w:tc>
        <w:tc>
          <w:tcPr>
            <w:tcW w:w="2786" w:type="dxa"/>
            <w:vAlign w:val="center"/>
          </w:tcPr>
          <w:p w14:paraId="71C1115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签订合同携带的材料</w:t>
            </w:r>
          </w:p>
        </w:tc>
        <w:tc>
          <w:tcPr>
            <w:tcW w:w="6853" w:type="dxa"/>
            <w:vAlign w:val="center"/>
          </w:tcPr>
          <w:p w14:paraId="2E7D3BE7">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使用的有效CA证书加盖单位电子公章</w:t>
            </w:r>
          </w:p>
        </w:tc>
      </w:tr>
      <w:tr w14:paraId="0D998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vAlign w:val="center"/>
          </w:tcPr>
          <w:p w14:paraId="45656F3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31.2</w:t>
            </w:r>
          </w:p>
        </w:tc>
        <w:tc>
          <w:tcPr>
            <w:tcW w:w="2786" w:type="dxa"/>
            <w:vAlign w:val="center"/>
          </w:tcPr>
          <w:p w14:paraId="71EB78D4">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接收质疑函方式</w:t>
            </w:r>
          </w:p>
        </w:tc>
        <w:tc>
          <w:tcPr>
            <w:tcW w:w="6853" w:type="dxa"/>
            <w:vAlign w:val="center"/>
          </w:tcPr>
          <w:p w14:paraId="64A427A4">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以书面形式</w:t>
            </w:r>
          </w:p>
        </w:tc>
      </w:tr>
      <w:tr w14:paraId="1C866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578B2ED0">
            <w:pPr>
              <w:spacing w:line="360" w:lineRule="auto"/>
              <w:jc w:val="center"/>
              <w:rPr>
                <w:rFonts w:hint="eastAsia" w:ascii="宋体" w:hAnsi="宋体" w:eastAsia="宋体" w:cs="宋体"/>
                <w:color w:val="auto"/>
                <w:szCs w:val="21"/>
              </w:rPr>
            </w:pPr>
          </w:p>
        </w:tc>
        <w:tc>
          <w:tcPr>
            <w:tcW w:w="2786" w:type="dxa"/>
            <w:vAlign w:val="center"/>
          </w:tcPr>
          <w:p w14:paraId="73833483">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质疑联系部门及联系方式</w:t>
            </w:r>
          </w:p>
        </w:tc>
        <w:tc>
          <w:tcPr>
            <w:tcW w:w="6853" w:type="dxa"/>
            <w:vAlign w:val="center"/>
          </w:tcPr>
          <w:p w14:paraId="7EFBF354">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 xml:space="preserve">（1）广西同泽工程项目管理股份有限公司  </w:t>
            </w:r>
          </w:p>
          <w:p w14:paraId="2CDBCFE6">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联系电话：0772-3808868</w:t>
            </w:r>
          </w:p>
          <w:p w14:paraId="2A050C2C">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 xml:space="preserve">通讯地址： 柳州市桂中大道南端6号九洲国际10楼  </w:t>
            </w:r>
          </w:p>
          <w:p w14:paraId="1661B62D">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eastAsia="zh-CN"/>
              </w:rPr>
              <w:t>柳州市城中区卫生健康局</w:t>
            </w:r>
            <w:r>
              <w:rPr>
                <w:rFonts w:hint="eastAsia" w:ascii="宋体" w:hAnsi="宋体" w:eastAsia="宋体" w:cs="宋体"/>
                <w:color w:val="auto"/>
                <w:szCs w:val="21"/>
              </w:rPr>
              <w:t xml:space="preserve">   </w:t>
            </w:r>
          </w:p>
          <w:p w14:paraId="50EFFFF5">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联系电话：0772-2102786</w:t>
            </w:r>
          </w:p>
          <w:p w14:paraId="38F1322C">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 xml:space="preserve">通讯地址： </w:t>
            </w:r>
            <w:r>
              <w:rPr>
                <w:rFonts w:hint="eastAsia" w:ascii="宋体" w:hAnsi="宋体" w:eastAsia="宋体" w:cs="宋体"/>
                <w:color w:val="auto"/>
                <w:szCs w:val="21"/>
                <w:lang w:eastAsia="zh-CN"/>
              </w:rPr>
              <w:t>柳州城中区沿江路河东管理大厦</w:t>
            </w:r>
            <w:r>
              <w:rPr>
                <w:rFonts w:hint="eastAsia" w:ascii="宋体" w:hAnsi="宋体" w:eastAsia="宋体" w:cs="宋体"/>
                <w:color w:val="auto"/>
                <w:szCs w:val="21"/>
              </w:rPr>
              <w:t xml:space="preserve">   </w:t>
            </w:r>
          </w:p>
        </w:tc>
      </w:tr>
      <w:tr w14:paraId="38973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2AFD04F8">
            <w:pPr>
              <w:spacing w:line="360" w:lineRule="auto"/>
              <w:jc w:val="center"/>
              <w:rPr>
                <w:rFonts w:hint="eastAsia" w:ascii="宋体" w:hAnsi="宋体" w:eastAsia="宋体" w:cs="宋体"/>
                <w:color w:val="auto"/>
                <w:szCs w:val="21"/>
              </w:rPr>
            </w:pPr>
          </w:p>
        </w:tc>
        <w:tc>
          <w:tcPr>
            <w:tcW w:w="2786" w:type="dxa"/>
            <w:vAlign w:val="center"/>
          </w:tcPr>
          <w:p w14:paraId="533C69A8">
            <w:pPr>
              <w:spacing w:line="380" w:lineRule="exact"/>
              <w:jc w:val="center"/>
              <w:rPr>
                <w:rFonts w:hint="eastAsia" w:ascii="宋体" w:hAnsi="宋体" w:eastAsia="宋体" w:cs="宋体"/>
                <w:color w:val="auto"/>
                <w:szCs w:val="21"/>
              </w:rPr>
            </w:pPr>
            <w:r>
              <w:rPr>
                <w:rFonts w:hint="eastAsia" w:ascii="宋体" w:hAnsi="宋体" w:eastAsia="宋体" w:cs="宋体"/>
                <w:color w:val="auto"/>
              </w:rPr>
              <w:t>现场提交质疑办理业务时间</w:t>
            </w:r>
          </w:p>
        </w:tc>
        <w:tc>
          <w:tcPr>
            <w:tcW w:w="6853" w:type="dxa"/>
            <w:vAlign w:val="center"/>
          </w:tcPr>
          <w:p w14:paraId="2EBCA532">
            <w:pPr>
              <w:snapToGrid w:val="0"/>
              <w:spacing w:line="380" w:lineRule="exact"/>
              <w:rPr>
                <w:rFonts w:hint="eastAsia" w:ascii="宋体" w:hAnsi="宋体" w:eastAsia="宋体" w:cs="宋体"/>
                <w:color w:val="auto"/>
                <w:szCs w:val="21"/>
              </w:rPr>
            </w:pPr>
            <w:r>
              <w:rPr>
                <w:rFonts w:hint="eastAsia" w:ascii="宋体" w:hAnsi="宋体" w:eastAsia="宋体" w:cs="宋体"/>
                <w:color w:val="auto"/>
              </w:rPr>
              <w:t>质疑期内每个工作日</w:t>
            </w:r>
            <w:r>
              <w:rPr>
                <w:rFonts w:hint="eastAsia" w:ascii="宋体" w:hAnsi="宋体" w:eastAsia="宋体" w:cs="宋体"/>
                <w:color w:val="auto"/>
                <w:u w:val="single"/>
              </w:rPr>
              <w:t xml:space="preserve">8 </w:t>
            </w:r>
            <w:r>
              <w:rPr>
                <w:rFonts w:hint="eastAsia" w:ascii="宋体" w:hAnsi="宋体" w:eastAsia="宋体" w:cs="宋体"/>
                <w:color w:val="auto"/>
              </w:rPr>
              <w:t>时</w:t>
            </w:r>
            <w:r>
              <w:rPr>
                <w:rFonts w:hint="eastAsia" w:ascii="宋体" w:hAnsi="宋体" w:eastAsia="宋体" w:cs="宋体"/>
                <w:color w:val="auto"/>
                <w:u w:val="single"/>
              </w:rPr>
              <w:t>30</w:t>
            </w:r>
            <w:r>
              <w:rPr>
                <w:rFonts w:hint="eastAsia" w:ascii="宋体" w:hAnsi="宋体" w:eastAsia="宋体" w:cs="宋体"/>
                <w:color w:val="auto"/>
              </w:rPr>
              <w:t>分到</w:t>
            </w:r>
            <w:r>
              <w:rPr>
                <w:rFonts w:hint="eastAsia" w:ascii="宋体" w:hAnsi="宋体" w:eastAsia="宋体" w:cs="宋体"/>
                <w:color w:val="auto"/>
                <w:u w:val="single"/>
              </w:rPr>
              <w:t>12</w:t>
            </w:r>
            <w:r>
              <w:rPr>
                <w:rFonts w:hint="eastAsia" w:ascii="宋体" w:hAnsi="宋体" w:eastAsia="宋体" w:cs="宋体"/>
                <w:color w:val="auto"/>
              </w:rPr>
              <w:t>时</w:t>
            </w:r>
            <w:r>
              <w:rPr>
                <w:rFonts w:hint="eastAsia" w:ascii="宋体" w:hAnsi="宋体" w:eastAsia="宋体" w:cs="宋体"/>
                <w:color w:val="auto"/>
                <w:u w:val="single"/>
              </w:rPr>
              <w:t>00</w:t>
            </w:r>
            <w:r>
              <w:rPr>
                <w:rFonts w:hint="eastAsia" w:ascii="宋体" w:hAnsi="宋体" w:eastAsia="宋体" w:cs="宋体"/>
                <w:color w:val="auto"/>
              </w:rPr>
              <w:t>分，</w:t>
            </w:r>
            <w:r>
              <w:rPr>
                <w:rFonts w:hint="eastAsia" w:ascii="宋体" w:hAnsi="宋体" w:eastAsia="宋体" w:cs="宋体"/>
                <w:color w:val="auto"/>
                <w:u w:val="single"/>
              </w:rPr>
              <w:t>14</w:t>
            </w:r>
            <w:r>
              <w:rPr>
                <w:rFonts w:hint="eastAsia" w:ascii="宋体" w:hAnsi="宋体" w:eastAsia="宋体" w:cs="宋体"/>
                <w:color w:val="auto"/>
              </w:rPr>
              <w:t>时</w:t>
            </w:r>
            <w:r>
              <w:rPr>
                <w:rFonts w:hint="eastAsia" w:ascii="宋体" w:hAnsi="宋体" w:eastAsia="宋体" w:cs="宋体"/>
                <w:color w:val="auto"/>
                <w:u w:val="single"/>
              </w:rPr>
              <w:t>30</w:t>
            </w:r>
            <w:r>
              <w:rPr>
                <w:rFonts w:hint="eastAsia" w:ascii="宋体" w:hAnsi="宋体" w:eastAsia="宋体" w:cs="宋体"/>
                <w:color w:val="auto"/>
              </w:rPr>
              <w:t>分到</w:t>
            </w:r>
            <w:r>
              <w:rPr>
                <w:rFonts w:hint="eastAsia" w:ascii="宋体" w:hAnsi="宋体" w:eastAsia="宋体" w:cs="宋体"/>
                <w:color w:val="auto"/>
                <w:u w:val="single"/>
              </w:rPr>
              <w:t>17</w:t>
            </w:r>
            <w:r>
              <w:rPr>
                <w:rFonts w:hint="eastAsia" w:ascii="宋体" w:hAnsi="宋体" w:eastAsia="宋体" w:cs="宋体"/>
                <w:color w:val="auto"/>
              </w:rPr>
              <w:t>时3</w:t>
            </w:r>
            <w:r>
              <w:rPr>
                <w:rFonts w:hint="eastAsia" w:ascii="宋体" w:hAnsi="宋体" w:eastAsia="宋体" w:cs="宋体"/>
                <w:color w:val="auto"/>
                <w:u w:val="single"/>
              </w:rPr>
              <w:t>0</w:t>
            </w:r>
            <w:r>
              <w:rPr>
                <w:rFonts w:hint="eastAsia" w:ascii="宋体" w:hAnsi="宋体" w:eastAsia="宋体" w:cs="宋体"/>
                <w:color w:val="auto"/>
              </w:rPr>
              <w:t>分</w:t>
            </w:r>
          </w:p>
        </w:tc>
      </w:tr>
      <w:tr w14:paraId="10BA6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25" w:type="dxa"/>
            <w:vAlign w:val="center"/>
          </w:tcPr>
          <w:p w14:paraId="7C2284AC">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31.6</w:t>
            </w:r>
          </w:p>
        </w:tc>
        <w:tc>
          <w:tcPr>
            <w:tcW w:w="2786" w:type="dxa"/>
            <w:vAlign w:val="center"/>
          </w:tcPr>
          <w:p w14:paraId="1D30C32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受理投诉方式</w:t>
            </w:r>
          </w:p>
        </w:tc>
        <w:tc>
          <w:tcPr>
            <w:tcW w:w="6853" w:type="dxa"/>
            <w:vAlign w:val="center"/>
          </w:tcPr>
          <w:p w14:paraId="0A7DA2EE">
            <w:pPr>
              <w:snapToGrid w:val="0"/>
              <w:spacing w:line="380" w:lineRule="exact"/>
              <w:rPr>
                <w:rFonts w:hint="eastAsia" w:ascii="宋体" w:hAnsi="宋体" w:eastAsia="宋体" w:cs="宋体"/>
                <w:color w:val="auto"/>
              </w:rPr>
            </w:pPr>
            <w:r>
              <w:rPr>
                <w:rFonts w:hint="eastAsia" w:ascii="宋体" w:hAnsi="宋体" w:eastAsia="宋体" w:cs="宋体"/>
                <w:color w:val="auto"/>
              </w:rPr>
              <w:t>受理方式：纸质方式受理，投诉书正、副本（经过质疑的事项才可投诉）。</w:t>
            </w:r>
          </w:p>
        </w:tc>
      </w:tr>
      <w:tr w14:paraId="3F210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265C36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33</w:t>
            </w:r>
          </w:p>
        </w:tc>
        <w:tc>
          <w:tcPr>
            <w:tcW w:w="2786" w:type="dxa"/>
            <w:vAlign w:val="center"/>
          </w:tcPr>
          <w:p w14:paraId="68AD81E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采购代理费</w:t>
            </w:r>
          </w:p>
        </w:tc>
        <w:tc>
          <w:tcPr>
            <w:tcW w:w="6853" w:type="dxa"/>
            <w:vAlign w:val="center"/>
          </w:tcPr>
          <w:p w14:paraId="2B965424">
            <w:pPr>
              <w:pStyle w:val="12"/>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1. 是否收取采购代理费：是</w:t>
            </w:r>
          </w:p>
          <w:p w14:paraId="32702BEC">
            <w:pPr>
              <w:pStyle w:val="12"/>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2. 采购代理费支付方式：本项目代理服务费由</w:t>
            </w:r>
            <w:r>
              <w:rPr>
                <w:rFonts w:hint="eastAsia" w:ascii="宋体" w:hAnsi="宋体" w:eastAsia="宋体" w:cs="宋体"/>
                <w:color w:val="auto"/>
                <w:sz w:val="21"/>
                <w:u w:val="single"/>
              </w:rPr>
              <w:t>成交供应商</w:t>
            </w:r>
            <w:r>
              <w:rPr>
                <w:rFonts w:hint="eastAsia" w:ascii="宋体" w:hAnsi="宋体" w:eastAsia="宋体" w:cs="宋体"/>
                <w:color w:val="auto"/>
                <w:sz w:val="21"/>
              </w:rPr>
              <w:t>领取成交通知书前，一次性向采购代理机构支付。</w:t>
            </w:r>
          </w:p>
          <w:p w14:paraId="76307AB0">
            <w:pPr>
              <w:pStyle w:val="12"/>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3. 采购代理费收取标准：参照国家发展计划委员会《招标代理服务费管理暂行办法》原（计价格〔2002〕1980号）收费标准（服务类）收取。</w:t>
            </w:r>
          </w:p>
        </w:tc>
      </w:tr>
      <w:tr w14:paraId="3CB8A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4A37C1B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34.1</w:t>
            </w:r>
          </w:p>
        </w:tc>
        <w:tc>
          <w:tcPr>
            <w:tcW w:w="2786" w:type="dxa"/>
            <w:vAlign w:val="center"/>
          </w:tcPr>
          <w:p w14:paraId="7A13E08C">
            <w:pPr>
              <w:spacing w:line="360" w:lineRule="auto"/>
              <w:jc w:val="center"/>
              <w:rPr>
                <w:rFonts w:hint="eastAsia" w:ascii="宋体" w:hAnsi="宋体" w:eastAsia="宋体" w:cs="宋体"/>
                <w:color w:val="auto"/>
                <w:szCs w:val="21"/>
              </w:rPr>
            </w:pPr>
            <w:r>
              <w:rPr>
                <w:rFonts w:hint="eastAsia" w:ascii="宋体" w:hAnsi="宋体" w:eastAsia="宋体" w:cs="宋体"/>
                <w:color w:val="auto"/>
              </w:rPr>
              <w:t>解释</w:t>
            </w:r>
          </w:p>
        </w:tc>
        <w:tc>
          <w:tcPr>
            <w:tcW w:w="6853" w:type="dxa"/>
            <w:vAlign w:val="center"/>
          </w:tcPr>
          <w:p w14:paraId="2655DADE">
            <w:pPr>
              <w:pStyle w:val="12"/>
              <w:snapToGrid w:val="0"/>
              <w:spacing w:line="360" w:lineRule="auto"/>
              <w:rPr>
                <w:rFonts w:hint="eastAsia" w:ascii="宋体" w:hAnsi="宋体" w:eastAsia="宋体" w:cs="宋体"/>
                <w:b/>
                <w:color w:val="auto"/>
                <w:sz w:val="21"/>
              </w:rPr>
            </w:pPr>
            <w:r>
              <w:rPr>
                <w:rFonts w:hint="eastAsia" w:ascii="宋体" w:hAnsi="宋体" w:eastAsia="宋体" w:cs="宋体"/>
                <w:b/>
                <w:color w:val="auto"/>
                <w:sz w:val="21"/>
              </w:rPr>
              <w:t>解释权：</w:t>
            </w:r>
            <w:r>
              <w:rPr>
                <w:rFonts w:hint="eastAsia" w:ascii="宋体" w:hAnsi="宋体" w:eastAsia="宋体" w:cs="宋体"/>
                <w:color w:val="auto"/>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rPr>
              <w:t>由采购人或者采购代理机构负责解释。</w:t>
            </w:r>
          </w:p>
          <w:p w14:paraId="21AA8C05">
            <w:pPr>
              <w:pStyle w:val="12"/>
              <w:snapToGrid w:val="0"/>
              <w:spacing w:line="360" w:lineRule="auto"/>
              <w:rPr>
                <w:rFonts w:hint="eastAsia" w:ascii="宋体" w:hAnsi="宋体" w:eastAsia="宋体" w:cs="宋体"/>
                <w:color w:val="auto"/>
                <w:kern w:val="2"/>
                <w:sz w:val="21"/>
              </w:rPr>
            </w:pPr>
            <w:r>
              <w:rPr>
                <w:rFonts w:hint="eastAsia" w:ascii="宋体" w:hAnsi="宋体" w:eastAsia="宋体" w:cs="宋体"/>
                <w:b/>
                <w:color w:val="auto"/>
                <w:sz w:val="21"/>
              </w:rPr>
              <w:t>法律责任：</w:t>
            </w:r>
            <w:r>
              <w:rPr>
                <w:rFonts w:hint="eastAsia" w:ascii="宋体" w:hAnsi="宋体" w:eastAsia="宋体" w:cs="宋体"/>
                <w:color w:val="auto"/>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8CD4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E21E41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34.2</w:t>
            </w:r>
          </w:p>
        </w:tc>
        <w:tc>
          <w:tcPr>
            <w:tcW w:w="2786" w:type="dxa"/>
            <w:vAlign w:val="center"/>
          </w:tcPr>
          <w:p w14:paraId="585AFD4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其他</w:t>
            </w:r>
          </w:p>
        </w:tc>
        <w:tc>
          <w:tcPr>
            <w:tcW w:w="6853" w:type="dxa"/>
            <w:vAlign w:val="center"/>
          </w:tcPr>
          <w:p w14:paraId="17F219CB">
            <w:pPr>
              <w:pStyle w:val="12"/>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00A2C19">
            <w:pPr>
              <w:pStyle w:val="12"/>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D26F21D">
            <w:pPr>
              <w:pStyle w:val="12"/>
              <w:snapToGrid w:val="0"/>
              <w:spacing w:line="360" w:lineRule="auto"/>
              <w:rPr>
                <w:rFonts w:hint="eastAsia" w:ascii="宋体" w:hAnsi="宋体" w:eastAsia="宋体" w:cs="宋体"/>
                <w:b/>
                <w:bCs/>
                <w:color w:val="auto"/>
                <w:sz w:val="21"/>
              </w:rPr>
            </w:pPr>
            <w:r>
              <w:rPr>
                <w:rFonts w:hint="eastAsia" w:ascii="宋体" w:hAnsi="宋体" w:eastAsia="宋体" w:cs="宋体"/>
                <w:b/>
                <w:bCs/>
                <w:color w:val="auto"/>
                <w:sz w:val="21"/>
              </w:rPr>
              <w:t>3.本磋商文件中描述供应商的“签字”是指供应商的法定代表人或者委托代理人亲自在文件规定签署处亲笔写上个人的名字的行为，私章、签字章、印鉴、影印等其他形式均不能代替亲笔签字。</w:t>
            </w:r>
          </w:p>
          <w:p w14:paraId="0E201D3F">
            <w:pPr>
              <w:pStyle w:val="12"/>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4.自然人竞标的，磋商文件规定盖公章处由自然人摁手指指印。</w:t>
            </w:r>
          </w:p>
          <w:p w14:paraId="6D9188F7">
            <w:pPr>
              <w:pStyle w:val="12"/>
              <w:snapToGrid w:val="0"/>
              <w:spacing w:line="360" w:lineRule="auto"/>
              <w:rPr>
                <w:rFonts w:hint="eastAsia" w:ascii="宋体" w:hAnsi="宋体" w:eastAsia="宋体" w:cs="宋体"/>
                <w:color w:val="auto"/>
              </w:rPr>
            </w:pPr>
            <w:r>
              <w:rPr>
                <w:rFonts w:hint="eastAsia" w:ascii="宋体" w:hAnsi="宋体" w:eastAsia="宋体" w:cs="宋体"/>
                <w:color w:val="auto"/>
                <w:sz w:val="21"/>
              </w:rPr>
              <w:t>5.本磋商文件所称的“以上”“以下”“以内”“届满”，包括本数；所称的“不满”“超过”“以外”，不包括本数。</w:t>
            </w:r>
          </w:p>
        </w:tc>
      </w:tr>
    </w:tbl>
    <w:p w14:paraId="34CC93D1">
      <w:pPr>
        <w:pStyle w:val="3"/>
        <w:spacing w:line="420" w:lineRule="exact"/>
        <w:jc w:val="center"/>
        <w:rPr>
          <w:rFonts w:hint="eastAsia" w:ascii="宋体" w:hAnsi="宋体" w:eastAsia="宋体" w:cs="宋体"/>
          <w:b w:val="0"/>
          <w:color w:val="auto"/>
        </w:rPr>
      </w:pPr>
      <w:r>
        <w:rPr>
          <w:rFonts w:hint="eastAsia" w:ascii="宋体" w:hAnsi="宋体" w:eastAsia="宋体" w:cs="宋体"/>
          <w:b w:val="0"/>
          <w:color w:val="auto"/>
        </w:rPr>
        <w:br w:type="page"/>
      </w:r>
      <w:bookmarkStart w:id="41" w:name="_Toc80886929"/>
      <w:bookmarkStart w:id="42" w:name="_Toc20780"/>
      <w:bookmarkStart w:id="43" w:name="_Toc17203"/>
      <w:r>
        <w:rPr>
          <w:rFonts w:hint="eastAsia" w:ascii="宋体" w:hAnsi="宋体" w:eastAsia="宋体" w:cs="宋体"/>
          <w:bCs w:val="0"/>
          <w:color w:val="auto"/>
        </w:rPr>
        <w:t>第二节 供应商须知正文</w:t>
      </w:r>
      <w:bookmarkEnd w:id="41"/>
      <w:bookmarkEnd w:id="42"/>
      <w:bookmarkEnd w:id="43"/>
    </w:p>
    <w:p w14:paraId="51E3328D">
      <w:pPr>
        <w:spacing w:line="360" w:lineRule="auto"/>
        <w:jc w:val="center"/>
        <w:rPr>
          <w:rFonts w:hint="eastAsia" w:ascii="宋体" w:hAnsi="宋体" w:eastAsia="宋体" w:cs="宋体"/>
          <w:b/>
          <w:bCs/>
          <w:color w:val="auto"/>
          <w:sz w:val="32"/>
          <w:szCs w:val="40"/>
        </w:rPr>
      </w:pPr>
      <w:bookmarkStart w:id="44" w:name="_Toc80886930"/>
      <w:r>
        <w:rPr>
          <w:rFonts w:hint="eastAsia" w:ascii="宋体" w:hAnsi="宋体" w:eastAsia="宋体" w:cs="宋体"/>
          <w:b/>
          <w:bCs/>
          <w:color w:val="auto"/>
          <w:sz w:val="32"/>
          <w:szCs w:val="40"/>
        </w:rPr>
        <w:t>一、总则</w:t>
      </w:r>
      <w:bookmarkEnd w:id="44"/>
    </w:p>
    <w:p w14:paraId="2C4A61C6">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1.适用范围</w:t>
      </w:r>
    </w:p>
    <w:p w14:paraId="1D4CD80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8ACEB5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eastAsia="宋体" w:cs="宋体"/>
          <w:color w:val="auto"/>
          <w:spacing w:val="-6"/>
          <w:szCs w:val="21"/>
        </w:rPr>
        <w:t>本竞争性磋商文件（以下简称磋商文件）适用于本项目的所有采购程序和环节（法律、法规另有规定的，从其规定）。</w:t>
      </w:r>
    </w:p>
    <w:p w14:paraId="0CCBA029">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2.定义</w:t>
      </w:r>
    </w:p>
    <w:p w14:paraId="0A9840A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2.1“采购人”是指依法进行政府采购的国家机关、事业单位、团体组织。</w:t>
      </w:r>
    </w:p>
    <w:p w14:paraId="4471BCAB">
      <w:pPr>
        <w:spacing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2.2“采购代理机构”是指政府采购集中采购机构和集中采购机构以外的采购代理机构。</w:t>
      </w:r>
    </w:p>
    <w:p w14:paraId="21841C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2.3“供应商”是指向采购人提供货物、工程或者服务的法人、其他组织或者自然人。</w:t>
      </w:r>
    </w:p>
    <w:p w14:paraId="75C8AB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2.4“服务”是指除货物和工程以外的其他政府采购对象。</w:t>
      </w:r>
    </w:p>
    <w:p w14:paraId="674F34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2.5“竞标”是指供应商按照本项目竞争性磋商公告或者邀请函规定的方式获取磋商文件、提交响应文件并希望获得标的的行为。</w:t>
      </w:r>
    </w:p>
    <w:p w14:paraId="3CD6E00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2.6“响应文件”</w:t>
      </w:r>
      <w:r>
        <w:rPr>
          <w:rFonts w:hint="eastAsia" w:ascii="宋体" w:hAnsi="宋体" w:eastAsia="宋体" w:cs="宋体"/>
          <w:color w:val="auto"/>
          <w:spacing w:val="-6"/>
          <w:szCs w:val="21"/>
        </w:rPr>
        <w:t>是指：供应商根据本磋商文件要求，编制包含资格证明、报价商务技术等所有内容的文件。</w:t>
      </w:r>
    </w:p>
    <w:p w14:paraId="776FD3C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2.7“实质性要求”是指磋商文件中已经指明不满足则响应文件按无效响应处理的条款，或者不能负偏离的条款，或者采购需求中带“▲”的条款。</w:t>
      </w:r>
    </w:p>
    <w:p w14:paraId="3960457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2.8“正偏离”，是指响应文件对磋商文件“采购需求”中有关条款作出的响应优于条款要求并有利于采购人的情形。</w:t>
      </w:r>
    </w:p>
    <w:p w14:paraId="5A9429D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2.9“负偏离”，是指响应文件对磋商文件“采购需求”中有关条款作出的响应不满足条款要求，导致采购人要求不能得到满足的情形。</w:t>
      </w:r>
    </w:p>
    <w:p w14:paraId="27E36EB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2.10“允许负偏离的条款”是指采购需求中的不属于“实质性要求”的条款。</w:t>
      </w:r>
    </w:p>
    <w:p w14:paraId="122DDC6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2.11“书面形式”是指合同书、信件和数据电文（包括电报、电传、传真、电子数据交换和电子邮件）等可以有形地表现所载内容的形式。</w:t>
      </w:r>
    </w:p>
    <w:p w14:paraId="3CFDA77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2.12“首次报价”是指供应商提交的首次响应文件中的报价。</w:t>
      </w:r>
    </w:p>
    <w:p w14:paraId="18DD157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2.13“评审报价”是指供应商提交的最后报价并经修正（如有）和政策功能价格扣除（如有）后的价格。</w:t>
      </w:r>
    </w:p>
    <w:p w14:paraId="41228662">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3.供应商的资格条件</w:t>
      </w:r>
    </w:p>
    <w:p w14:paraId="25F3905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供应商的资格条件详见“供应商须知前附表”。</w:t>
      </w:r>
    </w:p>
    <w:p w14:paraId="01E76706">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4.磋商费用</w:t>
      </w:r>
    </w:p>
    <w:p w14:paraId="107E7E3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供应商应承担参与本次采购活动有关的所有费用，包括但不限于、勘查现场、编制和提交响应文件、参加磋商与应答、签订合同等，不论竞标结果如何，均应自行承担。</w:t>
      </w:r>
    </w:p>
    <w:p w14:paraId="114C77D0">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5.联合体竞标</w:t>
      </w:r>
    </w:p>
    <w:p w14:paraId="5B582F3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5.1本项目是否接受联合体竞标，详见“供应商须知前附表”。</w:t>
      </w:r>
    </w:p>
    <w:p w14:paraId="117EFD6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w:t>
      </w:r>
      <w:r>
        <w:rPr>
          <w:rFonts w:hint="eastAsia" w:ascii="宋体" w:hAnsi="宋体" w:eastAsia="宋体" w:cs="宋体"/>
          <w:color w:val="auto"/>
        </w:rPr>
        <w:t>如接受联合体竞标，</w:t>
      </w:r>
      <w:r>
        <w:rPr>
          <w:rFonts w:hint="eastAsia" w:ascii="宋体" w:hAnsi="宋体" w:eastAsia="宋体" w:cs="宋体"/>
          <w:color w:val="auto"/>
          <w:szCs w:val="21"/>
        </w:rPr>
        <w:t>联合体竞标要求详见“供应商须知前附表”。</w:t>
      </w:r>
    </w:p>
    <w:p w14:paraId="61490A88">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 xml:space="preserve">6.转包与分包             </w:t>
      </w:r>
    </w:p>
    <w:p w14:paraId="78049F0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6.1本项目是否允许分包详见“供应商须知前附表”，本项目不允许违法分包。</w:t>
      </w:r>
    </w:p>
    <w:p w14:paraId="1732A8C9">
      <w:pPr>
        <w:spacing w:line="360" w:lineRule="auto"/>
        <w:ind w:firstLine="482" w:firstLineChars="200"/>
        <w:rPr>
          <w:rFonts w:hint="eastAsia" w:ascii="宋体" w:hAnsi="宋体" w:eastAsia="宋体" w:cs="宋体"/>
          <w:b/>
          <w:bCs/>
          <w:color w:val="auto"/>
          <w:sz w:val="24"/>
        </w:rPr>
      </w:pPr>
      <w:bookmarkStart w:id="45" w:name="_Toc254970673"/>
      <w:bookmarkStart w:id="46" w:name="_Toc254970532"/>
      <w:r>
        <w:rPr>
          <w:rFonts w:hint="eastAsia" w:ascii="宋体" w:hAnsi="宋体" w:eastAsia="宋体" w:cs="宋体"/>
          <w:b/>
          <w:bCs/>
          <w:color w:val="auto"/>
          <w:sz w:val="24"/>
        </w:rPr>
        <w:t>7.特别说明</w:t>
      </w:r>
      <w:bookmarkEnd w:id="45"/>
      <w:bookmarkEnd w:id="46"/>
    </w:p>
    <w:p w14:paraId="0F74F92B">
      <w:pPr>
        <w:spacing w:line="360" w:lineRule="auto"/>
        <w:ind w:firstLine="420" w:firstLineChars="200"/>
        <w:rPr>
          <w:rFonts w:hint="eastAsia" w:ascii="宋体" w:hAnsi="宋体" w:eastAsia="宋体" w:cs="宋体"/>
          <w:color w:val="auto"/>
          <w:szCs w:val="21"/>
        </w:rPr>
      </w:pPr>
      <w:bookmarkStart w:id="47" w:name="_8.1提供相同品牌产品且通过资格审查、符合性审查的不同投标人参加同一合"/>
      <w:bookmarkEnd w:id="47"/>
      <w:r>
        <w:rPr>
          <w:rFonts w:hint="eastAsia" w:ascii="宋体" w:hAnsi="宋体" w:eastAsia="宋体" w:cs="宋体"/>
          <w:color w:val="auto"/>
          <w:szCs w:val="21"/>
        </w:rPr>
        <w:t>7.1</w:t>
      </w:r>
      <w:bookmarkStart w:id="48" w:name="_Hlk65832145"/>
      <w:r>
        <w:rPr>
          <w:rFonts w:hint="eastAsia" w:ascii="宋体" w:hAnsi="宋体" w:eastAsia="宋体"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48"/>
    <w:p w14:paraId="55BF0E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7.2供应商应仔细阅读磋商文件的所有内容，按照磋商文件的要求提交响应文件，并对所提供的全部资料的真实性承担法律责任。</w:t>
      </w:r>
    </w:p>
    <w:p w14:paraId="274B3C1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7.3供应商在竞标活动中提供任何疑似虚假材料，将报监管部门查处；签订合同后发现的，成交供应商须依照《中华人民共和国消费者权益保护法》的规定赔偿采购人，且民事赔偿并不免除违法供应商的行政与刑事责任。</w:t>
      </w:r>
    </w:p>
    <w:p w14:paraId="1DD62C8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7.4在政府采购活动中，采购人员及相关人员与供应商有下列利害关系之一的，应当回避：</w:t>
      </w:r>
    </w:p>
    <w:p w14:paraId="7CEA079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（1）参加采购活动前3年内与供应商存在劳动关系；</w:t>
      </w:r>
    </w:p>
    <w:p w14:paraId="5CEDD1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（2）参加采购活动前3年内担任供应商的董事、监事；</w:t>
      </w:r>
    </w:p>
    <w:p w14:paraId="6D5F47E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（3）参加采购活动前3年内是供应商的控股股东或者实际控制人；</w:t>
      </w:r>
    </w:p>
    <w:p w14:paraId="4568023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（4）与供应商的法定代表人或者负责人有夫妻、直系血亲、三代以内旁系血亲或者近姻亲关系；</w:t>
      </w:r>
    </w:p>
    <w:p w14:paraId="1DBACF1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（5）与供应商有其他可能影响政府采购活动公平、公正进行的关系。</w:t>
      </w:r>
    </w:p>
    <w:p w14:paraId="0808A99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193476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7.5有下列情形之一的视为供应商相互串通竞标，响应文件将被视为无效：</w:t>
      </w:r>
    </w:p>
    <w:p w14:paraId="58D3ECB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（1）不同投标人的投标文件由同一单位或者个人编制；或不同投标人报名的IP地址一致的;</w:t>
      </w:r>
    </w:p>
    <w:p w14:paraId="6C99A3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（2）不同投标人委托同一单位或者个人办理投标事宜;</w:t>
      </w:r>
    </w:p>
    <w:p w14:paraId="290235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（3）不同的投标人的投标文件载明的项目管理员为同一个人;</w:t>
      </w:r>
    </w:p>
    <w:p w14:paraId="7023774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（4）不同投标人的投标文件异常一致或投标报价呈规律性差异;</w:t>
      </w:r>
    </w:p>
    <w:p w14:paraId="20513D8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（5）不同投标人的投标文件相互混装;</w:t>
      </w:r>
    </w:p>
    <w:p w14:paraId="19D2C04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（6）不同投标人的投标保证金从同一单位或者个人账户转出。</w:t>
      </w:r>
      <w:r>
        <w:rPr>
          <w:rFonts w:hint="eastAsia" w:ascii="宋体" w:hAnsi="宋体" w:eastAsia="宋体" w:cs="宋体"/>
          <w:color w:val="auto"/>
          <w:szCs w:val="21"/>
        </w:rPr>
        <w:tab/>
      </w:r>
    </w:p>
    <w:p w14:paraId="513EFA6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7.6供应商有下列情形之一的，属于恶意串通行为，将报同级监督管理部门：</w:t>
      </w:r>
    </w:p>
    <w:p w14:paraId="5B2572A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（1）供应商直接或者间接从采购人或者采购代理机构处获得其他供应商的相关信息并修改其响应文件；</w:t>
      </w:r>
    </w:p>
    <w:p w14:paraId="63604ED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（2）供应商按照采购人或者采购代理机构的授意撤换、修改响应文件；</w:t>
      </w:r>
    </w:p>
    <w:p w14:paraId="2C58DC7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（3）供应商之间协商报价、技术方案等响应文件或者响应文件的实质性内容；</w:t>
      </w:r>
    </w:p>
    <w:p w14:paraId="554F00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（4）属于同一集团、协会、商会等组织成员的供应商按照该组织要求协同参加政府采购活动；</w:t>
      </w:r>
    </w:p>
    <w:p w14:paraId="7FC4980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7D8E9BE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（6）供应商之间商定部分供应商放弃参加政府采购活动或者放弃成交；</w:t>
      </w:r>
    </w:p>
    <w:p w14:paraId="612931E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（7）供应商与采购人或者采购代理机构之间、供应商相互之间，为谋求特定供应商成交或者排斥其他供应商的其他串通行为。</w:t>
      </w:r>
    </w:p>
    <w:p w14:paraId="7B7D4546">
      <w:pPr>
        <w:spacing w:line="360" w:lineRule="auto"/>
        <w:jc w:val="center"/>
        <w:rPr>
          <w:rFonts w:hint="eastAsia" w:ascii="宋体" w:hAnsi="宋体" w:eastAsia="宋体" w:cs="宋体"/>
          <w:b/>
          <w:bCs/>
          <w:color w:val="auto"/>
          <w:sz w:val="32"/>
          <w:szCs w:val="40"/>
        </w:rPr>
      </w:pPr>
      <w:bookmarkStart w:id="49" w:name="_Toc254970534"/>
      <w:bookmarkStart w:id="50" w:name="_Toc254970675"/>
      <w:bookmarkStart w:id="51" w:name="_Toc80886931"/>
      <w:r>
        <w:rPr>
          <w:rFonts w:hint="eastAsia" w:ascii="宋体" w:hAnsi="宋体" w:eastAsia="宋体" w:cs="宋体"/>
          <w:b/>
          <w:bCs/>
          <w:color w:val="auto"/>
          <w:sz w:val="32"/>
          <w:szCs w:val="40"/>
        </w:rPr>
        <w:t>二、磋商文件</w:t>
      </w:r>
      <w:bookmarkEnd w:id="49"/>
      <w:bookmarkEnd w:id="50"/>
      <w:bookmarkEnd w:id="51"/>
    </w:p>
    <w:p w14:paraId="2F3D4948">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8.磋商文件的构成</w:t>
      </w:r>
    </w:p>
    <w:p w14:paraId="409734C1">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第一章 竞争性磋商公告；</w:t>
      </w:r>
    </w:p>
    <w:p w14:paraId="5F018528">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第二章 采购需求；</w:t>
      </w:r>
    </w:p>
    <w:p w14:paraId="5C3845A2">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第三章 供应商须知； </w:t>
      </w:r>
    </w:p>
    <w:p w14:paraId="0E6F28A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第四章 评审程序、评审方法和评审标准；</w:t>
      </w:r>
    </w:p>
    <w:p w14:paraId="7CC5143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第五章 响应文件格式；</w:t>
      </w:r>
    </w:p>
    <w:p w14:paraId="66EFC6CD">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第六章 合同文本；</w:t>
      </w:r>
    </w:p>
    <w:p w14:paraId="07B18D04">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9.供应商的询问</w:t>
      </w:r>
    </w:p>
    <w:p w14:paraId="06DCFFB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供应商应认真阅读磋商文件的采购需求，如供应商对磋商文件有疑问的，如要求采购人作出澄清或者修改的，供应商应在提交首次响应文件截止之日前，以书面形式向采购人、采购代理机构提出。</w:t>
      </w:r>
    </w:p>
    <w:p w14:paraId="21A318D5">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10.磋商文件的澄清和修改</w:t>
      </w:r>
    </w:p>
    <w:p w14:paraId="45B2DB5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10.1已获取磋商文件的潜在供应商，若有问题需要澄清，应于应标截止时间前，以书面形式向采购代理机构提出，采购代理机构与采购人研究后，对认为有必要回答的问题，按照本章10.3的内容处理。</w:t>
      </w:r>
    </w:p>
    <w:p w14:paraId="5D9FA4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7E5868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852E3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10.4</w:t>
      </w:r>
      <w:r>
        <w:rPr>
          <w:rFonts w:hint="eastAsia" w:ascii="宋体" w:hAnsi="宋体" w:eastAsia="宋体" w:cs="宋体"/>
          <w:color w:val="auto"/>
          <w:shd w:val="clear" w:color="auto" w:fill="FFFFFF"/>
        </w:rPr>
        <w:t>采购信息更正公告的内容应当包括采购人和采购代理机构名称、地址、联系方式，原公告的采购项目名称及首次公告日期，更正事项、内容及日期，采购项目联系人和电话。</w:t>
      </w:r>
    </w:p>
    <w:p w14:paraId="5D44F4F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528310AB">
      <w:pPr>
        <w:spacing w:line="360" w:lineRule="auto"/>
        <w:ind w:firstLine="40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t>▲</w:t>
      </w:r>
      <w:r>
        <w:rPr>
          <w:rFonts w:hint="eastAsia" w:ascii="宋体" w:hAnsi="宋体" w:eastAsia="宋体" w:cs="宋体"/>
          <w:b/>
          <w:color w:val="auto"/>
          <w:kern w:val="0"/>
          <w:sz w:val="20"/>
          <w:szCs w:val="21"/>
        </w:rPr>
        <w:t>响应文件未按磋商文件的澄清、修改的内容编制，又不符合实质性要求的，其响应文件作无效处理。</w:t>
      </w:r>
    </w:p>
    <w:p w14:paraId="0D84948A">
      <w:pPr>
        <w:spacing w:line="360" w:lineRule="auto"/>
        <w:jc w:val="center"/>
        <w:rPr>
          <w:rFonts w:hint="eastAsia" w:ascii="宋体" w:hAnsi="宋体" w:eastAsia="宋体" w:cs="宋体"/>
          <w:b/>
          <w:bCs/>
          <w:color w:val="auto"/>
          <w:sz w:val="32"/>
          <w:szCs w:val="40"/>
        </w:rPr>
      </w:pPr>
      <w:bookmarkStart w:id="52" w:name="_Toc80886932"/>
      <w:r>
        <w:rPr>
          <w:rFonts w:hint="eastAsia" w:ascii="宋体" w:hAnsi="宋体" w:eastAsia="宋体" w:cs="宋体"/>
          <w:b/>
          <w:bCs/>
          <w:color w:val="auto"/>
          <w:sz w:val="32"/>
          <w:szCs w:val="40"/>
        </w:rPr>
        <w:t>三、响应文件的编制</w:t>
      </w:r>
      <w:bookmarkEnd w:id="52"/>
    </w:p>
    <w:p w14:paraId="11A403EF">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11.响应文件的编制原则</w:t>
      </w:r>
    </w:p>
    <w:p w14:paraId="504C882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供应商必须按照磋商文件的要求编制响应文件，并对其提交的响应文件的真实性、合法性承担法律责任。响应文件必须对磋商文件作出实质性响应。</w:t>
      </w:r>
    </w:p>
    <w:p w14:paraId="13A666A7">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12.响应文件的组成</w:t>
      </w:r>
    </w:p>
    <w:p w14:paraId="10FFCE9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12.1响应文件由资格证明文件、报价文件、商务和技术文件三部分组成。</w:t>
      </w:r>
    </w:p>
    <w:p w14:paraId="0C8BD2C9">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rPr>
        <w:t>12.1.1资格证明文件：详见须知前附表</w:t>
      </w:r>
    </w:p>
    <w:p w14:paraId="68700D09">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rPr>
        <w:t>12.1.2商务技术文件：详见须知前附表</w:t>
      </w:r>
    </w:p>
    <w:p w14:paraId="00A1B412">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rPr>
        <w:t>12.1.3报价文件：详见须知前附表</w:t>
      </w:r>
    </w:p>
    <w:p w14:paraId="47B21BB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12.2响应文件电子版：详见须知前附表</w:t>
      </w:r>
    </w:p>
    <w:p w14:paraId="03246717">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13.计量单位</w:t>
      </w:r>
    </w:p>
    <w:p w14:paraId="04DAFC0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磋商文件已有明确规定的，使用磋商文件规定的计量单位；磋商文件没有规定的，应采用中华人民共和国法定计量单位，货币种类为人民币，否则视同未响应。</w:t>
      </w:r>
    </w:p>
    <w:p w14:paraId="5EC65544">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14.竞标的风险</w:t>
      </w:r>
    </w:p>
    <w:p w14:paraId="5AB5893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供应商没有按照磋商文件要求提供全部资料，或者供应商没有对磋商文件在各方面作出实质性响应可能导致其响应无效，是供应商应当考虑的风险。</w:t>
      </w:r>
    </w:p>
    <w:p w14:paraId="549FF448">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15.响应报价（如有）要求和构成</w:t>
      </w:r>
    </w:p>
    <w:p w14:paraId="309CE458">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15.1响应报价应按“第五章 响应文件格式”中“响应报价表”格式填写。</w:t>
      </w:r>
    </w:p>
    <w:p w14:paraId="36CF0E78">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15.2响应报价的价格构成见“供应商须知前附表”。</w:t>
      </w:r>
    </w:p>
    <w:p w14:paraId="15F06BA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15.3响应报价要求</w:t>
      </w:r>
    </w:p>
    <w:p w14:paraId="13DA1AC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15.3.1供应商的响应报价应符合以下要求，否则响应文件按无效响应处理：</w:t>
      </w:r>
    </w:p>
    <w:p w14:paraId="65AEF50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（1）供应商必须就“采购需求”中所竞标的每个分标的全部内容分别作完整唯一总价报价，不得存在漏项报价；</w:t>
      </w:r>
    </w:p>
    <w:p w14:paraId="6BEA4E6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（2）供应商必须就所竞标的分标的单项内容作唯一报价。</w:t>
      </w:r>
    </w:p>
    <w:p w14:paraId="6146ABF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15.3.2响应报价（包含首次报价、最后报价）超过所竞标分标规定的采购预算金额或者最高限价的，其响应文件将作无效处理。</w:t>
      </w:r>
    </w:p>
    <w:p w14:paraId="4348A01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15.3.3</w:t>
      </w:r>
      <w:bookmarkStart w:id="53" w:name="_Hlk42592874"/>
      <w:r>
        <w:rPr>
          <w:rFonts w:hint="eastAsia" w:ascii="宋体" w:hAnsi="宋体" w:eastAsia="宋体" w:cs="宋体"/>
          <w:color w:val="auto"/>
          <w:szCs w:val="21"/>
        </w:rPr>
        <w:t>响应报价（包含首次报价、最后报价）超过分项采购预算金额或者最高限价的，其响应文件将作无效处理。</w:t>
      </w:r>
    </w:p>
    <w:bookmarkEnd w:id="53"/>
    <w:p w14:paraId="43BE284B">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16.竞标有效期</w:t>
      </w:r>
    </w:p>
    <w:p w14:paraId="5113C78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5A6F81A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16.2 竞标有效期应由供应商按“供应商须知前附表”规定的期限作出响应。</w:t>
      </w:r>
    </w:p>
    <w:p w14:paraId="0B535DC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16.3供应商的响应文件在竞标有效期内均保持有效。</w:t>
      </w:r>
    </w:p>
    <w:p w14:paraId="26810979">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17.磋商保证金</w:t>
      </w:r>
    </w:p>
    <w:p w14:paraId="5C40106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详见“供应商须知前附表”。</w:t>
      </w:r>
    </w:p>
    <w:p w14:paraId="543429BB">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18.响应文件编制的要求</w:t>
      </w:r>
    </w:p>
    <w:p w14:paraId="1D0209A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rPr>
        <w:t>由此引发的</w:t>
      </w:r>
      <w:r>
        <w:rPr>
          <w:rFonts w:hint="eastAsia" w:ascii="宋体" w:hAnsi="宋体" w:eastAsia="宋体" w:cs="宋体"/>
          <w:color w:val="auto"/>
          <w:szCs w:val="21"/>
        </w:rPr>
        <w:t>后果由供应商承担。</w:t>
      </w:r>
    </w:p>
    <w:p w14:paraId="366B489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18.2响应文件应按资格证明、报价分别编制，商务技术文件合并编制，本磋商只接受电子版响应文件，要求见本章“12.2响应文件电子版要求”。</w:t>
      </w:r>
    </w:p>
    <w:p w14:paraId="1D61CFA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w:t>
      </w:r>
      <w:bookmarkStart w:id="54" w:name="_Hlk65832699"/>
      <w:r>
        <w:rPr>
          <w:rFonts w:hint="eastAsia" w:ascii="宋体" w:hAnsi="宋体" w:eastAsia="宋体" w:cs="宋体"/>
          <w:color w:val="auto"/>
          <w:szCs w:val="21"/>
        </w:rPr>
        <w:t>3响应文件须由供应商在</w:t>
      </w:r>
      <w:r>
        <w:rPr>
          <w:rFonts w:hint="eastAsia" w:ascii="宋体" w:hAnsi="宋体" w:eastAsia="宋体" w:cs="宋体"/>
          <w:color w:val="auto"/>
          <w:kern w:val="0"/>
          <w:szCs w:val="21"/>
          <w:lang w:val="zh-CN"/>
        </w:rPr>
        <w:t>“</w:t>
      </w:r>
      <w:r>
        <w:rPr>
          <w:rFonts w:hint="eastAsia" w:ascii="宋体" w:hAnsi="宋体" w:eastAsia="宋体" w:cs="宋体"/>
          <w:color w:val="auto"/>
          <w:szCs w:val="21"/>
        </w:rPr>
        <w:t>第五章 响应文件格式</w:t>
      </w:r>
      <w:r>
        <w:rPr>
          <w:rFonts w:hint="eastAsia" w:ascii="宋体" w:hAnsi="宋体" w:eastAsia="宋体" w:cs="宋体"/>
          <w:color w:val="auto"/>
          <w:kern w:val="0"/>
          <w:szCs w:val="21"/>
          <w:lang w:val="zh-CN"/>
        </w:rPr>
        <w:t>”</w:t>
      </w:r>
      <w:r>
        <w:rPr>
          <w:rFonts w:hint="eastAsia" w:ascii="宋体" w:hAnsi="宋体" w:eastAsia="宋体" w:cs="宋体"/>
          <w:color w:val="auto"/>
          <w:szCs w:val="21"/>
        </w:rPr>
        <w:t>规定位置进行签署、盖章</w:t>
      </w:r>
      <w:bookmarkEnd w:id="54"/>
      <w:r>
        <w:rPr>
          <w:rFonts w:hint="eastAsia" w:ascii="宋体" w:hAnsi="宋体" w:eastAsia="宋体" w:cs="宋体"/>
          <w:color w:val="auto"/>
          <w:szCs w:val="21"/>
        </w:rPr>
        <w:t>，否则其响应文件按无效响应处理。骑缝盖公章不视为在规定位置盖章。</w:t>
      </w:r>
    </w:p>
    <w:p w14:paraId="10DCCD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18.4响应文件中标注的供应商名称应与营业执照（事业单位法人证书、执业许可证、自然人身份证）及电子公章一致，否则其响应文件按无效响应处理。</w:t>
      </w:r>
    </w:p>
    <w:p w14:paraId="5C0E1D2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18.5响应文件应避免涂改、行间插字或者删除，否则其响应文件按无效响应处理。</w:t>
      </w:r>
    </w:p>
    <w:p w14:paraId="0A6622E3">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19.响应文件的密封和标记</w:t>
      </w:r>
    </w:p>
    <w:p w14:paraId="74CE36F8">
      <w:pPr>
        <w:spacing w:line="360" w:lineRule="auto"/>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19.1供应商进行电子交易应安装客户端软件—“广西政府采购云平台客户端”，并按照磋商文件和电子交易平台的要求编制并加密响应文件。供应商未按规定加密的响应文件，电子交易平台将拒收并提示。</w:t>
      </w:r>
    </w:p>
    <w:p w14:paraId="786EC047">
      <w:pPr>
        <w:spacing w:line="360" w:lineRule="auto"/>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19.2使用“广西政府采购云平台客户端”需要提前申领CA数字证书，申领流程见该项目采购公告附件。</w:t>
      </w:r>
    </w:p>
    <w:p w14:paraId="6E4B0434">
      <w:pPr>
        <w:spacing w:line="360" w:lineRule="auto"/>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19.3为确保网上操作合法、有效和安全，供应商应当在响应文件提交截止时间前完成在“广西政府采购云平台”的身份认证，确保在电子交易过程中能够对相关数据电文进行加密和使用电子签名。</w:t>
      </w:r>
    </w:p>
    <w:p w14:paraId="701E9E4A">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20.响应文件的提交</w:t>
      </w:r>
    </w:p>
    <w:p w14:paraId="0B1DA3D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20.1供应商必须在“供应商须知前附表”规定的时间和地点提交响应文件。</w:t>
      </w:r>
    </w:p>
    <w:p w14:paraId="1F3F645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20.2 在响应文件提交截止时间以后，不能补充、修改响应文件。</w:t>
      </w:r>
    </w:p>
    <w:p w14:paraId="75DBF1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20.3 在提交“最后报价”后，供应商不能退出谈判。</w:t>
      </w:r>
    </w:p>
    <w:p w14:paraId="3FE6BEB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123E8E0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20.5 采购机构不可视情况延长提交响应文件的截止时间。</w:t>
      </w:r>
    </w:p>
    <w:p w14:paraId="5EBFE5AE">
      <w:pPr>
        <w:spacing w:line="360" w:lineRule="auto"/>
        <w:ind w:firstLine="420" w:firstLineChars="200"/>
        <w:rPr>
          <w:rFonts w:hint="eastAsia" w:ascii="宋体" w:hAnsi="宋体" w:eastAsia="宋体" w:cs="宋体"/>
          <w:color w:val="auto"/>
          <w:sz w:val="24"/>
        </w:rPr>
      </w:pPr>
      <w:r>
        <w:rPr>
          <w:rFonts w:hint="eastAsia" w:ascii="宋体" w:hAnsi="宋体" w:eastAsia="宋体" w:cs="宋体"/>
          <w:color w:val="auto"/>
          <w:szCs w:val="21"/>
        </w:rPr>
        <w:t>20.6备份响应文件。详见</w:t>
      </w:r>
      <w:r>
        <w:rPr>
          <w:rFonts w:hint="eastAsia" w:ascii="宋体" w:hAnsi="宋体" w:eastAsia="宋体" w:cs="宋体"/>
          <w:bCs/>
          <w:color w:val="auto"/>
          <w:szCs w:val="21"/>
        </w:rPr>
        <w:t>“供应商须知前附表”。</w:t>
      </w:r>
    </w:p>
    <w:p w14:paraId="548F33F2">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21.首次响应文件的补充、修改与撤回</w:t>
      </w:r>
    </w:p>
    <w:p w14:paraId="7BD058D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详见“供应商须知前附表”。</w:t>
      </w:r>
    </w:p>
    <w:p w14:paraId="0B2622A5">
      <w:pPr>
        <w:spacing w:line="360" w:lineRule="auto"/>
        <w:ind w:firstLine="482" w:firstLineChars="200"/>
        <w:rPr>
          <w:rFonts w:hint="eastAsia" w:ascii="宋体" w:hAnsi="宋体" w:eastAsia="宋体" w:cs="宋体"/>
          <w:b/>
          <w:bCs/>
          <w:color w:val="auto"/>
          <w:sz w:val="24"/>
        </w:rPr>
      </w:pPr>
      <w:bookmarkStart w:id="55" w:name="_Hlk45702405"/>
      <w:r>
        <w:rPr>
          <w:rFonts w:hint="eastAsia" w:ascii="宋体" w:hAnsi="宋体" w:eastAsia="宋体" w:cs="宋体"/>
          <w:b/>
          <w:bCs/>
          <w:color w:val="auto"/>
          <w:sz w:val="24"/>
        </w:rPr>
        <w:t>22. 首次响应文件的退回</w:t>
      </w:r>
    </w:p>
    <w:p w14:paraId="1F9D632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在首次响应文件提交截止时间止提交响应文件的供应商不足3家时电子响应文件由代理机构在</w:t>
      </w:r>
      <w:r>
        <w:rPr>
          <w:rFonts w:hint="eastAsia" w:ascii="宋体" w:hAnsi="宋体" w:eastAsia="宋体" w:cs="宋体"/>
          <w:color w:val="auto"/>
          <w:spacing w:val="-6"/>
          <w:kern w:val="0"/>
          <w:szCs w:val="21"/>
          <w:lang w:val="zh-CN"/>
        </w:rPr>
        <w:t>“广西政府采购云平台”</w:t>
      </w:r>
      <w:r>
        <w:rPr>
          <w:rFonts w:hint="eastAsia" w:ascii="宋体" w:hAnsi="宋体" w:eastAsia="宋体" w:cs="宋体"/>
          <w:color w:val="auto"/>
          <w:szCs w:val="21"/>
        </w:rPr>
        <w:t>平台操作退回，除此之外采购人和采购代理机构对已提交的电子响应文件概不退回。</w:t>
      </w:r>
    </w:p>
    <w:p w14:paraId="0E3E933E">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23. 截止时间后的撤回</w:t>
      </w:r>
    </w:p>
    <w:p w14:paraId="52DECE3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供应商在首次响应文件提交截止时间后可向采购人、采购代理机构书面申请撤回电子响应文件。</w:t>
      </w:r>
      <w:bookmarkEnd w:id="55"/>
    </w:p>
    <w:p w14:paraId="4C4B3336">
      <w:pPr>
        <w:spacing w:line="360" w:lineRule="auto"/>
        <w:jc w:val="center"/>
        <w:rPr>
          <w:rFonts w:hint="eastAsia" w:ascii="宋体" w:hAnsi="宋体" w:eastAsia="宋体" w:cs="宋体"/>
          <w:b/>
          <w:bCs/>
          <w:color w:val="auto"/>
          <w:sz w:val="32"/>
          <w:szCs w:val="40"/>
        </w:rPr>
      </w:pPr>
      <w:bookmarkStart w:id="56" w:name="_Toc80886933"/>
      <w:r>
        <w:rPr>
          <w:rFonts w:hint="eastAsia" w:ascii="宋体" w:hAnsi="宋体" w:eastAsia="宋体" w:cs="宋体"/>
          <w:b/>
          <w:bCs/>
          <w:color w:val="auto"/>
          <w:sz w:val="32"/>
          <w:szCs w:val="40"/>
        </w:rPr>
        <w:t>四、评审及磋商</w:t>
      </w:r>
      <w:bookmarkEnd w:id="56"/>
    </w:p>
    <w:p w14:paraId="6632B43F">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24.磋商小组成立</w:t>
      </w:r>
    </w:p>
    <w:p w14:paraId="3AAD11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F9E697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E530E7D">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25.首次响应文件的开启</w:t>
      </w:r>
    </w:p>
    <w:p w14:paraId="6465072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25.1首次响应文件由磋商小组或者采购代理机构在“供应商须知前附表”规定的时间开启。</w:t>
      </w:r>
    </w:p>
    <w:p w14:paraId="11CF0F4E">
      <w:pPr>
        <w:pStyle w:val="12"/>
        <w:spacing w:line="360" w:lineRule="auto"/>
        <w:ind w:firstLine="420" w:firstLineChars="200"/>
        <w:rPr>
          <w:rFonts w:hint="eastAsia" w:ascii="宋体" w:hAnsi="宋体" w:eastAsia="宋体" w:cs="宋体"/>
          <w:bCs/>
          <w:color w:val="auto"/>
          <w:sz w:val="21"/>
        </w:rPr>
      </w:pPr>
      <w:r>
        <w:rPr>
          <w:rFonts w:hint="eastAsia" w:ascii="宋体" w:hAnsi="宋体" w:eastAsia="宋体" w:cs="宋体"/>
          <w:color w:val="auto"/>
          <w:sz w:val="21"/>
        </w:rPr>
        <w:t xml:space="preserve">25.2 </w:t>
      </w:r>
      <w:r>
        <w:rPr>
          <w:rFonts w:hint="eastAsia" w:ascii="宋体" w:hAnsi="宋体" w:eastAsia="宋体" w:cs="宋体"/>
          <w:bCs/>
          <w:color w:val="auto"/>
          <w:sz w:val="21"/>
        </w:rPr>
        <w:t>响应文件解密</w:t>
      </w:r>
    </w:p>
    <w:p w14:paraId="56C3F038">
      <w:pPr>
        <w:pStyle w:val="12"/>
        <w:snapToGrid w:val="0"/>
        <w:spacing w:line="360" w:lineRule="auto"/>
        <w:ind w:firstLine="420" w:firstLineChars="200"/>
        <w:rPr>
          <w:rFonts w:hint="eastAsia" w:ascii="宋体" w:hAnsi="宋体" w:eastAsia="宋体" w:cs="宋体"/>
          <w:color w:val="auto"/>
          <w:sz w:val="21"/>
        </w:rPr>
      </w:pPr>
      <w:r>
        <w:rPr>
          <w:rFonts w:hint="eastAsia" w:ascii="宋体" w:hAnsi="宋体" w:eastAsia="宋体" w:cs="宋体"/>
          <w:bCs/>
          <w:color w:val="auto"/>
          <w:sz w:val="21"/>
        </w:rPr>
        <w:t>采购代理机构将在“供应商须知前附表”规定的时</w:t>
      </w:r>
      <w:r>
        <w:rPr>
          <w:rFonts w:hint="eastAsia" w:ascii="宋体" w:hAnsi="宋体" w:eastAsia="宋体" w:cs="宋体"/>
          <w:color w:val="auto"/>
          <w:sz w:val="21"/>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1"/>
        </w:rPr>
        <w:t>须携带加密时所用的CA锁按平台提示和采购文件的规定登录到“广西政府采购云平台”平台电子开标大厅签到并在发起解密指令之时起30分钟内完成对电子响应文件在线解密</w:t>
      </w:r>
      <w:r>
        <w:rPr>
          <w:rFonts w:hint="eastAsia" w:ascii="宋体" w:hAnsi="宋体" w:eastAsia="宋体" w:cs="宋体"/>
          <w:color w:val="auto"/>
          <w:sz w:val="21"/>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1"/>
        </w:rPr>
        <w:t>视为响应文件无效。</w:t>
      </w:r>
      <w:r>
        <w:rPr>
          <w:rFonts w:hint="eastAsia" w:ascii="宋体" w:hAnsi="宋体" w:eastAsia="宋体" w:cs="宋体"/>
          <w:color w:val="auto"/>
          <w:sz w:val="21"/>
        </w:rPr>
        <w:t>（解密</w:t>
      </w:r>
      <w:r>
        <w:rPr>
          <w:rFonts w:hint="eastAsia" w:ascii="宋体" w:hAnsi="宋体" w:eastAsia="宋体" w:cs="宋体"/>
          <w:bCs/>
          <w:color w:val="auto"/>
          <w:sz w:val="21"/>
        </w:rPr>
        <w:t>异常情况处理：详见本章</w:t>
      </w:r>
      <w:r>
        <w:rPr>
          <w:rFonts w:hint="eastAsia" w:ascii="宋体" w:hAnsi="宋体" w:eastAsia="宋体" w:cs="宋体"/>
          <w:color w:val="auto"/>
          <w:sz w:val="21"/>
        </w:rPr>
        <w:t>26.3 电子交易活动的中止。）</w:t>
      </w:r>
    </w:p>
    <w:p w14:paraId="6075CE98">
      <w:pPr>
        <w:pStyle w:val="12"/>
        <w:spacing w:line="360" w:lineRule="auto"/>
        <w:ind w:firstLine="420" w:firstLineChars="200"/>
        <w:rPr>
          <w:rFonts w:hint="eastAsia" w:ascii="宋体" w:hAnsi="宋体" w:eastAsia="宋体" w:cs="宋体"/>
          <w:color w:val="auto"/>
          <w:sz w:val="21"/>
        </w:rPr>
      </w:pPr>
      <w:r>
        <w:rPr>
          <w:rFonts w:hint="eastAsia" w:ascii="宋体" w:hAnsi="宋体" w:eastAsia="宋体" w:cs="宋体"/>
          <w:color w:val="auto"/>
          <w:sz w:val="21"/>
        </w:rPr>
        <w:t>如</w:t>
      </w:r>
      <w:r>
        <w:rPr>
          <w:rFonts w:hint="eastAsia" w:ascii="宋体" w:hAnsi="宋体" w:eastAsia="宋体" w:cs="宋体"/>
          <w:bCs/>
          <w:color w:val="auto"/>
          <w:sz w:val="21"/>
        </w:rPr>
        <w:t>供应商成功解密响应文件，但未在“广西政府采购云平台”电子开标大厅参加谈判的，视同认可谈判过程和结果，</w:t>
      </w:r>
      <w:r>
        <w:rPr>
          <w:rFonts w:hint="eastAsia" w:ascii="宋体" w:hAnsi="宋体" w:eastAsia="宋体" w:cs="宋体"/>
          <w:color w:val="auto"/>
          <w:sz w:val="21"/>
        </w:rPr>
        <w:t>由此产生的后果由供应商自行负责。 参与谈判的供应商不足3家的，不得谈判。</w:t>
      </w:r>
    </w:p>
    <w:p w14:paraId="246E4383">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26.评审程序、评审方法和评审标准</w:t>
      </w:r>
    </w:p>
    <w:p w14:paraId="2F71575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26.1磋商小组按照“第四章 评审程序、评审方法和评审标准”规定的方法、评审因素、标准和程序对响应文件进行评审。</w:t>
      </w:r>
    </w:p>
    <w:p w14:paraId="5EB88C4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26.2 采购需求负偏离要求及磋商顺序详见 “ 供应商须知前附表”。</w:t>
      </w:r>
    </w:p>
    <w:p w14:paraId="5B110A0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26.3电子交易活动的中止。采购过程中出现以下情形，导致电子交易平台无法正常运行，或者无法保证电子交易的公平、公正和安全时，采购机构可中止电子交易活动：</w:t>
      </w:r>
    </w:p>
    <w:p w14:paraId="04D363A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（1）电子交易平台发生故障而无法登录访问的； </w:t>
      </w:r>
    </w:p>
    <w:p w14:paraId="6FAA797F">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（2）电子交易平台应用或数据库出现错误，不能进行正常操作的；</w:t>
      </w:r>
    </w:p>
    <w:p w14:paraId="2D2B0AA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（3）电子交易平台发现严重安全漏洞，有潜在泄密危险的；</w:t>
      </w:r>
    </w:p>
    <w:p w14:paraId="0535C94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（4）病毒发作导致不能进行正常操作的； </w:t>
      </w:r>
    </w:p>
    <w:p w14:paraId="1891254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（4）其他无法保证电子交易的公平、公正和安全的情况。</w:t>
      </w:r>
    </w:p>
    <w:p w14:paraId="75A2FD5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832D7F5">
      <w:pPr>
        <w:spacing w:line="360" w:lineRule="auto"/>
        <w:jc w:val="center"/>
        <w:rPr>
          <w:rFonts w:hint="eastAsia" w:ascii="宋体" w:hAnsi="宋体" w:eastAsia="宋体" w:cs="宋体"/>
          <w:b/>
          <w:bCs/>
          <w:color w:val="auto"/>
          <w:sz w:val="32"/>
          <w:szCs w:val="40"/>
        </w:rPr>
      </w:pPr>
      <w:bookmarkStart w:id="57" w:name="_Toc80886934"/>
      <w:r>
        <w:rPr>
          <w:rFonts w:hint="eastAsia" w:ascii="宋体" w:hAnsi="宋体" w:eastAsia="宋体" w:cs="宋体"/>
          <w:b/>
          <w:bCs/>
          <w:color w:val="auto"/>
          <w:sz w:val="32"/>
          <w:szCs w:val="40"/>
        </w:rPr>
        <w:t>五、成交及合同</w:t>
      </w:r>
      <w:bookmarkEnd w:id="57"/>
    </w:p>
    <w:p w14:paraId="28293111">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27.确定成交供应商及结果公告</w:t>
      </w:r>
    </w:p>
    <w:p w14:paraId="7DD27AB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27.1确定成交供应商。</w:t>
      </w:r>
      <w:r>
        <w:rPr>
          <w:rFonts w:hint="eastAsia" w:ascii="宋体" w:hAnsi="宋体" w:eastAsia="宋体" w:cs="宋体"/>
          <w:color w:val="auto"/>
          <w:kern w:val="0"/>
          <w:szCs w:val="21"/>
          <w:u w:val="single"/>
        </w:rPr>
        <w:t xml:space="preserve"> 由采购人直接委托评审专家确定</w:t>
      </w:r>
      <w:r>
        <w:rPr>
          <w:rFonts w:hint="eastAsia" w:ascii="宋体" w:hAnsi="宋体" w:eastAsia="宋体" w:cs="宋体"/>
          <w:color w:val="auto"/>
          <w:szCs w:val="21"/>
          <w:u w:val="single"/>
        </w:rPr>
        <w:t>，评审报告提出的排序第一的供应商为成交供应商。</w:t>
      </w:r>
    </w:p>
    <w:p w14:paraId="4891230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27.2成交通知及成交结果公告。</w:t>
      </w:r>
      <w:r>
        <w:rPr>
          <w:rFonts w:hint="eastAsia" w:ascii="宋体" w:hAnsi="宋体" w:eastAsia="宋体" w:cs="宋体"/>
          <w:color w:val="auto"/>
          <w:kern w:val="0"/>
          <w:szCs w:val="21"/>
        </w:rPr>
        <w:t>成交</w:t>
      </w:r>
      <w:r>
        <w:rPr>
          <w:rFonts w:hint="eastAsia" w:ascii="宋体" w:hAnsi="宋体" w:eastAsia="宋体" w:cs="宋体"/>
          <w:color w:val="auto"/>
          <w:szCs w:val="21"/>
        </w:rPr>
        <w:t>供应商确定后2个工作日内，在省级以上财政部门指定的媒体上公</w:t>
      </w:r>
      <w:r>
        <w:rPr>
          <w:rFonts w:hint="eastAsia" w:ascii="宋体" w:hAnsi="宋体" w:eastAsia="宋体" w:cs="宋体"/>
          <w:color w:val="auto"/>
          <w:kern w:val="0"/>
          <w:szCs w:val="21"/>
        </w:rPr>
        <w:t>告成交结果，</w:t>
      </w:r>
      <w:r>
        <w:rPr>
          <w:rFonts w:hint="eastAsia" w:ascii="宋体" w:hAnsi="宋体" w:eastAsia="宋体" w:cs="宋体"/>
          <w:color w:val="auto"/>
          <w:szCs w:val="21"/>
        </w:rPr>
        <w:t>同时向成交供应商发出成交通知书，成交通知书规定签订合同的时间不得超过25日。</w:t>
      </w:r>
    </w:p>
    <w:p w14:paraId="05EED60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AD844F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725DAB3">
      <w:pPr>
        <w:spacing w:line="360" w:lineRule="auto"/>
        <w:ind w:firstLine="420" w:firstLineChars="200"/>
        <w:rPr>
          <w:rFonts w:hint="eastAsia" w:ascii="宋体" w:hAnsi="宋体" w:eastAsia="宋体" w:cs="宋体"/>
          <w:color w:val="auto"/>
          <w:szCs w:val="21"/>
        </w:rPr>
      </w:pPr>
      <w:r>
        <w:rPr>
          <w:rFonts w:hint="eastAsia" w:ascii="宋体" w:hAnsi="宋体" w:eastAsia="宋体" w:cs="宋体"/>
          <w:bCs/>
          <w:color w:val="auto"/>
          <w:szCs w:val="21"/>
        </w:rPr>
        <w:t>27.5</w:t>
      </w:r>
      <w:r>
        <w:rPr>
          <w:rFonts w:hint="eastAsia" w:ascii="宋体" w:hAnsi="宋体" w:eastAsia="宋体" w:cs="宋体"/>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FCF2B45">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28.履约保证金</w:t>
      </w:r>
    </w:p>
    <w:p w14:paraId="431315FB">
      <w:pPr>
        <w:spacing w:line="360" w:lineRule="auto"/>
        <w:ind w:firstLine="420" w:firstLineChars="200"/>
        <w:rPr>
          <w:rFonts w:hint="eastAsia" w:ascii="宋体" w:hAnsi="宋体" w:eastAsia="宋体" w:cs="宋体"/>
          <w:b/>
          <w:bCs/>
          <w:color w:val="auto"/>
          <w:sz w:val="24"/>
        </w:rPr>
      </w:pPr>
      <w:r>
        <w:rPr>
          <w:rFonts w:hint="eastAsia" w:ascii="宋体" w:hAnsi="宋体" w:eastAsia="宋体" w:cs="宋体"/>
          <w:color w:val="auto"/>
          <w:szCs w:val="21"/>
        </w:rPr>
        <w:t>详见 “供应商须知前附表”</w:t>
      </w:r>
    </w:p>
    <w:p w14:paraId="5E5F3B71">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29.签订合同</w:t>
      </w:r>
    </w:p>
    <w:p w14:paraId="223FD7F0">
      <w:pPr>
        <w:pStyle w:val="23"/>
        <w:snapToGrid w:val="0"/>
        <w:spacing w:before="0"/>
        <w:ind w:firstLine="420"/>
        <w:rPr>
          <w:rFonts w:hint="eastAsia" w:ascii="宋体" w:hAnsi="宋体" w:eastAsia="宋体" w:cs="宋体"/>
          <w:color w:val="auto"/>
          <w:sz w:val="21"/>
          <w:szCs w:val="21"/>
          <w:lang w:val="zh-CN"/>
        </w:rPr>
      </w:pPr>
      <w:r>
        <w:rPr>
          <w:rFonts w:hint="eastAsia" w:ascii="宋体" w:hAnsi="宋体" w:eastAsia="宋体"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lang w:val="zh-CN"/>
        </w:rPr>
        <w:t>如成交供应商为联合体的，由联合体成员各方法定代表人或其授权代表与采购人代表签订合同。</w:t>
      </w:r>
    </w:p>
    <w:p w14:paraId="5C1AED2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76E0B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0092D2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29.4如签订合同并生效后，供应商无故拒绝或延期，除按照合同条款处理外，列入不良行为记录，并给予通报。</w:t>
      </w:r>
    </w:p>
    <w:p w14:paraId="5F113CAE">
      <w:pPr>
        <w:pStyle w:val="23"/>
        <w:spacing w:before="0"/>
        <w:ind w:firstLine="420"/>
        <w:rPr>
          <w:rFonts w:hint="eastAsia" w:ascii="宋体" w:hAnsi="宋体" w:eastAsia="宋体" w:cs="宋体"/>
          <w:color w:val="auto"/>
          <w:szCs w:val="21"/>
        </w:rPr>
      </w:pPr>
      <w:r>
        <w:rPr>
          <w:rFonts w:hint="eastAsia" w:ascii="宋体" w:hAnsi="宋体" w:eastAsia="宋体" w:cs="宋体"/>
          <w:color w:val="auto"/>
          <w:sz w:val="21"/>
          <w:szCs w:val="21"/>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rPr>
        <w:t xml:space="preserve"> </w:t>
      </w:r>
      <w:r>
        <w:rPr>
          <w:rFonts w:hint="eastAsia" w:ascii="宋体" w:hAnsi="宋体" w:eastAsia="宋体" w:cs="宋体"/>
          <w:color w:val="auto"/>
          <w:sz w:val="21"/>
          <w:szCs w:val="21"/>
        </w:rPr>
        <w:t>供应商须知前附表”。</w:t>
      </w:r>
    </w:p>
    <w:p w14:paraId="47D51080">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30.政府采购合同公告</w:t>
      </w:r>
    </w:p>
    <w:p w14:paraId="1F850D78">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采购人或者受托采购代理机构应当自政府采购合同签订之日起2个工作日内，将政府采购合同在“广西政府采购网、柳州市政府采购网”媒体上发布合同公告，但政府采购合同中涉及国家秘密、商业秘密的内容除外。</w:t>
      </w:r>
    </w:p>
    <w:p w14:paraId="209AED4C">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31. 询问、质疑和投诉</w:t>
      </w:r>
    </w:p>
    <w:p w14:paraId="2AE7F4B0">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31.1供应商对政府采购活动事项有疑问的，可以向采购人、采购代理机构提出询问，采购人或者采购代理机构应当在3个工作日内对供应商依法提出的询问作出答复。</w:t>
      </w:r>
    </w:p>
    <w:p w14:paraId="2222AF59">
      <w:pPr>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hd w:val="clear" w:color="auto" w:fill="FFFFFF"/>
        </w:rPr>
        <w:t>接收质疑函的方式、联系部门、联系电话和通讯地址等信息详见</w:t>
      </w:r>
      <w:r>
        <w:rPr>
          <w:rFonts w:hint="eastAsia" w:ascii="宋体" w:hAnsi="宋体" w:eastAsia="宋体" w:cs="宋体"/>
          <w:color w:val="auto"/>
          <w:szCs w:val="21"/>
        </w:rPr>
        <w:t>“供应商须知前附表”</w:t>
      </w:r>
      <w:r>
        <w:rPr>
          <w:rFonts w:hint="eastAsia" w:ascii="宋体" w:hAnsi="宋体" w:eastAsia="宋体" w:cs="宋体"/>
          <w:color w:val="auto"/>
        </w:rPr>
        <w:t>。</w:t>
      </w:r>
      <w:r>
        <w:rPr>
          <w:rFonts w:hint="eastAsia" w:ascii="宋体" w:hAnsi="宋体" w:eastAsia="宋体" w:cs="宋体"/>
          <w:b/>
          <w:color w:val="auto"/>
          <w:szCs w:val="21"/>
        </w:rPr>
        <w:t xml:space="preserve">具体质疑起算时间及处理方式如下： </w:t>
      </w:r>
    </w:p>
    <w:p w14:paraId="3063A0FC">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rPr>
        <w:t>委托代理协议无特殊约定的，</w:t>
      </w:r>
      <w:r>
        <w:rPr>
          <w:rFonts w:hint="eastAsia" w:ascii="宋体" w:hAnsi="宋体" w:eastAsia="宋体" w:cs="宋体"/>
          <w:bCs/>
          <w:color w:val="auto"/>
        </w:rPr>
        <w:t>对竞争性磋商文件中采购需求（含资格要求、采购预算和评分办法）的质疑由采购人受理并负责答复；对竞争性磋商文件中的采购执行程序的质疑由采购代理机构受理并负责答复。</w:t>
      </w:r>
    </w:p>
    <w:p w14:paraId="3719F8A5">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09879AC">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（3）供应商认为成交结果使自己的权益受到损害的，应当在成交结果公告期限届满之日起7个工作日内提出质疑，由采购人受理并负责答复。</w:t>
      </w:r>
    </w:p>
    <w:p w14:paraId="422571CF">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D73BC7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rPr>
        <w:t>（质疑函格式后附）</w:t>
      </w:r>
      <w:r>
        <w:rPr>
          <w:rFonts w:hint="eastAsia" w:ascii="宋体" w:hAnsi="宋体" w:eastAsia="宋体" w:cs="宋体"/>
          <w:color w:val="auto"/>
        </w:rPr>
        <w:t>：</w:t>
      </w:r>
    </w:p>
    <w:p w14:paraId="4897FA2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（1）供应商的姓名或者名称、地址、邮编、联系人及联系电话；</w:t>
      </w:r>
    </w:p>
    <w:p w14:paraId="25746D6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（2）质疑项目的名称、编号；</w:t>
      </w:r>
    </w:p>
    <w:p w14:paraId="0895812F">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（3）具体、明确的质疑事项和与质疑事项相关的请求；</w:t>
      </w:r>
    </w:p>
    <w:p w14:paraId="5A58429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（4）事实依据；</w:t>
      </w:r>
    </w:p>
    <w:p w14:paraId="2A44476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（5）必要的法律依据；</w:t>
      </w:r>
    </w:p>
    <w:p w14:paraId="274A383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（6）提出质疑的日期。</w:t>
      </w:r>
    </w:p>
    <w:p w14:paraId="791D12F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供应商为自然人的，应当由本人签字；供应商为法人或者其他组织的，应当由法定代表人、主要负责人，或者其委托代理人签字或者盖章，并加盖公章。</w:t>
      </w:r>
    </w:p>
    <w:p w14:paraId="5754857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31.5采购人、采购代理机构认为供应商质疑不成立，或者成立但未对成交结果构成影响的，继续开展采购活动；认为供应商质疑成立且影响或者可能影响成交结果的，按照下列情况处理：</w:t>
      </w:r>
    </w:p>
    <w:p w14:paraId="6A6FA5E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（一）对采购文件提出的质疑，依法通过澄清或者修改可以继续开展采购活动的，澄清或者修改采购文件后继续开展采购活动；否则应当修改采购文件后重新开展采购活动。</w:t>
      </w:r>
    </w:p>
    <w:p w14:paraId="6409042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28EB74D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质疑答复导致成交结果改变的，采购人或者采购代理机构应当将有关情况书面报告本级财政部门。</w:t>
      </w:r>
    </w:p>
    <w:p w14:paraId="08F5B2C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8" w:name="_Toc80205930"/>
    </w:p>
    <w:p w14:paraId="2CD14BBF">
      <w:pPr>
        <w:spacing w:line="360" w:lineRule="auto"/>
        <w:jc w:val="center"/>
        <w:rPr>
          <w:rFonts w:hint="eastAsia" w:ascii="宋体" w:hAnsi="宋体" w:eastAsia="宋体" w:cs="宋体"/>
          <w:b/>
          <w:bCs/>
          <w:color w:val="auto"/>
          <w:sz w:val="32"/>
          <w:szCs w:val="40"/>
        </w:rPr>
      </w:pPr>
      <w:bookmarkStart w:id="59" w:name="_Toc80886935"/>
      <w:r>
        <w:rPr>
          <w:rFonts w:hint="eastAsia" w:ascii="宋体" w:hAnsi="宋体" w:eastAsia="宋体" w:cs="宋体"/>
          <w:b/>
          <w:bCs/>
          <w:color w:val="auto"/>
          <w:sz w:val="32"/>
          <w:szCs w:val="40"/>
        </w:rPr>
        <w:t>六、验收</w:t>
      </w:r>
      <w:bookmarkEnd w:id="58"/>
      <w:bookmarkEnd w:id="59"/>
    </w:p>
    <w:p w14:paraId="64A5FB35">
      <w:pPr>
        <w:tabs>
          <w:tab w:val="left" w:pos="0"/>
        </w:tabs>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32.验收</w:t>
      </w:r>
    </w:p>
    <w:p w14:paraId="77733693">
      <w:pPr>
        <w:tabs>
          <w:tab w:val="left" w:pos="0"/>
        </w:tabs>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3074390">
      <w:pPr>
        <w:tabs>
          <w:tab w:val="left" w:pos="0"/>
        </w:tabs>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32.2采购人可以邀请参加本项目的其他供应商或者第三方机构参与验收。参与验收的供应商或者第三方机构的意见作为验收书的参考资料一并存档。</w:t>
      </w:r>
    </w:p>
    <w:p w14:paraId="6585457D">
      <w:pPr>
        <w:tabs>
          <w:tab w:val="left" w:pos="0"/>
        </w:tabs>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83C4A18">
      <w:pPr>
        <w:tabs>
          <w:tab w:val="left" w:pos="0"/>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3596FEA">
      <w:pPr>
        <w:spacing w:line="360" w:lineRule="auto"/>
        <w:jc w:val="center"/>
        <w:rPr>
          <w:rFonts w:hint="eastAsia" w:ascii="宋体" w:hAnsi="宋体" w:eastAsia="宋体" w:cs="宋体"/>
          <w:b/>
          <w:bCs/>
          <w:color w:val="auto"/>
          <w:sz w:val="32"/>
          <w:szCs w:val="40"/>
        </w:rPr>
      </w:pPr>
      <w:bookmarkStart w:id="60" w:name="_Toc80886936"/>
      <w:r>
        <w:rPr>
          <w:rFonts w:hint="eastAsia" w:ascii="宋体" w:hAnsi="宋体" w:eastAsia="宋体" w:cs="宋体"/>
          <w:b/>
          <w:bCs/>
          <w:color w:val="auto"/>
          <w:sz w:val="32"/>
          <w:szCs w:val="40"/>
        </w:rPr>
        <w:t>七、其他事项</w:t>
      </w:r>
      <w:bookmarkEnd w:id="60"/>
    </w:p>
    <w:p w14:paraId="2057EB1A">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33.代理服务费</w:t>
      </w:r>
    </w:p>
    <w:p w14:paraId="0A161B98">
      <w:pPr>
        <w:tabs>
          <w:tab w:val="left" w:pos="2835"/>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代理服务收费标准及缴费账户详见“供应商须知前附表”，供应商为联合体的，可以由联合体中的一方或者多方共同缴纳代理服务费。</w:t>
      </w:r>
    </w:p>
    <w:p w14:paraId="6E609ED6">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34.需要补充的其他内容</w:t>
      </w:r>
    </w:p>
    <w:p w14:paraId="3B8D2031">
      <w:pPr>
        <w:pStyle w:val="12"/>
        <w:spacing w:line="360" w:lineRule="auto"/>
        <w:ind w:firstLine="420" w:firstLineChars="200"/>
        <w:textAlignment w:val="center"/>
        <w:rPr>
          <w:rFonts w:hint="eastAsia" w:ascii="宋体" w:hAnsi="宋体" w:eastAsia="宋体" w:cs="宋体"/>
          <w:color w:val="auto"/>
          <w:kern w:val="2"/>
          <w:sz w:val="21"/>
        </w:rPr>
      </w:pPr>
      <w:r>
        <w:rPr>
          <w:rFonts w:hint="eastAsia" w:ascii="宋体" w:hAnsi="宋体" w:eastAsia="宋体" w:cs="宋体"/>
          <w:color w:val="auto"/>
          <w:kern w:val="2"/>
          <w:sz w:val="21"/>
        </w:rPr>
        <w:t>34.1本磋商文件解释规则详见“供应商须知前附表”。</w:t>
      </w:r>
    </w:p>
    <w:p w14:paraId="4DE54E75">
      <w:pPr>
        <w:pStyle w:val="12"/>
        <w:spacing w:line="360" w:lineRule="auto"/>
        <w:ind w:firstLine="420" w:firstLineChars="200"/>
        <w:textAlignment w:val="center"/>
        <w:rPr>
          <w:rFonts w:hint="eastAsia" w:ascii="宋体" w:hAnsi="宋体" w:eastAsia="宋体" w:cs="宋体"/>
          <w:color w:val="auto"/>
          <w:kern w:val="2"/>
          <w:sz w:val="21"/>
        </w:rPr>
      </w:pPr>
      <w:r>
        <w:rPr>
          <w:rFonts w:hint="eastAsia" w:ascii="宋体" w:hAnsi="宋体" w:eastAsia="宋体" w:cs="宋体"/>
          <w:color w:val="auto"/>
          <w:kern w:val="2"/>
          <w:sz w:val="21"/>
        </w:rPr>
        <w:t>34.2 其他事项详见“供应商须知前附表”。</w:t>
      </w:r>
    </w:p>
    <w:p w14:paraId="7BA31F3D">
      <w:pPr>
        <w:pStyle w:val="12"/>
        <w:spacing w:line="360" w:lineRule="auto"/>
        <w:ind w:firstLine="420" w:firstLineChars="200"/>
        <w:textAlignment w:val="center"/>
        <w:rPr>
          <w:rFonts w:hint="eastAsia" w:ascii="宋体" w:hAnsi="宋体" w:eastAsia="宋体" w:cs="宋体"/>
          <w:color w:val="auto"/>
          <w:kern w:val="2"/>
          <w:sz w:val="21"/>
        </w:rPr>
      </w:pPr>
      <w:r>
        <w:rPr>
          <w:rFonts w:hint="eastAsia" w:ascii="宋体" w:hAnsi="宋体" w:eastAsia="宋体" w:cs="宋体"/>
          <w:color w:val="auto"/>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rPr>
        <w:t>服务由中小企业承接，即提供服务的人员为中小企业依照《中华人民共和国民法典》订立劳动合同的从业人员，不对其中涉及的货物的制造商和工程承建商作出要求的</w:t>
      </w:r>
      <w:r>
        <w:rPr>
          <w:rFonts w:hint="eastAsia" w:ascii="宋体" w:hAnsi="宋体" w:eastAsia="宋体" w:cs="宋体"/>
          <w:color w:val="auto"/>
          <w:kern w:val="2"/>
          <w:sz w:val="21"/>
        </w:rPr>
        <w:t>，享受本文件规定的中小企业扶持政策。</w:t>
      </w:r>
    </w:p>
    <w:p w14:paraId="29386D5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35. 政采贷相关说明</w:t>
      </w:r>
    </w:p>
    <w:p w14:paraId="79AE0C12">
      <w:pPr>
        <w:pStyle w:val="12"/>
        <w:spacing w:line="360" w:lineRule="auto"/>
        <w:ind w:firstLine="420" w:firstLineChars="200"/>
        <w:textAlignment w:val="center"/>
        <w:rPr>
          <w:rFonts w:hint="eastAsia" w:ascii="宋体" w:hAnsi="宋体" w:eastAsia="宋体" w:cs="宋体"/>
          <w:color w:val="auto"/>
        </w:rPr>
      </w:pPr>
      <w:r>
        <w:rPr>
          <w:rFonts w:hint="eastAsia" w:ascii="宋体" w:hAnsi="宋体" w:eastAsia="宋体" w:cs="宋体"/>
          <w:color w:val="auto"/>
          <w:sz w:val="21"/>
        </w:rPr>
        <w:t>为优化政府采购营商环境，缓解供应商资金难题，成交供应商可通过柳州市政采贷平台向银行业金融机构申请融资服务，解决政府采购供应商的资金烦恼。（具体流程详见：http：//zfcg.lzscz.liuzhou.gov.cn/lzcgBuyNews/lzcgNoticeNews/2601342.html?utm=sites_group_front.710c91b2.0.0.6a91442041d411ec93894bc8116d3477）</w:t>
      </w:r>
      <w:r>
        <w:rPr>
          <w:rFonts w:hint="eastAsia" w:ascii="宋体" w:hAnsi="宋体" w:eastAsia="宋体" w:cs="宋体"/>
          <w:b/>
          <w:color w:val="auto"/>
        </w:rPr>
        <w:br w:type="page"/>
      </w:r>
    </w:p>
    <w:p w14:paraId="158C6F29">
      <w:pPr>
        <w:pStyle w:val="2"/>
        <w:jc w:val="center"/>
        <w:rPr>
          <w:rFonts w:hint="eastAsia" w:ascii="宋体" w:hAnsi="宋体" w:eastAsia="宋体" w:cs="宋体"/>
          <w:color w:val="auto"/>
        </w:rPr>
      </w:pPr>
      <w:bookmarkStart w:id="61" w:name="_Toc28878"/>
      <w:bookmarkStart w:id="62" w:name="_Toc19564"/>
      <w:bookmarkStart w:id="63" w:name="_Toc80886937"/>
      <w:r>
        <w:rPr>
          <w:rFonts w:hint="eastAsia" w:ascii="宋体" w:hAnsi="宋体" w:eastAsia="宋体" w:cs="宋体"/>
          <w:color w:val="auto"/>
        </w:rPr>
        <w:t>第四章  评审程序、评审方法和评审标准</w:t>
      </w:r>
      <w:bookmarkEnd w:id="61"/>
      <w:bookmarkEnd w:id="62"/>
      <w:bookmarkEnd w:id="63"/>
    </w:p>
    <w:p w14:paraId="0C6D0792">
      <w:pPr>
        <w:pStyle w:val="3"/>
        <w:jc w:val="center"/>
        <w:rPr>
          <w:rFonts w:hint="eastAsia" w:ascii="宋体" w:hAnsi="宋体" w:eastAsia="宋体" w:cs="宋体"/>
          <w:b w:val="0"/>
          <w:color w:val="auto"/>
        </w:rPr>
      </w:pPr>
      <w:bookmarkStart w:id="64" w:name="_Toc9033"/>
      <w:bookmarkStart w:id="65" w:name="_Toc80886938"/>
      <w:bookmarkStart w:id="66" w:name="_Toc25328"/>
      <w:r>
        <w:rPr>
          <w:rFonts w:hint="eastAsia" w:ascii="宋体" w:hAnsi="宋体" w:eastAsia="宋体" w:cs="宋体"/>
          <w:b w:val="0"/>
          <w:color w:val="auto"/>
        </w:rPr>
        <w:t>第一节 评审程序和评审方法</w:t>
      </w:r>
      <w:bookmarkEnd w:id="64"/>
      <w:bookmarkEnd w:id="65"/>
      <w:bookmarkEnd w:id="66"/>
    </w:p>
    <w:p w14:paraId="29D9A073">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1.确认磋商文件</w:t>
      </w:r>
    </w:p>
    <w:p w14:paraId="0245258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由磋商小组确认磋商文件。</w:t>
      </w:r>
    </w:p>
    <w:p w14:paraId="59E5E66A">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2.资格审查</w:t>
      </w:r>
    </w:p>
    <w:p w14:paraId="4D766E37">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2.1响应文件开启后，磋商小组依法对供应商的资格证明文件进行审查。</w:t>
      </w:r>
    </w:p>
    <w:p w14:paraId="566FEE25">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注：采购人代表或者采购代理机构在资格审查结束前，对供应商进行信用查询。</w:t>
      </w:r>
    </w:p>
    <w:p w14:paraId="4AD137EC">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（1）查询渠道：“广西政府采购云平台”信用中国网站（www.creditchina.gov.cn)、中国政府采购网（www.ccgp.gov.cn)等链接入口。</w:t>
      </w:r>
    </w:p>
    <w:p w14:paraId="28A3DD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（2）信用信息使用规则：对在“信用中国”网站（www.creditchina.gov.cn） 、中国政府采购网（www.ccgp.gov.cn）、中国执行信息公开网（https://zxgk.court.gov.cn/）等渠道列入失信被执行人、重大税收违法失信主体、政府采购严重违法失信行为记录名单的供应商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5829D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2.2资格审查标准为本磋商文件中载明对供应商资格要求的条件。资格审查采用合格制，凡符合磋商文件规定的供应商资格要求的响应文件均通过资格审查。</w:t>
      </w:r>
    </w:p>
    <w:p w14:paraId="4266BB6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2.3供应商有下列情形之一的，资格审查不通过，其响应文件按无效响应处理：</w:t>
      </w:r>
    </w:p>
    <w:p w14:paraId="1F766FA9">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（1）不具备磋商文件中规定的资格要求的；</w:t>
      </w:r>
    </w:p>
    <w:p w14:paraId="1266338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（2）响应文件未提供任一项“供应商须知前附表”资格证明文件规定的“必须提供”的文件资料的；</w:t>
      </w:r>
    </w:p>
    <w:p w14:paraId="1F8FF85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（3）响应文件提供的资格证明文件出现任一项不符合“供应商须知前附表”资格证明文件规定的“必须提供”的文件资料要求或者无效的。</w:t>
      </w:r>
    </w:p>
    <w:p w14:paraId="70150347">
      <w:pPr>
        <w:spacing w:line="360" w:lineRule="auto"/>
        <w:ind w:firstLine="420" w:firstLineChars="200"/>
        <w:rPr>
          <w:rFonts w:hint="eastAsia" w:ascii="宋体" w:hAnsi="宋体" w:eastAsia="宋体" w:cs="宋体"/>
          <w:color w:val="auto"/>
          <w:szCs w:val="21"/>
        </w:rPr>
      </w:pPr>
      <w:bookmarkStart w:id="67" w:name="_Hlk68601553"/>
      <w:r>
        <w:rPr>
          <w:rFonts w:hint="eastAsia" w:ascii="宋体" w:hAnsi="宋体" w:eastAsia="宋体" w:cs="宋体"/>
          <w:color w:val="auto"/>
          <w:szCs w:val="21"/>
        </w:rPr>
        <w:t>（4）同一合同项下的不同供应商，单位负责人为同一人或者存在直接控股、管理关系的；为本项目提供过整体设计、规范编制或者项目管理、监理、检测等服务的。</w:t>
      </w:r>
      <w:bookmarkEnd w:id="67"/>
    </w:p>
    <w:p w14:paraId="5774EDB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2.4通过资格审查的合格供应商不足3家的，不得进入符合性审查环节，采购人或者采购代理机构应当重新开展采购活动。</w:t>
      </w:r>
    </w:p>
    <w:p w14:paraId="0A112808">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3.符合性审查</w:t>
      </w:r>
    </w:p>
    <w:p w14:paraId="2616354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3.1由磋商小组对通过资格审查的合格供应商的响应文件的响应报价、商务、技术等实质性要求进行符合性审查，以确定其是否满足磋商文件的实质性要求。</w:t>
      </w:r>
    </w:p>
    <w:p w14:paraId="3E99681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1A0BF48">
      <w:pPr>
        <w:spacing w:line="360" w:lineRule="auto"/>
        <w:ind w:firstLine="420" w:firstLineChars="200"/>
        <w:rPr>
          <w:rFonts w:hint="eastAsia" w:ascii="宋体" w:hAnsi="宋体" w:eastAsia="宋体" w:cs="宋体"/>
          <w:color w:val="auto"/>
          <w:spacing w:val="-6"/>
          <w:szCs w:val="21"/>
        </w:rPr>
      </w:pPr>
      <w:r>
        <w:rPr>
          <w:rFonts w:hint="eastAsia" w:ascii="宋体" w:hAnsi="宋体" w:eastAsia="宋体" w:cs="宋体"/>
          <w:color w:val="auto"/>
          <w:szCs w:val="21"/>
        </w:rPr>
        <w:t>3.3磋商小组要求供应商澄清、说明或者更正响应文件应当以电子澄清函形式作出。供应商的澄清、说明或者更正应当以电子回函的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rPr>
        <w:t>。供应商为自然人的，必须由本人签字并附身份证明。</w:t>
      </w:r>
    </w:p>
    <w:p w14:paraId="1E2EBB32">
      <w:pPr>
        <w:spacing w:line="360" w:lineRule="auto"/>
        <w:ind w:firstLine="396" w:firstLineChars="200"/>
        <w:rPr>
          <w:rFonts w:hint="eastAsia" w:ascii="宋体" w:hAnsi="宋体" w:eastAsia="宋体" w:cs="宋体"/>
          <w:color w:val="auto"/>
          <w:szCs w:val="21"/>
        </w:rPr>
      </w:pPr>
      <w:r>
        <w:rPr>
          <w:rFonts w:hint="eastAsia" w:ascii="宋体" w:hAnsi="宋体" w:eastAsia="宋体" w:cs="宋体"/>
          <w:color w:val="auto"/>
          <w:spacing w:val="-6"/>
          <w:szCs w:val="21"/>
        </w:rPr>
        <w:t>3.4</w:t>
      </w:r>
      <w:r>
        <w:rPr>
          <w:rFonts w:hint="eastAsia" w:ascii="宋体" w:hAnsi="宋体" w:eastAsia="宋体" w:cs="宋体"/>
          <w:color w:val="auto"/>
          <w:szCs w:val="21"/>
        </w:rPr>
        <w:t xml:space="preserve">首次响应文件报价出现前后不一致的，按照下列规定修正： </w:t>
      </w:r>
    </w:p>
    <w:p w14:paraId="1C1FE8E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（1）响应文件中报价表内容与响应文件中相应内容不一致的，以报价表为准；</w:t>
      </w:r>
    </w:p>
    <w:p w14:paraId="14FB3E0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（2）大写金额和小写金额不一致的，以大写金额为准；</w:t>
      </w:r>
    </w:p>
    <w:p w14:paraId="002EDDC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（3）单价金额小数点或者百分比有明显错位的，以报价表的总价为准，并修改单价；</w:t>
      </w:r>
    </w:p>
    <w:p w14:paraId="6658AD8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（4）总价金额与按单价汇总金额不一致的，以单价金额计算结果为准。</w:t>
      </w:r>
    </w:p>
    <w:p w14:paraId="0F31609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同时出现两种以上不一致的，按照以上（1）－（4）规定的顺序逐条进行修正。修正后的报价经供应商确认后产生约束力，供应商不确认的，其响应文件按无效响应处理。</w:t>
      </w:r>
    </w:p>
    <w:p w14:paraId="142987A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3.5商务技术、报价评审</w:t>
      </w:r>
    </w:p>
    <w:p w14:paraId="17A1CF7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在评审时，如发现下列情形之一的，将被视为响应文件无效处理：</w:t>
      </w:r>
    </w:p>
    <w:p w14:paraId="38D2516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（1）商务技术评审</w:t>
      </w:r>
    </w:p>
    <w:p w14:paraId="15DCAE0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1）响应文件未按磋商文件要求签署、盖章；</w:t>
      </w:r>
    </w:p>
    <w:p w14:paraId="1CC7296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2）委托代理人未能出具有效身份证明或者出具的身份证明与授权委托书中的信息不符； </w:t>
      </w:r>
    </w:p>
    <w:p w14:paraId="257DD0F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AEE09D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4）商务条款中标“▲”的条款发生负偏离的或者允许负偏离的条款数超过“供应商须知前附表”规定项数的或者标明实质性的要求发生负偏离；</w:t>
      </w:r>
    </w:p>
    <w:p w14:paraId="7037B93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5）未对竞标有效期作出响应或者响应文件承诺的竞标有效期不满足磋商文件要求；</w:t>
      </w:r>
    </w:p>
    <w:p w14:paraId="5678D3E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6）响应文件的实质性内容未使用中文表述、使用计量单位不符合磋商文件要求；</w:t>
      </w:r>
    </w:p>
    <w:p w14:paraId="38FC51C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7）响应文件中的文件资料因填写不齐全或者内容虚假或者出现其他情形而导致被磋商小组认定无效；</w:t>
      </w:r>
    </w:p>
    <w:p w14:paraId="2CA3CE8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8）响应文件含有采购人不能接受的附加条件；</w:t>
      </w:r>
    </w:p>
    <w:p w14:paraId="1C208E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9）属于“供应商须知正文”第7.5条情形；</w:t>
      </w:r>
    </w:p>
    <w:p w14:paraId="4E859FA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10）技术需求允许负偏离的条款数超过“供应商须知前附表”规定项数；</w:t>
      </w:r>
    </w:p>
    <w:p w14:paraId="251AB27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11）虚假竞标，或者出现其他情形而导致被磋商小组认定无效；</w:t>
      </w:r>
    </w:p>
    <w:p w14:paraId="773F989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12）竞标技术方案不明确，磋商文件未允许但响应文件中存在一个或者一个以上备选（替代）竞标方案；</w:t>
      </w:r>
    </w:p>
    <w:p w14:paraId="69B04F2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13）响应文件标注的项目名称或者项目编号与竞争性磋商文件标注的项目名称或者项目编号不一致的；</w:t>
      </w:r>
    </w:p>
    <w:p w14:paraId="161BBF0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14）未响应磋商文件实质性要求；</w:t>
      </w:r>
    </w:p>
    <w:p w14:paraId="553F1C0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15）法律、法规和磋商文件规定的其他无效情形。</w:t>
      </w:r>
    </w:p>
    <w:p w14:paraId="37CC17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（2）报价评审</w:t>
      </w:r>
    </w:p>
    <w:p w14:paraId="47AA623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 响应文件未提供“供应商须知前附表” 报价文件中规定的“响应报价表”；</w:t>
      </w:r>
    </w:p>
    <w:p w14:paraId="01A81A9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2）未采用人民币报价或者未按照磋商文件标明的币种报价；</w:t>
      </w:r>
    </w:p>
    <w:p w14:paraId="682F345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92FF3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2E4425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AB92B0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6）响应文件响应的标的数量及单位与竞争性磋商采购文件要求实质性不一致的。</w:t>
      </w:r>
    </w:p>
    <w:p w14:paraId="3253ADF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293ABE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C0FE63E">
      <w:pPr>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4.磋商程序</w:t>
      </w:r>
    </w:p>
    <w:p w14:paraId="02CA0C0E">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4.1磋商小组按照“供应商须知前附表”</w:t>
      </w:r>
      <w:r>
        <w:rPr>
          <w:rFonts w:hint="eastAsia" w:ascii="宋体" w:hAnsi="宋体" w:eastAsia="宋体" w:cs="宋体"/>
          <w:color w:val="auto"/>
          <w:szCs w:val="21"/>
        </w:rPr>
        <w:t xml:space="preserve"> </w:t>
      </w:r>
      <w:r>
        <w:rPr>
          <w:rFonts w:hint="eastAsia" w:ascii="宋体" w:hAnsi="宋体" w:eastAsia="宋体" w:cs="宋体"/>
          <w:color w:val="auto"/>
          <w:kern w:val="0"/>
          <w:szCs w:val="21"/>
        </w:rPr>
        <w:t>确定的</w:t>
      </w:r>
      <w:r>
        <w:rPr>
          <w:rFonts w:hint="eastAsia" w:ascii="宋体" w:hAnsi="宋体" w:eastAsia="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FF0CAA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D40CE1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4.3对磋商文件作出的实质性变动是磋商文件的有效组成部分，由磋商小组及时以电子澄清函形式同时通知所有参加磋商的供应商。</w:t>
      </w:r>
    </w:p>
    <w:p w14:paraId="11BF110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22CB6C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4.5磋商中，</w:t>
      </w:r>
      <w:r>
        <w:rPr>
          <w:rFonts w:hint="eastAsia" w:ascii="宋体" w:hAnsi="宋体" w:eastAsia="宋体" w:cs="宋体"/>
          <w:color w:val="auto"/>
          <w:spacing w:val="-6"/>
          <w:szCs w:val="21"/>
        </w:rPr>
        <w:t>磋商的任何一方不得透露与磋商有关的其他供应商的技术资料、价格和其他信息。</w:t>
      </w:r>
    </w:p>
    <w:p w14:paraId="7FD7DA6D">
      <w:pPr>
        <w:widowControl/>
        <w:tabs>
          <w:tab w:val="left" w:pos="540"/>
        </w:tabs>
        <w:spacing w:line="360" w:lineRule="auto"/>
        <w:ind w:firstLine="420" w:firstLineChars="200"/>
        <w:jc w:val="left"/>
        <w:rPr>
          <w:rFonts w:hint="eastAsia" w:ascii="宋体" w:hAnsi="宋体" w:eastAsia="宋体" w:cs="宋体"/>
          <w:b/>
          <w:color w:val="auto"/>
        </w:rPr>
      </w:pPr>
      <w:r>
        <w:rPr>
          <w:rFonts w:hint="eastAsia" w:ascii="宋体" w:hAnsi="宋体" w:eastAsia="宋体" w:cs="宋体"/>
          <w:color w:val="auto"/>
          <w:szCs w:val="21"/>
        </w:rPr>
        <w:t>4.6磋商小组应对磋商过程和重要磋商内容进行记录，作为评标报告一部分，磋商小组在记录上签字确认。</w:t>
      </w:r>
      <w:r>
        <w:rPr>
          <w:rFonts w:hint="eastAsia" w:ascii="宋体" w:hAnsi="宋体" w:eastAsia="宋体" w:cs="宋体"/>
          <w:b/>
          <w:color w:val="auto"/>
        </w:rPr>
        <w:t>主要内容包括：</w:t>
      </w:r>
    </w:p>
    <w:p w14:paraId="761B58D9">
      <w:pPr>
        <w:pStyle w:val="23"/>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（1）按照相关规定进行公示的，公示情况说明；</w:t>
      </w:r>
    </w:p>
    <w:p w14:paraId="6348F00F">
      <w:pPr>
        <w:pStyle w:val="23"/>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（2）磋商日期和地点，磋商人员名单；</w:t>
      </w:r>
    </w:p>
    <w:p w14:paraId="3575DF09">
      <w:pPr>
        <w:pStyle w:val="23"/>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（3）合同主要条款及价格商定情况。</w:t>
      </w:r>
    </w:p>
    <w:p w14:paraId="32E12138">
      <w:pPr>
        <w:widowControl/>
        <w:tabs>
          <w:tab w:val="left" w:pos="540"/>
        </w:tabs>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4.7磋商过程中重新提交的响应文件，供应商可以在开启前补充、修改。</w:t>
      </w:r>
    </w:p>
    <w:p w14:paraId="66809AA3">
      <w:pPr>
        <w:tabs>
          <w:tab w:val="left" w:pos="2835"/>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4.8对磋商过程提交的响应文件进行有效性、完整性和响应程度审查，通过审查的合格供应商不足3家的，采购人或者采购代理机构应当重新开展采购活动。</w:t>
      </w:r>
    </w:p>
    <w:p w14:paraId="72EADED3">
      <w:pPr>
        <w:ind w:firstLine="200"/>
        <w:rPr>
          <w:rFonts w:hint="eastAsia" w:ascii="宋体" w:hAnsi="宋体" w:eastAsia="宋体" w:cs="宋体"/>
          <w:color w:val="auto"/>
          <w:szCs w:val="21"/>
        </w:rPr>
      </w:pPr>
      <w:r>
        <w:rPr>
          <w:rFonts w:hint="eastAsia" w:ascii="宋体" w:hAnsi="宋体" w:eastAsia="宋体" w:cs="宋体"/>
          <w:b/>
          <w:bCs/>
          <w:color w:val="auto"/>
          <w:sz w:val="24"/>
        </w:rPr>
        <w:t>5. 最后报价</w:t>
      </w:r>
    </w:p>
    <w:p w14:paraId="5C4C736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590DE4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D8A6ED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16504B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5.4已经提交响应文件的供应商，在提交最后报价之前，可以根据磋商情况退出磋商，退出磋商的供应商的响应文件按无效响应处理。</w:t>
      </w:r>
    </w:p>
    <w:p w14:paraId="1C554F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5.5供应商未在规定时间内提交最后报价的，视同退出磋商。</w:t>
      </w:r>
    </w:p>
    <w:p w14:paraId="7F6D22A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5.6磋商小组收齐某一分标最后报价后统一开启，磋商小组对最后报价进行有效性、完整性和响应程度的审查。</w:t>
      </w:r>
    </w:p>
    <w:p w14:paraId="495A1F0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5.7最终响应文件的报价出现前后不一致的，按照本章第3.4条的规定修正。 </w:t>
      </w:r>
    </w:p>
    <w:p w14:paraId="31D6152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5.8修正后的最终报价出现下列情形的，按无效响应处理：</w:t>
      </w:r>
    </w:p>
    <w:p w14:paraId="07BA685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（1）供应商不确认的（全流程电子化评标采取在线确认）；</w:t>
      </w:r>
    </w:p>
    <w:p w14:paraId="41C47DA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（2）经供应商确认修正后的响应报价（包含首次报价、最后报价）超过所竞标分标规定的采购预算金额或者最高限价的（如本项目公布了最高限价）；</w:t>
      </w:r>
    </w:p>
    <w:p w14:paraId="4D5B342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（3）经供应商确认修正后的响应报价（包含首次报价、最后报价）超过分项采购预算金额或者最高限价的（如本项目公布了最高限价）。</w:t>
      </w:r>
    </w:p>
    <w:p w14:paraId="74EDEAC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5.9经供应商确认修正后的最后报价作为评审及签订合同的依据。</w:t>
      </w:r>
    </w:p>
    <w:p w14:paraId="69DBFD7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5.10供应商出现最后报价按无效响应处理或者响应文件按无效处理时，磋商小组应当告知有关供应商。</w:t>
      </w:r>
    </w:p>
    <w:p w14:paraId="4882DAA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5.11根据《关于推动解决政府采购异常低价问题的通知》财库〔2026〕2号文，政府采购评审中出现下列情形之一的，评审委员会应当启动异常低价响应审查程序： </w:t>
      </w:r>
    </w:p>
    <w:p w14:paraId="13398BC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（1）响应报价低于全部通过符合性审查供应商响应报价平均值50%的，即响应报价&lt;全部通过符合性审查供应商响应报价平均值×50%； </w:t>
      </w:r>
    </w:p>
    <w:p w14:paraId="4534282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（2）响应报价低于通过符合性审查的次低报价供应商响应报价50%的，即响应报价&lt;通过符合性审查的次低报价供应商响应报价×50%； </w:t>
      </w:r>
    </w:p>
    <w:p w14:paraId="16729F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（3）响应报价低于采购项目最高限价45%的，即响应报价&lt;采购项目最高限价×45%； </w:t>
      </w:r>
    </w:p>
    <w:p w14:paraId="2F8FF67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（4）评审委员会基于专业判断，认为供应商报价过低，有可能影响产品质量或者不能诚信履约的其他情形。</w:t>
      </w:r>
    </w:p>
    <w:p w14:paraId="3A0E509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属于前述第（1）项至第（4）项情形的，磋商小组将启动异常低价响应审查，要求相关供应商在30分钟内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 </w:t>
      </w:r>
    </w:p>
    <w:p w14:paraId="6216371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 </w:t>
      </w:r>
    </w:p>
    <w:p w14:paraId="214C1BE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5.12最后报价结束后，磋商小组不得再与供应商进行任何形式的商谈。</w:t>
      </w:r>
    </w:p>
    <w:p w14:paraId="1DFC326A">
      <w:pPr>
        <w:ind w:firstLine="200"/>
        <w:rPr>
          <w:rFonts w:hint="eastAsia" w:ascii="宋体" w:hAnsi="宋体" w:eastAsia="宋体" w:cs="宋体"/>
          <w:b/>
          <w:bCs/>
          <w:color w:val="auto"/>
          <w:sz w:val="24"/>
        </w:rPr>
      </w:pPr>
      <w:r>
        <w:rPr>
          <w:rFonts w:hint="eastAsia" w:ascii="宋体" w:hAnsi="宋体" w:eastAsia="宋体" w:cs="宋体"/>
          <w:b/>
          <w:bCs/>
          <w:color w:val="auto"/>
          <w:sz w:val="24"/>
        </w:rPr>
        <w:t>6.比较与评价</w:t>
      </w:r>
    </w:p>
    <w:p w14:paraId="144B25F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6.1评审方法：综合评分法。</w:t>
      </w:r>
    </w:p>
    <w:p w14:paraId="4F91585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6.2经磋商确定最终采购需求和提交最后报价的供应商后，由磋商小组采用综合评分法对提交最后报价的供应商的响应文件和最后报价进行综合评分。</w:t>
      </w:r>
    </w:p>
    <w:p w14:paraId="73219CF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6.3评审时，磋商小组各成员应当独立对每个有效响应的文件进行评价、打分，然后汇总每个供应商每项评分因素的得分。</w:t>
      </w:r>
    </w:p>
    <w:p w14:paraId="1F2C3BD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（1）磋商小组按照磋商文件中规定的评审标准计算各供应商的报价得分。项目评审过程中，不得去掉最后报价中的最高报价和最低报价。</w:t>
      </w:r>
    </w:p>
    <w:p w14:paraId="179F05A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（2）各供应商的得分为磋商小组所有成员的有效评分的算术平均数。</w:t>
      </w:r>
    </w:p>
    <w:p w14:paraId="52D801D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6.4评审价为供应商的最后报价进行政策性扣除后的价格，评审价只是作为评审时使用。最终成交供应商的成交金额等于最后报价（如有修正，以确认修正后的最后报价为准）。</w:t>
      </w:r>
    </w:p>
    <w:p w14:paraId="239ABF20">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6.5由磋商小组根据综合评分情况，按照评审得分由高到低顺序推荐3名以上成交候选供应商，并编写评</w:t>
      </w:r>
      <w:r>
        <w:rPr>
          <w:rFonts w:hint="eastAsia" w:ascii="宋体" w:hAnsi="宋体" w:eastAsia="宋体" w:cs="宋体"/>
          <w:color w:val="auto"/>
          <w:kern w:val="0"/>
          <w:szCs w:val="21"/>
        </w:rPr>
        <w:t>审报告。符合本章第4.3条情形的，可以推荐2家成交候选供应商。评审得分相同的，按照最后报价由低到高的顺序推荐。评审得分且最后报价相同的，按照技术指标优劣顺序推荐。</w:t>
      </w:r>
    </w:p>
    <w:p w14:paraId="10E03AC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7688AAA">
      <w:pPr>
        <w:ind w:firstLine="200"/>
        <w:rPr>
          <w:rFonts w:hint="eastAsia" w:ascii="宋体" w:hAnsi="宋体" w:eastAsia="宋体" w:cs="宋体"/>
          <w:b/>
          <w:bCs/>
          <w:color w:val="auto"/>
          <w:sz w:val="24"/>
        </w:rPr>
      </w:pPr>
      <w:r>
        <w:rPr>
          <w:rFonts w:hint="eastAsia" w:ascii="宋体" w:hAnsi="宋体" w:eastAsia="宋体" w:cs="宋体"/>
          <w:b/>
          <w:bCs/>
          <w:color w:val="auto"/>
          <w:sz w:val="24"/>
        </w:rPr>
        <w:t>7.评审标准</w:t>
      </w:r>
    </w:p>
    <w:p w14:paraId="621B1F46">
      <w:pPr>
        <w:spacing w:line="360" w:lineRule="auto"/>
        <w:ind w:firstLine="422" w:firstLineChars="200"/>
        <w:rPr>
          <w:rFonts w:hint="eastAsia" w:ascii="宋体" w:hAnsi="宋体" w:eastAsia="宋体" w:cs="宋体"/>
          <w:bCs/>
          <w:color w:val="auto"/>
          <w:szCs w:val="21"/>
        </w:rPr>
      </w:pPr>
      <w:r>
        <w:rPr>
          <w:rFonts w:hint="eastAsia" w:ascii="宋体" w:hAnsi="宋体" w:eastAsia="宋体" w:cs="宋体"/>
          <w:b/>
          <w:color w:val="auto"/>
        </w:rPr>
        <w:t>7.</w:t>
      </w:r>
      <w:r>
        <w:rPr>
          <w:rFonts w:hint="eastAsia" w:ascii="宋体" w:hAnsi="宋体" w:eastAsia="宋体" w:cs="宋体"/>
          <w:bCs/>
          <w:color w:val="auto"/>
          <w:szCs w:val="21"/>
        </w:rPr>
        <w:t>1评审依据：磋商小组将以磋商响应文件为评审依据，对供应商的技术方案等方面内容按百分制打分。（计分方法按四舍五入取至百分位）</w:t>
      </w:r>
      <w:bookmarkStart w:id="68" w:name="PO_3000001868_PM051"/>
      <w:bookmarkEnd w:id="68"/>
      <w:bookmarkStart w:id="69" w:name="PO_TDCUS_ITEM_SM_TABLE_1"/>
    </w:p>
    <w:tbl>
      <w:tblPr>
        <w:tblStyle w:val="18"/>
        <w:tblW w:w="91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1086"/>
        <w:gridCol w:w="6094"/>
        <w:gridCol w:w="1275"/>
      </w:tblGrid>
      <w:tr w14:paraId="17172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tcPr>
          <w:p w14:paraId="6AEF57F1">
            <w:pPr>
              <w:spacing w:line="43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086" w:type="dxa"/>
          </w:tcPr>
          <w:p w14:paraId="49AD380D">
            <w:pPr>
              <w:spacing w:line="43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评分类型</w:t>
            </w:r>
          </w:p>
        </w:tc>
        <w:tc>
          <w:tcPr>
            <w:tcW w:w="6094" w:type="dxa"/>
          </w:tcPr>
          <w:p w14:paraId="367B2902">
            <w:pPr>
              <w:spacing w:line="43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评分标准</w:t>
            </w:r>
          </w:p>
        </w:tc>
        <w:tc>
          <w:tcPr>
            <w:tcW w:w="1275" w:type="dxa"/>
          </w:tcPr>
          <w:p w14:paraId="5CC3A45F">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分值</w:t>
            </w:r>
          </w:p>
        </w:tc>
      </w:tr>
      <w:tr w14:paraId="472F6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2D97BEB4">
            <w:pPr>
              <w:spacing w:line="430" w:lineRule="exact"/>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1086" w:type="dxa"/>
            <w:vAlign w:val="center"/>
          </w:tcPr>
          <w:p w14:paraId="4728645D">
            <w:pPr>
              <w:spacing w:line="430" w:lineRule="exact"/>
              <w:jc w:val="center"/>
              <w:rPr>
                <w:rFonts w:hint="eastAsia" w:ascii="宋体" w:hAnsi="宋体" w:eastAsia="宋体" w:cs="宋体"/>
                <w:bCs/>
                <w:color w:val="auto"/>
                <w:szCs w:val="21"/>
              </w:rPr>
            </w:pPr>
            <w:r>
              <w:rPr>
                <w:rFonts w:hint="eastAsia" w:ascii="宋体" w:hAnsi="宋体" w:eastAsia="宋体" w:cs="宋体"/>
                <w:bCs/>
                <w:color w:val="auto"/>
                <w:szCs w:val="21"/>
              </w:rPr>
              <w:t>报价</w:t>
            </w:r>
          </w:p>
        </w:tc>
        <w:tc>
          <w:tcPr>
            <w:tcW w:w="6094" w:type="dxa"/>
            <w:vAlign w:val="center"/>
          </w:tcPr>
          <w:p w14:paraId="21E87A1E">
            <w:pPr>
              <w:spacing w:line="430" w:lineRule="exact"/>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1.专门面向</w:t>
            </w:r>
            <w:r>
              <w:rPr>
                <w:rFonts w:hint="eastAsia" w:ascii="宋体" w:hAnsi="宋体" w:eastAsia="宋体" w:cs="宋体"/>
                <w:b/>
                <w:bCs/>
                <w:color w:val="auto"/>
                <w:kern w:val="0"/>
                <w:szCs w:val="21"/>
                <w:lang w:val="en-US" w:eastAsia="zh-CN"/>
              </w:rPr>
              <w:t>小微</w:t>
            </w:r>
            <w:r>
              <w:rPr>
                <w:rFonts w:hint="eastAsia" w:ascii="宋体" w:hAnsi="宋体" w:eastAsia="宋体" w:cs="宋体"/>
                <w:b/>
                <w:bCs/>
                <w:color w:val="auto"/>
                <w:kern w:val="0"/>
                <w:szCs w:val="21"/>
                <w:lang w:eastAsia="zh-CN"/>
              </w:rPr>
              <w:t>企业</w:t>
            </w:r>
            <w:r>
              <w:rPr>
                <w:rFonts w:hint="eastAsia" w:ascii="宋体" w:hAnsi="宋体" w:eastAsia="宋体" w:cs="宋体"/>
                <w:b/>
                <w:bCs/>
                <w:color w:val="auto"/>
                <w:kern w:val="0"/>
                <w:szCs w:val="21"/>
              </w:rPr>
              <w:t>采购的项目或者采购包，不再执行价格评审优惠的扶持政策。</w:t>
            </w:r>
          </w:p>
          <w:p w14:paraId="5AEABC35">
            <w:pPr>
              <w:spacing w:line="43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2.评审报价＝最后报价。</w:t>
            </w:r>
          </w:p>
          <w:p w14:paraId="5C529EA6">
            <w:pPr>
              <w:spacing w:line="43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3.以进入比较与评价环节的最低的评审报价为基准价，基准价得分为10分。</w:t>
            </w:r>
          </w:p>
          <w:p w14:paraId="5F00966C">
            <w:pPr>
              <w:spacing w:line="430" w:lineRule="exact"/>
              <w:jc w:val="left"/>
              <w:rPr>
                <w:rFonts w:hint="eastAsia" w:ascii="宋体" w:hAnsi="宋体" w:eastAsia="宋体" w:cs="宋体"/>
                <w:bCs/>
                <w:color w:val="auto"/>
                <w:szCs w:val="21"/>
              </w:rPr>
            </w:pPr>
            <w:r>
              <w:rPr>
                <w:rFonts w:hint="eastAsia" w:ascii="宋体" w:hAnsi="宋体" w:eastAsia="宋体" w:cs="宋体"/>
                <w:color w:val="auto"/>
                <w:kern w:val="0"/>
                <w:szCs w:val="21"/>
              </w:rPr>
              <w:t>4.价格分计算公式：报价得分=（基准价/最后报价）×10分</w:t>
            </w:r>
          </w:p>
        </w:tc>
        <w:tc>
          <w:tcPr>
            <w:tcW w:w="1275" w:type="dxa"/>
            <w:vAlign w:val="center"/>
          </w:tcPr>
          <w:p w14:paraId="372936C3">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0-10分</w:t>
            </w:r>
          </w:p>
        </w:tc>
      </w:tr>
      <w:tr w14:paraId="1605D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714DB24">
            <w:pPr>
              <w:widowControl/>
              <w:spacing w:line="440" w:lineRule="exact"/>
              <w:jc w:val="center"/>
              <w:rPr>
                <w:rFonts w:hint="eastAsia" w:ascii="宋体" w:hAnsi="宋体" w:eastAsia="宋体" w:cs="宋体"/>
                <w:bCs/>
                <w:color w:val="auto"/>
                <w:szCs w:val="21"/>
              </w:rPr>
            </w:pPr>
            <w:r>
              <w:rPr>
                <w:rFonts w:hint="eastAsia" w:ascii="宋体" w:hAnsi="宋体" w:eastAsia="宋体" w:cs="宋体"/>
                <w:bCs/>
                <w:color w:val="auto"/>
                <w:kern w:val="0"/>
                <w:szCs w:val="21"/>
              </w:rPr>
              <w:t>2</w:t>
            </w:r>
          </w:p>
        </w:tc>
        <w:tc>
          <w:tcPr>
            <w:tcW w:w="1086" w:type="dxa"/>
            <w:vAlign w:val="center"/>
          </w:tcPr>
          <w:p w14:paraId="008B044E">
            <w:pPr>
              <w:widowControl/>
              <w:spacing w:line="440" w:lineRule="exact"/>
              <w:jc w:val="center"/>
              <w:rPr>
                <w:rFonts w:hint="eastAsia" w:ascii="宋体" w:hAnsi="宋体" w:eastAsia="宋体" w:cs="宋体"/>
                <w:bCs/>
                <w:color w:val="auto"/>
                <w:szCs w:val="21"/>
              </w:rPr>
            </w:pPr>
            <w:r>
              <w:rPr>
                <w:rFonts w:hint="eastAsia" w:ascii="宋体" w:hAnsi="宋体" w:eastAsia="宋体" w:cs="宋体"/>
                <w:bCs/>
                <w:color w:val="auto"/>
                <w:kern w:val="0"/>
                <w:szCs w:val="21"/>
              </w:rPr>
              <w:t>技术分</w:t>
            </w:r>
          </w:p>
        </w:tc>
        <w:tc>
          <w:tcPr>
            <w:tcW w:w="6094" w:type="dxa"/>
            <w:vAlign w:val="center"/>
          </w:tcPr>
          <w:p w14:paraId="3E8383CC">
            <w:pPr>
              <w:widowControl/>
              <w:spacing w:line="440" w:lineRule="exact"/>
              <w:jc w:val="center"/>
              <w:rPr>
                <w:rFonts w:hint="eastAsia" w:ascii="宋体" w:hAnsi="宋体" w:eastAsia="宋体" w:cs="宋体"/>
                <w:bCs/>
                <w:color w:val="auto"/>
                <w:szCs w:val="21"/>
              </w:rPr>
            </w:pPr>
            <w:r>
              <w:rPr>
                <w:rFonts w:hint="eastAsia" w:ascii="宋体" w:hAnsi="宋体" w:eastAsia="宋体" w:cs="宋体"/>
                <w:bCs/>
                <w:color w:val="auto"/>
                <w:kern w:val="0"/>
                <w:szCs w:val="21"/>
              </w:rPr>
              <w:t>评审因素</w:t>
            </w:r>
          </w:p>
        </w:tc>
        <w:tc>
          <w:tcPr>
            <w:tcW w:w="1275" w:type="dxa"/>
            <w:vAlign w:val="center"/>
          </w:tcPr>
          <w:p w14:paraId="3A0857E6">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技术分（满分8</w:t>
            </w:r>
            <w:r>
              <w:rPr>
                <w:rFonts w:hint="eastAsia" w:ascii="宋体" w:hAnsi="宋体" w:cs="宋体"/>
                <w:bCs/>
                <w:color w:val="auto"/>
                <w:szCs w:val="21"/>
                <w:lang w:val="en-US" w:eastAsia="zh-CN"/>
              </w:rPr>
              <w:t>6</w:t>
            </w:r>
            <w:r>
              <w:rPr>
                <w:rFonts w:hint="eastAsia" w:ascii="宋体" w:hAnsi="宋体" w:eastAsia="宋体" w:cs="宋体"/>
                <w:bCs/>
                <w:color w:val="auto"/>
                <w:szCs w:val="21"/>
              </w:rPr>
              <w:t>分）</w:t>
            </w:r>
          </w:p>
        </w:tc>
      </w:tr>
      <w:tr w14:paraId="0EF6F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740" w:type="dxa"/>
            <w:vAlign w:val="center"/>
          </w:tcPr>
          <w:p w14:paraId="68254CEE">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2.1</w:t>
            </w:r>
          </w:p>
        </w:tc>
        <w:tc>
          <w:tcPr>
            <w:tcW w:w="1086" w:type="dxa"/>
            <w:vAlign w:val="center"/>
          </w:tcPr>
          <w:p w14:paraId="46AC6575">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项目实施方案分（满分</w:t>
            </w:r>
            <w:r>
              <w:rPr>
                <w:rFonts w:hint="eastAsia" w:ascii="宋体" w:hAnsi="宋体" w:eastAsia="宋体" w:cs="宋体"/>
                <w:bCs/>
                <w:color w:val="auto"/>
                <w:szCs w:val="21"/>
                <w:lang w:val="en-US" w:eastAsia="zh-CN"/>
              </w:rPr>
              <w:t>21</w:t>
            </w:r>
            <w:r>
              <w:rPr>
                <w:rFonts w:hint="eastAsia" w:ascii="宋体" w:hAnsi="宋体" w:eastAsia="宋体" w:cs="宋体"/>
                <w:bCs/>
                <w:color w:val="auto"/>
                <w:szCs w:val="21"/>
              </w:rPr>
              <w:t>分）</w:t>
            </w:r>
          </w:p>
        </w:tc>
        <w:tc>
          <w:tcPr>
            <w:tcW w:w="6094" w:type="dxa"/>
          </w:tcPr>
          <w:p w14:paraId="038B5967">
            <w:pPr>
              <w:pStyle w:val="12"/>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由各评委独立根据供应商提供的项目实施方案情况进行打分。</w:t>
            </w:r>
          </w:p>
          <w:p w14:paraId="3515A037">
            <w:pPr>
              <w:pStyle w:val="12"/>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jc w:val="both"/>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一档(7分)：实施方案简单，消杀工序、操作规程描述简单，对使用器械、药物描述简单，药品选用说明模糊，方案无针对性，可实施性不强：</w:t>
            </w:r>
          </w:p>
          <w:p w14:paraId="58C96D84">
            <w:pPr>
              <w:pStyle w:val="12"/>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jc w:val="both"/>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二档(14分)：实施方案较详细，对本项目防治区域的实际情况和虫害现状有基本的了解，消杀工序、操作规程描述较详细，选用药物能满足采购要求，基本符合本项目用药技术需求，对使用器械、药物描述较清晰，药品选用说明较清晰，切合实际，有一定的针对性，可实施性较好;</w:t>
            </w:r>
          </w:p>
          <w:p w14:paraId="628AE516">
            <w:pPr>
              <w:pStyle w:val="12"/>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jc w:val="both"/>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三档(21分)：实施方案详细、全面、完善，能够结合项目所在区域实际情况和虫害现状，消杀工序、操作规程描述详细，从安全性、合理性、有效性等方面体现出方案的可实施性;选用药物完全符合采购需求，完全符合本项目用药技术需求，对使用器械、药物描述清晰，药品选用说明清晰，同时提供全面的、合理的综合防治方案，针对性强，可实施性强。</w:t>
            </w:r>
          </w:p>
          <w:p w14:paraId="34151CC8">
            <w:pPr>
              <w:spacing w:line="360" w:lineRule="exact"/>
              <w:ind w:firstLine="409" w:firstLineChars="195"/>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注：未提供或未达到低档分值要求的按0分计。</w:t>
            </w:r>
          </w:p>
        </w:tc>
        <w:tc>
          <w:tcPr>
            <w:tcW w:w="1275" w:type="dxa"/>
            <w:vAlign w:val="center"/>
          </w:tcPr>
          <w:p w14:paraId="23E36395">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w:t>
            </w:r>
            <w:r>
              <w:rPr>
                <w:rFonts w:hint="eastAsia" w:ascii="宋体" w:hAnsi="宋体" w:eastAsia="宋体" w:cs="宋体"/>
                <w:bCs/>
                <w:color w:val="auto"/>
                <w:szCs w:val="21"/>
                <w:lang w:val="en-US" w:eastAsia="zh-CN"/>
              </w:rPr>
              <w:t>21</w:t>
            </w:r>
            <w:r>
              <w:rPr>
                <w:rFonts w:hint="eastAsia" w:ascii="宋体" w:hAnsi="宋体" w:eastAsia="宋体" w:cs="宋体"/>
                <w:bCs/>
                <w:color w:val="auto"/>
                <w:szCs w:val="21"/>
              </w:rPr>
              <w:t>分</w:t>
            </w:r>
          </w:p>
        </w:tc>
      </w:tr>
      <w:tr w14:paraId="6CF16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6" w:hRule="atLeast"/>
        </w:trPr>
        <w:tc>
          <w:tcPr>
            <w:tcW w:w="740" w:type="dxa"/>
            <w:vAlign w:val="center"/>
          </w:tcPr>
          <w:p w14:paraId="4F83B694">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2.2</w:t>
            </w:r>
          </w:p>
        </w:tc>
        <w:tc>
          <w:tcPr>
            <w:tcW w:w="1086" w:type="dxa"/>
            <w:vAlign w:val="center"/>
          </w:tcPr>
          <w:p w14:paraId="6F75FFE5">
            <w:pPr>
              <w:jc w:val="center"/>
              <w:rPr>
                <w:rFonts w:hint="eastAsia" w:ascii="宋体" w:hAnsi="宋体" w:eastAsia="宋体" w:cs="宋体"/>
                <w:bCs/>
                <w:color w:val="auto"/>
                <w:szCs w:val="21"/>
              </w:rPr>
            </w:pPr>
            <w:r>
              <w:rPr>
                <w:rFonts w:hint="eastAsia" w:ascii="宋体" w:hAnsi="宋体" w:eastAsia="宋体" w:cs="宋体"/>
                <w:color w:val="auto"/>
              </w:rPr>
              <w:t>工作进度安排及质量保证措施分（满分1</w:t>
            </w:r>
            <w:r>
              <w:rPr>
                <w:rFonts w:hint="eastAsia" w:ascii="宋体" w:hAnsi="宋体" w:eastAsia="宋体" w:cs="宋体"/>
                <w:color w:val="auto"/>
                <w:lang w:val="en-US" w:eastAsia="zh-CN"/>
              </w:rPr>
              <w:t>8</w:t>
            </w:r>
            <w:r>
              <w:rPr>
                <w:rFonts w:hint="eastAsia" w:ascii="宋体" w:hAnsi="宋体" w:eastAsia="宋体" w:cs="宋体"/>
                <w:color w:val="auto"/>
              </w:rPr>
              <w:t>分）</w:t>
            </w:r>
          </w:p>
        </w:tc>
        <w:tc>
          <w:tcPr>
            <w:tcW w:w="6094" w:type="dxa"/>
            <w:vAlign w:val="top"/>
          </w:tcPr>
          <w:p w14:paraId="2D2416B1">
            <w:pPr>
              <w:spacing w:line="360" w:lineRule="exact"/>
              <w:ind w:firstLine="409" w:firstLineChars="195"/>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一档（6分）： 工作计划与进度安排符合项目要求的清理进度，承诺按时完成清理任务</w:t>
            </w:r>
          </w:p>
          <w:p w14:paraId="7469DC73">
            <w:pPr>
              <w:spacing w:line="360" w:lineRule="exact"/>
              <w:ind w:firstLine="409" w:firstLineChars="195"/>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二档（12分）：工作计划与进度安排符合项目要求的消杀进度，承诺按时完成任务。实施周期有工作组织计划、消杀进度计划和组织协调方案。</w:t>
            </w:r>
          </w:p>
          <w:p w14:paraId="0FECDC7C">
            <w:pPr>
              <w:spacing w:line="360" w:lineRule="exact"/>
              <w:ind w:firstLine="409" w:firstLineChars="195"/>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三档（18分）：工作计划与进度安排符合项目要求的消杀进度，承诺提前完成消杀任务。实施周期有详细的工作组织计划、消杀进度计划和组织协调方案、项目管理组织机构图，机构图能体现科学合理的人员安排及核查进度安排。</w:t>
            </w:r>
          </w:p>
          <w:p w14:paraId="490AF2CE">
            <w:pPr>
              <w:spacing w:line="360" w:lineRule="exact"/>
              <w:ind w:firstLine="409" w:firstLineChars="195"/>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注：未提供或未达到低档分值要求的按0分计。</w:t>
            </w:r>
          </w:p>
        </w:tc>
        <w:tc>
          <w:tcPr>
            <w:tcW w:w="1275" w:type="dxa"/>
            <w:vAlign w:val="center"/>
          </w:tcPr>
          <w:p w14:paraId="2D3BA996">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0-1</w:t>
            </w:r>
            <w:r>
              <w:rPr>
                <w:rFonts w:hint="eastAsia" w:ascii="宋体" w:hAnsi="宋体" w:eastAsia="宋体" w:cs="宋体"/>
                <w:bCs/>
                <w:color w:val="auto"/>
                <w:szCs w:val="21"/>
                <w:lang w:val="en-US" w:eastAsia="zh-CN"/>
              </w:rPr>
              <w:t>8</w:t>
            </w:r>
            <w:r>
              <w:rPr>
                <w:rFonts w:hint="eastAsia" w:ascii="宋体" w:hAnsi="宋体" w:eastAsia="宋体" w:cs="宋体"/>
                <w:bCs/>
                <w:color w:val="auto"/>
                <w:szCs w:val="21"/>
              </w:rPr>
              <w:t>分</w:t>
            </w:r>
          </w:p>
        </w:tc>
      </w:tr>
      <w:tr w14:paraId="038D1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6" w:hRule="atLeast"/>
        </w:trPr>
        <w:tc>
          <w:tcPr>
            <w:tcW w:w="740" w:type="dxa"/>
            <w:vAlign w:val="center"/>
          </w:tcPr>
          <w:p w14:paraId="6309DAD0">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2.3</w:t>
            </w:r>
          </w:p>
        </w:tc>
        <w:tc>
          <w:tcPr>
            <w:tcW w:w="1086" w:type="dxa"/>
            <w:vAlign w:val="center"/>
          </w:tcPr>
          <w:p w14:paraId="417AE00D">
            <w:pPr>
              <w:jc w:val="center"/>
              <w:rPr>
                <w:rFonts w:hint="eastAsia" w:ascii="宋体" w:hAnsi="宋体" w:eastAsia="宋体" w:cs="宋体"/>
                <w:bCs/>
                <w:color w:val="auto"/>
                <w:szCs w:val="21"/>
              </w:rPr>
            </w:pPr>
            <w:r>
              <w:rPr>
                <w:rFonts w:hint="eastAsia" w:ascii="宋体" w:hAnsi="宋体" w:eastAsia="宋体" w:cs="宋体"/>
                <w:color w:val="auto"/>
              </w:rPr>
              <w:t>质量控制方案及保障措施分（满分1</w:t>
            </w:r>
            <w:r>
              <w:rPr>
                <w:rFonts w:hint="eastAsia" w:ascii="宋体" w:hAnsi="宋体" w:eastAsia="宋体" w:cs="宋体"/>
                <w:color w:val="auto"/>
                <w:lang w:val="en-US" w:eastAsia="zh-CN"/>
              </w:rPr>
              <w:t>8</w:t>
            </w:r>
            <w:r>
              <w:rPr>
                <w:rFonts w:hint="eastAsia" w:ascii="宋体" w:hAnsi="宋体" w:eastAsia="宋体" w:cs="宋体"/>
                <w:color w:val="auto"/>
              </w:rPr>
              <w:t>分）</w:t>
            </w:r>
          </w:p>
        </w:tc>
        <w:tc>
          <w:tcPr>
            <w:tcW w:w="6094" w:type="dxa"/>
          </w:tcPr>
          <w:p w14:paraId="5FB45C87">
            <w:pPr>
              <w:spacing w:line="360" w:lineRule="exact"/>
              <w:ind w:firstLine="409" w:firstLineChars="195"/>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由各评委独立根据供应商提供的项目质量控制方案及保障措施进行打分。 </w:t>
            </w:r>
          </w:p>
          <w:p w14:paraId="75A95FBE">
            <w:pPr>
              <w:spacing w:line="360" w:lineRule="exact"/>
              <w:ind w:firstLine="409" w:firstLineChars="195"/>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一档（6分）：供应商针对本项目的质量控制及保障措施承诺内容简单或部分缺失。 </w:t>
            </w:r>
          </w:p>
          <w:p w14:paraId="3C1A5D41">
            <w:pPr>
              <w:spacing w:line="360" w:lineRule="exact"/>
              <w:ind w:firstLine="409" w:firstLineChars="195"/>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二档（12分）：供应商针对本项目的质量控制及保障措施承诺比较详细，思路较明晰，提出了具体的质量控制手段和除治清理质量管理的做法和说明能较好的保障项目的质量，相关措施符合项目实际。</w:t>
            </w:r>
          </w:p>
          <w:p w14:paraId="585663AF">
            <w:pPr>
              <w:spacing w:line="360" w:lineRule="exact"/>
              <w:ind w:firstLine="409" w:firstLineChars="195"/>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三档（18分）：供应商针对本项目提供的质量控制方案及保障措施优于采购文件要求，方案内容有规范采取的质量控制手段和质量控制保障的详细描述及对本方案所采用技术的优势分析、重点、难点分析及对策合理性、可行性、针对性等进行分析，能精确到具体工作的指导，符合当地实际消杀情况；同时提出突发情况应急预案，更好的保障项目服务质量。</w:t>
            </w:r>
          </w:p>
          <w:p w14:paraId="422A4F61">
            <w:pPr>
              <w:spacing w:line="360" w:lineRule="exact"/>
              <w:ind w:firstLine="409" w:firstLineChars="195"/>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 注：未提供或未达到低档分值要求的按0分计。</w:t>
            </w:r>
          </w:p>
        </w:tc>
        <w:tc>
          <w:tcPr>
            <w:tcW w:w="1275" w:type="dxa"/>
            <w:vAlign w:val="center"/>
          </w:tcPr>
          <w:p w14:paraId="7D2D31B4">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0-1</w:t>
            </w:r>
            <w:r>
              <w:rPr>
                <w:rFonts w:hint="eastAsia" w:ascii="宋体" w:hAnsi="宋体" w:eastAsia="宋体" w:cs="宋体"/>
                <w:bCs/>
                <w:color w:val="auto"/>
                <w:szCs w:val="21"/>
                <w:lang w:val="en-US" w:eastAsia="zh-CN"/>
              </w:rPr>
              <w:t>8</w:t>
            </w:r>
            <w:r>
              <w:rPr>
                <w:rFonts w:hint="eastAsia" w:ascii="宋体" w:hAnsi="宋体" w:eastAsia="宋体" w:cs="宋体"/>
                <w:bCs/>
                <w:color w:val="auto"/>
                <w:szCs w:val="21"/>
              </w:rPr>
              <w:t>分</w:t>
            </w:r>
          </w:p>
        </w:tc>
      </w:tr>
      <w:tr w14:paraId="4AB6B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740" w:type="dxa"/>
            <w:vAlign w:val="center"/>
          </w:tcPr>
          <w:p w14:paraId="2AB490DB">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2.4</w:t>
            </w:r>
          </w:p>
        </w:tc>
        <w:tc>
          <w:tcPr>
            <w:tcW w:w="1086" w:type="dxa"/>
            <w:vAlign w:val="center"/>
          </w:tcPr>
          <w:p w14:paraId="22CBFC89">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项目人员配备情况分（满分</w:t>
            </w: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分）</w:t>
            </w:r>
          </w:p>
        </w:tc>
        <w:tc>
          <w:tcPr>
            <w:tcW w:w="6094" w:type="dxa"/>
          </w:tcPr>
          <w:p w14:paraId="4D04884B">
            <w:pPr>
              <w:pStyle w:val="12"/>
              <w:spacing w:line="360" w:lineRule="exact"/>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一档(3分)：拟投入本项目的服务人员为4人(含)以上，项目负责人及其它管理人员、技术人员的工作经验及上岗条件等描述简单，项目负责人无相关工作证明;</w:t>
            </w:r>
          </w:p>
          <w:p w14:paraId="65FDB500">
            <w:pPr>
              <w:pStyle w:val="12"/>
              <w:spacing w:line="360" w:lineRule="exact"/>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二档(6分)：拟投入本项目的服务人员7人(含)以上，项目负责人及其它管理人员、技术人员的工作经验及上岗条件等描述较详细，项目负责人具有相关工作经验并提供有相关工作证明;</w:t>
            </w:r>
          </w:p>
          <w:p w14:paraId="0FB7CA2E">
            <w:pPr>
              <w:pStyle w:val="12"/>
              <w:spacing w:line="360" w:lineRule="exact"/>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三档(9分)：拟投入本项目的服务人员10人(含)以上，人员配置合理，项目负责人及其它管理人员、技术人员的工作经验及上岗条件等内容描述清晰、详细;项目负责人具有相关工作经验，经验丰富，能提供更科学、合理的服务工作统筹和规划，并提供有相关工作证明。 </w:t>
            </w:r>
          </w:p>
          <w:p w14:paraId="51413059">
            <w:pPr>
              <w:pStyle w:val="12"/>
              <w:spacing w:line="360" w:lineRule="exact"/>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注：未提供或未达到低档分值要求的按0分计。</w:t>
            </w:r>
          </w:p>
        </w:tc>
        <w:tc>
          <w:tcPr>
            <w:tcW w:w="1275" w:type="dxa"/>
            <w:vAlign w:val="center"/>
          </w:tcPr>
          <w:p w14:paraId="431D8731">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w:t>
            </w: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分</w:t>
            </w:r>
          </w:p>
        </w:tc>
      </w:tr>
      <w:tr w14:paraId="31F90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2" w:hRule="atLeast"/>
        </w:trPr>
        <w:tc>
          <w:tcPr>
            <w:tcW w:w="740" w:type="dxa"/>
            <w:vAlign w:val="center"/>
          </w:tcPr>
          <w:p w14:paraId="27129B0D">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2.5</w:t>
            </w:r>
          </w:p>
        </w:tc>
        <w:tc>
          <w:tcPr>
            <w:tcW w:w="1086" w:type="dxa"/>
            <w:vAlign w:val="center"/>
          </w:tcPr>
          <w:p w14:paraId="3FBCB94C">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主要设备配备情况分（满分</w:t>
            </w:r>
            <w:r>
              <w:rPr>
                <w:rFonts w:hint="eastAsia" w:ascii="宋体" w:hAnsi="宋体" w:cs="宋体"/>
                <w:bCs/>
                <w:color w:val="auto"/>
                <w:szCs w:val="21"/>
                <w:lang w:val="en-US" w:eastAsia="zh-CN"/>
              </w:rPr>
              <w:t>5</w:t>
            </w:r>
            <w:r>
              <w:rPr>
                <w:rFonts w:hint="eastAsia" w:ascii="宋体" w:hAnsi="宋体" w:eastAsia="宋体" w:cs="宋体"/>
                <w:bCs/>
                <w:color w:val="auto"/>
                <w:szCs w:val="21"/>
              </w:rPr>
              <w:t>分）</w:t>
            </w:r>
          </w:p>
        </w:tc>
        <w:tc>
          <w:tcPr>
            <w:tcW w:w="6094" w:type="dxa"/>
            <w:vAlign w:val="top"/>
          </w:tcPr>
          <w:p w14:paraId="0302D6B9">
            <w:pPr>
              <w:spacing w:line="360" w:lineRule="exact"/>
              <w:ind w:firstLine="409" w:firstLineChars="195"/>
              <w:rPr>
                <w:rFonts w:hint="eastAsia" w:ascii="宋体" w:hAnsi="宋体" w:eastAsia="宋体" w:cs="宋体"/>
                <w:color w:val="auto"/>
              </w:rPr>
            </w:pPr>
            <w:r>
              <w:rPr>
                <w:rFonts w:hint="eastAsia" w:ascii="宋体" w:hAnsi="宋体" w:eastAsia="宋体" w:cs="宋体"/>
                <w:color w:val="auto"/>
              </w:rPr>
              <w:t>供应商提供采购人要求的基本消杀设备，包括 1 台大中型外环境消杀器械、3 台热烟雾机的基础上，每增加1台大中型外环境消杀器械或热烟雾机的得1分；每提供1辆应急车辆的得1分；本项满分</w:t>
            </w:r>
            <w:r>
              <w:rPr>
                <w:rFonts w:hint="eastAsia" w:ascii="宋体" w:hAnsi="宋体" w:cs="宋体"/>
                <w:color w:val="auto"/>
                <w:lang w:val="en-US" w:eastAsia="zh-CN"/>
              </w:rPr>
              <w:t>5</w:t>
            </w:r>
            <w:r>
              <w:rPr>
                <w:rFonts w:hint="eastAsia" w:ascii="宋体" w:hAnsi="宋体" w:eastAsia="宋体" w:cs="宋体"/>
                <w:color w:val="auto"/>
              </w:rPr>
              <w:t xml:space="preserve">分； </w:t>
            </w:r>
          </w:p>
          <w:p w14:paraId="18F572B7">
            <w:pPr>
              <w:spacing w:line="360" w:lineRule="exact"/>
              <w:ind w:firstLine="409" w:firstLineChars="195"/>
              <w:rPr>
                <w:rFonts w:hint="eastAsia" w:ascii="宋体" w:hAnsi="宋体" w:eastAsia="宋体" w:cs="宋体"/>
                <w:color w:val="auto"/>
              </w:rPr>
            </w:pPr>
            <w:r>
              <w:rPr>
                <w:rFonts w:hint="eastAsia" w:ascii="宋体" w:hAnsi="宋体" w:eastAsia="宋体" w:cs="宋体"/>
                <w:color w:val="auto"/>
              </w:rPr>
              <w:t>注：供应商必须提供拟投入的设备配备情况清单及提供设备购买发票复印件或购买/转让合同复印件或车辆行驶证复印件/车辆租赁协议，复印件须加盖供应商公章，否则不予计分。</w:t>
            </w:r>
          </w:p>
        </w:tc>
        <w:tc>
          <w:tcPr>
            <w:tcW w:w="1275" w:type="dxa"/>
            <w:vAlign w:val="center"/>
          </w:tcPr>
          <w:p w14:paraId="7C2823A4">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w:t>
            </w:r>
            <w:r>
              <w:rPr>
                <w:rFonts w:hint="eastAsia" w:ascii="宋体" w:hAnsi="宋体" w:cs="宋体"/>
                <w:bCs/>
                <w:color w:val="auto"/>
                <w:szCs w:val="21"/>
                <w:lang w:val="en-US" w:eastAsia="zh-CN"/>
              </w:rPr>
              <w:t>5</w:t>
            </w:r>
            <w:r>
              <w:rPr>
                <w:rFonts w:hint="eastAsia" w:ascii="宋体" w:hAnsi="宋体" w:eastAsia="宋体" w:cs="宋体"/>
                <w:bCs/>
                <w:color w:val="auto"/>
                <w:szCs w:val="21"/>
              </w:rPr>
              <w:t>分</w:t>
            </w:r>
          </w:p>
        </w:tc>
      </w:tr>
      <w:tr w14:paraId="76E86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707F9E6">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2.6</w:t>
            </w:r>
          </w:p>
        </w:tc>
        <w:tc>
          <w:tcPr>
            <w:tcW w:w="1086" w:type="dxa"/>
            <w:vAlign w:val="center"/>
          </w:tcPr>
          <w:p w14:paraId="3FAEF09F">
            <w:pPr>
              <w:spacing w:line="440" w:lineRule="exact"/>
              <w:jc w:val="center"/>
              <w:rPr>
                <w:rFonts w:hint="eastAsia" w:ascii="宋体" w:hAnsi="宋体" w:eastAsia="宋体" w:cs="宋体"/>
                <w:bCs/>
                <w:color w:val="auto"/>
                <w:szCs w:val="21"/>
              </w:rPr>
            </w:pPr>
            <w:r>
              <w:rPr>
                <w:rFonts w:hint="eastAsia" w:ascii="宋体" w:hAnsi="宋体" w:eastAsia="宋体" w:cs="宋体"/>
                <w:color w:val="auto"/>
                <w:szCs w:val="21"/>
              </w:rPr>
              <w:t>售后服务方案（满分</w:t>
            </w:r>
            <w:r>
              <w:rPr>
                <w:rFonts w:hint="eastAsia" w:ascii="宋体" w:hAnsi="宋体" w:eastAsia="宋体" w:cs="宋体"/>
                <w:color w:val="auto"/>
                <w:szCs w:val="21"/>
                <w:lang w:val="en-US" w:eastAsia="zh-CN"/>
              </w:rPr>
              <w:t>15</w:t>
            </w:r>
            <w:r>
              <w:rPr>
                <w:rFonts w:hint="eastAsia" w:ascii="宋体" w:hAnsi="宋体" w:eastAsia="宋体" w:cs="宋体"/>
                <w:color w:val="auto"/>
                <w:szCs w:val="21"/>
              </w:rPr>
              <w:t>分）</w:t>
            </w:r>
          </w:p>
        </w:tc>
        <w:tc>
          <w:tcPr>
            <w:tcW w:w="6094" w:type="dxa"/>
            <w:vAlign w:val="top"/>
          </w:tcPr>
          <w:p w14:paraId="1A4BB3B9">
            <w:pPr>
              <w:spacing w:line="360" w:lineRule="exact"/>
              <w:ind w:firstLine="409" w:firstLineChars="195"/>
              <w:rPr>
                <w:rFonts w:hint="eastAsia" w:ascii="宋体" w:hAnsi="宋体" w:eastAsia="宋体" w:cs="宋体"/>
                <w:color w:val="auto"/>
              </w:rPr>
            </w:pPr>
            <w:r>
              <w:rPr>
                <w:rFonts w:hint="eastAsia" w:ascii="宋体" w:hAnsi="宋体" w:eastAsia="宋体" w:cs="宋体"/>
                <w:color w:val="auto"/>
              </w:rPr>
              <w:t>一档(5分)：事故处理方案、质保事项、电话支持、人员配备、运行机制和服务承诺简单，基本满足采购要求，方案无针对性，可实施性不强;</w:t>
            </w:r>
          </w:p>
          <w:p w14:paraId="7C0C717E">
            <w:pPr>
              <w:spacing w:line="360" w:lineRule="exact"/>
              <w:ind w:firstLine="409" w:firstLineChars="195"/>
              <w:rPr>
                <w:rFonts w:hint="eastAsia" w:ascii="宋体" w:hAnsi="宋体" w:eastAsia="宋体" w:cs="宋体"/>
                <w:color w:val="auto"/>
              </w:rPr>
            </w:pPr>
            <w:r>
              <w:rPr>
                <w:rFonts w:hint="eastAsia" w:ascii="宋体" w:hAnsi="宋体" w:eastAsia="宋体" w:cs="宋体"/>
                <w:color w:val="auto"/>
              </w:rPr>
              <w:t>二档(10分)：事故处理方案、质保事项、电话支持、人员配备、运行机制和服务承诺较详细，有投诉处理措施，可实施性较好;</w:t>
            </w:r>
          </w:p>
          <w:p w14:paraId="4FD66D72">
            <w:pPr>
              <w:spacing w:line="360" w:lineRule="exact"/>
              <w:ind w:firstLine="409" w:firstLineChars="195"/>
              <w:rPr>
                <w:rFonts w:hint="eastAsia" w:ascii="宋体" w:hAnsi="宋体" w:eastAsia="宋体" w:cs="宋体"/>
                <w:color w:val="auto"/>
              </w:rPr>
            </w:pPr>
            <w:r>
              <w:rPr>
                <w:rFonts w:hint="eastAsia" w:ascii="宋体" w:hAnsi="宋体" w:eastAsia="宋体" w:cs="宋体"/>
                <w:color w:val="auto"/>
              </w:rPr>
              <w:t>三档(15分)：事故处理方案、质保事项、电话支持、人员配备、运行机制和服务承诺完整详尽，提供详细、全面、完善的售后服务方案，能够结合用户实际需求情况，服务承诺中包含因消杀工作不到位而造成的居民投诉处理措施，投诉处理措施完整、可行性强，从安全性、合理性、有效性等方面体现出方案的可实施性。</w:t>
            </w:r>
          </w:p>
          <w:p w14:paraId="119E9442">
            <w:pPr>
              <w:spacing w:line="360" w:lineRule="exact"/>
              <w:ind w:firstLine="409" w:firstLineChars="195"/>
              <w:rPr>
                <w:rFonts w:hint="eastAsia" w:ascii="宋体" w:hAnsi="宋体" w:eastAsia="宋体" w:cs="宋体"/>
                <w:color w:val="auto"/>
              </w:rPr>
            </w:pPr>
            <w:r>
              <w:rPr>
                <w:rFonts w:hint="eastAsia" w:ascii="宋体" w:hAnsi="宋体" w:eastAsia="宋体" w:cs="宋体"/>
                <w:color w:val="auto"/>
              </w:rPr>
              <w:t>注：未提供或未达到低档分值要求的按0分计。</w:t>
            </w:r>
          </w:p>
        </w:tc>
        <w:tc>
          <w:tcPr>
            <w:tcW w:w="1275" w:type="dxa"/>
            <w:vAlign w:val="center"/>
          </w:tcPr>
          <w:p w14:paraId="46CF6925">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w:t>
            </w:r>
            <w:r>
              <w:rPr>
                <w:rFonts w:hint="eastAsia" w:ascii="宋体" w:hAnsi="宋体" w:eastAsia="宋体" w:cs="宋体"/>
                <w:bCs/>
                <w:color w:val="auto"/>
                <w:szCs w:val="21"/>
                <w:lang w:val="en-US" w:eastAsia="zh-CN"/>
              </w:rPr>
              <w:t>15</w:t>
            </w:r>
            <w:r>
              <w:rPr>
                <w:rFonts w:hint="eastAsia" w:ascii="宋体" w:hAnsi="宋体" w:eastAsia="宋体" w:cs="宋体"/>
                <w:bCs/>
                <w:color w:val="auto"/>
                <w:szCs w:val="21"/>
              </w:rPr>
              <w:t>分</w:t>
            </w:r>
          </w:p>
        </w:tc>
      </w:tr>
      <w:tr w14:paraId="7C539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C8F0B76">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3</w:t>
            </w:r>
          </w:p>
        </w:tc>
        <w:tc>
          <w:tcPr>
            <w:tcW w:w="1086" w:type="dxa"/>
            <w:vAlign w:val="center"/>
          </w:tcPr>
          <w:p w14:paraId="1D1892B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商务分</w:t>
            </w:r>
          </w:p>
        </w:tc>
        <w:tc>
          <w:tcPr>
            <w:tcW w:w="6094" w:type="dxa"/>
            <w:vAlign w:val="center"/>
          </w:tcPr>
          <w:p w14:paraId="1CE3FC30">
            <w:pPr>
              <w:pStyle w:val="12"/>
              <w:spacing w:line="440" w:lineRule="exact"/>
              <w:jc w:val="center"/>
              <w:rPr>
                <w:rFonts w:hint="eastAsia" w:ascii="宋体" w:hAnsi="宋体" w:eastAsia="宋体" w:cs="宋体"/>
                <w:color w:val="auto"/>
                <w:sz w:val="21"/>
              </w:rPr>
            </w:pPr>
            <w:r>
              <w:rPr>
                <w:rFonts w:hint="eastAsia" w:ascii="宋体" w:hAnsi="宋体" w:eastAsia="宋体" w:cs="宋体"/>
                <w:color w:val="auto"/>
                <w:sz w:val="21"/>
              </w:rPr>
              <w:t>评审因素</w:t>
            </w:r>
          </w:p>
        </w:tc>
        <w:tc>
          <w:tcPr>
            <w:tcW w:w="1275" w:type="dxa"/>
            <w:vAlign w:val="center"/>
          </w:tcPr>
          <w:p w14:paraId="7DDFAB6F">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商务分（满分</w:t>
            </w:r>
            <w:r>
              <w:rPr>
                <w:rFonts w:hint="eastAsia" w:ascii="宋体" w:hAnsi="宋体" w:cs="宋体"/>
                <w:bCs/>
                <w:color w:val="auto"/>
                <w:szCs w:val="21"/>
                <w:lang w:val="en-US" w:eastAsia="zh-CN"/>
              </w:rPr>
              <w:t>4</w:t>
            </w:r>
            <w:r>
              <w:rPr>
                <w:rFonts w:hint="eastAsia" w:ascii="宋体" w:hAnsi="宋体" w:eastAsia="宋体" w:cs="宋体"/>
                <w:bCs/>
                <w:color w:val="auto"/>
                <w:szCs w:val="21"/>
              </w:rPr>
              <w:t>分）</w:t>
            </w:r>
          </w:p>
        </w:tc>
      </w:tr>
      <w:tr w14:paraId="246A1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78291BEA">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3.1</w:t>
            </w:r>
          </w:p>
        </w:tc>
        <w:tc>
          <w:tcPr>
            <w:tcW w:w="1086" w:type="dxa"/>
            <w:vAlign w:val="center"/>
          </w:tcPr>
          <w:p w14:paraId="0A76368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业绩（满分</w:t>
            </w:r>
            <w:r>
              <w:rPr>
                <w:rFonts w:hint="eastAsia" w:ascii="宋体" w:hAnsi="宋体" w:cs="宋体"/>
                <w:color w:val="auto"/>
                <w:szCs w:val="21"/>
                <w:lang w:val="en-US" w:eastAsia="zh-CN"/>
              </w:rPr>
              <w:t>4</w:t>
            </w:r>
            <w:r>
              <w:rPr>
                <w:rFonts w:hint="eastAsia" w:ascii="宋体" w:hAnsi="宋体" w:eastAsia="宋体" w:cs="宋体"/>
                <w:color w:val="auto"/>
                <w:szCs w:val="21"/>
              </w:rPr>
              <w:t>分）</w:t>
            </w:r>
          </w:p>
        </w:tc>
        <w:tc>
          <w:tcPr>
            <w:tcW w:w="6094" w:type="dxa"/>
            <w:vAlign w:val="center"/>
          </w:tcPr>
          <w:p w14:paraId="50198862">
            <w:pPr>
              <w:spacing w:line="360" w:lineRule="exact"/>
              <w:ind w:firstLine="409" w:firstLineChars="195"/>
              <w:rPr>
                <w:rFonts w:hint="eastAsia" w:ascii="宋体" w:hAnsi="宋体" w:eastAsia="宋体" w:cs="宋体"/>
                <w:color w:val="auto"/>
              </w:rPr>
            </w:pPr>
            <w:r>
              <w:rPr>
                <w:rFonts w:hint="eastAsia" w:ascii="宋体" w:hAnsi="宋体" w:eastAsia="宋体" w:cs="宋体"/>
                <w:color w:val="auto"/>
                <w:lang w:val="en-US" w:eastAsia="zh-CN"/>
              </w:rPr>
              <w:t>供应商自2021年1月1日以来承接类似项目成功案例（以合同或者中标（成交）通知书复印件为准，并加盖供应商电子签章），每项得</w:t>
            </w:r>
            <w:r>
              <w:rPr>
                <w:rFonts w:hint="eastAsia" w:ascii="宋体" w:hAnsi="宋体" w:cs="宋体"/>
                <w:color w:val="auto"/>
                <w:lang w:val="en-US" w:eastAsia="zh-CN"/>
              </w:rPr>
              <w:t>2</w:t>
            </w:r>
            <w:r>
              <w:rPr>
                <w:rFonts w:hint="eastAsia" w:ascii="宋体" w:hAnsi="宋体" w:eastAsia="宋体" w:cs="宋体"/>
                <w:color w:val="auto"/>
                <w:lang w:val="en-US" w:eastAsia="zh-CN"/>
              </w:rPr>
              <w:t>分，满分</w:t>
            </w:r>
            <w:r>
              <w:rPr>
                <w:rFonts w:hint="eastAsia" w:ascii="宋体" w:hAnsi="宋体" w:cs="宋体"/>
                <w:color w:val="auto"/>
                <w:lang w:val="en-US" w:eastAsia="zh-CN"/>
              </w:rPr>
              <w:t>4</w:t>
            </w:r>
            <w:r>
              <w:rPr>
                <w:rFonts w:hint="eastAsia" w:ascii="宋体" w:hAnsi="宋体" w:eastAsia="宋体" w:cs="宋体"/>
                <w:color w:val="auto"/>
                <w:lang w:val="en-US" w:eastAsia="zh-CN"/>
              </w:rPr>
              <w:t>分。</w:t>
            </w:r>
          </w:p>
        </w:tc>
        <w:tc>
          <w:tcPr>
            <w:tcW w:w="1275" w:type="dxa"/>
            <w:vAlign w:val="center"/>
          </w:tcPr>
          <w:p w14:paraId="0D81D15C">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w:t>
            </w:r>
            <w:r>
              <w:rPr>
                <w:rFonts w:hint="eastAsia" w:ascii="宋体" w:hAnsi="宋体" w:cs="宋体"/>
                <w:bCs/>
                <w:color w:val="auto"/>
                <w:szCs w:val="21"/>
                <w:lang w:val="en-US" w:eastAsia="zh-CN"/>
              </w:rPr>
              <w:t>4</w:t>
            </w:r>
            <w:r>
              <w:rPr>
                <w:rFonts w:hint="eastAsia" w:ascii="宋体" w:hAnsi="宋体" w:eastAsia="宋体" w:cs="宋体"/>
                <w:bCs/>
                <w:color w:val="auto"/>
                <w:szCs w:val="21"/>
              </w:rPr>
              <w:t>分</w:t>
            </w:r>
          </w:p>
        </w:tc>
      </w:tr>
      <w:tr w14:paraId="2F5A2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20" w:type="dxa"/>
            <w:gridSpan w:val="3"/>
            <w:vAlign w:val="center"/>
          </w:tcPr>
          <w:p w14:paraId="3C60C150">
            <w:pPr>
              <w:spacing w:line="440" w:lineRule="exact"/>
              <w:rPr>
                <w:rFonts w:hint="eastAsia" w:ascii="宋体" w:hAnsi="宋体" w:eastAsia="宋体" w:cs="宋体"/>
                <w:bCs/>
                <w:color w:val="auto"/>
                <w:szCs w:val="21"/>
              </w:rPr>
            </w:pPr>
            <w:r>
              <w:rPr>
                <w:rFonts w:hint="eastAsia" w:ascii="宋体" w:hAnsi="宋体" w:eastAsia="宋体" w:cs="宋体"/>
                <w:bCs/>
                <w:color w:val="auto"/>
                <w:szCs w:val="21"/>
              </w:rPr>
              <w:t>总得分＝1＋2+3</w:t>
            </w:r>
          </w:p>
        </w:tc>
        <w:tc>
          <w:tcPr>
            <w:tcW w:w="1275" w:type="dxa"/>
            <w:vAlign w:val="center"/>
          </w:tcPr>
          <w:p w14:paraId="4949253F">
            <w:pPr>
              <w:widowControl/>
              <w:spacing w:line="440" w:lineRule="exact"/>
              <w:jc w:val="center"/>
              <w:rPr>
                <w:rFonts w:hint="eastAsia" w:ascii="宋体" w:hAnsi="宋体" w:eastAsia="宋体" w:cs="宋体"/>
                <w:color w:val="auto"/>
                <w:kern w:val="0"/>
                <w:szCs w:val="21"/>
              </w:rPr>
            </w:pPr>
          </w:p>
        </w:tc>
      </w:tr>
    </w:tbl>
    <w:p w14:paraId="278E2C30">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 xml:space="preserve"> </w:t>
      </w:r>
      <w:bookmarkEnd w:id="69"/>
    </w:p>
    <w:p w14:paraId="78F9CFFD">
      <w:pPr>
        <w:spacing w:line="360" w:lineRule="auto"/>
        <w:ind w:firstLine="420" w:firstLineChars="200"/>
        <w:rPr>
          <w:rFonts w:hint="eastAsia" w:ascii="宋体" w:hAnsi="宋体" w:eastAsia="宋体" w:cs="宋体"/>
          <w:color w:val="auto"/>
        </w:rPr>
      </w:pPr>
      <w:bookmarkStart w:id="70" w:name="_Toc80205935"/>
      <w:r>
        <w:rPr>
          <w:rFonts w:hint="eastAsia" w:ascii="宋体" w:hAnsi="宋体" w:eastAsia="宋体" w:cs="宋体"/>
          <w:color w:val="auto"/>
        </w:rPr>
        <w:t>7.2.终止竞争性磋商采购活动</w:t>
      </w:r>
    </w:p>
    <w:p w14:paraId="70E8AC3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B741C72">
      <w:pPr>
        <w:rPr>
          <w:rFonts w:hint="eastAsia" w:ascii="宋体" w:hAnsi="宋体" w:eastAsia="宋体" w:cs="宋体"/>
          <w:color w:val="auto"/>
        </w:rPr>
      </w:pPr>
    </w:p>
    <w:p w14:paraId="36C670DE">
      <w:pPr>
        <w:pStyle w:val="3"/>
        <w:spacing w:before="0" w:after="0" w:line="360" w:lineRule="auto"/>
        <w:ind w:firstLine="640" w:firstLineChars="200"/>
        <w:jc w:val="center"/>
        <w:rPr>
          <w:rFonts w:hint="eastAsia" w:ascii="宋体" w:hAnsi="宋体" w:eastAsia="宋体" w:cs="宋体"/>
          <w:b w:val="0"/>
          <w:color w:val="auto"/>
        </w:rPr>
      </w:pPr>
      <w:bookmarkStart w:id="71" w:name="_Toc13151"/>
      <w:bookmarkStart w:id="72" w:name="_Toc17933"/>
      <w:bookmarkStart w:id="73" w:name="_Toc80886939"/>
      <w:r>
        <w:rPr>
          <w:rFonts w:hint="eastAsia" w:ascii="宋体" w:hAnsi="宋体" w:eastAsia="宋体" w:cs="宋体"/>
          <w:b w:val="0"/>
          <w:color w:val="auto"/>
        </w:rPr>
        <w:t>第二节 评标报告</w:t>
      </w:r>
      <w:bookmarkEnd w:id="70"/>
      <w:bookmarkEnd w:id="71"/>
      <w:bookmarkEnd w:id="72"/>
      <w:bookmarkEnd w:id="73"/>
    </w:p>
    <w:p w14:paraId="27DC720F">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1.成交标准</w:t>
      </w:r>
    </w:p>
    <w:p w14:paraId="537D4936">
      <w:pPr>
        <w:spacing w:line="360" w:lineRule="auto"/>
        <w:ind w:firstLine="420" w:firstLineChars="200"/>
        <w:rPr>
          <w:rFonts w:hint="eastAsia" w:ascii="宋体" w:hAnsi="宋体" w:eastAsia="宋体" w:cs="宋体"/>
          <w:color w:val="auto"/>
          <w:sz w:val="24"/>
        </w:rPr>
      </w:pPr>
      <w:r>
        <w:rPr>
          <w:rFonts w:hint="eastAsia" w:ascii="宋体" w:hAnsi="宋体" w:eastAsia="宋体" w:cs="宋体"/>
          <w:bCs/>
          <w:color w:val="auto"/>
          <w:szCs w:val="21"/>
        </w:rPr>
        <w:t>由磋商小组根据综合评分情况，按照评审得分由高到低顺序推荐3名以上成交候选供应商，</w:t>
      </w:r>
      <w:r>
        <w:rPr>
          <w:rFonts w:hint="eastAsia" w:ascii="宋体" w:hAnsi="宋体" w:eastAsia="宋体" w:cs="宋体"/>
          <w:color w:val="auto"/>
        </w:rPr>
        <w:t>并在线编写电子评审报告</w:t>
      </w:r>
      <w:r>
        <w:rPr>
          <w:rFonts w:hint="eastAsia" w:ascii="宋体" w:hAnsi="宋体" w:eastAsia="宋体" w:cs="宋体"/>
          <w:bCs/>
          <w:color w:val="auto"/>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544822A">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2.评标争议事项处理</w:t>
      </w:r>
    </w:p>
    <w:p w14:paraId="51961275">
      <w:pPr>
        <w:pStyle w:val="23"/>
        <w:spacing w:before="0"/>
        <w:ind w:firstLine="420"/>
        <w:rPr>
          <w:rFonts w:hint="eastAsia" w:ascii="宋体" w:hAnsi="宋体" w:eastAsia="宋体" w:cs="宋体"/>
          <w:color w:val="auto"/>
          <w:kern w:val="2"/>
          <w:sz w:val="21"/>
          <w:szCs w:val="24"/>
        </w:rPr>
      </w:pPr>
      <w:r>
        <w:rPr>
          <w:rFonts w:hint="eastAsia" w:ascii="宋体" w:hAnsi="宋体" w:eastAsia="宋体" w:cs="宋体"/>
          <w:color w:val="auto"/>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7AD78693">
      <w:pPr>
        <w:pStyle w:val="3"/>
        <w:spacing w:before="0" w:after="0" w:line="360" w:lineRule="auto"/>
        <w:ind w:firstLine="640" w:firstLineChars="200"/>
        <w:jc w:val="center"/>
        <w:rPr>
          <w:rFonts w:hint="eastAsia" w:ascii="宋体" w:hAnsi="宋体" w:eastAsia="宋体" w:cs="宋体"/>
          <w:b w:val="0"/>
          <w:color w:val="auto"/>
        </w:rPr>
      </w:pPr>
      <w:bookmarkStart w:id="74" w:name="_Toc14714"/>
      <w:bookmarkStart w:id="75" w:name="_Toc12591"/>
      <w:bookmarkStart w:id="76" w:name="_Toc80205936"/>
      <w:bookmarkStart w:id="77" w:name="_Toc80886940"/>
      <w:r>
        <w:rPr>
          <w:rFonts w:hint="eastAsia" w:ascii="宋体" w:hAnsi="宋体" w:eastAsia="宋体" w:cs="宋体"/>
          <w:b w:val="0"/>
          <w:color w:val="auto"/>
        </w:rPr>
        <w:t>第三节 评审过程的保密与录像</w:t>
      </w:r>
      <w:bookmarkEnd w:id="74"/>
      <w:bookmarkEnd w:id="75"/>
      <w:bookmarkEnd w:id="76"/>
      <w:bookmarkEnd w:id="77"/>
    </w:p>
    <w:p w14:paraId="1592DD88">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1.保密。</w:t>
      </w:r>
    </w:p>
    <w:p w14:paraId="4ADE73E4">
      <w:pPr>
        <w:widowControl/>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6AC7E2A">
      <w:pPr>
        <w:widowControl/>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2.录音录像。</w:t>
      </w:r>
    </w:p>
    <w:p w14:paraId="208CF2F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采购代理机构对评审工作现场及操作屏幕进行全过程录音录像，录音录像资料作为采购项目文件随其他文件一并存档。</w:t>
      </w:r>
    </w:p>
    <w:p w14:paraId="7AE8C526">
      <w:pPr>
        <w:pStyle w:val="2"/>
        <w:spacing w:line="360" w:lineRule="auto"/>
        <w:jc w:val="center"/>
        <w:rPr>
          <w:rFonts w:hint="eastAsia" w:ascii="宋体" w:hAnsi="宋体" w:eastAsia="宋体" w:cs="宋体"/>
          <w:color w:val="auto"/>
        </w:rPr>
        <w:sectPr>
          <w:pgSz w:w="11910" w:h="16840"/>
          <w:pgMar w:top="1340" w:right="1500" w:bottom="280" w:left="1680" w:header="720" w:footer="720" w:gutter="0"/>
          <w:cols w:space="720" w:num="1"/>
        </w:sectPr>
      </w:pPr>
      <w:bookmarkStart w:id="78" w:name="_Toc80886941"/>
      <w:bookmarkStart w:id="79" w:name="_Toc15684"/>
      <w:bookmarkStart w:id="80" w:name="_Toc22794"/>
    </w:p>
    <w:p w14:paraId="7AE38407">
      <w:pPr>
        <w:pStyle w:val="2"/>
        <w:spacing w:line="360" w:lineRule="auto"/>
        <w:jc w:val="center"/>
        <w:rPr>
          <w:rFonts w:hint="eastAsia" w:ascii="宋体" w:hAnsi="宋体" w:eastAsia="宋体" w:cs="宋体"/>
          <w:color w:val="auto"/>
        </w:rPr>
      </w:pPr>
      <w:r>
        <w:rPr>
          <w:rFonts w:hint="eastAsia" w:ascii="宋体" w:hAnsi="宋体" w:eastAsia="宋体" w:cs="宋体"/>
          <w:color w:val="auto"/>
        </w:rPr>
        <w:t>第五章  响应文件格式</w:t>
      </w:r>
      <w:bookmarkEnd w:id="78"/>
      <w:bookmarkEnd w:id="79"/>
      <w:bookmarkEnd w:id="80"/>
    </w:p>
    <w:p w14:paraId="5DDAD565">
      <w:pPr>
        <w:pStyle w:val="21"/>
        <w:ind w:left="0"/>
        <w:jc w:val="center"/>
        <w:rPr>
          <w:rFonts w:hint="eastAsia" w:ascii="宋体" w:hAnsi="宋体" w:eastAsia="宋体" w:cs="宋体"/>
          <w:b/>
          <w:color w:val="auto"/>
          <w:sz w:val="24"/>
        </w:rPr>
      </w:pPr>
      <w:r>
        <w:rPr>
          <w:rFonts w:hint="eastAsia" w:ascii="宋体" w:hAnsi="宋体" w:eastAsia="宋体" w:cs="宋体"/>
          <w:b/>
          <w:bCs/>
          <w:color w:val="auto"/>
          <w:sz w:val="32"/>
          <w:szCs w:val="32"/>
        </w:rPr>
        <w:t>供应商提交电子响应文件须知</w:t>
      </w:r>
    </w:p>
    <w:p w14:paraId="7C791640">
      <w:pPr>
        <w:adjustRightInd w:val="0"/>
        <w:snapToGrid w:val="0"/>
        <w:spacing w:line="420" w:lineRule="exact"/>
        <w:ind w:firstLine="480"/>
        <w:jc w:val="left"/>
        <w:rPr>
          <w:rFonts w:hint="eastAsia" w:ascii="宋体" w:hAnsi="宋体" w:eastAsia="宋体" w:cs="宋体"/>
          <w:b/>
          <w:color w:val="auto"/>
          <w:sz w:val="24"/>
        </w:rPr>
      </w:pPr>
      <w:r>
        <w:rPr>
          <w:rFonts w:hint="eastAsia" w:ascii="宋体" w:hAnsi="宋体" w:eastAsia="宋体" w:cs="宋体"/>
          <w:b/>
          <w:color w:val="auto"/>
          <w:sz w:val="24"/>
        </w:rPr>
        <w:t>参与电子标的供应商必须为广西政府采购云平台的正式供应商且申领CA证书，各供应商应在开标前及时完成平台注册、CA证书申领、CA证书绑定、下载投标客户端，熟悉并掌握政采云电子标系统操作。</w:t>
      </w:r>
    </w:p>
    <w:p w14:paraId="5546567B">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一、供应商应保证全部声明和问题的回答是真实的和准确的。</w:t>
      </w:r>
    </w:p>
    <w:p w14:paraId="5BD82093">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二、磋商小组将应用供应商递交的资料作出自己的判断。</w:t>
      </w:r>
    </w:p>
    <w:p w14:paraId="5528691B">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三、供应商递交的材料将在一定期限内被保密保存，不予退还。</w:t>
      </w:r>
    </w:p>
    <w:p w14:paraId="17AA1316">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四、电子响应文件编制格式及规范要求：</w:t>
      </w:r>
    </w:p>
    <w:p w14:paraId="7A656A67">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（一）响应文件应使用广西政府采购云平台电子投标客户端软件，并按照本竞争性磋商文件和广西政府采购云平台要求编制并加密响应文件。未按规定加密的响应文件，广西政府采购云平台将拒收。</w:t>
      </w:r>
    </w:p>
    <w:p w14:paraId="709E1706">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（二）响应文件制作并加密完成后应在广西政府采购云平台上传完成。</w:t>
      </w:r>
    </w:p>
    <w:p w14:paraId="088B4706">
      <w:pPr>
        <w:adjustRightInd w:val="0"/>
        <w:snapToGrid w:val="0"/>
        <w:spacing w:line="420" w:lineRule="exact"/>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（三）响应文件应使用CA证书进行电子签章。在签章时，供应商应注意CA电子签章的位置，如因CA电子签章遮挡重要、关键信息导致评标委员会作出对供应商不利评审的，后果由供应商负责。</w:t>
      </w:r>
    </w:p>
    <w:p w14:paraId="1097960C">
      <w:pPr>
        <w:adjustRightInd w:val="0"/>
        <w:snapToGrid w:val="0"/>
        <w:spacing w:line="420" w:lineRule="exact"/>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（四）供应商应准确设置评审关联点。未设置或设置错误导致响应文件被误读、漏读或者查找不到相关内容的，是供应商的责任。</w:t>
      </w:r>
    </w:p>
    <w:p w14:paraId="48F56202">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（五）响应文件所提供的相关材料的尺寸和清晰度应该能够在电脑上被阅读、识别和判断。</w:t>
      </w:r>
    </w:p>
    <w:p w14:paraId="61B1CB77">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（六）响应文件内容无法阅读、识别和判断的，视为未提供。</w:t>
      </w:r>
    </w:p>
    <w:p w14:paraId="49FF57D0">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（七）响应文件的容量大小须符合广西政府采购云平台规定。</w:t>
      </w:r>
    </w:p>
    <w:p w14:paraId="67679775">
      <w:pPr>
        <w:adjustRightInd w:val="0"/>
        <w:snapToGrid w:val="0"/>
        <w:spacing w:line="420" w:lineRule="exact"/>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五、供应商在使用广西政府采购云平台进行投标过程中遇到涉及平台使用的任何问题，可致电平台技术支持热线咨询，联系方式：95763。</w:t>
      </w:r>
    </w:p>
    <w:p w14:paraId="2AD7F71C">
      <w:pPr>
        <w:snapToGrid w:val="0"/>
        <w:spacing w:line="420" w:lineRule="exact"/>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六、特别说明</w:t>
      </w:r>
    </w:p>
    <w:p w14:paraId="2C985AA6">
      <w:pPr>
        <w:adjustRightInd w:val="0"/>
        <w:snapToGrid w:val="0"/>
        <w:spacing w:line="420" w:lineRule="exact"/>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（一）响应文件中须加盖公章部分均采用供应商CA电子签章，否则视为响应无效。</w:t>
      </w:r>
    </w:p>
    <w:p w14:paraId="64D9B5AC">
      <w:pPr>
        <w:adjustRightInd w:val="0"/>
        <w:snapToGrid w:val="0"/>
        <w:spacing w:line="420" w:lineRule="exact"/>
        <w:ind w:firstLine="482" w:firstLineChars="200"/>
        <w:jc w:val="left"/>
        <w:rPr>
          <w:rFonts w:hint="eastAsia" w:ascii="宋体" w:hAnsi="宋体" w:eastAsia="宋体" w:cs="宋体"/>
          <w:b/>
          <w:color w:val="auto"/>
          <w:sz w:val="24"/>
        </w:rPr>
        <w:sectPr>
          <w:pgSz w:w="11910" w:h="16840"/>
          <w:pgMar w:top="1340" w:right="1500" w:bottom="280" w:left="1680" w:header="720" w:footer="720" w:gutter="0"/>
          <w:cols w:space="720" w:num="1"/>
        </w:sectPr>
      </w:pPr>
      <w:r>
        <w:rPr>
          <w:rFonts w:hint="eastAsia" w:ascii="宋体" w:hAnsi="宋体" w:eastAsia="宋体" w:cs="宋体"/>
          <w:b/>
          <w:color w:val="auto"/>
          <w:sz w:val="24"/>
        </w:rPr>
        <w:t>（二）</w:t>
      </w:r>
      <w:r>
        <w:rPr>
          <w:rFonts w:hint="eastAsia" w:ascii="宋体" w:hAnsi="宋体" w:eastAsia="宋体" w:cs="宋体"/>
          <w:b/>
          <w:bCs/>
          <w:color w:val="auto"/>
          <w:sz w:val="24"/>
        </w:rPr>
        <w:t>竞争性磋商文件中规定须由法定代表人或授权委托代理人签字的内容，如果供应商没有法定代表人或授权委托代理人电子签章，涉及到法定代表人或其授权委托代理人签字或盖章的内容，供应商可以线下签字或盖章后扫描上传，</w:t>
      </w:r>
      <w:r>
        <w:rPr>
          <w:rFonts w:hint="eastAsia" w:ascii="宋体" w:hAnsi="宋体" w:eastAsia="宋体" w:cs="宋体"/>
          <w:b/>
          <w:color w:val="auto"/>
          <w:sz w:val="24"/>
        </w:rPr>
        <w:t>否则视为响应无效。</w:t>
      </w:r>
    </w:p>
    <w:p w14:paraId="17981ADD">
      <w:pPr>
        <w:keepNext/>
        <w:keepLines/>
        <w:spacing w:before="260" w:after="260" w:line="416" w:lineRule="auto"/>
        <w:jc w:val="center"/>
        <w:outlineLvl w:val="1"/>
        <w:rPr>
          <w:rFonts w:hint="eastAsia" w:ascii="宋体" w:hAnsi="宋体" w:eastAsia="宋体" w:cs="宋体"/>
          <w:bCs/>
          <w:color w:val="auto"/>
          <w:sz w:val="32"/>
          <w:szCs w:val="32"/>
        </w:rPr>
      </w:pPr>
      <w:bookmarkStart w:id="81" w:name="_Toc80205939"/>
      <w:bookmarkStart w:id="82" w:name="_Toc15374"/>
      <w:bookmarkStart w:id="83" w:name="_Toc10526"/>
      <w:bookmarkStart w:id="84" w:name="_Toc87345242"/>
      <w:bookmarkStart w:id="85" w:name="_Toc21386"/>
      <w:r>
        <w:rPr>
          <w:rFonts w:hint="eastAsia" w:ascii="宋体" w:hAnsi="宋体" w:eastAsia="宋体" w:cs="宋体"/>
          <w:bCs/>
          <w:color w:val="auto"/>
          <w:sz w:val="32"/>
          <w:szCs w:val="32"/>
        </w:rPr>
        <w:t>第一节 资格证明文件格式</w:t>
      </w:r>
      <w:bookmarkEnd w:id="81"/>
      <w:bookmarkEnd w:id="82"/>
      <w:bookmarkEnd w:id="83"/>
      <w:bookmarkEnd w:id="84"/>
      <w:bookmarkEnd w:id="85"/>
      <w:r>
        <w:rPr>
          <w:rFonts w:hint="eastAsia" w:ascii="宋体" w:hAnsi="宋体" w:eastAsia="宋体" w:cs="宋体"/>
          <w:color w:val="auto"/>
          <w:sz w:val="24"/>
        </w:rPr>
        <w:t xml:space="preserve">                       </w:t>
      </w:r>
      <w:r>
        <w:rPr>
          <w:rFonts w:hint="eastAsia" w:ascii="宋体" w:hAnsi="宋体" w:eastAsia="宋体" w:cs="宋体"/>
          <w:b/>
          <w:bCs/>
          <w:color w:val="auto"/>
          <w:sz w:val="32"/>
          <w:szCs w:val="32"/>
        </w:rPr>
        <w:t xml:space="preserve"> </w:t>
      </w:r>
    </w:p>
    <w:p w14:paraId="31CD93FA">
      <w:pPr>
        <w:snapToGrid w:val="0"/>
        <w:spacing w:before="120"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全流程电子文件</w:t>
      </w:r>
    </w:p>
    <w:p w14:paraId="1C4F1F6D">
      <w:pPr>
        <w:snapToGrid w:val="0"/>
        <w:spacing w:before="120" w:beforeLines="50" w:after="50"/>
        <w:rPr>
          <w:rFonts w:hint="eastAsia" w:ascii="宋体" w:hAnsi="宋体" w:eastAsia="宋体" w:cs="宋体"/>
          <w:color w:val="auto"/>
          <w:sz w:val="24"/>
          <w:szCs w:val="20"/>
        </w:rPr>
      </w:pPr>
    </w:p>
    <w:p w14:paraId="05094831">
      <w:pPr>
        <w:snapToGrid w:val="0"/>
        <w:spacing w:before="120" w:beforeLines="50" w:after="50"/>
        <w:rPr>
          <w:rFonts w:hint="eastAsia" w:ascii="宋体" w:hAnsi="宋体" w:eastAsia="宋体" w:cs="宋体"/>
          <w:color w:val="auto"/>
          <w:sz w:val="24"/>
          <w:szCs w:val="20"/>
        </w:rPr>
      </w:pPr>
    </w:p>
    <w:p w14:paraId="44DAAA26">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资  格  证  明  文  件（封面）</w:t>
      </w:r>
    </w:p>
    <w:p w14:paraId="0EF7CD7D">
      <w:pPr>
        <w:snapToGrid w:val="0"/>
        <w:spacing w:before="120" w:beforeLines="50" w:after="50"/>
        <w:rPr>
          <w:rFonts w:hint="eastAsia" w:ascii="宋体" w:hAnsi="宋体" w:eastAsia="宋体" w:cs="宋体"/>
          <w:bCs/>
          <w:color w:val="auto"/>
          <w:sz w:val="24"/>
          <w:szCs w:val="20"/>
        </w:rPr>
      </w:pPr>
    </w:p>
    <w:p w14:paraId="14A78E96">
      <w:pPr>
        <w:snapToGrid w:val="0"/>
        <w:spacing w:before="120" w:beforeLines="50" w:after="50"/>
        <w:rPr>
          <w:rFonts w:hint="eastAsia" w:ascii="宋体" w:hAnsi="宋体" w:eastAsia="宋体" w:cs="宋体"/>
          <w:bCs/>
          <w:color w:val="auto"/>
          <w:sz w:val="24"/>
          <w:szCs w:val="20"/>
        </w:rPr>
      </w:pPr>
    </w:p>
    <w:p w14:paraId="4CFA790B">
      <w:pPr>
        <w:snapToGrid w:val="0"/>
        <w:spacing w:before="120" w:beforeLines="50" w:after="50"/>
        <w:rPr>
          <w:rFonts w:hint="eastAsia" w:ascii="宋体" w:hAnsi="宋体" w:eastAsia="宋体" w:cs="宋体"/>
          <w:bCs/>
          <w:color w:val="auto"/>
          <w:sz w:val="24"/>
          <w:szCs w:val="20"/>
        </w:rPr>
      </w:pPr>
    </w:p>
    <w:p w14:paraId="0CEF48BD">
      <w:pPr>
        <w:snapToGrid w:val="0"/>
        <w:spacing w:before="120" w:beforeLines="50" w:after="50"/>
        <w:rPr>
          <w:rFonts w:hint="eastAsia" w:ascii="宋体" w:hAnsi="宋体" w:eastAsia="宋体" w:cs="宋体"/>
          <w:bCs/>
          <w:color w:val="auto"/>
          <w:sz w:val="24"/>
          <w:szCs w:val="20"/>
        </w:rPr>
      </w:pPr>
    </w:p>
    <w:p w14:paraId="5D7D55CC">
      <w:pPr>
        <w:snapToGrid w:val="0"/>
        <w:spacing w:before="120" w:beforeLines="50" w:after="50"/>
        <w:rPr>
          <w:rFonts w:hint="eastAsia" w:ascii="宋体" w:hAnsi="宋体" w:eastAsia="宋体" w:cs="宋体"/>
          <w:bCs/>
          <w:color w:val="auto"/>
          <w:sz w:val="24"/>
          <w:szCs w:val="20"/>
        </w:rPr>
      </w:pPr>
    </w:p>
    <w:p w14:paraId="6CA6172C">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42B6A38F">
      <w:pPr>
        <w:snapToGrid w:val="0"/>
        <w:spacing w:before="120" w:beforeLines="50" w:after="50"/>
        <w:ind w:firstLine="720" w:firstLineChars="225"/>
        <w:rPr>
          <w:rFonts w:hint="eastAsia" w:ascii="宋体" w:hAnsi="宋体" w:eastAsia="宋体" w:cs="宋体"/>
          <w:bCs/>
          <w:color w:val="auto"/>
          <w:sz w:val="32"/>
          <w:szCs w:val="32"/>
        </w:rPr>
      </w:pPr>
    </w:p>
    <w:p w14:paraId="7D2C2E7C">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项目编号：</w:t>
      </w:r>
    </w:p>
    <w:p w14:paraId="10135AF9">
      <w:pPr>
        <w:snapToGrid w:val="0"/>
        <w:spacing w:before="120" w:beforeLines="50" w:after="50"/>
        <w:ind w:firstLine="720" w:firstLineChars="225"/>
        <w:rPr>
          <w:rFonts w:hint="eastAsia" w:ascii="宋体" w:hAnsi="宋体" w:eastAsia="宋体" w:cs="宋体"/>
          <w:bCs/>
          <w:color w:val="auto"/>
          <w:sz w:val="32"/>
          <w:szCs w:val="32"/>
        </w:rPr>
      </w:pPr>
    </w:p>
    <w:p w14:paraId="7DF991ED">
      <w:pPr>
        <w:snapToGrid w:val="0"/>
        <w:spacing w:before="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1F89C08C">
      <w:pPr>
        <w:snapToGrid w:val="0"/>
        <w:spacing w:before="50" w:after="50"/>
        <w:ind w:firstLine="720" w:firstLineChars="225"/>
        <w:rPr>
          <w:rFonts w:hint="eastAsia" w:ascii="宋体" w:hAnsi="宋体" w:eastAsia="宋体" w:cs="宋体"/>
          <w:bCs/>
          <w:color w:val="auto"/>
          <w:sz w:val="32"/>
          <w:szCs w:val="32"/>
        </w:rPr>
      </w:pPr>
    </w:p>
    <w:p w14:paraId="36CE613D">
      <w:pPr>
        <w:snapToGrid w:val="0"/>
        <w:spacing w:before="50" w:after="50"/>
        <w:ind w:firstLine="720" w:firstLineChars="225"/>
        <w:rPr>
          <w:rFonts w:hint="eastAsia" w:ascii="宋体" w:hAnsi="宋体" w:eastAsia="宋体" w:cs="宋体"/>
          <w:bCs/>
          <w:color w:val="auto"/>
          <w:sz w:val="32"/>
          <w:szCs w:val="32"/>
        </w:rPr>
      </w:pPr>
    </w:p>
    <w:p w14:paraId="132633AE">
      <w:pPr>
        <w:snapToGrid w:val="0"/>
        <w:spacing w:before="50" w:after="50"/>
        <w:ind w:firstLine="1280" w:firstLineChars="400"/>
        <w:rPr>
          <w:rFonts w:hint="eastAsia" w:ascii="宋体" w:hAnsi="宋体" w:eastAsia="宋体" w:cs="宋体"/>
          <w:bCs/>
          <w:color w:val="auto"/>
          <w:sz w:val="32"/>
          <w:szCs w:val="32"/>
        </w:rPr>
      </w:pPr>
    </w:p>
    <w:p w14:paraId="0924F677">
      <w:pPr>
        <w:jc w:val="center"/>
        <w:rPr>
          <w:rFonts w:hint="eastAsia" w:ascii="宋体" w:hAnsi="宋体" w:eastAsia="宋体" w:cs="宋体"/>
          <w:color w:val="auto"/>
          <w:sz w:val="32"/>
          <w:szCs w:val="32"/>
        </w:rPr>
        <w:sectPr>
          <w:pgSz w:w="11910" w:h="16840"/>
          <w:pgMar w:top="1340" w:right="1500" w:bottom="280" w:left="1680" w:header="720" w:footer="720" w:gutter="0"/>
          <w:cols w:space="720" w:num="1"/>
        </w:sectPr>
      </w:pPr>
      <w:r>
        <w:rPr>
          <w:rFonts w:hint="eastAsia" w:ascii="宋体" w:hAnsi="宋体" w:eastAsia="宋体" w:cs="宋体"/>
          <w:color w:val="auto"/>
          <w:sz w:val="32"/>
          <w:szCs w:val="32"/>
        </w:rPr>
        <w:t>年    月    日</w:t>
      </w:r>
    </w:p>
    <w:p w14:paraId="5C93F86A">
      <w:pPr>
        <w:jc w:val="cente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资格证明文件</w:t>
      </w:r>
    </w:p>
    <w:p w14:paraId="44891BDD">
      <w:pPr>
        <w:pStyle w:val="21"/>
        <w:ind w:left="0"/>
        <w:rPr>
          <w:rFonts w:hint="eastAsia" w:ascii="宋体" w:hAnsi="宋体" w:eastAsia="宋体" w:cs="宋体"/>
          <w:color w:val="auto"/>
        </w:rPr>
      </w:pPr>
    </w:p>
    <w:p w14:paraId="782639F2">
      <w:pPr>
        <w:spacing w:line="500" w:lineRule="exact"/>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1.中小企业声明函</w:t>
      </w:r>
    </w:p>
    <w:p w14:paraId="736641BD">
      <w:pPr>
        <w:spacing w:line="300" w:lineRule="auto"/>
        <w:ind w:firstLine="2200" w:firstLineChars="500"/>
        <w:rPr>
          <w:rFonts w:hint="eastAsia" w:ascii="宋体" w:hAnsi="宋体" w:eastAsia="宋体" w:cs="宋体"/>
          <w:color w:val="auto"/>
          <w:sz w:val="44"/>
          <w:szCs w:val="44"/>
        </w:rPr>
      </w:pPr>
    </w:p>
    <w:p w14:paraId="1BB57672">
      <w:pPr>
        <w:spacing w:line="300" w:lineRule="auto"/>
        <w:ind w:firstLine="2200" w:firstLineChars="500"/>
        <w:rPr>
          <w:rFonts w:hint="eastAsia" w:ascii="宋体" w:hAnsi="宋体" w:eastAsia="宋体" w:cs="宋体"/>
          <w:color w:val="auto"/>
          <w:sz w:val="44"/>
          <w:szCs w:val="44"/>
        </w:rPr>
      </w:pPr>
      <w:r>
        <w:rPr>
          <w:rFonts w:hint="eastAsia" w:ascii="宋体" w:hAnsi="宋体" w:eastAsia="宋体" w:cs="宋体"/>
          <w:color w:val="auto"/>
          <w:sz w:val="44"/>
          <w:szCs w:val="44"/>
        </w:rPr>
        <w:t>中小企业声明函（服务）</w:t>
      </w:r>
    </w:p>
    <w:p w14:paraId="397920BC">
      <w:pPr>
        <w:spacing w:line="360" w:lineRule="auto"/>
        <w:ind w:left="-426" w:right="142" w:firstLine="640"/>
        <w:contextualSpacing/>
        <w:rPr>
          <w:rFonts w:hint="eastAsia" w:ascii="宋体" w:hAnsi="宋体" w:eastAsia="宋体" w:cs="宋体"/>
          <w:color w:val="auto"/>
          <w:sz w:val="24"/>
        </w:rPr>
      </w:pPr>
      <w:r>
        <w:rPr>
          <w:rFonts w:hint="eastAsia" w:ascii="宋体" w:hAnsi="宋体" w:eastAsia="宋体" w:cs="宋体"/>
          <w:color w:val="auto"/>
          <w:sz w:val="24"/>
        </w:rPr>
        <w:t>本公司（联合体）郑重声明，根据《政府采购促进中小企业发展管理办法》（财库﹝2020﹞46号）的规定，本公司（联合体）参加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采购活动，提供的服务全部由符合政策要求的中小企业制造。相关企业（含联合体中的中小企业、签订分包意向协议的中小企业）的具体情况如下：</w:t>
      </w:r>
    </w:p>
    <w:p w14:paraId="79C90F92">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（采购文件中明确的所属行业）</w:t>
      </w:r>
      <w:r>
        <w:rPr>
          <w:rFonts w:hint="eastAsia" w:ascii="宋体" w:hAnsi="宋体" w:eastAsia="宋体" w:cs="宋体"/>
          <w:color w:val="auto"/>
          <w:sz w:val="24"/>
        </w:rPr>
        <w:t>行业；承建（承接）企业为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309EF8E9">
      <w:pPr>
        <w:tabs>
          <w:tab w:val="left" w:pos="1065"/>
          <w:tab w:val="left" w:pos="6477"/>
        </w:tabs>
        <w:spacing w:line="360" w:lineRule="auto"/>
        <w:ind w:left="-426" w:right="-58" w:firstLine="655"/>
        <w:contextualSpacing/>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（采购文件中明确的所属行业）</w:t>
      </w:r>
      <w:r>
        <w:rPr>
          <w:rFonts w:hint="eastAsia" w:ascii="宋体" w:hAnsi="宋体" w:eastAsia="宋体" w:cs="宋体"/>
          <w:color w:val="auto"/>
          <w:sz w:val="24"/>
        </w:rPr>
        <w:t>行业；承建（承接）企业为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5789243D">
      <w:pPr>
        <w:spacing w:line="360" w:lineRule="auto"/>
        <w:ind w:left="142" w:right="142"/>
        <w:contextualSpacing/>
        <w:rPr>
          <w:rFonts w:hint="eastAsia" w:ascii="宋体" w:hAnsi="宋体" w:eastAsia="宋体" w:cs="宋体"/>
          <w:color w:val="auto"/>
          <w:sz w:val="24"/>
        </w:rPr>
      </w:pPr>
      <w:r>
        <w:rPr>
          <w:rFonts w:hint="eastAsia" w:ascii="宋体" w:hAnsi="宋体" w:eastAsia="宋体" w:cs="宋体"/>
          <w:color w:val="auto"/>
          <w:sz w:val="24"/>
        </w:rPr>
        <w:t xml:space="preserve">…… </w:t>
      </w:r>
    </w:p>
    <w:p w14:paraId="5E7FE76B">
      <w:pPr>
        <w:spacing w:line="360" w:lineRule="auto"/>
        <w:ind w:left="-405" w:leftChars="-193" w:right="142" w:firstLine="453" w:firstLineChars="189"/>
        <w:contextualSpacing/>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064358E8">
      <w:pPr>
        <w:spacing w:line="360" w:lineRule="auto"/>
        <w:ind w:left="-426" w:right="142" w:firstLine="567"/>
        <w:contextualSpacing/>
        <w:rPr>
          <w:rFonts w:hint="eastAsia" w:ascii="宋体" w:hAnsi="宋体" w:eastAsia="宋体" w:cs="宋体"/>
          <w:color w:val="auto"/>
          <w:sz w:val="24"/>
        </w:rPr>
      </w:pPr>
      <w:r>
        <w:rPr>
          <w:rFonts w:hint="eastAsia" w:ascii="宋体" w:hAnsi="宋体" w:eastAsia="宋体" w:cs="宋体"/>
          <w:color w:val="auto"/>
          <w:sz w:val="24"/>
        </w:rPr>
        <w:t>本企业对上述声明内容的真实性负责。如有虚假，将依法承担相应责任。</w:t>
      </w:r>
    </w:p>
    <w:p w14:paraId="593160CA">
      <w:pPr>
        <w:spacing w:line="360" w:lineRule="auto"/>
        <w:ind w:left="3960" w:right="1808"/>
        <w:contextualSpacing/>
        <w:rPr>
          <w:rFonts w:hint="eastAsia" w:ascii="宋体" w:hAnsi="宋体" w:eastAsia="宋体" w:cs="宋体"/>
          <w:color w:val="auto"/>
          <w:sz w:val="24"/>
        </w:rPr>
      </w:pPr>
    </w:p>
    <w:p w14:paraId="2918EE4F">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20C7ABE8">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161647F4">
      <w:pPr>
        <w:spacing w:line="360" w:lineRule="auto"/>
        <w:ind w:left="3960" w:right="1808"/>
        <w:contextualSpacing/>
        <w:rPr>
          <w:rFonts w:hint="eastAsia" w:ascii="宋体" w:hAnsi="宋体" w:eastAsia="宋体" w:cs="宋体"/>
          <w:color w:val="auto"/>
        </w:rPr>
      </w:pPr>
    </w:p>
    <w:p w14:paraId="4FD6C1DB">
      <w:pPr>
        <w:spacing w:line="360" w:lineRule="auto"/>
        <w:contextualSpacing/>
        <w:jc w:val="left"/>
        <w:rPr>
          <w:rFonts w:hint="eastAsia" w:ascii="宋体" w:hAnsi="宋体" w:eastAsia="宋体" w:cs="宋体"/>
          <w:color w:val="auto"/>
          <w:kern w:val="0"/>
          <w:sz w:val="24"/>
        </w:rPr>
      </w:pPr>
      <w:r>
        <w:rPr>
          <w:rFonts w:hint="eastAsia" w:ascii="宋体" w:hAnsi="宋体" w:eastAsia="宋体" w:cs="宋体"/>
          <w:color w:val="auto"/>
          <w:sz w:val="24"/>
        </w:rPr>
        <w:t>注：</w:t>
      </w:r>
      <w:r>
        <w:rPr>
          <w:rFonts w:hint="eastAsia" w:ascii="宋体" w:hAnsi="宋体" w:eastAsia="宋体" w:cs="宋体"/>
          <w:b/>
          <w:bCs/>
          <w:color w:val="auto"/>
          <w:sz w:val="24"/>
        </w:rPr>
        <w:t>采购标的对应的中小企业划分标准所属行业：</w:t>
      </w:r>
      <w:r>
        <w:rPr>
          <w:rFonts w:hint="eastAsia" w:ascii="宋体" w:hAnsi="宋体" w:eastAsia="宋体" w:cs="宋体"/>
          <w:b/>
          <w:bCs/>
          <w:color w:val="auto"/>
          <w:sz w:val="24"/>
          <w:u w:val="single"/>
        </w:rPr>
        <w:t>其他未列明行业</w:t>
      </w:r>
      <w:r>
        <w:rPr>
          <w:rFonts w:hint="eastAsia" w:ascii="宋体" w:hAnsi="宋体" w:eastAsia="宋体" w:cs="宋体"/>
          <w:b/>
          <w:bCs/>
          <w:color w:val="auto"/>
          <w:sz w:val="24"/>
        </w:rPr>
        <w:t>。</w:t>
      </w:r>
      <w:r>
        <w:rPr>
          <w:rFonts w:hint="eastAsia" w:ascii="宋体" w:hAnsi="宋体" w:eastAsia="宋体" w:cs="宋体"/>
          <w:color w:val="auto"/>
          <w:sz w:val="24"/>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2DF88F4">
      <w:pPr>
        <w:pStyle w:val="21"/>
        <w:ind w:left="0"/>
        <w:rPr>
          <w:rFonts w:hint="eastAsia" w:ascii="宋体" w:hAnsi="宋体" w:eastAsia="宋体" w:cs="宋体"/>
          <w:color w:val="auto"/>
          <w:lang w:val="zh-CN"/>
        </w:rPr>
        <w:sectPr>
          <w:pgSz w:w="11910" w:h="16840"/>
          <w:pgMar w:top="1340" w:right="1500" w:bottom="280" w:left="1680" w:header="720" w:footer="720" w:gutter="0"/>
          <w:cols w:space="720" w:num="1"/>
        </w:sectPr>
      </w:pPr>
    </w:p>
    <w:p w14:paraId="74F2A5B6">
      <w:pPr>
        <w:pStyle w:val="12"/>
        <w:jc w:val="left"/>
        <w:rPr>
          <w:rFonts w:hint="eastAsia" w:ascii="宋体" w:hAnsi="宋体" w:eastAsia="宋体" w:cs="宋体"/>
          <w:color w:val="auto"/>
          <w:sz w:val="32"/>
          <w:szCs w:val="32"/>
        </w:rPr>
      </w:pPr>
      <w:r>
        <w:rPr>
          <w:rFonts w:hint="eastAsia" w:ascii="宋体" w:hAnsi="宋体" w:eastAsia="宋体" w:cs="宋体"/>
          <w:color w:val="auto"/>
          <w:sz w:val="32"/>
          <w:szCs w:val="32"/>
        </w:rPr>
        <w:t>附件：</w:t>
      </w:r>
    </w:p>
    <w:p w14:paraId="14E24114">
      <w:pPr>
        <w:spacing w:line="528" w:lineRule="exact"/>
        <w:jc w:val="center"/>
        <w:rPr>
          <w:rFonts w:hint="eastAsia" w:ascii="宋体" w:hAnsi="宋体" w:eastAsia="宋体" w:cs="宋体"/>
          <w:color w:val="auto"/>
          <w:sz w:val="40"/>
          <w:szCs w:val="40"/>
        </w:rPr>
      </w:pPr>
      <w:r>
        <w:rPr>
          <w:rFonts w:hint="eastAsia" w:ascii="宋体" w:hAnsi="宋体" w:eastAsia="宋体" w:cs="宋体"/>
          <w:color w:val="auto"/>
          <w:sz w:val="40"/>
          <w:szCs w:val="40"/>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62774D9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13CF3A95">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行业名称</w:t>
            </w:r>
          </w:p>
        </w:tc>
        <w:tc>
          <w:tcPr>
            <w:tcW w:w="1984" w:type="dxa"/>
            <w:tcBorders>
              <w:top w:val="single" w:color="auto" w:sz="4" w:space="0"/>
              <w:left w:val="nil"/>
              <w:bottom w:val="single" w:color="auto" w:sz="4" w:space="0"/>
              <w:right w:val="single" w:color="auto" w:sz="4" w:space="0"/>
            </w:tcBorders>
            <w:vAlign w:val="center"/>
          </w:tcPr>
          <w:p w14:paraId="203D4041">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指标名称</w:t>
            </w:r>
          </w:p>
        </w:tc>
        <w:tc>
          <w:tcPr>
            <w:tcW w:w="851" w:type="dxa"/>
            <w:tcBorders>
              <w:top w:val="single" w:color="auto" w:sz="4" w:space="0"/>
              <w:left w:val="nil"/>
              <w:bottom w:val="single" w:color="auto" w:sz="4" w:space="0"/>
              <w:right w:val="single" w:color="auto" w:sz="4" w:space="0"/>
            </w:tcBorders>
            <w:vAlign w:val="center"/>
          </w:tcPr>
          <w:p w14:paraId="2A9C3336">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计量单位</w:t>
            </w:r>
          </w:p>
        </w:tc>
        <w:tc>
          <w:tcPr>
            <w:tcW w:w="1842" w:type="dxa"/>
            <w:tcBorders>
              <w:top w:val="single" w:color="auto" w:sz="4" w:space="0"/>
              <w:left w:val="nil"/>
              <w:bottom w:val="single" w:color="auto" w:sz="4" w:space="0"/>
              <w:right w:val="single" w:color="auto" w:sz="4" w:space="0"/>
            </w:tcBorders>
            <w:vAlign w:val="center"/>
          </w:tcPr>
          <w:p w14:paraId="3546BB39">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中型</w:t>
            </w:r>
          </w:p>
        </w:tc>
        <w:tc>
          <w:tcPr>
            <w:tcW w:w="1701" w:type="dxa"/>
            <w:tcBorders>
              <w:top w:val="single" w:color="auto" w:sz="4" w:space="0"/>
              <w:left w:val="nil"/>
              <w:bottom w:val="single" w:color="auto" w:sz="4" w:space="0"/>
              <w:right w:val="single" w:color="auto" w:sz="4" w:space="0"/>
            </w:tcBorders>
            <w:vAlign w:val="center"/>
          </w:tcPr>
          <w:p w14:paraId="5019F2AE">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小型</w:t>
            </w:r>
          </w:p>
        </w:tc>
        <w:tc>
          <w:tcPr>
            <w:tcW w:w="1134" w:type="dxa"/>
            <w:tcBorders>
              <w:top w:val="single" w:color="auto" w:sz="4" w:space="0"/>
              <w:left w:val="nil"/>
              <w:bottom w:val="single" w:color="auto" w:sz="4" w:space="0"/>
              <w:right w:val="single" w:color="auto" w:sz="4" w:space="0"/>
            </w:tcBorders>
            <w:vAlign w:val="center"/>
          </w:tcPr>
          <w:p w14:paraId="56C13A09">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微型</w:t>
            </w:r>
          </w:p>
        </w:tc>
      </w:tr>
      <w:tr w14:paraId="68A323A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82458CC">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农、林、牧、渔</w:t>
            </w:r>
          </w:p>
        </w:tc>
        <w:tc>
          <w:tcPr>
            <w:tcW w:w="1984" w:type="dxa"/>
            <w:tcBorders>
              <w:top w:val="nil"/>
              <w:left w:val="nil"/>
              <w:bottom w:val="single" w:color="auto" w:sz="4" w:space="0"/>
              <w:right w:val="single" w:color="auto" w:sz="4" w:space="0"/>
            </w:tcBorders>
            <w:vAlign w:val="center"/>
          </w:tcPr>
          <w:p w14:paraId="3F65B9C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276722C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28978A3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500≤Y&lt;20000</w:t>
            </w:r>
          </w:p>
        </w:tc>
        <w:tc>
          <w:tcPr>
            <w:tcW w:w="1701" w:type="dxa"/>
            <w:tcBorders>
              <w:top w:val="nil"/>
              <w:left w:val="nil"/>
              <w:bottom w:val="single" w:color="auto" w:sz="4" w:space="0"/>
              <w:right w:val="single" w:color="auto" w:sz="4" w:space="0"/>
            </w:tcBorders>
            <w:vAlign w:val="center"/>
          </w:tcPr>
          <w:p w14:paraId="4783168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50≤Y&lt;500</w:t>
            </w:r>
          </w:p>
        </w:tc>
        <w:tc>
          <w:tcPr>
            <w:tcW w:w="1134" w:type="dxa"/>
            <w:tcBorders>
              <w:top w:val="nil"/>
              <w:left w:val="nil"/>
              <w:bottom w:val="single" w:color="auto" w:sz="4" w:space="0"/>
              <w:right w:val="single" w:color="auto" w:sz="4" w:space="0"/>
            </w:tcBorders>
            <w:vAlign w:val="center"/>
          </w:tcPr>
          <w:p w14:paraId="71E1EBF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Y&lt;50</w:t>
            </w:r>
          </w:p>
        </w:tc>
      </w:tr>
      <w:tr w14:paraId="026668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8CB2AF8">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工业</w:t>
            </w:r>
          </w:p>
        </w:tc>
        <w:tc>
          <w:tcPr>
            <w:tcW w:w="1984" w:type="dxa"/>
            <w:tcBorders>
              <w:top w:val="nil"/>
              <w:left w:val="nil"/>
              <w:bottom w:val="single" w:color="auto" w:sz="4" w:space="0"/>
              <w:right w:val="single" w:color="auto" w:sz="4" w:space="0"/>
            </w:tcBorders>
            <w:vAlign w:val="center"/>
          </w:tcPr>
          <w:p w14:paraId="28B8148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5065D0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45AE8BE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300≤X&lt;1000</w:t>
            </w:r>
          </w:p>
        </w:tc>
        <w:tc>
          <w:tcPr>
            <w:tcW w:w="1701" w:type="dxa"/>
            <w:tcBorders>
              <w:top w:val="nil"/>
              <w:left w:val="nil"/>
              <w:bottom w:val="single" w:color="auto" w:sz="4" w:space="0"/>
              <w:right w:val="single" w:color="auto" w:sz="4" w:space="0"/>
            </w:tcBorders>
            <w:vAlign w:val="center"/>
          </w:tcPr>
          <w:p w14:paraId="4A66F05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20≤X&lt;300</w:t>
            </w:r>
          </w:p>
        </w:tc>
        <w:tc>
          <w:tcPr>
            <w:tcW w:w="1134" w:type="dxa"/>
            <w:tcBorders>
              <w:top w:val="nil"/>
              <w:left w:val="nil"/>
              <w:bottom w:val="single" w:color="auto" w:sz="4" w:space="0"/>
              <w:right w:val="single" w:color="auto" w:sz="4" w:space="0"/>
            </w:tcBorders>
            <w:vAlign w:val="center"/>
          </w:tcPr>
          <w:p w14:paraId="14486B9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X&lt;20</w:t>
            </w:r>
          </w:p>
        </w:tc>
      </w:tr>
      <w:tr w14:paraId="1CACE5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9EBD8C9">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3BC4E2D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58696D9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0F4D6CA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2000≤Y&lt;40000</w:t>
            </w:r>
          </w:p>
        </w:tc>
        <w:tc>
          <w:tcPr>
            <w:tcW w:w="1701" w:type="dxa"/>
            <w:tcBorders>
              <w:top w:val="nil"/>
              <w:left w:val="nil"/>
              <w:bottom w:val="single" w:color="auto" w:sz="4" w:space="0"/>
              <w:right w:val="single" w:color="auto" w:sz="4" w:space="0"/>
            </w:tcBorders>
            <w:vAlign w:val="center"/>
          </w:tcPr>
          <w:p w14:paraId="6369DEE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300≤Y&lt;2000</w:t>
            </w:r>
          </w:p>
        </w:tc>
        <w:tc>
          <w:tcPr>
            <w:tcW w:w="1134" w:type="dxa"/>
            <w:tcBorders>
              <w:top w:val="nil"/>
              <w:left w:val="nil"/>
              <w:bottom w:val="single" w:color="auto" w:sz="4" w:space="0"/>
              <w:right w:val="single" w:color="auto" w:sz="4" w:space="0"/>
            </w:tcBorders>
            <w:vAlign w:val="center"/>
          </w:tcPr>
          <w:p w14:paraId="6AB4556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Y&lt;300</w:t>
            </w:r>
          </w:p>
        </w:tc>
      </w:tr>
      <w:tr w14:paraId="49D1C25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677C6A">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建筑业</w:t>
            </w:r>
          </w:p>
        </w:tc>
        <w:tc>
          <w:tcPr>
            <w:tcW w:w="1984" w:type="dxa"/>
            <w:tcBorders>
              <w:top w:val="nil"/>
              <w:left w:val="nil"/>
              <w:bottom w:val="single" w:color="auto" w:sz="4" w:space="0"/>
              <w:right w:val="single" w:color="auto" w:sz="4" w:space="0"/>
            </w:tcBorders>
            <w:vAlign w:val="center"/>
          </w:tcPr>
          <w:p w14:paraId="5E9D73F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08135F1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544937F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6000≤Y&lt;80000</w:t>
            </w:r>
          </w:p>
        </w:tc>
        <w:tc>
          <w:tcPr>
            <w:tcW w:w="1701" w:type="dxa"/>
            <w:tcBorders>
              <w:top w:val="nil"/>
              <w:left w:val="nil"/>
              <w:bottom w:val="single" w:color="auto" w:sz="4" w:space="0"/>
              <w:right w:val="single" w:color="auto" w:sz="4" w:space="0"/>
            </w:tcBorders>
            <w:vAlign w:val="center"/>
          </w:tcPr>
          <w:p w14:paraId="2B1358D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300≤Y&lt;6000</w:t>
            </w:r>
          </w:p>
        </w:tc>
        <w:tc>
          <w:tcPr>
            <w:tcW w:w="1134" w:type="dxa"/>
            <w:tcBorders>
              <w:top w:val="nil"/>
              <w:left w:val="nil"/>
              <w:bottom w:val="single" w:color="auto" w:sz="4" w:space="0"/>
              <w:right w:val="single" w:color="auto" w:sz="4" w:space="0"/>
            </w:tcBorders>
            <w:vAlign w:val="center"/>
          </w:tcPr>
          <w:p w14:paraId="75FCAC1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Y&lt;300</w:t>
            </w:r>
          </w:p>
        </w:tc>
      </w:tr>
      <w:tr w14:paraId="2162A5A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A882B53">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3D838D5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851" w:type="dxa"/>
            <w:tcBorders>
              <w:top w:val="nil"/>
              <w:left w:val="nil"/>
              <w:bottom w:val="single" w:color="auto" w:sz="4" w:space="0"/>
              <w:right w:val="single" w:color="auto" w:sz="4" w:space="0"/>
            </w:tcBorders>
            <w:vAlign w:val="center"/>
          </w:tcPr>
          <w:p w14:paraId="3357C25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18D925B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5000≤Z&lt;80000</w:t>
            </w:r>
          </w:p>
        </w:tc>
        <w:tc>
          <w:tcPr>
            <w:tcW w:w="1701" w:type="dxa"/>
            <w:tcBorders>
              <w:top w:val="nil"/>
              <w:left w:val="nil"/>
              <w:bottom w:val="single" w:color="auto" w:sz="4" w:space="0"/>
              <w:right w:val="single" w:color="auto" w:sz="4" w:space="0"/>
            </w:tcBorders>
            <w:vAlign w:val="center"/>
          </w:tcPr>
          <w:p w14:paraId="6D26778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300≤Z&lt;5000</w:t>
            </w:r>
          </w:p>
        </w:tc>
        <w:tc>
          <w:tcPr>
            <w:tcW w:w="1134" w:type="dxa"/>
            <w:tcBorders>
              <w:top w:val="nil"/>
              <w:left w:val="nil"/>
              <w:bottom w:val="single" w:color="auto" w:sz="4" w:space="0"/>
              <w:right w:val="single" w:color="auto" w:sz="4" w:space="0"/>
            </w:tcBorders>
            <w:vAlign w:val="center"/>
          </w:tcPr>
          <w:p w14:paraId="4CB2B4C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Z&lt;300</w:t>
            </w:r>
          </w:p>
        </w:tc>
      </w:tr>
      <w:tr w14:paraId="7CDDE42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B72929F">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批发业</w:t>
            </w:r>
          </w:p>
        </w:tc>
        <w:tc>
          <w:tcPr>
            <w:tcW w:w="1984" w:type="dxa"/>
            <w:tcBorders>
              <w:top w:val="nil"/>
              <w:left w:val="nil"/>
              <w:bottom w:val="single" w:color="auto" w:sz="4" w:space="0"/>
              <w:right w:val="single" w:color="auto" w:sz="4" w:space="0"/>
            </w:tcBorders>
            <w:vAlign w:val="center"/>
          </w:tcPr>
          <w:p w14:paraId="464BF85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07A5B70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7A4C5D1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20≤X&lt;200</w:t>
            </w:r>
          </w:p>
        </w:tc>
        <w:tc>
          <w:tcPr>
            <w:tcW w:w="1701" w:type="dxa"/>
            <w:tcBorders>
              <w:top w:val="nil"/>
              <w:left w:val="nil"/>
              <w:bottom w:val="single" w:color="auto" w:sz="4" w:space="0"/>
              <w:right w:val="single" w:color="auto" w:sz="4" w:space="0"/>
            </w:tcBorders>
            <w:vAlign w:val="center"/>
          </w:tcPr>
          <w:p w14:paraId="7F9E933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5≤X&lt;20</w:t>
            </w:r>
          </w:p>
        </w:tc>
        <w:tc>
          <w:tcPr>
            <w:tcW w:w="1134" w:type="dxa"/>
            <w:tcBorders>
              <w:top w:val="nil"/>
              <w:left w:val="nil"/>
              <w:bottom w:val="single" w:color="auto" w:sz="4" w:space="0"/>
              <w:right w:val="single" w:color="auto" w:sz="4" w:space="0"/>
            </w:tcBorders>
            <w:vAlign w:val="center"/>
          </w:tcPr>
          <w:p w14:paraId="6055466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X&lt;5</w:t>
            </w:r>
          </w:p>
        </w:tc>
      </w:tr>
      <w:tr w14:paraId="4FA2491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F81955E">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6CE97AA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6C60D9A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538E428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5000≤Y&lt;40000</w:t>
            </w:r>
          </w:p>
        </w:tc>
        <w:tc>
          <w:tcPr>
            <w:tcW w:w="1701" w:type="dxa"/>
            <w:tcBorders>
              <w:top w:val="nil"/>
              <w:left w:val="nil"/>
              <w:bottom w:val="single" w:color="auto" w:sz="4" w:space="0"/>
              <w:right w:val="single" w:color="auto" w:sz="4" w:space="0"/>
            </w:tcBorders>
            <w:vAlign w:val="center"/>
          </w:tcPr>
          <w:p w14:paraId="137D09E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1000≤Y&lt;5000</w:t>
            </w:r>
          </w:p>
        </w:tc>
        <w:tc>
          <w:tcPr>
            <w:tcW w:w="1134" w:type="dxa"/>
            <w:tcBorders>
              <w:top w:val="nil"/>
              <w:left w:val="nil"/>
              <w:bottom w:val="single" w:color="auto" w:sz="4" w:space="0"/>
              <w:right w:val="single" w:color="auto" w:sz="4" w:space="0"/>
            </w:tcBorders>
            <w:vAlign w:val="center"/>
          </w:tcPr>
          <w:p w14:paraId="16D129C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Y&lt;1000</w:t>
            </w:r>
          </w:p>
        </w:tc>
      </w:tr>
      <w:tr w14:paraId="78BBF8B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4E649F6">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零售业</w:t>
            </w:r>
          </w:p>
        </w:tc>
        <w:tc>
          <w:tcPr>
            <w:tcW w:w="1984" w:type="dxa"/>
            <w:tcBorders>
              <w:top w:val="nil"/>
              <w:left w:val="nil"/>
              <w:bottom w:val="single" w:color="auto" w:sz="4" w:space="0"/>
              <w:right w:val="single" w:color="auto" w:sz="4" w:space="0"/>
            </w:tcBorders>
            <w:vAlign w:val="center"/>
          </w:tcPr>
          <w:p w14:paraId="5B3F090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64B1575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6792184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50≤X&lt;300</w:t>
            </w:r>
          </w:p>
        </w:tc>
        <w:tc>
          <w:tcPr>
            <w:tcW w:w="1701" w:type="dxa"/>
            <w:tcBorders>
              <w:top w:val="nil"/>
              <w:left w:val="nil"/>
              <w:bottom w:val="single" w:color="auto" w:sz="4" w:space="0"/>
              <w:right w:val="single" w:color="auto" w:sz="4" w:space="0"/>
            </w:tcBorders>
            <w:vAlign w:val="center"/>
          </w:tcPr>
          <w:p w14:paraId="575A677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10≤X&lt;50</w:t>
            </w:r>
          </w:p>
        </w:tc>
        <w:tc>
          <w:tcPr>
            <w:tcW w:w="1134" w:type="dxa"/>
            <w:tcBorders>
              <w:top w:val="nil"/>
              <w:left w:val="nil"/>
              <w:bottom w:val="single" w:color="auto" w:sz="4" w:space="0"/>
              <w:right w:val="single" w:color="auto" w:sz="4" w:space="0"/>
            </w:tcBorders>
            <w:vAlign w:val="center"/>
          </w:tcPr>
          <w:p w14:paraId="42885F2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443F394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7678B59">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2B679F5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2833CD6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0583599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500≤Y&lt;20000</w:t>
            </w:r>
          </w:p>
        </w:tc>
        <w:tc>
          <w:tcPr>
            <w:tcW w:w="1701" w:type="dxa"/>
            <w:tcBorders>
              <w:top w:val="nil"/>
              <w:left w:val="nil"/>
              <w:bottom w:val="single" w:color="auto" w:sz="4" w:space="0"/>
              <w:right w:val="single" w:color="auto" w:sz="4" w:space="0"/>
            </w:tcBorders>
            <w:vAlign w:val="center"/>
          </w:tcPr>
          <w:p w14:paraId="2866375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100≤Y&lt;500</w:t>
            </w:r>
          </w:p>
        </w:tc>
        <w:tc>
          <w:tcPr>
            <w:tcW w:w="1134" w:type="dxa"/>
            <w:tcBorders>
              <w:top w:val="nil"/>
              <w:left w:val="nil"/>
              <w:bottom w:val="single" w:color="auto" w:sz="4" w:space="0"/>
              <w:right w:val="single" w:color="auto" w:sz="4" w:space="0"/>
            </w:tcBorders>
            <w:vAlign w:val="center"/>
          </w:tcPr>
          <w:p w14:paraId="57E3BD9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27B8555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CE0D52A">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交通运输业</w:t>
            </w:r>
          </w:p>
        </w:tc>
        <w:tc>
          <w:tcPr>
            <w:tcW w:w="1984" w:type="dxa"/>
            <w:tcBorders>
              <w:top w:val="nil"/>
              <w:left w:val="nil"/>
              <w:bottom w:val="single" w:color="auto" w:sz="4" w:space="0"/>
              <w:right w:val="single" w:color="auto" w:sz="4" w:space="0"/>
            </w:tcBorders>
            <w:vAlign w:val="center"/>
          </w:tcPr>
          <w:p w14:paraId="47AA5D0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11AC64E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58F953D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300≤X&lt;1000</w:t>
            </w:r>
          </w:p>
        </w:tc>
        <w:tc>
          <w:tcPr>
            <w:tcW w:w="1701" w:type="dxa"/>
            <w:tcBorders>
              <w:top w:val="nil"/>
              <w:left w:val="nil"/>
              <w:bottom w:val="single" w:color="auto" w:sz="4" w:space="0"/>
              <w:right w:val="single" w:color="auto" w:sz="4" w:space="0"/>
            </w:tcBorders>
            <w:vAlign w:val="center"/>
          </w:tcPr>
          <w:p w14:paraId="15913F2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20≤X&lt;300</w:t>
            </w:r>
          </w:p>
        </w:tc>
        <w:tc>
          <w:tcPr>
            <w:tcW w:w="1134" w:type="dxa"/>
            <w:tcBorders>
              <w:top w:val="nil"/>
              <w:left w:val="nil"/>
              <w:bottom w:val="single" w:color="auto" w:sz="4" w:space="0"/>
              <w:right w:val="single" w:color="auto" w:sz="4" w:space="0"/>
            </w:tcBorders>
            <w:vAlign w:val="center"/>
          </w:tcPr>
          <w:p w14:paraId="1218FE3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X&lt;20</w:t>
            </w:r>
          </w:p>
        </w:tc>
      </w:tr>
      <w:tr w14:paraId="6B2F31B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F858F41">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71C1944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044D0A6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127299D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3000≤Y&lt;30000</w:t>
            </w:r>
          </w:p>
        </w:tc>
        <w:tc>
          <w:tcPr>
            <w:tcW w:w="1701" w:type="dxa"/>
            <w:tcBorders>
              <w:top w:val="nil"/>
              <w:left w:val="nil"/>
              <w:bottom w:val="single" w:color="auto" w:sz="4" w:space="0"/>
              <w:right w:val="single" w:color="auto" w:sz="4" w:space="0"/>
            </w:tcBorders>
            <w:vAlign w:val="center"/>
          </w:tcPr>
          <w:p w14:paraId="036626A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200≤Y&lt;3000</w:t>
            </w:r>
          </w:p>
        </w:tc>
        <w:tc>
          <w:tcPr>
            <w:tcW w:w="1134" w:type="dxa"/>
            <w:tcBorders>
              <w:top w:val="nil"/>
              <w:left w:val="nil"/>
              <w:bottom w:val="single" w:color="auto" w:sz="4" w:space="0"/>
              <w:right w:val="single" w:color="auto" w:sz="4" w:space="0"/>
            </w:tcBorders>
            <w:vAlign w:val="center"/>
          </w:tcPr>
          <w:p w14:paraId="2D95EB2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Y&lt;200</w:t>
            </w:r>
          </w:p>
        </w:tc>
      </w:tr>
      <w:tr w14:paraId="7E858EF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CD0AA55">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仓储业</w:t>
            </w:r>
          </w:p>
        </w:tc>
        <w:tc>
          <w:tcPr>
            <w:tcW w:w="1984" w:type="dxa"/>
            <w:tcBorders>
              <w:top w:val="nil"/>
              <w:left w:val="nil"/>
              <w:bottom w:val="single" w:color="auto" w:sz="4" w:space="0"/>
              <w:right w:val="single" w:color="auto" w:sz="4" w:space="0"/>
            </w:tcBorders>
            <w:vAlign w:val="center"/>
          </w:tcPr>
          <w:p w14:paraId="56BCDCC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067DE77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78C7A3F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100≤X&lt;200</w:t>
            </w:r>
          </w:p>
        </w:tc>
        <w:tc>
          <w:tcPr>
            <w:tcW w:w="1701" w:type="dxa"/>
            <w:tcBorders>
              <w:top w:val="nil"/>
              <w:left w:val="nil"/>
              <w:bottom w:val="single" w:color="auto" w:sz="4" w:space="0"/>
              <w:right w:val="single" w:color="auto" w:sz="4" w:space="0"/>
            </w:tcBorders>
            <w:vAlign w:val="center"/>
          </w:tcPr>
          <w:p w14:paraId="1AD7CB0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20≤X&lt;100</w:t>
            </w:r>
          </w:p>
        </w:tc>
        <w:tc>
          <w:tcPr>
            <w:tcW w:w="1134" w:type="dxa"/>
            <w:tcBorders>
              <w:top w:val="nil"/>
              <w:left w:val="nil"/>
              <w:bottom w:val="single" w:color="auto" w:sz="4" w:space="0"/>
              <w:right w:val="single" w:color="auto" w:sz="4" w:space="0"/>
            </w:tcBorders>
            <w:vAlign w:val="center"/>
          </w:tcPr>
          <w:p w14:paraId="27F71B8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X&lt;20</w:t>
            </w:r>
          </w:p>
        </w:tc>
      </w:tr>
      <w:tr w14:paraId="21FF36D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B1AA6AB">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6FBFDD8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296CB7B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5651B7E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1000≤Y&lt;30000</w:t>
            </w:r>
          </w:p>
        </w:tc>
        <w:tc>
          <w:tcPr>
            <w:tcW w:w="1701" w:type="dxa"/>
            <w:tcBorders>
              <w:top w:val="nil"/>
              <w:left w:val="nil"/>
              <w:bottom w:val="single" w:color="auto" w:sz="4" w:space="0"/>
              <w:right w:val="single" w:color="auto" w:sz="4" w:space="0"/>
            </w:tcBorders>
            <w:vAlign w:val="center"/>
          </w:tcPr>
          <w:p w14:paraId="2F9D157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100≤Y&lt;1000</w:t>
            </w:r>
          </w:p>
        </w:tc>
        <w:tc>
          <w:tcPr>
            <w:tcW w:w="1134" w:type="dxa"/>
            <w:tcBorders>
              <w:top w:val="nil"/>
              <w:left w:val="nil"/>
              <w:bottom w:val="single" w:color="auto" w:sz="4" w:space="0"/>
              <w:right w:val="single" w:color="auto" w:sz="4" w:space="0"/>
            </w:tcBorders>
            <w:vAlign w:val="center"/>
          </w:tcPr>
          <w:p w14:paraId="355B93D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4C416C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9D8068E">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邮政业</w:t>
            </w:r>
          </w:p>
        </w:tc>
        <w:tc>
          <w:tcPr>
            <w:tcW w:w="1984" w:type="dxa"/>
            <w:tcBorders>
              <w:top w:val="nil"/>
              <w:left w:val="nil"/>
              <w:bottom w:val="single" w:color="auto" w:sz="4" w:space="0"/>
              <w:right w:val="single" w:color="auto" w:sz="4" w:space="0"/>
            </w:tcBorders>
            <w:vAlign w:val="center"/>
          </w:tcPr>
          <w:p w14:paraId="7ECBE99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6EE53AD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4610AAC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300≤X&lt;1000</w:t>
            </w:r>
          </w:p>
        </w:tc>
        <w:tc>
          <w:tcPr>
            <w:tcW w:w="1701" w:type="dxa"/>
            <w:tcBorders>
              <w:top w:val="nil"/>
              <w:left w:val="nil"/>
              <w:bottom w:val="single" w:color="auto" w:sz="4" w:space="0"/>
              <w:right w:val="single" w:color="auto" w:sz="4" w:space="0"/>
            </w:tcBorders>
            <w:vAlign w:val="center"/>
          </w:tcPr>
          <w:p w14:paraId="7632629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20≤X&lt;300</w:t>
            </w:r>
          </w:p>
        </w:tc>
        <w:tc>
          <w:tcPr>
            <w:tcW w:w="1134" w:type="dxa"/>
            <w:tcBorders>
              <w:top w:val="nil"/>
              <w:left w:val="nil"/>
              <w:bottom w:val="single" w:color="auto" w:sz="4" w:space="0"/>
              <w:right w:val="single" w:color="auto" w:sz="4" w:space="0"/>
            </w:tcBorders>
            <w:vAlign w:val="center"/>
          </w:tcPr>
          <w:p w14:paraId="2F5C535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X&lt;20</w:t>
            </w:r>
          </w:p>
        </w:tc>
      </w:tr>
      <w:tr w14:paraId="23BBA1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ABB3CA0">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51AC83B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754A017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752C856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2000≤Y&lt;30000</w:t>
            </w:r>
          </w:p>
        </w:tc>
        <w:tc>
          <w:tcPr>
            <w:tcW w:w="1701" w:type="dxa"/>
            <w:tcBorders>
              <w:top w:val="nil"/>
              <w:left w:val="nil"/>
              <w:bottom w:val="single" w:color="auto" w:sz="4" w:space="0"/>
              <w:right w:val="single" w:color="auto" w:sz="4" w:space="0"/>
            </w:tcBorders>
            <w:vAlign w:val="center"/>
          </w:tcPr>
          <w:p w14:paraId="105A779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100≤Y&lt;2000</w:t>
            </w:r>
          </w:p>
        </w:tc>
        <w:tc>
          <w:tcPr>
            <w:tcW w:w="1134" w:type="dxa"/>
            <w:tcBorders>
              <w:top w:val="nil"/>
              <w:left w:val="nil"/>
              <w:bottom w:val="single" w:color="auto" w:sz="4" w:space="0"/>
              <w:right w:val="single" w:color="auto" w:sz="4" w:space="0"/>
            </w:tcBorders>
            <w:vAlign w:val="center"/>
          </w:tcPr>
          <w:p w14:paraId="3CA25F1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64B5CC2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3F91D9F">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住宿业</w:t>
            </w:r>
          </w:p>
        </w:tc>
        <w:tc>
          <w:tcPr>
            <w:tcW w:w="1984" w:type="dxa"/>
            <w:tcBorders>
              <w:top w:val="nil"/>
              <w:left w:val="nil"/>
              <w:bottom w:val="single" w:color="auto" w:sz="4" w:space="0"/>
              <w:right w:val="single" w:color="auto" w:sz="4" w:space="0"/>
            </w:tcBorders>
            <w:vAlign w:val="center"/>
          </w:tcPr>
          <w:p w14:paraId="5B5DA75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EB8DC3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71D92AA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701" w:type="dxa"/>
            <w:tcBorders>
              <w:top w:val="nil"/>
              <w:left w:val="nil"/>
              <w:bottom w:val="single" w:color="auto" w:sz="4" w:space="0"/>
              <w:right w:val="single" w:color="auto" w:sz="4" w:space="0"/>
            </w:tcBorders>
            <w:vAlign w:val="center"/>
          </w:tcPr>
          <w:p w14:paraId="6986E3E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41F56B5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181BF4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A11BF3F">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01F410E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38E2687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3BA07D9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2000≤Y&lt;10000</w:t>
            </w:r>
          </w:p>
        </w:tc>
        <w:tc>
          <w:tcPr>
            <w:tcW w:w="1701" w:type="dxa"/>
            <w:tcBorders>
              <w:top w:val="nil"/>
              <w:left w:val="nil"/>
              <w:bottom w:val="single" w:color="auto" w:sz="4" w:space="0"/>
              <w:right w:val="single" w:color="auto" w:sz="4" w:space="0"/>
            </w:tcBorders>
            <w:vAlign w:val="center"/>
          </w:tcPr>
          <w:p w14:paraId="37E6009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100≤Y&lt;2000</w:t>
            </w:r>
          </w:p>
        </w:tc>
        <w:tc>
          <w:tcPr>
            <w:tcW w:w="1134" w:type="dxa"/>
            <w:tcBorders>
              <w:top w:val="nil"/>
              <w:left w:val="nil"/>
              <w:bottom w:val="single" w:color="auto" w:sz="4" w:space="0"/>
              <w:right w:val="single" w:color="auto" w:sz="4" w:space="0"/>
            </w:tcBorders>
            <w:vAlign w:val="center"/>
          </w:tcPr>
          <w:p w14:paraId="1D91178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401973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E97384">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餐饮业</w:t>
            </w:r>
          </w:p>
        </w:tc>
        <w:tc>
          <w:tcPr>
            <w:tcW w:w="1984" w:type="dxa"/>
            <w:tcBorders>
              <w:top w:val="nil"/>
              <w:left w:val="nil"/>
              <w:bottom w:val="single" w:color="auto" w:sz="4" w:space="0"/>
              <w:right w:val="single" w:color="auto" w:sz="4" w:space="0"/>
            </w:tcBorders>
            <w:vAlign w:val="center"/>
          </w:tcPr>
          <w:p w14:paraId="161D66A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53967A5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126E97E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701" w:type="dxa"/>
            <w:tcBorders>
              <w:top w:val="nil"/>
              <w:left w:val="nil"/>
              <w:bottom w:val="single" w:color="auto" w:sz="4" w:space="0"/>
              <w:right w:val="single" w:color="auto" w:sz="4" w:space="0"/>
            </w:tcBorders>
            <w:vAlign w:val="center"/>
          </w:tcPr>
          <w:p w14:paraId="78CD378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110B550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44E187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1AE352C">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5251056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4ADD7E7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2D32C11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2000≤Y&lt;10000</w:t>
            </w:r>
          </w:p>
        </w:tc>
        <w:tc>
          <w:tcPr>
            <w:tcW w:w="1701" w:type="dxa"/>
            <w:tcBorders>
              <w:top w:val="nil"/>
              <w:left w:val="nil"/>
              <w:bottom w:val="single" w:color="auto" w:sz="4" w:space="0"/>
              <w:right w:val="single" w:color="auto" w:sz="4" w:space="0"/>
            </w:tcBorders>
            <w:vAlign w:val="center"/>
          </w:tcPr>
          <w:p w14:paraId="0B50A45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100≤Y&lt;2000</w:t>
            </w:r>
          </w:p>
        </w:tc>
        <w:tc>
          <w:tcPr>
            <w:tcW w:w="1134" w:type="dxa"/>
            <w:tcBorders>
              <w:top w:val="nil"/>
              <w:left w:val="nil"/>
              <w:bottom w:val="single" w:color="auto" w:sz="4" w:space="0"/>
              <w:right w:val="single" w:color="auto" w:sz="4" w:space="0"/>
            </w:tcBorders>
            <w:vAlign w:val="center"/>
          </w:tcPr>
          <w:p w14:paraId="57F80AA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6F1F87E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7980953">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信息传输业</w:t>
            </w:r>
          </w:p>
        </w:tc>
        <w:tc>
          <w:tcPr>
            <w:tcW w:w="1984" w:type="dxa"/>
            <w:tcBorders>
              <w:top w:val="nil"/>
              <w:left w:val="nil"/>
              <w:bottom w:val="single" w:color="auto" w:sz="4" w:space="0"/>
              <w:right w:val="single" w:color="auto" w:sz="4" w:space="0"/>
            </w:tcBorders>
            <w:vAlign w:val="center"/>
          </w:tcPr>
          <w:p w14:paraId="6000F0B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CEA95C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2D26FF9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100≤X&lt;2000</w:t>
            </w:r>
          </w:p>
        </w:tc>
        <w:tc>
          <w:tcPr>
            <w:tcW w:w="1701" w:type="dxa"/>
            <w:tcBorders>
              <w:top w:val="nil"/>
              <w:left w:val="nil"/>
              <w:bottom w:val="single" w:color="auto" w:sz="4" w:space="0"/>
              <w:right w:val="single" w:color="auto" w:sz="4" w:space="0"/>
            </w:tcBorders>
            <w:vAlign w:val="center"/>
          </w:tcPr>
          <w:p w14:paraId="7EBF297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56A5013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4CC44B8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C42B3C3">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596CC6D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7154536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27A9CBE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1000≤Y&lt;100000</w:t>
            </w:r>
          </w:p>
        </w:tc>
        <w:tc>
          <w:tcPr>
            <w:tcW w:w="1701" w:type="dxa"/>
            <w:tcBorders>
              <w:top w:val="nil"/>
              <w:left w:val="nil"/>
              <w:bottom w:val="single" w:color="auto" w:sz="4" w:space="0"/>
              <w:right w:val="single" w:color="auto" w:sz="4" w:space="0"/>
            </w:tcBorders>
            <w:vAlign w:val="center"/>
          </w:tcPr>
          <w:p w14:paraId="1CB70D6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100≤Y&lt;1000</w:t>
            </w:r>
          </w:p>
        </w:tc>
        <w:tc>
          <w:tcPr>
            <w:tcW w:w="1134" w:type="dxa"/>
            <w:tcBorders>
              <w:top w:val="nil"/>
              <w:left w:val="nil"/>
              <w:bottom w:val="single" w:color="auto" w:sz="4" w:space="0"/>
              <w:right w:val="single" w:color="auto" w:sz="4" w:space="0"/>
            </w:tcBorders>
            <w:vAlign w:val="center"/>
          </w:tcPr>
          <w:p w14:paraId="1AA8A4B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17A9F7C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3CA8824">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软件和信息技术服务业</w:t>
            </w:r>
          </w:p>
        </w:tc>
        <w:tc>
          <w:tcPr>
            <w:tcW w:w="1984" w:type="dxa"/>
            <w:tcBorders>
              <w:top w:val="nil"/>
              <w:left w:val="nil"/>
              <w:bottom w:val="single" w:color="auto" w:sz="4" w:space="0"/>
              <w:right w:val="single" w:color="auto" w:sz="4" w:space="0"/>
            </w:tcBorders>
            <w:vAlign w:val="center"/>
          </w:tcPr>
          <w:p w14:paraId="7572119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231DA0F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4A59608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701" w:type="dxa"/>
            <w:tcBorders>
              <w:top w:val="nil"/>
              <w:left w:val="nil"/>
              <w:bottom w:val="single" w:color="auto" w:sz="4" w:space="0"/>
              <w:right w:val="single" w:color="auto" w:sz="4" w:space="0"/>
            </w:tcBorders>
            <w:vAlign w:val="center"/>
          </w:tcPr>
          <w:p w14:paraId="4AAA790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5AACBD9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3D1C57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238C7B0">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19E56AF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12BFC7C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6E8C8A0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1000≤Y&lt;10000</w:t>
            </w:r>
          </w:p>
        </w:tc>
        <w:tc>
          <w:tcPr>
            <w:tcW w:w="1701" w:type="dxa"/>
            <w:tcBorders>
              <w:top w:val="nil"/>
              <w:left w:val="nil"/>
              <w:bottom w:val="single" w:color="auto" w:sz="4" w:space="0"/>
              <w:right w:val="single" w:color="auto" w:sz="4" w:space="0"/>
            </w:tcBorders>
            <w:vAlign w:val="center"/>
          </w:tcPr>
          <w:p w14:paraId="1E6E7E0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50≤Y&lt;1000</w:t>
            </w:r>
          </w:p>
        </w:tc>
        <w:tc>
          <w:tcPr>
            <w:tcW w:w="1134" w:type="dxa"/>
            <w:tcBorders>
              <w:top w:val="nil"/>
              <w:left w:val="nil"/>
              <w:bottom w:val="single" w:color="auto" w:sz="4" w:space="0"/>
              <w:right w:val="single" w:color="auto" w:sz="4" w:space="0"/>
            </w:tcBorders>
            <w:vAlign w:val="center"/>
          </w:tcPr>
          <w:p w14:paraId="606E3DC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Y&lt;50</w:t>
            </w:r>
          </w:p>
        </w:tc>
      </w:tr>
      <w:tr w14:paraId="588FB47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BE95A9B">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房地产开发经营</w:t>
            </w:r>
          </w:p>
        </w:tc>
        <w:tc>
          <w:tcPr>
            <w:tcW w:w="1984" w:type="dxa"/>
            <w:tcBorders>
              <w:top w:val="nil"/>
              <w:left w:val="nil"/>
              <w:bottom w:val="single" w:color="auto" w:sz="4" w:space="0"/>
              <w:right w:val="single" w:color="auto" w:sz="4" w:space="0"/>
            </w:tcBorders>
            <w:vAlign w:val="center"/>
          </w:tcPr>
          <w:p w14:paraId="7A335C0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49F8368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1323F46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1000≤Y&lt;200000</w:t>
            </w:r>
          </w:p>
        </w:tc>
        <w:tc>
          <w:tcPr>
            <w:tcW w:w="1701" w:type="dxa"/>
            <w:tcBorders>
              <w:top w:val="nil"/>
              <w:left w:val="nil"/>
              <w:bottom w:val="single" w:color="auto" w:sz="4" w:space="0"/>
              <w:right w:val="single" w:color="auto" w:sz="4" w:space="0"/>
            </w:tcBorders>
            <w:vAlign w:val="center"/>
          </w:tcPr>
          <w:p w14:paraId="19AEE99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100≤X&lt;1000</w:t>
            </w:r>
          </w:p>
        </w:tc>
        <w:tc>
          <w:tcPr>
            <w:tcW w:w="1134" w:type="dxa"/>
            <w:tcBorders>
              <w:top w:val="nil"/>
              <w:left w:val="nil"/>
              <w:bottom w:val="single" w:color="auto" w:sz="4" w:space="0"/>
              <w:right w:val="single" w:color="auto" w:sz="4" w:space="0"/>
            </w:tcBorders>
            <w:vAlign w:val="center"/>
          </w:tcPr>
          <w:p w14:paraId="09975BC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X&lt;100</w:t>
            </w:r>
          </w:p>
        </w:tc>
      </w:tr>
      <w:tr w14:paraId="4F1E2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E961FB1">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1D21AA8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851" w:type="dxa"/>
            <w:tcBorders>
              <w:top w:val="nil"/>
              <w:left w:val="nil"/>
              <w:bottom w:val="single" w:color="auto" w:sz="4" w:space="0"/>
              <w:right w:val="single" w:color="auto" w:sz="4" w:space="0"/>
            </w:tcBorders>
            <w:vAlign w:val="center"/>
          </w:tcPr>
          <w:p w14:paraId="46B13E5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3D06D79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5000≤Z&lt;10000</w:t>
            </w:r>
          </w:p>
        </w:tc>
        <w:tc>
          <w:tcPr>
            <w:tcW w:w="1701" w:type="dxa"/>
            <w:tcBorders>
              <w:top w:val="nil"/>
              <w:left w:val="nil"/>
              <w:bottom w:val="single" w:color="auto" w:sz="4" w:space="0"/>
              <w:right w:val="single" w:color="auto" w:sz="4" w:space="0"/>
            </w:tcBorders>
            <w:vAlign w:val="center"/>
          </w:tcPr>
          <w:p w14:paraId="187923C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2000≤Y&lt;5000</w:t>
            </w:r>
          </w:p>
        </w:tc>
        <w:tc>
          <w:tcPr>
            <w:tcW w:w="1134" w:type="dxa"/>
            <w:tcBorders>
              <w:top w:val="nil"/>
              <w:left w:val="nil"/>
              <w:bottom w:val="single" w:color="auto" w:sz="4" w:space="0"/>
              <w:right w:val="single" w:color="auto" w:sz="4" w:space="0"/>
            </w:tcBorders>
            <w:vAlign w:val="center"/>
          </w:tcPr>
          <w:p w14:paraId="6ACEF34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Y&lt;2000</w:t>
            </w:r>
          </w:p>
        </w:tc>
      </w:tr>
      <w:tr w14:paraId="7A20019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E5AE036">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物业管理</w:t>
            </w:r>
          </w:p>
        </w:tc>
        <w:tc>
          <w:tcPr>
            <w:tcW w:w="1984" w:type="dxa"/>
            <w:tcBorders>
              <w:top w:val="nil"/>
              <w:left w:val="nil"/>
              <w:bottom w:val="single" w:color="auto" w:sz="4" w:space="0"/>
              <w:right w:val="single" w:color="auto" w:sz="4" w:space="0"/>
            </w:tcBorders>
            <w:vAlign w:val="center"/>
          </w:tcPr>
          <w:p w14:paraId="6978C2B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6F467AD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1E15A2F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300≤X&lt;1000</w:t>
            </w:r>
          </w:p>
        </w:tc>
        <w:tc>
          <w:tcPr>
            <w:tcW w:w="1701" w:type="dxa"/>
            <w:tcBorders>
              <w:top w:val="nil"/>
              <w:left w:val="nil"/>
              <w:bottom w:val="single" w:color="auto" w:sz="4" w:space="0"/>
              <w:right w:val="single" w:color="auto" w:sz="4" w:space="0"/>
            </w:tcBorders>
            <w:vAlign w:val="center"/>
          </w:tcPr>
          <w:p w14:paraId="33C3FF4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134" w:type="dxa"/>
            <w:tcBorders>
              <w:top w:val="nil"/>
              <w:left w:val="nil"/>
              <w:bottom w:val="single" w:color="auto" w:sz="4" w:space="0"/>
              <w:right w:val="single" w:color="auto" w:sz="4" w:space="0"/>
            </w:tcBorders>
            <w:vAlign w:val="center"/>
          </w:tcPr>
          <w:p w14:paraId="0AA1745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X&lt;100</w:t>
            </w:r>
          </w:p>
        </w:tc>
      </w:tr>
      <w:tr w14:paraId="6ABA99A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45D30E0">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6CCBD5F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75DE4E0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626A8B3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1000≤Y&lt;5000</w:t>
            </w:r>
          </w:p>
        </w:tc>
        <w:tc>
          <w:tcPr>
            <w:tcW w:w="1701" w:type="dxa"/>
            <w:tcBorders>
              <w:top w:val="nil"/>
              <w:left w:val="nil"/>
              <w:bottom w:val="single" w:color="auto" w:sz="4" w:space="0"/>
              <w:right w:val="single" w:color="auto" w:sz="4" w:space="0"/>
            </w:tcBorders>
            <w:vAlign w:val="center"/>
          </w:tcPr>
          <w:p w14:paraId="73AD8E1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500≤Y&lt;1000</w:t>
            </w:r>
          </w:p>
        </w:tc>
        <w:tc>
          <w:tcPr>
            <w:tcW w:w="1134" w:type="dxa"/>
            <w:tcBorders>
              <w:top w:val="nil"/>
              <w:left w:val="nil"/>
              <w:bottom w:val="single" w:color="auto" w:sz="4" w:space="0"/>
              <w:right w:val="single" w:color="auto" w:sz="4" w:space="0"/>
            </w:tcBorders>
            <w:vAlign w:val="center"/>
          </w:tcPr>
          <w:p w14:paraId="1553960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Y&lt;500</w:t>
            </w:r>
          </w:p>
        </w:tc>
      </w:tr>
      <w:tr w14:paraId="566232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D2F05B">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租赁和商务服务业</w:t>
            </w:r>
          </w:p>
        </w:tc>
        <w:tc>
          <w:tcPr>
            <w:tcW w:w="1984" w:type="dxa"/>
            <w:tcBorders>
              <w:top w:val="nil"/>
              <w:left w:val="nil"/>
              <w:bottom w:val="single" w:color="auto" w:sz="4" w:space="0"/>
              <w:right w:val="single" w:color="auto" w:sz="4" w:space="0"/>
            </w:tcBorders>
            <w:vAlign w:val="center"/>
          </w:tcPr>
          <w:p w14:paraId="3B18AE8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217792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6DC1955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701" w:type="dxa"/>
            <w:tcBorders>
              <w:top w:val="nil"/>
              <w:left w:val="nil"/>
              <w:bottom w:val="single" w:color="auto" w:sz="4" w:space="0"/>
              <w:right w:val="single" w:color="auto" w:sz="4" w:space="0"/>
            </w:tcBorders>
            <w:vAlign w:val="center"/>
          </w:tcPr>
          <w:p w14:paraId="1E4D720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5E15A36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64E46A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E3FE32A">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0BB5FD0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851" w:type="dxa"/>
            <w:tcBorders>
              <w:top w:val="nil"/>
              <w:left w:val="nil"/>
              <w:bottom w:val="single" w:color="auto" w:sz="4" w:space="0"/>
              <w:right w:val="single" w:color="auto" w:sz="4" w:space="0"/>
            </w:tcBorders>
            <w:vAlign w:val="center"/>
          </w:tcPr>
          <w:p w14:paraId="0F5A675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4EB60C4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8000≤Z&lt;120000</w:t>
            </w:r>
          </w:p>
        </w:tc>
        <w:tc>
          <w:tcPr>
            <w:tcW w:w="1701" w:type="dxa"/>
            <w:tcBorders>
              <w:top w:val="nil"/>
              <w:left w:val="nil"/>
              <w:bottom w:val="single" w:color="auto" w:sz="4" w:space="0"/>
              <w:right w:val="single" w:color="auto" w:sz="4" w:space="0"/>
            </w:tcBorders>
            <w:vAlign w:val="center"/>
          </w:tcPr>
          <w:p w14:paraId="3029704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100≤Z&lt;8000</w:t>
            </w:r>
          </w:p>
        </w:tc>
        <w:tc>
          <w:tcPr>
            <w:tcW w:w="1134" w:type="dxa"/>
            <w:tcBorders>
              <w:top w:val="nil"/>
              <w:left w:val="nil"/>
              <w:bottom w:val="single" w:color="auto" w:sz="4" w:space="0"/>
              <w:right w:val="single" w:color="auto" w:sz="4" w:space="0"/>
            </w:tcBorders>
            <w:vAlign w:val="center"/>
          </w:tcPr>
          <w:p w14:paraId="241C964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56D45A8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1C2F3BF">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其他未列明行业</w:t>
            </w:r>
          </w:p>
        </w:tc>
        <w:tc>
          <w:tcPr>
            <w:tcW w:w="1984" w:type="dxa"/>
            <w:tcBorders>
              <w:top w:val="nil"/>
              <w:left w:val="nil"/>
              <w:bottom w:val="single" w:color="auto" w:sz="4" w:space="0"/>
              <w:right w:val="single" w:color="auto" w:sz="4" w:space="0"/>
            </w:tcBorders>
            <w:vAlign w:val="center"/>
          </w:tcPr>
          <w:p w14:paraId="447684C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447BD7E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7F4F062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701" w:type="dxa"/>
            <w:tcBorders>
              <w:top w:val="nil"/>
              <w:left w:val="nil"/>
              <w:bottom w:val="single" w:color="auto" w:sz="4" w:space="0"/>
              <w:right w:val="single" w:color="auto" w:sz="4" w:space="0"/>
            </w:tcBorders>
            <w:vAlign w:val="center"/>
          </w:tcPr>
          <w:p w14:paraId="21646B5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6483FA5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bl>
    <w:p w14:paraId="58564A3B">
      <w:pPr>
        <w:spacing w:line="560" w:lineRule="exact"/>
        <w:ind w:firstLine="525" w:firstLineChars="250"/>
        <w:rPr>
          <w:rFonts w:hint="eastAsia" w:ascii="宋体" w:hAnsi="宋体" w:eastAsia="宋体" w:cs="宋体"/>
          <w:color w:val="auto"/>
        </w:rPr>
        <w:sectPr>
          <w:headerReference r:id="rId14" w:type="default"/>
          <w:footerReference r:id="rId15" w:type="default"/>
          <w:pgSz w:w="11906" w:h="16838"/>
          <w:pgMar w:top="1134" w:right="1134" w:bottom="1134" w:left="1134" w:header="720" w:footer="720" w:gutter="0"/>
          <w:cols w:space="720" w:num="1"/>
          <w:docGrid w:type="lines" w:linePitch="331" w:charSpace="0"/>
        </w:sectPr>
      </w:pPr>
      <w:r>
        <w:rPr>
          <w:rFonts w:hint="eastAsia" w:ascii="宋体" w:hAnsi="宋体" w:eastAsia="宋体" w:cs="宋体"/>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r>
        <w:rPr>
          <w:rFonts w:hint="eastAsia" w:ascii="宋体" w:hAnsi="宋体" w:eastAsia="宋体" w:cs="宋体"/>
          <w:b/>
          <w:bCs/>
          <w:color w:val="auto"/>
          <w:szCs w:val="21"/>
        </w:rPr>
        <w:t>本项目所属行业为：其他未列明行业。</w:t>
      </w:r>
    </w:p>
    <w:p w14:paraId="59DFE354">
      <w:pPr>
        <w:spacing w:line="300" w:lineRule="auto"/>
        <w:ind w:firstLine="602" w:firstLineChars="200"/>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2.供应商为法人或者其他组织的提供其营业执照等证明文件（如营业执照或者事业单位法人证书或者执业许可证等），供应商为自然人的提供其身份证复印件；（必须提供，否则响应文件按无效响应处理）；</w:t>
      </w:r>
    </w:p>
    <w:p w14:paraId="3D2CD63D">
      <w:pPr>
        <w:spacing w:line="300" w:lineRule="auto"/>
        <w:ind w:firstLine="602" w:firstLineChars="200"/>
        <w:rPr>
          <w:rFonts w:hint="eastAsia" w:ascii="宋体" w:hAnsi="宋体" w:eastAsia="宋体" w:cs="宋体"/>
          <w:b/>
          <w:color w:val="auto"/>
          <w:kern w:val="0"/>
          <w:sz w:val="30"/>
          <w:szCs w:val="30"/>
        </w:rPr>
      </w:pPr>
    </w:p>
    <w:p w14:paraId="1D3054CB">
      <w:pPr>
        <w:spacing w:line="300" w:lineRule="auto"/>
        <w:ind w:firstLine="602" w:firstLineChars="200"/>
        <w:rPr>
          <w:rFonts w:hint="eastAsia" w:ascii="宋体" w:hAnsi="宋体" w:eastAsia="宋体" w:cs="宋体"/>
          <w:b/>
          <w:bCs/>
          <w:color w:val="auto"/>
          <w:sz w:val="44"/>
          <w:szCs w:val="44"/>
        </w:rPr>
      </w:pPr>
      <w:r>
        <w:rPr>
          <w:rFonts w:hint="eastAsia" w:ascii="宋体" w:hAnsi="宋体" w:eastAsia="宋体" w:cs="宋体"/>
          <w:b/>
          <w:color w:val="auto"/>
          <w:kern w:val="0"/>
          <w:sz w:val="30"/>
          <w:szCs w:val="30"/>
        </w:rPr>
        <w:t>3.政府采购供应商资格信用承诺函（必须提供，否则响应文件按无效响应处理）；</w:t>
      </w:r>
    </w:p>
    <w:p w14:paraId="719CFCE4">
      <w:pPr>
        <w:autoSpaceDE w:val="0"/>
        <w:autoSpaceDN w:val="0"/>
        <w:adjustRightInd w:val="0"/>
        <w:jc w:val="center"/>
        <w:rPr>
          <w:rFonts w:hint="eastAsia" w:ascii="宋体" w:hAnsi="宋体" w:eastAsia="宋体" w:cs="宋体"/>
          <w:color w:val="auto"/>
          <w:sz w:val="32"/>
          <w:szCs w:val="32"/>
        </w:rPr>
      </w:pPr>
      <w:r>
        <w:rPr>
          <w:rFonts w:hint="eastAsia" w:ascii="宋体" w:hAnsi="宋体" w:eastAsia="宋体" w:cs="宋体"/>
          <w:b/>
          <w:bCs/>
          <w:color w:val="auto"/>
          <w:sz w:val="36"/>
          <w:szCs w:val="36"/>
        </w:rPr>
        <w:t>政府采购供应商资格信用承诺函</w:t>
      </w:r>
    </w:p>
    <w:p w14:paraId="6673A575">
      <w:pPr>
        <w:autoSpaceDE w:val="0"/>
        <w:autoSpaceDN w:val="0"/>
        <w:adjustRightInd w:val="0"/>
        <w:spacing w:line="400" w:lineRule="exact"/>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致：</w:t>
      </w:r>
      <w:r>
        <w:rPr>
          <w:rFonts w:hint="eastAsia" w:ascii="宋体" w:hAnsi="宋体" w:eastAsia="宋体" w:cs="宋体"/>
          <w:color w:val="auto"/>
          <w:spacing w:val="6"/>
          <w:sz w:val="32"/>
          <w:szCs w:val="32"/>
          <w:u w:val="single"/>
        </w:rPr>
        <w:t>（采购人名称）、（代理机构名称）</w:t>
      </w:r>
      <w:r>
        <w:rPr>
          <w:rFonts w:hint="eastAsia" w:ascii="宋体" w:hAnsi="宋体" w:eastAsia="宋体" w:cs="宋体"/>
          <w:color w:val="auto"/>
          <w:spacing w:val="6"/>
          <w:sz w:val="32"/>
          <w:szCs w:val="32"/>
        </w:rPr>
        <w:t>：</w:t>
      </w:r>
    </w:p>
    <w:p w14:paraId="7B14C7DB">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我方自愿参加</w:t>
      </w:r>
      <w:r>
        <w:rPr>
          <w:rFonts w:hint="eastAsia" w:ascii="宋体" w:hAnsi="宋体" w:eastAsia="宋体" w:cs="宋体"/>
          <w:color w:val="auto"/>
          <w:spacing w:val="6"/>
          <w:sz w:val="32"/>
          <w:szCs w:val="32"/>
          <w:u w:val="single"/>
        </w:rPr>
        <w:t xml:space="preserve">                       </w:t>
      </w:r>
      <w:r>
        <w:rPr>
          <w:rFonts w:hint="eastAsia" w:ascii="宋体" w:hAnsi="宋体" w:eastAsia="宋体" w:cs="宋体"/>
          <w:color w:val="auto"/>
          <w:spacing w:val="6"/>
          <w:sz w:val="32"/>
          <w:szCs w:val="32"/>
        </w:rPr>
        <w:t>项目（项目编号：</w:t>
      </w:r>
      <w:r>
        <w:rPr>
          <w:rFonts w:hint="eastAsia" w:ascii="宋体" w:hAnsi="宋体" w:eastAsia="宋体" w:cs="宋体"/>
          <w:color w:val="auto"/>
          <w:spacing w:val="6"/>
          <w:sz w:val="32"/>
          <w:szCs w:val="32"/>
          <w:u w:val="single"/>
        </w:rPr>
        <w:t xml:space="preserve">                      </w:t>
      </w:r>
      <w:r>
        <w:rPr>
          <w:rFonts w:hint="eastAsia" w:ascii="宋体" w:hAnsi="宋体" w:eastAsia="宋体" w:cs="宋体"/>
          <w:color w:val="auto"/>
          <w:spacing w:val="6"/>
          <w:sz w:val="32"/>
          <w:szCs w:val="32"/>
        </w:rPr>
        <w:t xml:space="preserve">）的政府采购活动，并郑重承诺我方符合《中华人民共和国政府采购法》第二十二条规定的条件： </w:t>
      </w:r>
    </w:p>
    <w:p w14:paraId="3F757216">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 xml:space="preserve">（一）具有独立承担民事责任的能力； </w:t>
      </w:r>
    </w:p>
    <w:p w14:paraId="66CCDDE1">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 xml:space="preserve">（二）具有良好的商业信誉和健全的财务会计制度； </w:t>
      </w:r>
    </w:p>
    <w:p w14:paraId="78A26C02">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 xml:space="preserve">（三）具有履行合同所必需的设备和专业技术能力； </w:t>
      </w:r>
    </w:p>
    <w:p w14:paraId="6FC9CEFF">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 xml:space="preserve">（四）有依法缴纳税收和社会保障资金的良好记录； </w:t>
      </w:r>
    </w:p>
    <w:p w14:paraId="5EAB827E">
      <w:pPr>
        <w:autoSpaceDE w:val="0"/>
        <w:autoSpaceDN w:val="0"/>
        <w:adjustRightInd w:val="0"/>
        <w:spacing w:line="400" w:lineRule="exact"/>
        <w:ind w:firstLine="640"/>
        <w:rPr>
          <w:rFonts w:hint="eastAsia" w:ascii="宋体" w:hAnsi="宋体" w:eastAsia="宋体" w:cs="宋体"/>
          <w:b/>
          <w:color w:val="auto"/>
          <w:spacing w:val="6"/>
          <w:sz w:val="32"/>
          <w:szCs w:val="32"/>
        </w:rPr>
      </w:pPr>
      <w:r>
        <w:rPr>
          <w:rFonts w:hint="eastAsia" w:ascii="宋体" w:hAnsi="宋体" w:eastAsia="宋体" w:cs="宋体"/>
          <w:color w:val="auto"/>
          <w:spacing w:val="6"/>
          <w:sz w:val="32"/>
          <w:szCs w:val="32"/>
        </w:rPr>
        <w:t>（五）参加政府采购活动前</w:t>
      </w:r>
      <w:r>
        <w:rPr>
          <w:rFonts w:hint="eastAsia" w:ascii="宋体" w:hAnsi="宋体" w:eastAsia="宋体" w:cs="宋体"/>
          <w:strike w:val="0"/>
          <w:dstrike w:val="0"/>
          <w:color w:val="auto"/>
          <w:spacing w:val="6"/>
          <w:sz w:val="32"/>
          <w:szCs w:val="32"/>
          <w:lang w:val="en-US" w:eastAsia="zh-CN"/>
        </w:rPr>
        <w:t>三</w:t>
      </w:r>
      <w:r>
        <w:rPr>
          <w:rFonts w:hint="eastAsia" w:ascii="宋体" w:hAnsi="宋体" w:eastAsia="宋体" w:cs="宋体"/>
          <w:color w:val="auto"/>
          <w:spacing w:val="6"/>
          <w:sz w:val="32"/>
          <w:szCs w:val="32"/>
        </w:rPr>
        <w:t>年内，在经营活动中没有重大违法记录；</w:t>
      </w:r>
      <w:r>
        <w:rPr>
          <w:rFonts w:hint="eastAsia" w:ascii="宋体" w:hAnsi="宋体" w:eastAsia="宋体" w:cs="宋体"/>
          <w:b/>
          <w:color w:val="auto"/>
          <w:spacing w:val="6"/>
          <w:sz w:val="32"/>
          <w:szCs w:val="32"/>
        </w:rPr>
        <w:t xml:space="preserve"> </w:t>
      </w:r>
    </w:p>
    <w:p w14:paraId="260B2C52">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b/>
          <w:color w:val="auto"/>
          <w:spacing w:val="6"/>
          <w:sz w:val="32"/>
          <w:szCs w:val="32"/>
        </w:rPr>
        <w:t>（六）法律、</w:t>
      </w:r>
      <w:r>
        <w:rPr>
          <w:rFonts w:hint="eastAsia" w:ascii="宋体" w:hAnsi="宋体" w:eastAsia="宋体" w:cs="宋体"/>
          <w:color w:val="auto"/>
          <w:spacing w:val="6"/>
          <w:sz w:val="32"/>
          <w:szCs w:val="32"/>
        </w:rPr>
        <w:t xml:space="preserve">行政法规规定的其他条件。 </w:t>
      </w:r>
    </w:p>
    <w:p w14:paraId="322B89AB">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 xml:space="preserve">我方保证上述承诺事项的真实性，如有弄虚作假或其他违法违规行为，愿意承担一切法律责任，并承担因此所造成的一切损失。 </w:t>
      </w:r>
    </w:p>
    <w:p w14:paraId="181BD827">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b/>
          <w:bCs/>
          <w:color w:val="auto"/>
          <w:spacing w:val="6"/>
          <w:sz w:val="32"/>
          <w:szCs w:val="32"/>
        </w:rPr>
        <w:t>特此声明！</w:t>
      </w:r>
      <w:r>
        <w:rPr>
          <w:rFonts w:hint="eastAsia" w:ascii="宋体" w:hAnsi="宋体" w:eastAsia="宋体" w:cs="宋体"/>
          <w:color w:val="auto"/>
          <w:spacing w:val="6"/>
          <w:sz w:val="32"/>
          <w:szCs w:val="32"/>
        </w:rPr>
        <w:t xml:space="preserve"> </w:t>
      </w:r>
    </w:p>
    <w:p w14:paraId="1CA24120">
      <w:pPr>
        <w:spacing w:line="400" w:lineRule="exact"/>
        <w:jc w:val="both"/>
        <w:rPr>
          <w:rFonts w:hint="eastAsia" w:ascii="宋体" w:hAnsi="宋体" w:eastAsia="宋体" w:cs="宋体"/>
          <w:color w:val="auto"/>
          <w:sz w:val="32"/>
          <w:szCs w:val="32"/>
        </w:rPr>
      </w:pPr>
    </w:p>
    <w:p w14:paraId="5A2775A0">
      <w:pPr>
        <w:spacing w:line="400" w:lineRule="exact"/>
        <w:ind w:firstLine="320" w:firstLineChars="100"/>
        <w:jc w:val="both"/>
        <w:rPr>
          <w:rFonts w:hint="eastAsia" w:ascii="宋体" w:hAnsi="宋体" w:eastAsia="宋体" w:cs="宋体"/>
          <w:color w:val="auto"/>
          <w:sz w:val="32"/>
          <w:szCs w:val="32"/>
          <w:u w:val="single"/>
        </w:rPr>
      </w:pPr>
      <w:r>
        <w:rPr>
          <w:rFonts w:hint="eastAsia" w:ascii="宋体" w:hAnsi="宋体" w:eastAsia="宋体" w:cs="宋体"/>
          <w:color w:val="auto"/>
          <w:sz w:val="32"/>
          <w:szCs w:val="32"/>
        </w:rPr>
        <w:t>法定代表人或委托代理人</w:t>
      </w:r>
      <w:r>
        <w:rPr>
          <w:rFonts w:hint="eastAsia" w:ascii="宋体" w:hAnsi="宋体" w:eastAsia="宋体" w:cs="宋体"/>
          <w:b/>
          <w:bCs/>
          <w:color w:val="auto"/>
          <w:sz w:val="32"/>
          <w:szCs w:val="32"/>
        </w:rPr>
        <w:t>（签字或盖章</w:t>
      </w:r>
      <w:r>
        <w:rPr>
          <w:rFonts w:hint="eastAsia" w:ascii="宋体" w:hAnsi="宋体" w:eastAsia="宋体" w:cs="宋体"/>
          <w:b/>
          <w:bCs/>
          <w:color w:val="auto"/>
          <w:sz w:val="32"/>
          <w:szCs w:val="32"/>
          <w:lang w:val="en-US" w:eastAsia="zh-CN"/>
        </w:rPr>
        <w:t>或电子签名</w:t>
      </w:r>
      <w:r>
        <w:rPr>
          <w:rFonts w:hint="eastAsia" w:ascii="宋体" w:hAnsi="宋体" w:eastAsia="宋体" w:cs="宋体"/>
          <w:b/>
          <w:bCs/>
          <w:color w:val="auto"/>
          <w:sz w:val="32"/>
          <w:szCs w:val="32"/>
        </w:rPr>
        <w:t>）：</w:t>
      </w:r>
      <w:r>
        <w:rPr>
          <w:rFonts w:hint="eastAsia" w:ascii="宋体" w:hAnsi="宋体" w:eastAsia="宋体" w:cs="宋体"/>
          <w:color w:val="auto"/>
          <w:sz w:val="32"/>
          <w:szCs w:val="32"/>
          <w:u w:val="single"/>
        </w:rPr>
        <w:t xml:space="preserve">      </w:t>
      </w:r>
    </w:p>
    <w:p w14:paraId="63AA7790">
      <w:pPr>
        <w:pStyle w:val="12"/>
        <w:spacing w:line="400" w:lineRule="exact"/>
        <w:ind w:firstLine="2880" w:firstLineChars="900"/>
        <w:rPr>
          <w:rFonts w:hint="eastAsia" w:ascii="宋体" w:hAnsi="宋体" w:eastAsia="宋体" w:cs="宋体"/>
          <w:color w:val="auto"/>
          <w:sz w:val="32"/>
          <w:szCs w:val="32"/>
        </w:rPr>
      </w:pPr>
      <w:r>
        <w:rPr>
          <w:rFonts w:hint="eastAsia" w:ascii="宋体" w:hAnsi="宋体" w:eastAsia="宋体" w:cs="宋体"/>
          <w:color w:val="auto"/>
          <w:sz w:val="32"/>
          <w:szCs w:val="32"/>
        </w:rPr>
        <w:t>政府采购供应商</w:t>
      </w:r>
      <w:r>
        <w:rPr>
          <w:rFonts w:hint="eastAsia" w:ascii="宋体" w:hAnsi="宋体" w:eastAsia="宋体" w:cs="宋体"/>
          <w:b/>
          <w:bCs/>
          <w:color w:val="auto"/>
          <w:sz w:val="32"/>
          <w:szCs w:val="32"/>
        </w:rPr>
        <w:t>（CA电子签章）</w:t>
      </w:r>
      <w:r>
        <w:rPr>
          <w:rFonts w:hint="eastAsia" w:ascii="宋体" w:hAnsi="宋体" w:eastAsia="宋体" w:cs="宋体"/>
          <w:color w:val="auto"/>
          <w:sz w:val="32"/>
          <w:szCs w:val="32"/>
        </w:rPr>
        <w:t>：</w:t>
      </w:r>
      <w:r>
        <w:rPr>
          <w:rFonts w:hint="eastAsia" w:ascii="宋体" w:hAnsi="宋体" w:eastAsia="宋体" w:cs="宋体"/>
          <w:color w:val="auto"/>
          <w:sz w:val="32"/>
          <w:szCs w:val="32"/>
          <w:u w:val="single"/>
        </w:rPr>
        <w:t xml:space="preserve">                </w:t>
      </w:r>
    </w:p>
    <w:p w14:paraId="0BDDC51F">
      <w:pPr>
        <w:spacing w:line="400" w:lineRule="exact"/>
        <w:ind w:firstLine="4800" w:firstLineChars="1500"/>
        <w:jc w:val="left"/>
        <w:rPr>
          <w:rFonts w:hint="eastAsia" w:ascii="宋体" w:hAnsi="宋体" w:eastAsia="宋体" w:cs="宋体"/>
          <w:color w:val="auto"/>
          <w:szCs w:val="21"/>
        </w:rPr>
      </w:pPr>
      <w:r>
        <w:rPr>
          <w:rFonts w:hint="eastAsia" w:ascii="宋体" w:hAnsi="宋体" w:eastAsia="宋体" w:cs="宋体"/>
          <w:color w:val="auto"/>
          <w:sz w:val="32"/>
          <w:szCs w:val="32"/>
        </w:rPr>
        <w:t>日期：       年   月   日</w:t>
      </w:r>
      <w:r>
        <w:rPr>
          <w:rFonts w:hint="eastAsia" w:ascii="宋体" w:hAnsi="宋体" w:eastAsia="宋体" w:cs="宋体"/>
          <w:color w:val="auto"/>
          <w:kern w:val="0"/>
          <w:sz w:val="24"/>
        </w:rPr>
        <w:t xml:space="preserve"> </w:t>
      </w:r>
      <w:r>
        <w:rPr>
          <w:rFonts w:hint="eastAsia" w:ascii="宋体" w:hAnsi="宋体" w:eastAsia="宋体" w:cs="宋体"/>
          <w:color w:val="auto"/>
          <w:szCs w:val="21"/>
        </w:rPr>
        <w:t xml:space="preserve"> </w:t>
      </w:r>
    </w:p>
    <w:p w14:paraId="45F64CC7">
      <w:pPr>
        <w:spacing w:line="360" w:lineRule="auto"/>
        <w:ind w:firstLine="596" w:firstLineChars="198"/>
        <w:contextualSpacing/>
        <w:rPr>
          <w:rFonts w:hint="eastAsia" w:ascii="宋体" w:hAnsi="宋体" w:eastAsia="宋体" w:cs="宋体"/>
          <w:b/>
          <w:color w:val="auto"/>
          <w:kern w:val="0"/>
          <w:sz w:val="30"/>
          <w:szCs w:val="30"/>
        </w:rPr>
      </w:pPr>
    </w:p>
    <w:p w14:paraId="502530E0">
      <w:pPr>
        <w:spacing w:line="360" w:lineRule="auto"/>
        <w:ind w:firstLine="596" w:firstLineChars="198"/>
        <w:contextualSpacing/>
        <w:rPr>
          <w:rFonts w:hint="eastAsia" w:ascii="宋体" w:hAnsi="宋体" w:eastAsia="宋体" w:cs="宋体"/>
          <w:b/>
          <w:color w:val="auto"/>
          <w:kern w:val="0"/>
          <w:sz w:val="30"/>
          <w:szCs w:val="30"/>
        </w:rPr>
        <w:sectPr>
          <w:pgSz w:w="11910" w:h="16840"/>
          <w:pgMar w:top="1340" w:right="1500" w:bottom="448" w:left="1680" w:header="720" w:footer="720" w:gutter="0"/>
          <w:cols w:space="720" w:num="1"/>
        </w:sectPr>
      </w:pPr>
    </w:p>
    <w:p w14:paraId="161DDED2">
      <w:pPr>
        <w:spacing w:line="360" w:lineRule="auto"/>
        <w:ind w:left="630"/>
        <w:contextualSpacing/>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4.供应商直接控股股东信息表、直接管理关系信息表</w:t>
      </w:r>
    </w:p>
    <w:p w14:paraId="736B5596">
      <w:pPr>
        <w:pStyle w:val="16"/>
        <w:ind w:left="0" w:leftChars="0"/>
        <w:jc w:val="center"/>
        <w:rPr>
          <w:rFonts w:hint="eastAsia" w:ascii="宋体" w:hAnsi="宋体" w:eastAsia="宋体" w:cs="宋体"/>
          <w:color w:val="auto"/>
        </w:rPr>
      </w:pPr>
      <w:r>
        <w:rPr>
          <w:rFonts w:hint="eastAsia" w:ascii="宋体" w:hAnsi="宋体" w:eastAsia="宋体" w:cs="宋体"/>
          <w:b/>
          <w:color w:val="auto"/>
          <w:kern w:val="0"/>
          <w:sz w:val="30"/>
          <w:szCs w:val="30"/>
        </w:rPr>
        <w:t>供应商直接控股股东信息表</w:t>
      </w:r>
    </w:p>
    <w:tbl>
      <w:tblPr>
        <w:tblStyle w:val="18"/>
        <w:tblW w:w="10147" w:type="dxa"/>
        <w:jc w:val="center"/>
        <w:shd w:val="clear" w:color="auto" w:fill="FBFBFB"/>
        <w:tblLayout w:type="fixed"/>
        <w:tblCellMar>
          <w:top w:w="0" w:type="dxa"/>
          <w:left w:w="0" w:type="dxa"/>
          <w:bottom w:w="0" w:type="dxa"/>
          <w:right w:w="0" w:type="dxa"/>
        </w:tblCellMar>
      </w:tblPr>
      <w:tblGrid>
        <w:gridCol w:w="880"/>
        <w:gridCol w:w="2327"/>
        <w:gridCol w:w="2143"/>
        <w:gridCol w:w="3927"/>
        <w:gridCol w:w="870"/>
      </w:tblGrid>
      <w:tr w14:paraId="4AA70CEC">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BBDCFE">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77F3FD">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CEDDF5">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845046">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65839F">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71775B3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C8B9A7">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EAE9C5">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需按实际内容填写，请勿留空！</w:t>
            </w: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99DF72">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需按实际内容填写，请勿留空！</w:t>
            </w: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3E1549">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需按实际内容填写，请勿留空！</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51EBE5">
            <w:pPr>
              <w:widowControl/>
              <w:spacing w:line="360" w:lineRule="auto"/>
              <w:contextualSpacing/>
              <w:jc w:val="center"/>
              <w:rPr>
                <w:rFonts w:hint="eastAsia" w:ascii="宋体" w:hAnsi="宋体" w:eastAsia="宋体" w:cs="宋体"/>
                <w:color w:val="auto"/>
                <w:kern w:val="0"/>
                <w:sz w:val="24"/>
              </w:rPr>
            </w:pPr>
          </w:p>
        </w:tc>
      </w:tr>
      <w:tr w14:paraId="03E6A1D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8953E1">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C472FD">
            <w:pPr>
              <w:widowControl/>
              <w:spacing w:line="360" w:lineRule="auto"/>
              <w:contextualSpacing/>
              <w:jc w:val="center"/>
              <w:rPr>
                <w:rFonts w:hint="eastAsia" w:ascii="宋体" w:hAnsi="宋体" w:eastAsia="宋体" w:cs="宋体"/>
                <w:color w:val="auto"/>
                <w:kern w:val="0"/>
                <w:sz w:val="24"/>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FB8D34">
            <w:pPr>
              <w:widowControl/>
              <w:spacing w:line="360" w:lineRule="auto"/>
              <w:contextualSpacing/>
              <w:jc w:val="center"/>
              <w:rPr>
                <w:rFonts w:hint="eastAsia" w:ascii="宋体" w:hAnsi="宋体" w:eastAsia="宋体" w:cs="宋体"/>
                <w:color w:val="auto"/>
                <w:kern w:val="0"/>
                <w:sz w:val="24"/>
              </w:rPr>
            </w:pP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546EC5">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91CC7A">
            <w:pPr>
              <w:widowControl/>
              <w:spacing w:line="360" w:lineRule="auto"/>
              <w:contextualSpacing/>
              <w:jc w:val="center"/>
              <w:rPr>
                <w:rFonts w:hint="eastAsia" w:ascii="宋体" w:hAnsi="宋体" w:eastAsia="宋体" w:cs="宋体"/>
                <w:color w:val="auto"/>
                <w:kern w:val="0"/>
                <w:sz w:val="24"/>
              </w:rPr>
            </w:pPr>
          </w:p>
        </w:tc>
      </w:tr>
      <w:tr w14:paraId="371D66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34533C">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6301F2">
            <w:pPr>
              <w:widowControl/>
              <w:spacing w:line="360" w:lineRule="auto"/>
              <w:contextualSpacing/>
              <w:jc w:val="center"/>
              <w:rPr>
                <w:rFonts w:hint="eastAsia" w:ascii="宋体" w:hAnsi="宋体" w:eastAsia="宋体" w:cs="宋体"/>
                <w:color w:val="auto"/>
                <w:kern w:val="0"/>
                <w:sz w:val="24"/>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53A4B9">
            <w:pPr>
              <w:widowControl/>
              <w:spacing w:line="360" w:lineRule="auto"/>
              <w:contextualSpacing/>
              <w:jc w:val="center"/>
              <w:rPr>
                <w:rFonts w:hint="eastAsia" w:ascii="宋体" w:hAnsi="宋体" w:eastAsia="宋体" w:cs="宋体"/>
                <w:color w:val="auto"/>
                <w:kern w:val="0"/>
                <w:sz w:val="24"/>
              </w:rPr>
            </w:pP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74ADDD">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32CF34">
            <w:pPr>
              <w:widowControl/>
              <w:spacing w:line="360" w:lineRule="auto"/>
              <w:contextualSpacing/>
              <w:jc w:val="center"/>
              <w:rPr>
                <w:rFonts w:hint="eastAsia" w:ascii="宋体" w:hAnsi="宋体" w:eastAsia="宋体" w:cs="宋体"/>
                <w:color w:val="auto"/>
                <w:kern w:val="0"/>
                <w:sz w:val="24"/>
              </w:rPr>
            </w:pPr>
          </w:p>
        </w:tc>
      </w:tr>
    </w:tbl>
    <w:p w14:paraId="37389175">
      <w:pPr>
        <w:spacing w:line="400" w:lineRule="exact"/>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注：</w:t>
      </w:r>
    </w:p>
    <w:p w14:paraId="56EA2649">
      <w:pPr>
        <w:spacing w:line="400" w:lineRule="exact"/>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1.直接控股股东：是指其出资额占有限责任公司资本总额50%以上或者其持有的股份占股份有限公司股份总额50%以上的股东；出资额或者持有股份的比例虽然不足50%，但依其出资额或者持有的股份所享有的表决权已足以对股东会、股东大会的决议产生重大影响的股东。</w:t>
      </w:r>
    </w:p>
    <w:p w14:paraId="1E3195DF">
      <w:pPr>
        <w:spacing w:line="400" w:lineRule="exact"/>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2.本表所指的控股关系仅限于直接控股关系，不包括间接的控股关系。公司实际控制人与公司之间的关系不属于本表所指的直接控股关系。</w:t>
      </w:r>
    </w:p>
    <w:p w14:paraId="2CB19B21">
      <w:pPr>
        <w:spacing w:line="400" w:lineRule="exact"/>
        <w:ind w:firstLine="482" w:firstLineChars="200"/>
        <w:contextualSpacing/>
        <w:jc w:val="left"/>
        <w:rPr>
          <w:rFonts w:hint="eastAsia" w:ascii="宋体" w:hAnsi="宋体" w:eastAsia="宋体" w:cs="宋体"/>
          <w:b/>
          <w:bCs/>
          <w:color w:val="auto"/>
          <w:sz w:val="24"/>
        </w:rPr>
      </w:pPr>
      <w:r>
        <w:rPr>
          <w:rFonts w:hint="eastAsia" w:ascii="宋体" w:hAnsi="宋体" w:eastAsia="宋体" w:cs="宋体"/>
          <w:b/>
          <w:bCs/>
          <w:color w:val="auto"/>
          <w:kern w:val="0"/>
          <w:sz w:val="24"/>
        </w:rPr>
        <w:t>3.供应商不存在直接控股股东的，则填“无”。</w:t>
      </w:r>
    </w:p>
    <w:p w14:paraId="712B7BA4">
      <w:pPr>
        <w:snapToGrid w:val="0"/>
        <w:jc w:val="center"/>
        <w:rPr>
          <w:rFonts w:hint="eastAsia" w:ascii="宋体" w:hAnsi="宋体" w:eastAsia="宋体" w:cs="宋体"/>
          <w:b/>
          <w:color w:val="auto"/>
          <w:kern w:val="0"/>
          <w:sz w:val="30"/>
          <w:szCs w:val="30"/>
        </w:rPr>
      </w:pPr>
    </w:p>
    <w:p w14:paraId="41B3B9DB">
      <w:pPr>
        <w:pStyle w:val="16"/>
        <w:rPr>
          <w:rFonts w:hint="eastAsia" w:ascii="宋体" w:hAnsi="宋体" w:eastAsia="宋体" w:cs="宋体"/>
          <w:color w:val="auto"/>
        </w:rPr>
      </w:pPr>
    </w:p>
    <w:p w14:paraId="75E4E9AC">
      <w:pPr>
        <w:snapToGrid w:val="0"/>
        <w:jc w:val="center"/>
        <w:rPr>
          <w:rFonts w:hint="eastAsia" w:ascii="宋体" w:hAnsi="宋体" w:eastAsia="宋体" w:cs="宋体"/>
          <w:b/>
          <w:color w:val="auto"/>
          <w:sz w:val="24"/>
        </w:rPr>
      </w:pPr>
      <w:r>
        <w:rPr>
          <w:rFonts w:hint="eastAsia" w:ascii="宋体" w:hAnsi="宋体" w:eastAsia="宋体" w:cs="宋体"/>
          <w:b/>
          <w:color w:val="auto"/>
          <w:kern w:val="0"/>
          <w:sz w:val="30"/>
          <w:szCs w:val="30"/>
        </w:rPr>
        <w:t>供应商直接管理关系信息表</w:t>
      </w:r>
    </w:p>
    <w:tbl>
      <w:tblPr>
        <w:tblStyle w:val="18"/>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9FBFDA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9840CB">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D64747">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860D37">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FA85B3">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7E1AFF5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D69912">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20031D">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D9E0E4">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ECA8F7">
            <w:pPr>
              <w:widowControl/>
              <w:spacing w:line="360" w:lineRule="auto"/>
              <w:contextualSpacing/>
              <w:jc w:val="center"/>
              <w:rPr>
                <w:rFonts w:hint="eastAsia" w:ascii="宋体" w:hAnsi="宋体" w:eastAsia="宋体" w:cs="宋体"/>
                <w:color w:val="auto"/>
                <w:kern w:val="0"/>
                <w:sz w:val="24"/>
              </w:rPr>
            </w:pPr>
          </w:p>
        </w:tc>
      </w:tr>
      <w:tr w14:paraId="43BE396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F1A3DE">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58595E">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F66B0C">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EB9B1F">
            <w:pPr>
              <w:widowControl/>
              <w:spacing w:line="360" w:lineRule="auto"/>
              <w:contextualSpacing/>
              <w:jc w:val="center"/>
              <w:rPr>
                <w:rFonts w:hint="eastAsia" w:ascii="宋体" w:hAnsi="宋体" w:eastAsia="宋体" w:cs="宋体"/>
                <w:color w:val="auto"/>
                <w:kern w:val="0"/>
                <w:sz w:val="24"/>
              </w:rPr>
            </w:pPr>
          </w:p>
        </w:tc>
      </w:tr>
      <w:tr w14:paraId="4F27E7B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D70526">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3944B2">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AF88FA">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2F5689">
            <w:pPr>
              <w:widowControl/>
              <w:spacing w:line="360" w:lineRule="auto"/>
              <w:contextualSpacing/>
              <w:jc w:val="center"/>
              <w:rPr>
                <w:rFonts w:hint="eastAsia" w:ascii="宋体" w:hAnsi="宋体" w:eastAsia="宋体" w:cs="宋体"/>
                <w:color w:val="auto"/>
                <w:kern w:val="0"/>
                <w:sz w:val="24"/>
              </w:rPr>
            </w:pPr>
          </w:p>
        </w:tc>
      </w:tr>
    </w:tbl>
    <w:p w14:paraId="54240C7A">
      <w:pPr>
        <w:spacing w:line="400" w:lineRule="exact"/>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注：1.管理关系：是指不具有出资持股关系的其他单位之间存在的管理与被管理关系，如一些上下级关系的事业单位和团体组织。</w:t>
      </w:r>
    </w:p>
    <w:p w14:paraId="7426ECA1">
      <w:pPr>
        <w:spacing w:line="400" w:lineRule="exact"/>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2.本表所指的管理关系仅限于直接管理关系，不包括间接的管理关系。</w:t>
      </w:r>
    </w:p>
    <w:p w14:paraId="0760D606">
      <w:pPr>
        <w:spacing w:line="400" w:lineRule="exact"/>
        <w:ind w:firstLine="482" w:firstLineChars="200"/>
        <w:contextualSpacing/>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3.供应商不存在直接管理关系的，则填“无”。</w:t>
      </w:r>
    </w:p>
    <w:p w14:paraId="221BA1F6">
      <w:pPr>
        <w:autoSpaceDE w:val="0"/>
        <w:autoSpaceDN w:val="0"/>
        <w:spacing w:line="360" w:lineRule="auto"/>
        <w:rPr>
          <w:rFonts w:hint="eastAsia" w:ascii="宋体" w:hAnsi="宋体" w:eastAsia="宋体" w:cs="宋体"/>
          <w:color w:val="auto"/>
          <w:kern w:val="0"/>
          <w:sz w:val="24"/>
        </w:rPr>
      </w:pPr>
    </w:p>
    <w:p w14:paraId="35F00895">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2A97FB4E">
      <w:pPr>
        <w:spacing w:line="360" w:lineRule="auto"/>
        <w:ind w:right="480" w:firstLine="240" w:firstLineChars="100"/>
        <w:contextualSpacing/>
        <w:jc w:val="center"/>
        <w:rPr>
          <w:rFonts w:hint="eastAsia" w:ascii="宋体" w:hAnsi="宋体" w:eastAsia="宋体" w:cs="宋体"/>
          <w:color w:val="auto"/>
          <w:sz w:val="28"/>
          <w:szCs w:val="28"/>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日期：  年  月   日</w:t>
      </w:r>
      <w:r>
        <w:rPr>
          <w:rFonts w:hint="eastAsia" w:ascii="宋体" w:hAnsi="宋体" w:eastAsia="宋体" w:cs="宋体"/>
          <w:color w:val="auto"/>
          <w:sz w:val="24"/>
        </w:rPr>
        <w:t xml:space="preserve">   </w:t>
      </w:r>
    </w:p>
    <w:p w14:paraId="19A2ECFF">
      <w:pPr>
        <w:spacing w:line="320" w:lineRule="exact"/>
        <w:ind w:firstLine="602" w:firstLineChars="200"/>
        <w:jc w:val="left"/>
        <w:rPr>
          <w:rFonts w:hint="eastAsia" w:ascii="宋体" w:hAnsi="宋体" w:eastAsia="宋体" w:cs="宋体"/>
          <w:color w:val="auto"/>
          <w:sz w:val="28"/>
          <w:szCs w:val="28"/>
        </w:rPr>
      </w:pPr>
      <w:r>
        <w:rPr>
          <w:rFonts w:hint="eastAsia" w:ascii="宋体" w:hAnsi="宋体" w:eastAsia="宋体" w:cs="宋体"/>
          <w:b/>
          <w:color w:val="auto"/>
          <w:kern w:val="0"/>
          <w:sz w:val="30"/>
          <w:szCs w:val="30"/>
        </w:rPr>
        <w:t>5.</w:t>
      </w:r>
      <w:r>
        <w:rPr>
          <w:rFonts w:hint="eastAsia" w:ascii="宋体" w:hAnsi="宋体" w:eastAsia="宋体" w:cs="宋体"/>
          <w:b/>
          <w:bCs/>
          <w:color w:val="auto"/>
          <w:kern w:val="0"/>
          <w:sz w:val="30"/>
          <w:szCs w:val="30"/>
        </w:rPr>
        <w:t>资格声明函（加盖供应商电子签章）</w:t>
      </w:r>
    </w:p>
    <w:p w14:paraId="5C168E21">
      <w:pPr>
        <w:spacing w:line="320" w:lineRule="exact"/>
        <w:jc w:val="center"/>
        <w:rPr>
          <w:rFonts w:hint="eastAsia" w:ascii="宋体" w:hAnsi="宋体" w:eastAsia="宋体" w:cs="宋体"/>
          <w:b/>
          <w:color w:val="auto"/>
          <w:sz w:val="32"/>
          <w:szCs w:val="32"/>
        </w:rPr>
      </w:pPr>
    </w:p>
    <w:p w14:paraId="661DB358">
      <w:pPr>
        <w:spacing w:line="44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资格声明函</w:t>
      </w:r>
    </w:p>
    <w:p w14:paraId="3F3B7D64">
      <w:pPr>
        <w:spacing w:line="320" w:lineRule="exact"/>
        <w:jc w:val="center"/>
        <w:rPr>
          <w:rFonts w:hint="eastAsia" w:ascii="宋体" w:hAnsi="宋体" w:eastAsia="宋体" w:cs="宋体"/>
          <w:color w:val="auto"/>
          <w:sz w:val="24"/>
          <w:szCs w:val="20"/>
        </w:rPr>
      </w:pPr>
    </w:p>
    <w:p w14:paraId="603CB81A">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（采购代理机构名称）</w:t>
      </w:r>
      <w:r>
        <w:rPr>
          <w:rFonts w:hint="eastAsia" w:ascii="宋体" w:hAnsi="宋体" w:eastAsia="宋体" w:cs="宋体"/>
          <w:color w:val="auto"/>
          <w:sz w:val="24"/>
        </w:rPr>
        <w:t>：</w:t>
      </w:r>
    </w:p>
    <w:p w14:paraId="35C404E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u w:val="single"/>
        </w:rPr>
        <w:t>（供应商名称）</w:t>
      </w:r>
      <w:r>
        <w:rPr>
          <w:rFonts w:hint="eastAsia" w:ascii="宋体" w:hAnsi="宋体" w:eastAsia="宋体" w:cs="宋体"/>
          <w:color w:val="auto"/>
          <w:sz w:val="24"/>
        </w:rPr>
        <w:t>系中华人民共和国合法供应商，经营地址</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D15B3A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我方愿意参加贵方组织的</w:t>
      </w:r>
      <w:r>
        <w:rPr>
          <w:rFonts w:hint="eastAsia" w:ascii="宋体" w:hAnsi="宋体" w:eastAsia="宋体" w:cs="宋体"/>
          <w:color w:val="auto"/>
          <w:sz w:val="24"/>
          <w:u w:val="single"/>
        </w:rPr>
        <w:t>（项目名称）</w:t>
      </w:r>
      <w:r>
        <w:rPr>
          <w:rFonts w:hint="eastAsia" w:ascii="宋体" w:hAnsi="宋体" w:eastAsia="宋体" w:cs="宋体"/>
          <w:color w:val="auto"/>
          <w:sz w:val="24"/>
        </w:rPr>
        <w:t>项目的竞标，为便于贵方公正、择优地确定成交供应商及其竞标产品和服务，我方就本次竞标有关事项郑重声明如下：</w:t>
      </w:r>
    </w:p>
    <w:p w14:paraId="67DE4704">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1.我方向贵方提交的所有响应文件、资料都是准确的和真实的。</w:t>
      </w:r>
    </w:p>
    <w:p w14:paraId="0851FF2D">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2.我方不是为本次采购项目提供整体设计、规范编制或者项目管理、监理、检测等服务的供应商；在获知本项目采购信息后，与采购人聘请的为此项目提供咨询服务的公司及其附属机构没有任何联系。</w:t>
      </w:r>
    </w:p>
    <w:p w14:paraId="6734C478">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3.在此，我方宣布同意如下：</w:t>
      </w:r>
    </w:p>
    <w:p w14:paraId="0E1B857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（1）将按磋商文件的约定履行合同责任和义务；</w:t>
      </w:r>
    </w:p>
    <w:p w14:paraId="2361B6B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（2）已详细审查全部磋商文件，包括澄清或者更正公告（如有）；</w:t>
      </w:r>
    </w:p>
    <w:p w14:paraId="256A5D4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（3）同意提供按照贵方可能要求的与谈判有关的一切数据或者资料；</w:t>
      </w:r>
    </w:p>
    <w:p w14:paraId="7A224E5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（4）响应磋商文件规定的竞标有效期。</w:t>
      </w:r>
    </w:p>
    <w:p w14:paraId="12F20A5E">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4.我方承诺符合《中华人民共和国政府采购法》第二十二条规定：</w:t>
      </w:r>
    </w:p>
    <w:p w14:paraId="65E6160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（1）具有独立承担民事责任的能力；</w:t>
      </w:r>
    </w:p>
    <w:p w14:paraId="22E2F08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（2）具有良好的商业信誉和健全的财务会计制度；</w:t>
      </w:r>
    </w:p>
    <w:p w14:paraId="61FB582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1A1F599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3AA99C3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（5）参加政府采购活动前</w:t>
      </w:r>
      <w:r>
        <w:rPr>
          <w:rFonts w:hint="eastAsia" w:ascii="宋体" w:hAnsi="宋体" w:eastAsia="宋体" w:cs="宋体"/>
          <w:dstrike/>
          <w:color w:val="auto"/>
          <w:sz w:val="24"/>
        </w:rPr>
        <w:t>三</w:t>
      </w:r>
      <w:r>
        <w:rPr>
          <w:rFonts w:hint="eastAsia" w:ascii="宋体" w:hAnsi="宋体" w:eastAsia="宋体" w:cs="宋体"/>
          <w:b/>
          <w:color w:val="auto"/>
          <w:sz w:val="30"/>
          <w:szCs w:val="30"/>
        </w:rPr>
        <w:t>一</w:t>
      </w:r>
      <w:r>
        <w:rPr>
          <w:rFonts w:hint="eastAsia" w:ascii="宋体" w:hAnsi="宋体" w:eastAsia="宋体" w:cs="宋体"/>
          <w:color w:val="auto"/>
          <w:sz w:val="24"/>
        </w:rPr>
        <w:t>年内，在经营活动中没有重大违法记录；</w:t>
      </w:r>
    </w:p>
    <w:p w14:paraId="60096102">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（6）法律、行政法规规定的其他条件。</w:t>
      </w:r>
    </w:p>
    <w:p w14:paraId="48CE5D4C">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629948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C187CF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□我方本次响应文件</w:t>
      </w:r>
      <w:r>
        <w:rPr>
          <w:rFonts w:hint="eastAsia" w:ascii="宋体" w:hAnsi="宋体" w:eastAsia="宋体" w:cs="宋体"/>
          <w:color w:val="auto"/>
          <w:kern w:val="0"/>
          <w:sz w:val="24"/>
        </w:rPr>
        <w:t>内容中</w:t>
      </w:r>
      <w:r>
        <w:rPr>
          <w:rFonts w:hint="eastAsia" w:ascii="宋体" w:hAnsi="宋体" w:eastAsia="宋体" w:cs="宋体"/>
          <w:color w:val="auto"/>
          <w:sz w:val="24"/>
        </w:rPr>
        <w:t>未</w:t>
      </w:r>
      <w:r>
        <w:rPr>
          <w:rFonts w:hint="eastAsia" w:ascii="宋体" w:hAnsi="宋体" w:eastAsia="宋体" w:cs="宋体"/>
          <w:color w:val="auto"/>
          <w:kern w:val="0"/>
          <w:sz w:val="24"/>
        </w:rPr>
        <w:t>涉及商业秘密；</w:t>
      </w:r>
    </w:p>
    <w:p w14:paraId="7FCC29C2">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□我方本次响应文件</w:t>
      </w:r>
      <w:r>
        <w:rPr>
          <w:rFonts w:hint="eastAsia" w:ascii="宋体" w:hAnsi="宋体" w:eastAsia="宋体" w:cs="宋体"/>
          <w:color w:val="auto"/>
          <w:kern w:val="0"/>
          <w:sz w:val="24"/>
        </w:rPr>
        <w:t>涉及商业秘密的内容有：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1508B694">
      <w:pPr>
        <w:tabs>
          <w:tab w:val="left" w:pos="939"/>
        </w:tabs>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kern w:val="0"/>
          <w:sz w:val="24"/>
        </w:rPr>
        <w:t>7.</w:t>
      </w:r>
      <w:r>
        <w:rPr>
          <w:rFonts w:hint="eastAsia" w:ascii="宋体" w:hAnsi="宋体" w:eastAsia="宋体" w:cs="宋体"/>
          <w:color w:val="auto"/>
          <w:sz w:val="24"/>
        </w:rPr>
        <w:t>以上事项如有虚假或者隐瞒，我方愿意承担一切后果，并不再寻求任何旨在减轻或者免除法律责任的辩解。</w:t>
      </w:r>
    </w:p>
    <w:p w14:paraId="19F37253">
      <w:pPr>
        <w:tabs>
          <w:tab w:val="left" w:pos="939"/>
        </w:tabs>
        <w:spacing w:line="360" w:lineRule="auto"/>
        <w:ind w:left="141" w:leftChars="67" w:firstLine="360" w:firstLineChars="150"/>
        <w:contextualSpacing/>
        <w:rPr>
          <w:rFonts w:hint="eastAsia" w:ascii="宋体" w:hAnsi="宋体" w:eastAsia="宋体" w:cs="宋体"/>
          <w:color w:val="auto"/>
          <w:sz w:val="24"/>
        </w:rPr>
      </w:pPr>
      <w:r>
        <w:rPr>
          <w:rFonts w:hint="eastAsia" w:ascii="宋体" w:hAnsi="宋体" w:eastAsia="宋体" w:cs="宋体"/>
          <w:color w:val="auto"/>
          <w:sz w:val="24"/>
        </w:rPr>
        <w:t>特此承诺。</w:t>
      </w:r>
    </w:p>
    <w:p w14:paraId="7752B124">
      <w:pPr>
        <w:tabs>
          <w:tab w:val="left" w:pos="939"/>
        </w:tabs>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注：如为联合体竞标，盖章处须加盖联合体各方公章并由联合体各方法定代表人签署，否则其响应文件按无效响应处理。</w:t>
      </w:r>
    </w:p>
    <w:p w14:paraId="27347EA6">
      <w:pPr>
        <w:tabs>
          <w:tab w:val="left" w:pos="939"/>
        </w:tabs>
        <w:spacing w:line="360" w:lineRule="auto"/>
        <w:ind w:firstLine="480" w:firstLineChars="200"/>
        <w:contextualSpacing/>
        <w:rPr>
          <w:rFonts w:hint="eastAsia" w:ascii="宋体" w:hAnsi="宋体" w:eastAsia="宋体" w:cs="宋体"/>
          <w:color w:val="auto"/>
          <w:sz w:val="24"/>
        </w:rPr>
      </w:pPr>
    </w:p>
    <w:p w14:paraId="098D3BE0">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0CAF45B8">
      <w:pPr>
        <w:autoSpaceDE w:val="0"/>
        <w:autoSpaceDN w:val="0"/>
        <w:spacing w:line="360" w:lineRule="auto"/>
        <w:ind w:firstLine="6120" w:firstLineChars="2550"/>
        <w:rPr>
          <w:rFonts w:hint="eastAsia" w:ascii="宋体" w:hAnsi="宋体" w:eastAsia="宋体" w:cs="宋体"/>
          <w:color w:val="auto"/>
          <w:kern w:val="0"/>
          <w:sz w:val="24"/>
          <w:lang w:val="zh-CN"/>
        </w:rPr>
        <w:sectPr>
          <w:pgSz w:w="11910" w:h="16840"/>
          <w:pgMar w:top="1340" w:right="1500" w:bottom="280" w:left="1680" w:header="720" w:footer="720" w:gutter="0"/>
          <w:cols w:space="720" w:num="1"/>
        </w:sectPr>
      </w:pPr>
      <w:r>
        <w:rPr>
          <w:rFonts w:hint="eastAsia" w:ascii="宋体" w:hAnsi="宋体" w:eastAsia="宋体" w:cs="宋体"/>
          <w:color w:val="auto"/>
          <w:kern w:val="0"/>
          <w:sz w:val="24"/>
          <w:lang w:val="zh-CN"/>
        </w:rPr>
        <w:t>日期：  年  月   日</w:t>
      </w:r>
    </w:p>
    <w:p w14:paraId="276F5FE4">
      <w:pPr>
        <w:keepNext/>
        <w:keepLines/>
        <w:spacing w:before="260" w:after="260" w:line="416" w:lineRule="auto"/>
        <w:jc w:val="center"/>
        <w:outlineLvl w:val="1"/>
        <w:rPr>
          <w:rFonts w:hint="eastAsia" w:ascii="宋体" w:hAnsi="宋体" w:eastAsia="宋体" w:cs="宋体"/>
          <w:bCs/>
          <w:color w:val="auto"/>
          <w:sz w:val="32"/>
          <w:szCs w:val="32"/>
        </w:rPr>
      </w:pPr>
      <w:bookmarkStart w:id="86" w:name="_Toc680"/>
      <w:bookmarkStart w:id="87" w:name="_Toc22058"/>
      <w:bookmarkStart w:id="88" w:name="_Toc80205940"/>
      <w:bookmarkStart w:id="89" w:name="_Toc9983"/>
      <w:bookmarkStart w:id="90" w:name="_Toc87345243"/>
      <w:r>
        <w:rPr>
          <w:rFonts w:hint="eastAsia" w:ascii="宋体" w:hAnsi="宋体" w:eastAsia="宋体" w:cs="宋体"/>
          <w:bCs/>
          <w:color w:val="auto"/>
          <w:sz w:val="32"/>
          <w:szCs w:val="32"/>
        </w:rPr>
        <w:t>第二节 商务技术文件格式</w:t>
      </w:r>
      <w:bookmarkEnd w:id="86"/>
      <w:bookmarkEnd w:id="87"/>
      <w:bookmarkEnd w:id="88"/>
      <w:bookmarkEnd w:id="89"/>
      <w:bookmarkEnd w:id="90"/>
    </w:p>
    <w:p w14:paraId="54F2CD8C">
      <w:pPr>
        <w:snapToGrid w:val="0"/>
        <w:spacing w:before="120"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全流程电子文件</w:t>
      </w:r>
    </w:p>
    <w:p w14:paraId="574D361B">
      <w:pPr>
        <w:snapToGrid w:val="0"/>
        <w:spacing w:before="120" w:beforeLines="50" w:after="50"/>
        <w:rPr>
          <w:rFonts w:hint="eastAsia" w:ascii="宋体" w:hAnsi="宋体" w:eastAsia="宋体" w:cs="宋体"/>
          <w:color w:val="auto"/>
          <w:sz w:val="24"/>
          <w:szCs w:val="20"/>
        </w:rPr>
      </w:pPr>
    </w:p>
    <w:p w14:paraId="7AD84B05">
      <w:pPr>
        <w:snapToGrid w:val="0"/>
        <w:spacing w:before="120" w:beforeLines="50" w:after="50"/>
        <w:rPr>
          <w:rFonts w:hint="eastAsia" w:ascii="宋体" w:hAnsi="宋体" w:eastAsia="宋体" w:cs="宋体"/>
          <w:color w:val="auto"/>
          <w:sz w:val="24"/>
          <w:szCs w:val="20"/>
        </w:rPr>
      </w:pPr>
    </w:p>
    <w:p w14:paraId="2DD41042">
      <w:pPr>
        <w:snapToGrid w:val="0"/>
        <w:spacing w:before="120" w:beforeLines="50" w:after="50"/>
        <w:rPr>
          <w:rFonts w:hint="eastAsia" w:ascii="宋体" w:hAnsi="宋体" w:eastAsia="宋体" w:cs="宋体"/>
          <w:color w:val="auto"/>
          <w:sz w:val="24"/>
          <w:szCs w:val="20"/>
        </w:rPr>
      </w:pPr>
    </w:p>
    <w:p w14:paraId="4256FCA1">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商  务  技  术  文  件（封面）</w:t>
      </w:r>
    </w:p>
    <w:p w14:paraId="4B877E57">
      <w:pPr>
        <w:snapToGrid w:val="0"/>
        <w:spacing w:before="120" w:beforeLines="50" w:after="50"/>
        <w:rPr>
          <w:rFonts w:hint="eastAsia" w:ascii="宋体" w:hAnsi="宋体" w:eastAsia="宋体" w:cs="宋体"/>
          <w:bCs/>
          <w:color w:val="auto"/>
          <w:sz w:val="24"/>
          <w:szCs w:val="20"/>
        </w:rPr>
      </w:pPr>
    </w:p>
    <w:p w14:paraId="79260B86">
      <w:pPr>
        <w:snapToGrid w:val="0"/>
        <w:spacing w:before="120" w:beforeLines="50" w:after="50"/>
        <w:rPr>
          <w:rFonts w:hint="eastAsia" w:ascii="宋体" w:hAnsi="宋体" w:eastAsia="宋体" w:cs="宋体"/>
          <w:bCs/>
          <w:color w:val="auto"/>
          <w:sz w:val="24"/>
          <w:szCs w:val="20"/>
        </w:rPr>
      </w:pPr>
    </w:p>
    <w:p w14:paraId="64725BDF">
      <w:pPr>
        <w:snapToGrid w:val="0"/>
        <w:spacing w:before="120" w:beforeLines="50" w:after="50"/>
        <w:rPr>
          <w:rFonts w:hint="eastAsia" w:ascii="宋体" w:hAnsi="宋体" w:eastAsia="宋体" w:cs="宋体"/>
          <w:bCs/>
          <w:color w:val="auto"/>
          <w:sz w:val="24"/>
          <w:szCs w:val="20"/>
        </w:rPr>
      </w:pPr>
    </w:p>
    <w:p w14:paraId="6845476D">
      <w:pPr>
        <w:snapToGrid w:val="0"/>
        <w:spacing w:before="120" w:beforeLines="50" w:after="50"/>
        <w:rPr>
          <w:rFonts w:hint="eastAsia" w:ascii="宋体" w:hAnsi="宋体" w:eastAsia="宋体" w:cs="宋体"/>
          <w:bCs/>
          <w:color w:val="auto"/>
          <w:sz w:val="24"/>
          <w:szCs w:val="20"/>
        </w:rPr>
      </w:pPr>
    </w:p>
    <w:p w14:paraId="7A31A4DD">
      <w:pPr>
        <w:snapToGrid w:val="0"/>
        <w:spacing w:before="120" w:beforeLines="50" w:after="50"/>
        <w:rPr>
          <w:rFonts w:hint="eastAsia" w:ascii="宋体" w:hAnsi="宋体" w:eastAsia="宋体" w:cs="宋体"/>
          <w:bCs/>
          <w:color w:val="auto"/>
          <w:sz w:val="24"/>
          <w:szCs w:val="20"/>
        </w:rPr>
      </w:pPr>
    </w:p>
    <w:p w14:paraId="2234763D">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2B706916">
      <w:pPr>
        <w:snapToGrid w:val="0"/>
        <w:spacing w:before="120" w:beforeLines="50" w:after="50"/>
        <w:ind w:firstLine="720" w:firstLineChars="225"/>
        <w:rPr>
          <w:rFonts w:hint="eastAsia" w:ascii="宋体" w:hAnsi="宋体" w:eastAsia="宋体" w:cs="宋体"/>
          <w:bCs/>
          <w:color w:val="auto"/>
          <w:sz w:val="32"/>
          <w:szCs w:val="32"/>
        </w:rPr>
      </w:pPr>
    </w:p>
    <w:p w14:paraId="14A73C91">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项目编号：</w:t>
      </w:r>
    </w:p>
    <w:p w14:paraId="412D961D">
      <w:pPr>
        <w:snapToGrid w:val="0"/>
        <w:spacing w:before="120" w:beforeLines="50" w:after="50"/>
        <w:ind w:firstLine="720" w:firstLineChars="225"/>
        <w:rPr>
          <w:rFonts w:hint="eastAsia" w:ascii="宋体" w:hAnsi="宋体" w:eastAsia="宋体" w:cs="宋体"/>
          <w:bCs/>
          <w:color w:val="auto"/>
          <w:sz w:val="32"/>
          <w:szCs w:val="32"/>
        </w:rPr>
      </w:pPr>
    </w:p>
    <w:p w14:paraId="7C4E0D83">
      <w:pPr>
        <w:snapToGrid w:val="0"/>
        <w:spacing w:before="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7FD8DC65">
      <w:pPr>
        <w:snapToGrid w:val="0"/>
        <w:spacing w:before="50" w:after="50"/>
        <w:ind w:firstLine="720" w:firstLineChars="225"/>
        <w:rPr>
          <w:rFonts w:hint="eastAsia" w:ascii="宋体" w:hAnsi="宋体" w:eastAsia="宋体" w:cs="宋体"/>
          <w:bCs/>
          <w:color w:val="auto"/>
          <w:sz w:val="32"/>
          <w:szCs w:val="32"/>
        </w:rPr>
      </w:pPr>
    </w:p>
    <w:p w14:paraId="3C0798F2">
      <w:pPr>
        <w:snapToGrid w:val="0"/>
        <w:spacing w:before="50" w:after="50"/>
        <w:ind w:firstLine="720" w:firstLineChars="225"/>
        <w:rPr>
          <w:rFonts w:hint="eastAsia" w:ascii="宋体" w:hAnsi="宋体" w:eastAsia="宋体" w:cs="宋体"/>
          <w:bCs/>
          <w:color w:val="auto"/>
          <w:sz w:val="32"/>
          <w:szCs w:val="32"/>
        </w:rPr>
      </w:pPr>
    </w:p>
    <w:p w14:paraId="5FBA6F31">
      <w:pPr>
        <w:snapToGrid w:val="0"/>
        <w:spacing w:before="50" w:after="50"/>
        <w:ind w:firstLine="1280" w:firstLineChars="400"/>
        <w:rPr>
          <w:rFonts w:hint="eastAsia" w:ascii="宋体" w:hAnsi="宋体" w:eastAsia="宋体" w:cs="宋体"/>
          <w:bCs/>
          <w:color w:val="auto"/>
          <w:sz w:val="32"/>
          <w:szCs w:val="32"/>
        </w:rPr>
      </w:pPr>
    </w:p>
    <w:p w14:paraId="442E2A5E">
      <w:pPr>
        <w:snapToGrid w:val="0"/>
        <w:spacing w:before="120" w:beforeLines="50" w:after="50"/>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1CD85C07">
      <w:pPr>
        <w:snapToGrid w:val="0"/>
        <w:spacing w:before="120" w:beforeLines="50" w:after="50" w:line="360" w:lineRule="auto"/>
        <w:ind w:left="142" w:firstLine="643" w:firstLineChars="200"/>
        <w:jc w:val="left"/>
        <w:rPr>
          <w:rFonts w:hint="eastAsia" w:ascii="宋体" w:hAnsi="宋体" w:eastAsia="宋体" w:cs="宋体"/>
          <w:b/>
          <w:bCs/>
          <w:color w:val="auto"/>
          <w:sz w:val="32"/>
          <w:szCs w:val="32"/>
        </w:rPr>
        <w:sectPr>
          <w:footerReference r:id="rId16" w:type="default"/>
          <w:pgSz w:w="11910" w:h="16840"/>
          <w:pgMar w:top="1340" w:right="1500" w:bottom="280" w:left="1680" w:header="720" w:footer="720" w:gutter="0"/>
          <w:cols w:space="720" w:num="1"/>
        </w:sectPr>
      </w:pPr>
    </w:p>
    <w:p w14:paraId="45A83E27">
      <w:pPr>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商务技术文件目录</w:t>
      </w:r>
    </w:p>
    <w:p w14:paraId="349BA391">
      <w:pPr>
        <w:jc w:val="center"/>
        <w:rPr>
          <w:rFonts w:hint="eastAsia" w:ascii="宋体" w:hAnsi="宋体" w:eastAsia="宋体" w:cs="宋体"/>
          <w:b/>
          <w:color w:val="auto"/>
          <w:kern w:val="0"/>
          <w:sz w:val="28"/>
          <w:szCs w:val="28"/>
        </w:rPr>
      </w:pPr>
    </w:p>
    <w:p w14:paraId="68B79D0C">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一、无串标行为承诺函………………………………………………………（页码）</w:t>
      </w:r>
    </w:p>
    <w:p w14:paraId="1C46043D">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二、法定代表人身份证明及法定代表人有效身份证正反面复印件………（页码）</w:t>
      </w:r>
    </w:p>
    <w:p w14:paraId="780C836E">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三、法定代表人授权委托书（如有委托时）………………………………（页码）</w:t>
      </w:r>
    </w:p>
    <w:p w14:paraId="446DA563">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四、</w:t>
      </w:r>
      <w:r>
        <w:rPr>
          <w:rFonts w:hint="eastAsia" w:ascii="宋体" w:hAnsi="宋体" w:eastAsia="宋体" w:cs="宋体"/>
          <w:color w:val="auto"/>
          <w:sz w:val="24"/>
          <w:lang w:val="zh-CN"/>
        </w:rPr>
        <w:t>商务条款偏离表………………………………</w:t>
      </w:r>
      <w:r>
        <w:rPr>
          <w:rFonts w:hint="eastAsia" w:ascii="宋体" w:hAnsi="宋体" w:eastAsia="宋体" w:cs="宋体"/>
          <w:color w:val="auto"/>
          <w:sz w:val="24"/>
        </w:rPr>
        <w:t>…………………………（页码）</w:t>
      </w:r>
    </w:p>
    <w:p w14:paraId="60CBEB62">
      <w:pPr>
        <w:adjustRightInd w:val="0"/>
        <w:spacing w:line="360" w:lineRule="auto"/>
        <w:ind w:left="2" w:firstLine="480" w:firstLineChars="200"/>
        <w:rPr>
          <w:rFonts w:hint="eastAsia" w:ascii="宋体" w:hAnsi="宋体" w:eastAsia="宋体" w:cs="宋体"/>
          <w:color w:val="auto"/>
          <w:sz w:val="24"/>
        </w:rPr>
      </w:pPr>
      <w:bookmarkStart w:id="91" w:name="OLE_LINK6"/>
      <w:bookmarkStart w:id="92" w:name="OLE_LINK7"/>
      <w:bookmarkStart w:id="93" w:name="OLE_LINK5"/>
      <w:r>
        <w:rPr>
          <w:rFonts w:hint="eastAsia" w:ascii="宋体" w:hAnsi="宋体" w:eastAsia="宋体" w:cs="宋体"/>
          <w:color w:val="auto"/>
          <w:sz w:val="24"/>
        </w:rPr>
        <w:t>五、供应商情况介绍</w:t>
      </w:r>
      <w:r>
        <w:rPr>
          <w:rFonts w:hint="eastAsia" w:ascii="宋体" w:hAnsi="宋体" w:eastAsia="宋体" w:cs="宋体"/>
          <w:color w:val="auto"/>
          <w:sz w:val="24"/>
          <w:lang w:val="zh-CN"/>
        </w:rPr>
        <w:t>………………………………</w:t>
      </w:r>
      <w:r>
        <w:rPr>
          <w:rFonts w:hint="eastAsia" w:ascii="宋体" w:hAnsi="宋体" w:eastAsia="宋体" w:cs="宋体"/>
          <w:color w:val="auto"/>
          <w:sz w:val="24"/>
        </w:rPr>
        <w:t>…………………………（页码）</w:t>
      </w:r>
    </w:p>
    <w:p w14:paraId="68EE6A31">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六、供应商认为需要提供的其他有关资料（如类似业绩的证明文件等）</w:t>
      </w:r>
      <w:r>
        <w:rPr>
          <w:rFonts w:hint="eastAsia" w:ascii="宋体" w:hAnsi="宋体" w:eastAsia="宋体" w:cs="宋体"/>
          <w:color w:val="auto"/>
          <w:sz w:val="24"/>
          <w:lang w:val="zh-CN"/>
        </w:rPr>
        <w:t>…………………………………………………………………………………</w:t>
      </w:r>
      <w:r>
        <w:rPr>
          <w:rFonts w:hint="eastAsia" w:ascii="宋体" w:hAnsi="宋体" w:eastAsia="宋体" w:cs="宋体"/>
          <w:color w:val="auto"/>
          <w:sz w:val="24"/>
        </w:rPr>
        <w:t>（页码）</w:t>
      </w:r>
      <w:bookmarkEnd w:id="91"/>
      <w:bookmarkEnd w:id="92"/>
    </w:p>
    <w:bookmarkEnd w:id="93"/>
    <w:p w14:paraId="09C1F5C4">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七、服务需求偏离表…………………………………………………………（页码）</w:t>
      </w:r>
    </w:p>
    <w:p w14:paraId="5B033430">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八、服务方案…………………………………………………………………（页码）</w:t>
      </w:r>
    </w:p>
    <w:p w14:paraId="3E0BE6BA">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九、</w:t>
      </w:r>
      <w:r>
        <w:rPr>
          <w:rFonts w:hint="eastAsia" w:ascii="宋体" w:hAnsi="宋体" w:eastAsia="宋体" w:cs="宋体"/>
          <w:color w:val="auto"/>
          <w:sz w:val="24"/>
          <w:lang w:val="zh-CN"/>
        </w:rPr>
        <w:t>项目实施人员一览表………………………………</w:t>
      </w:r>
      <w:r>
        <w:rPr>
          <w:rFonts w:hint="eastAsia" w:ascii="宋体" w:hAnsi="宋体" w:eastAsia="宋体" w:cs="宋体"/>
          <w:color w:val="auto"/>
          <w:sz w:val="24"/>
        </w:rPr>
        <w:t>……………………（页码）</w:t>
      </w:r>
    </w:p>
    <w:p w14:paraId="69B87ADB">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十、对应采购需求的服务需求、商务条款提供的其他文件资料</w:t>
      </w:r>
      <w:r>
        <w:rPr>
          <w:rFonts w:hint="eastAsia" w:ascii="宋体" w:hAnsi="宋体" w:eastAsia="宋体" w:cs="宋体"/>
          <w:color w:val="auto"/>
          <w:sz w:val="24"/>
          <w:lang w:val="zh-CN"/>
        </w:rPr>
        <w:t>…………………</w:t>
      </w:r>
      <w:r>
        <w:rPr>
          <w:rFonts w:hint="eastAsia" w:ascii="宋体" w:hAnsi="宋体" w:eastAsia="宋体" w:cs="宋体"/>
          <w:color w:val="auto"/>
          <w:sz w:val="24"/>
        </w:rPr>
        <w:t>…………………………………………………………………（页码）</w:t>
      </w:r>
    </w:p>
    <w:p w14:paraId="3EDB14B6">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十一、供应商认为需要提供的其他有关资料………………………………（页码）</w:t>
      </w:r>
    </w:p>
    <w:p w14:paraId="532D93C9">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注：以上目录是基本格式要求，各供应商可根据自身情况进一步向下增加内容或细化。</w:t>
      </w:r>
    </w:p>
    <w:p w14:paraId="4D701913">
      <w:pPr>
        <w:spacing w:line="400" w:lineRule="exact"/>
        <w:rPr>
          <w:rFonts w:hint="eastAsia" w:ascii="宋体" w:hAnsi="宋体" w:eastAsia="宋体" w:cs="宋体"/>
          <w:color w:val="auto"/>
          <w:sz w:val="32"/>
          <w:szCs w:val="32"/>
        </w:rPr>
      </w:pPr>
    </w:p>
    <w:p w14:paraId="0BF6BDC0">
      <w:pPr>
        <w:spacing w:line="520" w:lineRule="exact"/>
        <w:ind w:firstLine="880" w:firstLineChars="200"/>
        <w:rPr>
          <w:rFonts w:hint="eastAsia" w:ascii="宋体" w:hAnsi="宋体" w:eastAsia="宋体" w:cs="宋体"/>
          <w:color w:val="auto"/>
          <w:sz w:val="44"/>
          <w:szCs w:val="44"/>
        </w:rPr>
      </w:pPr>
      <w:r>
        <w:rPr>
          <w:rFonts w:hint="eastAsia" w:ascii="宋体" w:hAnsi="宋体" w:eastAsia="宋体" w:cs="宋体"/>
          <w:color w:val="auto"/>
          <w:sz w:val="44"/>
          <w:szCs w:val="44"/>
        </w:rPr>
        <w:br w:type="page"/>
      </w:r>
      <w:r>
        <w:rPr>
          <w:rFonts w:hint="eastAsia" w:ascii="宋体" w:hAnsi="宋体" w:eastAsia="宋体" w:cs="宋体"/>
          <w:b/>
          <w:color w:val="auto"/>
          <w:sz w:val="30"/>
          <w:szCs w:val="30"/>
        </w:rPr>
        <w:t>一、无串标行为承诺函</w:t>
      </w:r>
    </w:p>
    <w:p w14:paraId="068DBFEC">
      <w:pPr>
        <w:spacing w:line="520" w:lineRule="exact"/>
        <w:jc w:val="center"/>
        <w:rPr>
          <w:rFonts w:hint="eastAsia" w:ascii="宋体" w:hAnsi="宋体" w:eastAsia="宋体" w:cs="宋体"/>
          <w:color w:val="auto"/>
          <w:sz w:val="44"/>
          <w:szCs w:val="44"/>
        </w:rPr>
      </w:pPr>
    </w:p>
    <w:p w14:paraId="067CA8A2">
      <w:pPr>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44"/>
          <w:szCs w:val="44"/>
        </w:rPr>
        <w:t>无串通竞标行为的承诺函</w:t>
      </w:r>
    </w:p>
    <w:p w14:paraId="3C0E7191">
      <w:pPr>
        <w:spacing w:line="520" w:lineRule="exact"/>
        <w:ind w:firstLine="640" w:firstLineChars="200"/>
        <w:rPr>
          <w:rFonts w:hint="eastAsia" w:ascii="宋体" w:hAnsi="宋体" w:eastAsia="宋体" w:cs="宋体"/>
          <w:color w:val="auto"/>
          <w:sz w:val="32"/>
          <w:szCs w:val="32"/>
        </w:rPr>
      </w:pPr>
    </w:p>
    <w:p w14:paraId="23EB769C">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一、我方承诺无下列相互串通竞标的情形：</w:t>
      </w:r>
    </w:p>
    <w:p w14:paraId="4AC5505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 xml:space="preserve">1.不同供应商的响应文件由同一单位或者个人编制； </w:t>
      </w:r>
    </w:p>
    <w:p w14:paraId="140C22F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2.不同供应商委托同一单位或者个人办理竞标事宜；</w:t>
      </w:r>
    </w:p>
    <w:p w14:paraId="1689194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3.不同供应商的响应文件载明的项目管理员为同一个人；</w:t>
      </w:r>
    </w:p>
    <w:p w14:paraId="0EBCF70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4.不</w:t>
      </w:r>
      <w:r>
        <w:rPr>
          <w:rFonts w:hint="eastAsia" w:ascii="宋体" w:hAnsi="宋体" w:eastAsia="宋体" w:cs="宋体"/>
          <w:color w:val="auto"/>
          <w:spacing w:val="-6"/>
          <w:sz w:val="24"/>
        </w:rPr>
        <w:t>同供应商的响应文件异常一致或者响应报价呈规律性差异；</w:t>
      </w:r>
    </w:p>
    <w:p w14:paraId="6811A4A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5.不同供应商的响应文件相互混装；</w:t>
      </w:r>
    </w:p>
    <w:p w14:paraId="07F56DD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6.不同供应商的磋商保证金从同一单位或者个人账户转出。</w:t>
      </w:r>
    </w:p>
    <w:p w14:paraId="5E3672F2">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二、我方承诺无下列恶意串通的情形：</w:t>
      </w:r>
    </w:p>
    <w:p w14:paraId="7181407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1.供应商直接或者间接从采购人或者采购代理机构处获得其他供应商的相关信息并修改其响应文件；</w:t>
      </w:r>
    </w:p>
    <w:p w14:paraId="181B017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2.供应商按照采购人或者采购代理机构的授意撤换、修改响应文件；</w:t>
      </w:r>
    </w:p>
    <w:p w14:paraId="47A9408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3.供</w:t>
      </w:r>
      <w:r>
        <w:rPr>
          <w:rFonts w:hint="eastAsia" w:ascii="宋体" w:hAnsi="宋体" w:eastAsia="宋体" w:cs="宋体"/>
          <w:color w:val="auto"/>
          <w:spacing w:val="-6"/>
          <w:sz w:val="24"/>
        </w:rPr>
        <w:t>应商之间协商报价、技术方案等响应文件的实质性内容；</w:t>
      </w:r>
    </w:p>
    <w:p w14:paraId="74AEA10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4.属于同一集团、协会、商会等组织成员的供应商按照该组织要求协同参加政府采购活动；</w:t>
      </w:r>
    </w:p>
    <w:p w14:paraId="751F7204">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5.供应商之间事先约定一致抬高或者压低响应报价，或者在竞争性磋商项目中事先约定轮流以高价位或者低价位成交，或者事先约定由某一特定供应商成交，然后再参加竞标；</w:t>
      </w:r>
    </w:p>
    <w:p w14:paraId="0171478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6.供应商之间商定部分供应商放弃参加政府采购活动或者放弃成交；</w:t>
      </w:r>
    </w:p>
    <w:p w14:paraId="7528778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7.供应商与采购人或者采购代理机构之间、供应商相互之间，为</w:t>
      </w:r>
      <w:r>
        <w:rPr>
          <w:rFonts w:hint="eastAsia" w:ascii="宋体" w:hAnsi="宋体" w:eastAsia="宋体" w:cs="宋体"/>
          <w:color w:val="auto"/>
          <w:spacing w:val="-6"/>
          <w:sz w:val="24"/>
        </w:rPr>
        <w:t>谋求特定供应商成交或者排斥其他供应商的其他串通行为。</w:t>
      </w:r>
    </w:p>
    <w:p w14:paraId="3815A6A8">
      <w:pPr>
        <w:spacing w:line="360" w:lineRule="auto"/>
        <w:ind w:firstLine="480" w:firstLineChars="200"/>
        <w:contextualSpacing/>
        <w:rPr>
          <w:rFonts w:hint="eastAsia" w:ascii="宋体" w:hAnsi="宋体" w:eastAsia="宋体" w:cs="宋体"/>
          <w:color w:val="auto"/>
          <w:sz w:val="24"/>
        </w:rPr>
      </w:pPr>
    </w:p>
    <w:p w14:paraId="534EF994">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以上情形一经核查属实，我方愿意承担一切后果，并不再寻求任何旨在减轻或者免除法律责任的辩解。</w:t>
      </w:r>
    </w:p>
    <w:p w14:paraId="1F34E900">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6DBC4241">
      <w:pPr>
        <w:spacing w:line="520" w:lineRule="exact"/>
        <w:ind w:left="239" w:leftChars="114" w:firstLine="6120" w:firstLineChars="2550"/>
        <w:jc w:val="left"/>
        <w:rPr>
          <w:rFonts w:hint="eastAsia" w:ascii="宋体" w:hAnsi="宋体" w:eastAsia="宋体" w:cs="宋体"/>
          <w:bCs/>
          <w:color w:val="auto"/>
          <w:sz w:val="44"/>
          <w:szCs w:val="44"/>
        </w:rPr>
      </w:pPr>
      <w:r>
        <w:rPr>
          <w:rFonts w:hint="eastAsia" w:ascii="宋体" w:hAnsi="宋体" w:eastAsia="宋体" w:cs="宋体"/>
          <w:color w:val="auto"/>
          <w:kern w:val="0"/>
          <w:sz w:val="24"/>
          <w:lang w:val="zh-CN"/>
        </w:rPr>
        <w:t xml:space="preserve">日期：  年  月   日   </w:t>
      </w:r>
      <w:r>
        <w:rPr>
          <w:rFonts w:hint="eastAsia" w:ascii="宋体" w:hAnsi="宋体" w:eastAsia="宋体" w:cs="宋体"/>
          <w:b/>
          <w:bCs/>
          <w:color w:val="auto"/>
          <w:sz w:val="32"/>
          <w:szCs w:val="32"/>
        </w:rPr>
        <w:br w:type="page"/>
      </w:r>
      <w:r>
        <w:rPr>
          <w:rFonts w:hint="eastAsia" w:ascii="宋体" w:hAnsi="宋体" w:eastAsia="宋体" w:cs="宋体"/>
          <w:b/>
          <w:color w:val="auto"/>
          <w:sz w:val="30"/>
          <w:szCs w:val="30"/>
        </w:rPr>
        <w:t>二、法定代表人身份证明及法定代表人有效身份证正反面复印件</w:t>
      </w:r>
    </w:p>
    <w:p w14:paraId="73F6A326">
      <w:pPr>
        <w:spacing w:line="520" w:lineRule="exact"/>
        <w:jc w:val="center"/>
        <w:rPr>
          <w:rFonts w:hint="eastAsia" w:ascii="宋体" w:hAnsi="宋体" w:eastAsia="宋体" w:cs="宋体"/>
          <w:bCs/>
          <w:color w:val="auto"/>
          <w:sz w:val="44"/>
          <w:szCs w:val="44"/>
        </w:rPr>
      </w:pPr>
    </w:p>
    <w:p w14:paraId="355F2598">
      <w:pPr>
        <w:spacing w:line="520" w:lineRule="exact"/>
        <w:jc w:val="center"/>
        <w:rPr>
          <w:rFonts w:hint="eastAsia" w:ascii="宋体" w:hAnsi="宋体" w:eastAsia="宋体" w:cs="宋体"/>
          <w:color w:val="auto"/>
          <w:sz w:val="32"/>
          <w:szCs w:val="32"/>
        </w:rPr>
      </w:pPr>
      <w:r>
        <w:rPr>
          <w:rFonts w:hint="eastAsia" w:ascii="宋体" w:hAnsi="宋体" w:eastAsia="宋体" w:cs="宋体"/>
          <w:bCs/>
          <w:color w:val="auto"/>
          <w:sz w:val="44"/>
          <w:szCs w:val="44"/>
        </w:rPr>
        <w:t>法定代表人证明书</w:t>
      </w:r>
    </w:p>
    <w:p w14:paraId="3EA17E24">
      <w:pPr>
        <w:spacing w:line="360" w:lineRule="auto"/>
        <w:ind w:left="540"/>
        <w:contextualSpacing/>
        <w:rPr>
          <w:rFonts w:hint="eastAsia" w:ascii="宋体" w:hAnsi="宋体" w:eastAsia="宋体" w:cs="宋体"/>
          <w:color w:val="auto"/>
          <w:sz w:val="32"/>
          <w:szCs w:val="32"/>
        </w:rPr>
      </w:pPr>
    </w:p>
    <w:p w14:paraId="4E7E85A6">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p>
    <w:p w14:paraId="186AFF78">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60242580">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5019706A">
      <w:pPr>
        <w:spacing w:line="360" w:lineRule="auto"/>
        <w:ind w:left="540"/>
        <w:contextualSpacing/>
        <w:rPr>
          <w:rFonts w:hint="eastAsia" w:ascii="宋体" w:hAnsi="宋体" w:eastAsia="宋体" w:cs="宋体"/>
          <w:color w:val="auto"/>
          <w:sz w:val="24"/>
          <w:u w:val="single"/>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41AE13FA">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1699F0A2">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（供应商名称）</w:t>
      </w:r>
      <w:r>
        <w:rPr>
          <w:rFonts w:hint="eastAsia" w:ascii="宋体" w:hAnsi="宋体" w:eastAsia="宋体" w:cs="宋体"/>
          <w:color w:val="auto"/>
          <w:sz w:val="24"/>
        </w:rPr>
        <w:t>的法定代表人。</w:t>
      </w:r>
    </w:p>
    <w:p w14:paraId="58ED082A">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特此证明。</w:t>
      </w:r>
    </w:p>
    <w:p w14:paraId="3BA8713A">
      <w:pPr>
        <w:spacing w:line="360" w:lineRule="auto"/>
        <w:ind w:left="540"/>
        <w:contextualSpacing/>
        <w:rPr>
          <w:rFonts w:hint="eastAsia" w:ascii="宋体" w:hAnsi="宋体" w:eastAsia="宋体" w:cs="宋体"/>
          <w:color w:val="auto"/>
          <w:sz w:val="24"/>
        </w:rPr>
      </w:pPr>
    </w:p>
    <w:p w14:paraId="3BFDDAD8">
      <w:pPr>
        <w:spacing w:line="360" w:lineRule="auto"/>
        <w:ind w:left="540"/>
        <w:contextualSpacing/>
        <w:rPr>
          <w:rFonts w:hint="eastAsia" w:ascii="宋体" w:hAnsi="宋体" w:eastAsia="宋体" w:cs="宋体"/>
          <w:color w:val="auto"/>
          <w:sz w:val="24"/>
        </w:rPr>
      </w:pPr>
    </w:p>
    <w:p w14:paraId="7000D960">
      <w:pPr>
        <w:spacing w:line="360" w:lineRule="auto"/>
        <w:ind w:left="540"/>
        <w:contextualSpacing/>
        <w:rPr>
          <w:rFonts w:hint="eastAsia" w:ascii="宋体" w:hAnsi="宋体" w:eastAsia="宋体" w:cs="宋体"/>
          <w:color w:val="auto"/>
          <w:sz w:val="24"/>
        </w:rPr>
      </w:pPr>
    </w:p>
    <w:p w14:paraId="74F9ECBB">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附件：法定代表人有效身份证正反面复印件</w:t>
      </w:r>
    </w:p>
    <w:p w14:paraId="74A2EA01">
      <w:pPr>
        <w:spacing w:line="360" w:lineRule="auto"/>
        <w:ind w:left="540"/>
        <w:contextualSpacing/>
        <w:rPr>
          <w:rFonts w:hint="eastAsia" w:ascii="宋体" w:hAnsi="宋体" w:eastAsia="宋体" w:cs="宋体"/>
          <w:color w:val="auto"/>
          <w:sz w:val="24"/>
        </w:rPr>
      </w:pPr>
    </w:p>
    <w:p w14:paraId="0CF3CCCE">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A0B8635">
      <w:pPr>
        <w:spacing w:line="360" w:lineRule="auto"/>
        <w:contextualSpacing/>
        <w:jc w:val="center"/>
        <w:rPr>
          <w:rFonts w:hint="eastAsia" w:ascii="宋体" w:hAnsi="宋体" w:eastAsia="宋体" w:cs="宋体"/>
          <w:b/>
          <w:color w:val="auto"/>
          <w:sz w:val="24"/>
        </w:rPr>
      </w:pPr>
      <w:r>
        <w:rPr>
          <w:rFonts w:hint="eastAsia" w:ascii="宋体" w:hAnsi="宋体" w:eastAsia="宋体" w:cs="宋体"/>
          <w:color w:val="auto"/>
          <w:kern w:val="0"/>
          <w:sz w:val="24"/>
          <w:lang w:val="zh-CN"/>
        </w:rPr>
        <w:t xml:space="preserve">                                                   日期：  年  月   日</w:t>
      </w:r>
    </w:p>
    <w:p w14:paraId="08F74884">
      <w:pPr>
        <w:spacing w:line="360" w:lineRule="auto"/>
        <w:contextualSpacing/>
        <w:jc w:val="left"/>
        <w:rPr>
          <w:rFonts w:hint="eastAsia" w:ascii="宋体" w:hAnsi="宋体" w:eastAsia="宋体" w:cs="宋体"/>
          <w:color w:val="auto"/>
          <w:sz w:val="24"/>
        </w:rPr>
      </w:pPr>
    </w:p>
    <w:p w14:paraId="65C9D256">
      <w:pPr>
        <w:spacing w:line="360" w:lineRule="auto"/>
        <w:contextualSpacing/>
        <w:jc w:val="left"/>
        <w:rPr>
          <w:rFonts w:hint="eastAsia" w:ascii="宋体" w:hAnsi="宋体" w:eastAsia="宋体" w:cs="宋体"/>
          <w:color w:val="auto"/>
          <w:sz w:val="24"/>
        </w:rPr>
      </w:pPr>
      <w:r>
        <w:rPr>
          <w:rFonts w:hint="eastAsia" w:ascii="宋体" w:hAnsi="宋体" w:eastAsia="宋体" w:cs="宋体"/>
          <w:color w:val="auto"/>
          <w:sz w:val="24"/>
        </w:rPr>
        <w:t>注：1.自然人竞标的无需提供，联合体竞标的只需牵头人出具。</w:t>
      </w:r>
    </w:p>
    <w:p w14:paraId="3F2F9E29">
      <w:pPr>
        <w:spacing w:line="360" w:lineRule="auto"/>
        <w:ind w:firstLine="480" w:firstLineChars="200"/>
        <w:contextualSpacing/>
        <w:jc w:val="left"/>
        <w:rPr>
          <w:rFonts w:hint="eastAsia" w:ascii="宋体" w:hAnsi="宋体" w:eastAsia="宋体" w:cs="宋体"/>
          <w:color w:val="auto"/>
          <w:sz w:val="24"/>
        </w:rPr>
        <w:sectPr>
          <w:pgSz w:w="11910" w:h="16840"/>
          <w:pgMar w:top="1340" w:right="1500" w:bottom="280" w:left="1680" w:header="720" w:footer="720" w:gutter="0"/>
          <w:cols w:space="720" w:num="1"/>
        </w:sectPr>
      </w:pPr>
      <w:r>
        <w:rPr>
          <w:rFonts w:hint="eastAsia" w:ascii="宋体" w:hAnsi="宋体" w:eastAsia="宋体"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18"/>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F43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07E1E4AA">
            <w:pPr>
              <w:spacing w:line="360" w:lineRule="auto"/>
              <w:rPr>
                <w:rFonts w:hint="eastAsia" w:ascii="宋体" w:hAnsi="宋体" w:eastAsia="宋体" w:cs="宋体"/>
                <w:b/>
                <w:color w:val="auto"/>
                <w:sz w:val="24"/>
              </w:rPr>
            </w:pPr>
          </w:p>
          <w:p w14:paraId="06FA364B">
            <w:pPr>
              <w:spacing w:line="360" w:lineRule="auto"/>
              <w:rPr>
                <w:rFonts w:hint="eastAsia" w:ascii="宋体" w:hAnsi="宋体" w:eastAsia="宋体" w:cs="宋体"/>
                <w:b/>
                <w:color w:val="auto"/>
                <w:sz w:val="24"/>
              </w:rPr>
            </w:pPr>
            <w:r>
              <w:rPr>
                <w:rFonts w:hint="eastAsia" w:ascii="宋体" w:hAnsi="宋体" w:eastAsia="宋体" w:cs="宋体"/>
                <w:b/>
                <w:color w:val="auto"/>
                <w:sz w:val="24"/>
              </w:rPr>
              <w:t>法定代表身份证复印件粘贴处（正、反面）</w:t>
            </w:r>
          </w:p>
        </w:tc>
      </w:tr>
    </w:tbl>
    <w:p w14:paraId="12FBFAA8">
      <w:pPr>
        <w:spacing w:line="360" w:lineRule="auto"/>
        <w:ind w:firstLine="482" w:firstLineChars="200"/>
        <w:contextualSpacing/>
        <w:jc w:val="left"/>
        <w:rPr>
          <w:rFonts w:hint="eastAsia" w:ascii="宋体" w:hAnsi="宋体" w:eastAsia="宋体" w:cs="宋体"/>
          <w:b/>
          <w:color w:val="auto"/>
          <w:sz w:val="32"/>
          <w:szCs w:val="32"/>
        </w:rPr>
      </w:pPr>
      <w:r>
        <w:rPr>
          <w:rFonts w:hint="eastAsia" w:ascii="宋体" w:hAnsi="宋体" w:eastAsia="宋体" w:cs="宋体"/>
          <w:b/>
          <w:color w:val="auto"/>
          <w:sz w:val="24"/>
        </w:rPr>
        <w:t>附件：</w:t>
      </w:r>
    </w:p>
    <w:p w14:paraId="40CBFDCE">
      <w:pPr>
        <w:adjustRightInd w:val="0"/>
        <w:snapToGrid w:val="0"/>
        <w:spacing w:line="300" w:lineRule="auto"/>
        <w:jc w:val="left"/>
        <w:rPr>
          <w:rFonts w:hint="eastAsia" w:ascii="宋体" w:hAnsi="宋体" w:eastAsia="宋体" w:cs="宋体"/>
          <w:b/>
          <w:color w:val="auto"/>
          <w:szCs w:val="21"/>
        </w:rPr>
      </w:pPr>
    </w:p>
    <w:p w14:paraId="1B2EA559">
      <w:pPr>
        <w:spacing w:line="520" w:lineRule="exact"/>
        <w:ind w:firstLine="880"/>
        <w:jc w:val="left"/>
        <w:rPr>
          <w:rFonts w:hint="eastAsia" w:ascii="宋体" w:hAnsi="宋体" w:eastAsia="宋体" w:cs="宋体"/>
          <w:bCs/>
          <w:color w:val="auto"/>
          <w:sz w:val="44"/>
          <w:szCs w:val="44"/>
        </w:rPr>
      </w:pPr>
      <w:r>
        <w:rPr>
          <w:rFonts w:hint="eastAsia" w:ascii="宋体" w:hAnsi="宋体" w:eastAsia="宋体" w:cs="宋体"/>
          <w:color w:val="auto"/>
          <w:sz w:val="44"/>
          <w:szCs w:val="44"/>
        </w:rPr>
        <w:br w:type="page"/>
      </w:r>
      <w:r>
        <w:rPr>
          <w:rFonts w:hint="eastAsia" w:ascii="宋体" w:hAnsi="宋体" w:eastAsia="宋体" w:cs="宋体"/>
          <w:b/>
          <w:color w:val="auto"/>
          <w:sz w:val="30"/>
          <w:szCs w:val="30"/>
        </w:rPr>
        <w:t>三、法定代表人授权委托书</w:t>
      </w:r>
    </w:p>
    <w:p w14:paraId="6DC3B829">
      <w:pPr>
        <w:spacing w:line="500" w:lineRule="exact"/>
        <w:jc w:val="center"/>
        <w:rPr>
          <w:rFonts w:hint="eastAsia" w:ascii="宋体" w:hAnsi="宋体" w:eastAsia="宋体" w:cs="宋体"/>
          <w:color w:val="auto"/>
          <w:sz w:val="44"/>
          <w:szCs w:val="44"/>
        </w:rPr>
      </w:pPr>
    </w:p>
    <w:p w14:paraId="2717B45A">
      <w:pPr>
        <w:spacing w:line="52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授权委托书（非联合体竞标格式）</w:t>
      </w:r>
    </w:p>
    <w:p w14:paraId="5E0473FB">
      <w:pPr>
        <w:spacing w:line="52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（如有委托时）</w:t>
      </w:r>
    </w:p>
    <w:p w14:paraId="48218D17">
      <w:pPr>
        <w:spacing w:line="520" w:lineRule="exact"/>
        <w:rPr>
          <w:rFonts w:hint="eastAsia" w:ascii="宋体" w:hAnsi="宋体" w:eastAsia="宋体" w:cs="宋体"/>
          <w:color w:val="auto"/>
          <w:sz w:val="32"/>
          <w:szCs w:val="32"/>
        </w:rPr>
      </w:pPr>
    </w:p>
    <w:p w14:paraId="5BD3168C">
      <w:pPr>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（采购人名称）</w:t>
      </w:r>
      <w:r>
        <w:rPr>
          <w:rFonts w:hint="eastAsia" w:ascii="宋体" w:hAnsi="宋体" w:eastAsia="宋体" w:cs="宋体"/>
          <w:color w:val="auto"/>
          <w:sz w:val="24"/>
        </w:rPr>
        <w:t>：</w:t>
      </w:r>
    </w:p>
    <w:p w14:paraId="228354E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（供应商名称）  </w:t>
      </w:r>
      <w:r>
        <w:rPr>
          <w:rFonts w:hint="eastAsia" w:ascii="宋体" w:hAnsi="宋体" w:eastAsia="宋体" w:cs="宋体"/>
          <w:color w:val="auto"/>
          <w:sz w:val="24"/>
        </w:rPr>
        <w:t>的（</w:t>
      </w:r>
      <w:r>
        <w:rPr>
          <w:rFonts w:hint="eastAsia" w:ascii="宋体" w:hAnsi="宋体" w:eastAsia="宋体" w:cs="宋体"/>
          <w:color w:val="auto"/>
          <w:sz w:val="24"/>
          <w:u w:val="single"/>
        </w:rPr>
        <w:t>□法定代表人/□负责人/□自然人本人</w:t>
      </w:r>
      <w:r>
        <w:rPr>
          <w:rFonts w:hint="eastAsia" w:ascii="宋体" w:hAnsi="宋体" w:eastAsia="宋体" w:cs="宋体"/>
          <w:color w:val="auto"/>
          <w:sz w:val="24"/>
        </w:rPr>
        <w:t>），现授权</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以我方的名义参加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项目的竞标活动，并代表我方全权办理针对上述项目的所有采购程序和环节的具体事务和签署相关文件。</w:t>
      </w:r>
    </w:p>
    <w:p w14:paraId="47424240">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我方对委托代理人的签字事项负全部责任。</w:t>
      </w:r>
    </w:p>
    <w:p w14:paraId="3622B5E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本授权书自签署之日起生效，在撤销授权的书面通知以前，本授权书一直有效。委托代理人在授权书有效期内签署的所有文件不因授权的撤销而失效。</w:t>
      </w:r>
    </w:p>
    <w:p w14:paraId="5EF01F7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3C1AE8D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附：法定代表人及委托代理人有效身份证正反面复印件</w:t>
      </w:r>
    </w:p>
    <w:p w14:paraId="356E7965">
      <w:pPr>
        <w:spacing w:line="360" w:lineRule="auto"/>
        <w:rPr>
          <w:rFonts w:hint="eastAsia" w:ascii="宋体" w:hAnsi="宋体" w:eastAsia="宋体" w:cs="宋体"/>
          <w:color w:val="auto"/>
          <w:sz w:val="24"/>
        </w:rPr>
      </w:pPr>
    </w:p>
    <w:p w14:paraId="099E1984">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委托代理人（签字）：         法定代表人（签字或盖章）：                    </w:t>
      </w:r>
    </w:p>
    <w:p w14:paraId="16ACB89D">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委托代理人身份证号码：                              </w:t>
      </w:r>
    </w:p>
    <w:p w14:paraId="4713D33E">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14:paraId="081DAFB1">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kern w:val="0"/>
          <w:sz w:val="24"/>
        </w:rPr>
        <w:t>供应商名称（电子签章）：</w:t>
      </w:r>
    </w:p>
    <w:p w14:paraId="78DCD2B8">
      <w:pPr>
        <w:spacing w:line="360" w:lineRule="auto"/>
        <w:contextualSpacing/>
        <w:jc w:val="center"/>
        <w:rPr>
          <w:rFonts w:hint="eastAsia" w:ascii="宋体" w:hAnsi="宋体" w:eastAsia="宋体" w:cs="宋体"/>
          <w:b/>
          <w:color w:val="auto"/>
          <w:sz w:val="24"/>
        </w:rPr>
      </w:pPr>
      <w:r>
        <w:rPr>
          <w:rFonts w:hint="eastAsia" w:ascii="宋体" w:hAnsi="宋体" w:eastAsia="宋体" w:cs="宋体"/>
          <w:color w:val="auto"/>
          <w:kern w:val="0"/>
          <w:sz w:val="24"/>
          <w:lang w:val="zh-CN"/>
        </w:rPr>
        <w:t xml:space="preserve">                                                   日期：  年  月   日</w:t>
      </w:r>
    </w:p>
    <w:p w14:paraId="1E860B5F">
      <w:pPr>
        <w:spacing w:line="360" w:lineRule="auto"/>
        <w:rPr>
          <w:rFonts w:hint="eastAsia" w:ascii="宋体" w:hAnsi="宋体" w:eastAsia="宋体" w:cs="宋体"/>
          <w:color w:val="auto"/>
          <w:sz w:val="24"/>
        </w:rPr>
      </w:pPr>
    </w:p>
    <w:p w14:paraId="09D56999">
      <w:pPr>
        <w:spacing w:line="360" w:lineRule="auto"/>
        <w:rPr>
          <w:rFonts w:hint="eastAsia" w:ascii="宋体" w:hAnsi="宋体" w:eastAsia="宋体" w:cs="宋体"/>
          <w:color w:val="auto"/>
          <w:sz w:val="24"/>
        </w:rPr>
      </w:pPr>
      <w:r>
        <w:rPr>
          <w:rFonts w:hint="eastAsia" w:ascii="宋体" w:hAnsi="宋体" w:eastAsia="宋体" w:cs="宋体"/>
          <w:color w:val="auto"/>
          <w:sz w:val="24"/>
        </w:rPr>
        <w:t>注：1. 法定代表人必须在授权委托书上亲笔签字或盖章，委托代理人必须在授权委托书上亲笔签字，</w:t>
      </w:r>
      <w:r>
        <w:rPr>
          <w:rFonts w:hint="eastAsia" w:ascii="宋体" w:hAnsi="宋体" w:eastAsia="宋体" w:cs="宋体"/>
          <w:b/>
          <w:color w:val="auto"/>
          <w:sz w:val="24"/>
        </w:rPr>
        <w:t>否则其响应文件按无效响应处理。</w:t>
      </w:r>
    </w:p>
    <w:p w14:paraId="1A322960">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9419FE6">
      <w:pPr>
        <w:spacing w:line="360" w:lineRule="auto"/>
        <w:ind w:firstLine="480" w:firstLineChars="200"/>
        <w:jc w:val="left"/>
        <w:rPr>
          <w:rFonts w:hint="eastAsia" w:ascii="宋体" w:hAnsi="宋体" w:eastAsia="宋体" w:cs="宋体"/>
          <w:color w:val="auto"/>
          <w:szCs w:val="21"/>
        </w:rPr>
      </w:pPr>
      <w:r>
        <w:rPr>
          <w:rFonts w:hint="eastAsia" w:ascii="宋体" w:hAnsi="宋体" w:eastAsia="宋体" w:cs="宋体"/>
          <w:color w:val="auto"/>
          <w:sz w:val="24"/>
        </w:rPr>
        <w:t>3. 法人、其他组织竞标时“我方”是指“我单位”，自然人竞标时“我方”是指“本人”。</w:t>
      </w:r>
    </w:p>
    <w:p w14:paraId="3BD845F1">
      <w:pPr>
        <w:spacing w:line="500" w:lineRule="exact"/>
        <w:jc w:val="center"/>
        <w:rPr>
          <w:rFonts w:hint="eastAsia" w:ascii="宋体" w:hAnsi="宋体" w:eastAsia="宋体" w:cs="宋体"/>
          <w:color w:val="auto"/>
          <w:sz w:val="44"/>
          <w:szCs w:val="44"/>
        </w:rPr>
      </w:pPr>
      <w:r>
        <w:rPr>
          <w:rFonts w:hint="eastAsia" w:ascii="宋体" w:hAnsi="宋体" w:eastAsia="宋体" w:cs="宋体"/>
          <w:color w:val="auto"/>
          <w:szCs w:val="21"/>
        </w:rPr>
        <w:br w:type="page"/>
      </w:r>
      <w:r>
        <w:rPr>
          <w:rFonts w:hint="eastAsia" w:ascii="宋体" w:hAnsi="宋体" w:eastAsia="宋体" w:cs="宋体"/>
          <w:color w:val="auto"/>
          <w:sz w:val="44"/>
          <w:szCs w:val="44"/>
        </w:rPr>
        <w:t>授权委托书（联合体竞标格式）</w:t>
      </w:r>
    </w:p>
    <w:p w14:paraId="7AE6A250">
      <w:pPr>
        <w:spacing w:line="50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（如有委托时）</w:t>
      </w:r>
    </w:p>
    <w:p w14:paraId="402266FF">
      <w:pPr>
        <w:spacing w:line="500" w:lineRule="exact"/>
        <w:jc w:val="center"/>
        <w:rPr>
          <w:rFonts w:hint="eastAsia" w:ascii="宋体" w:hAnsi="宋体" w:eastAsia="宋体" w:cs="宋体"/>
          <w:color w:val="auto"/>
          <w:sz w:val="44"/>
          <w:szCs w:val="44"/>
        </w:rPr>
      </w:pPr>
    </w:p>
    <w:p w14:paraId="10A18FEA">
      <w:pPr>
        <w:spacing w:line="500" w:lineRule="exact"/>
        <w:jc w:val="center"/>
        <w:rPr>
          <w:rFonts w:hint="eastAsia" w:ascii="宋体" w:hAnsi="宋体" w:eastAsia="宋体" w:cs="宋体"/>
          <w:color w:val="auto"/>
          <w:sz w:val="32"/>
          <w:szCs w:val="32"/>
        </w:rPr>
      </w:pPr>
    </w:p>
    <w:p w14:paraId="23C59E23">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本授权委托书声明：根据</w:t>
      </w:r>
      <w:r>
        <w:rPr>
          <w:rFonts w:hint="eastAsia" w:ascii="宋体" w:hAnsi="宋体" w:eastAsia="宋体" w:cs="宋体"/>
          <w:color w:val="auto"/>
          <w:sz w:val="24"/>
          <w:u w:val="single"/>
        </w:rPr>
        <w:t xml:space="preserve">                </w:t>
      </w:r>
      <w:r>
        <w:rPr>
          <w:rFonts w:hint="eastAsia" w:ascii="宋体" w:hAnsi="宋体" w:eastAsia="宋体" w:cs="宋体"/>
          <w:color w:val="auto"/>
          <w:sz w:val="24"/>
        </w:rPr>
        <w:t>（牵头人名称）与</w:t>
      </w:r>
      <w:r>
        <w:rPr>
          <w:rFonts w:hint="eastAsia" w:ascii="宋体" w:hAnsi="宋体" w:eastAsia="宋体" w:cs="宋体"/>
          <w:color w:val="auto"/>
          <w:sz w:val="24"/>
          <w:u w:val="single"/>
        </w:rPr>
        <w:t xml:space="preserve">              </w:t>
      </w:r>
      <w:r>
        <w:rPr>
          <w:rFonts w:hint="eastAsia" w:ascii="宋体" w:hAnsi="宋体" w:eastAsia="宋体" w:cs="宋体"/>
          <w:color w:val="auto"/>
          <w:sz w:val="24"/>
        </w:rPr>
        <w:t>（联合体其他成员名称）签订的《联合体竞标协议书》的内容，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（牵头人名称）的法定代表人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（姓名）现授权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（姓名）为联合委托代理人，并代表我方全权办理针对上述项目的所有采购程序和环节的具体事务和签署相关文件。</w:t>
      </w:r>
    </w:p>
    <w:p w14:paraId="06AC019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我方对委托代理人的签字事项负全部责任。</w:t>
      </w:r>
    </w:p>
    <w:p w14:paraId="2F6DB15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本授权书自签署之日起生效，在撤销授权的书面通知以前，本授权书一直有效。委托代理人在授权书有效期内签署的所有文件不因授权的撤销而失效。</w:t>
      </w:r>
    </w:p>
    <w:p w14:paraId="77C0D13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3C84B423">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14:paraId="3DF00F40">
      <w:pPr>
        <w:spacing w:line="360" w:lineRule="auto"/>
        <w:ind w:firstLine="1560" w:firstLineChars="650"/>
        <w:rPr>
          <w:rFonts w:hint="eastAsia" w:ascii="宋体" w:hAnsi="宋体" w:eastAsia="宋体" w:cs="宋体"/>
          <w:color w:val="auto"/>
          <w:sz w:val="24"/>
        </w:rPr>
      </w:pPr>
      <w:r>
        <w:rPr>
          <w:rFonts w:hint="eastAsia" w:ascii="宋体" w:hAnsi="宋体" w:eastAsia="宋体" w:cs="宋体"/>
          <w:color w:val="auto"/>
          <w:sz w:val="24"/>
        </w:rPr>
        <w:t>牵头人法定代表人（签字或盖章）：</w:t>
      </w:r>
    </w:p>
    <w:p w14:paraId="1E353E40">
      <w:pPr>
        <w:spacing w:line="360" w:lineRule="auto"/>
        <w:ind w:firstLine="3120" w:firstLineChars="1300"/>
        <w:rPr>
          <w:rFonts w:hint="eastAsia" w:ascii="宋体" w:hAnsi="宋体" w:eastAsia="宋体" w:cs="宋体"/>
          <w:color w:val="auto"/>
          <w:sz w:val="24"/>
        </w:rPr>
      </w:pPr>
      <w:r>
        <w:rPr>
          <w:rFonts w:hint="eastAsia" w:ascii="宋体" w:hAnsi="宋体" w:eastAsia="宋体" w:cs="宋体"/>
          <w:color w:val="auto"/>
          <w:sz w:val="24"/>
        </w:rPr>
        <w:t>牵头人（电子签章）：</w:t>
      </w:r>
    </w:p>
    <w:p w14:paraId="55051121">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日期：    年   月   日</w:t>
      </w:r>
    </w:p>
    <w:p w14:paraId="75C70D47">
      <w:pPr>
        <w:spacing w:line="360" w:lineRule="auto"/>
        <w:rPr>
          <w:rFonts w:hint="eastAsia" w:ascii="宋体" w:hAnsi="宋体" w:eastAsia="宋体" w:cs="宋体"/>
          <w:color w:val="auto"/>
          <w:sz w:val="24"/>
        </w:rPr>
      </w:pPr>
    </w:p>
    <w:p w14:paraId="2AEB345C">
      <w:pPr>
        <w:spacing w:line="360" w:lineRule="auto"/>
        <w:ind w:firstLine="3120" w:firstLineChars="1300"/>
        <w:rPr>
          <w:rFonts w:hint="eastAsia" w:ascii="宋体" w:hAnsi="宋体" w:eastAsia="宋体" w:cs="宋体"/>
          <w:color w:val="auto"/>
          <w:sz w:val="24"/>
        </w:rPr>
      </w:pPr>
      <w:r>
        <w:rPr>
          <w:rFonts w:hint="eastAsia" w:ascii="宋体" w:hAnsi="宋体" w:eastAsia="宋体" w:cs="宋体"/>
          <w:color w:val="auto"/>
          <w:sz w:val="24"/>
        </w:rPr>
        <w:t>被授权人（签字）：</w:t>
      </w:r>
    </w:p>
    <w:p w14:paraId="0A2DFDAF">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日期：    年   月   日</w:t>
      </w:r>
    </w:p>
    <w:p w14:paraId="22B4611F">
      <w:pPr>
        <w:spacing w:line="360" w:lineRule="auto"/>
        <w:rPr>
          <w:rFonts w:hint="eastAsia" w:ascii="宋体" w:hAnsi="宋体" w:eastAsia="宋体" w:cs="宋体"/>
          <w:color w:val="auto"/>
          <w:sz w:val="24"/>
        </w:rPr>
      </w:pPr>
    </w:p>
    <w:p w14:paraId="75C1E280">
      <w:pPr>
        <w:spacing w:line="360" w:lineRule="auto"/>
        <w:rPr>
          <w:rFonts w:hint="eastAsia" w:ascii="宋体" w:hAnsi="宋体" w:eastAsia="宋体" w:cs="宋体"/>
          <w:color w:val="auto"/>
          <w:sz w:val="24"/>
        </w:rPr>
      </w:pPr>
      <w:r>
        <w:rPr>
          <w:rFonts w:hint="eastAsia" w:ascii="宋体" w:hAnsi="宋体" w:eastAsia="宋体" w:cs="宋体"/>
          <w:color w:val="auto"/>
          <w:sz w:val="24"/>
        </w:rPr>
        <w:t>注：1. 法定代表人必须在授权委托书上亲笔签字或盖章，委托代理人必须在授权委托书上亲笔签字，</w:t>
      </w:r>
      <w:r>
        <w:rPr>
          <w:rFonts w:hint="eastAsia" w:ascii="宋体" w:hAnsi="宋体" w:eastAsia="宋体" w:cs="宋体"/>
          <w:b/>
          <w:color w:val="auto"/>
          <w:sz w:val="24"/>
        </w:rPr>
        <w:t>否则其响应文件按无效响应处理。</w:t>
      </w:r>
    </w:p>
    <w:p w14:paraId="0598B438">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2.本授权委托书应由联合体牵头人的法定代表人按上述规定签署。</w:t>
      </w:r>
    </w:p>
    <w:p w14:paraId="080EDF75">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0EF7A27">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4.法人、其他组织竞标时“我方”是指“我单位”，自然人竞标时“我方”是指“本人”。</w:t>
      </w:r>
    </w:p>
    <w:p w14:paraId="4A21FE1C">
      <w:pPr>
        <w:spacing w:line="360" w:lineRule="auto"/>
        <w:ind w:firstLine="420" w:firstLineChars="200"/>
        <w:jc w:val="left"/>
        <w:rPr>
          <w:rFonts w:hint="eastAsia" w:ascii="宋体" w:hAnsi="宋体" w:eastAsia="宋体" w:cs="宋体"/>
          <w:color w:val="auto"/>
          <w:szCs w:val="21"/>
        </w:rPr>
      </w:pPr>
    </w:p>
    <w:p w14:paraId="46A1267B">
      <w:pPr>
        <w:spacing w:line="520" w:lineRule="exact"/>
        <w:ind w:firstLine="640" w:firstLineChars="200"/>
        <w:jc w:val="left"/>
        <w:rPr>
          <w:rFonts w:hint="eastAsia" w:ascii="宋体" w:hAnsi="宋体" w:eastAsia="宋体" w:cs="宋体"/>
          <w:b/>
          <w:color w:val="auto"/>
          <w:sz w:val="30"/>
          <w:szCs w:val="30"/>
        </w:rPr>
      </w:pPr>
      <w:r>
        <w:rPr>
          <w:rFonts w:hint="eastAsia" w:ascii="宋体" w:hAnsi="宋体" w:eastAsia="宋体" w:cs="宋体"/>
          <w:color w:val="auto"/>
          <w:sz w:val="32"/>
          <w:szCs w:val="32"/>
        </w:rPr>
        <w:br w:type="page"/>
      </w:r>
      <w:r>
        <w:rPr>
          <w:rFonts w:hint="eastAsia" w:ascii="宋体" w:hAnsi="宋体" w:eastAsia="宋体" w:cs="宋体"/>
          <w:b/>
          <w:color w:val="auto"/>
          <w:sz w:val="30"/>
          <w:szCs w:val="30"/>
        </w:rPr>
        <w:t>四、商务条款偏离表</w:t>
      </w:r>
    </w:p>
    <w:p w14:paraId="64882BA8">
      <w:pPr>
        <w:spacing w:line="500" w:lineRule="exact"/>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商务条款偏离表</w:t>
      </w:r>
    </w:p>
    <w:p w14:paraId="212E0471">
      <w:pPr>
        <w:spacing w:line="520" w:lineRule="exact"/>
        <w:rPr>
          <w:rFonts w:hint="eastAsia" w:ascii="宋体" w:hAnsi="宋体" w:eastAsia="宋体" w:cs="宋体"/>
          <w:color w:val="auto"/>
          <w:sz w:val="32"/>
          <w:szCs w:val="32"/>
        </w:rPr>
      </w:pP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A4C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CB7B2C7">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9B95316">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2C5AD7F">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1E2D3E0">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25BF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8E0EB55">
            <w:pPr>
              <w:spacing w:line="340" w:lineRule="exact"/>
              <w:rPr>
                <w:rFonts w:hint="eastAsia" w:ascii="宋体" w:hAnsi="宋体" w:eastAsia="宋体" w:cs="宋体"/>
                <w:color w:val="auto"/>
                <w:szCs w:val="21"/>
              </w:rPr>
            </w:pPr>
            <w:r>
              <w:rPr>
                <w:rFonts w:hint="eastAsia" w:ascii="宋体" w:hAnsi="宋体" w:eastAsia="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1F885054">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406392D2">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7C6A9549">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6824DA39">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7CB2D1B5">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7E69407F">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79134903">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61BFABB3">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78E484CC">
            <w:pPr>
              <w:spacing w:line="300" w:lineRule="exact"/>
              <w:rPr>
                <w:rFonts w:hint="eastAsia" w:ascii="宋体" w:hAnsi="宋体" w:eastAsia="宋体" w:cs="宋体"/>
                <w:color w:val="auto"/>
                <w:szCs w:val="21"/>
              </w:rPr>
            </w:pPr>
          </w:p>
        </w:tc>
      </w:tr>
      <w:tr w14:paraId="3049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D5D650A">
            <w:pPr>
              <w:spacing w:line="340" w:lineRule="exact"/>
              <w:rPr>
                <w:rFonts w:hint="eastAsia" w:ascii="宋体" w:hAnsi="宋体" w:eastAsia="宋体" w:cs="宋体"/>
                <w:color w:val="auto"/>
                <w:szCs w:val="21"/>
              </w:rPr>
            </w:pPr>
            <w:r>
              <w:rPr>
                <w:rFonts w:hint="eastAsia" w:ascii="宋体" w:hAnsi="宋体" w:eastAsia="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41AE8AC3">
            <w:pPr>
              <w:spacing w:line="340" w:lineRule="exact"/>
              <w:rPr>
                <w:rFonts w:hint="eastAsia" w:ascii="宋体" w:hAnsi="宋体" w:eastAsia="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7D11796F">
            <w:pPr>
              <w:spacing w:line="340" w:lineRule="exact"/>
              <w:rPr>
                <w:rFonts w:hint="eastAsia" w:ascii="宋体" w:hAnsi="宋体" w:eastAsia="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674ECBC9">
            <w:pPr>
              <w:spacing w:line="300" w:lineRule="exact"/>
              <w:rPr>
                <w:rFonts w:hint="eastAsia" w:ascii="宋体" w:hAnsi="宋体" w:eastAsia="宋体" w:cs="宋体"/>
                <w:color w:val="auto"/>
                <w:szCs w:val="21"/>
              </w:rPr>
            </w:pPr>
          </w:p>
        </w:tc>
      </w:tr>
      <w:tr w14:paraId="39BD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CD89435">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21651244">
            <w:pPr>
              <w:spacing w:line="340" w:lineRule="exact"/>
              <w:rPr>
                <w:rFonts w:hint="eastAsia" w:ascii="宋体" w:hAnsi="宋体" w:eastAsia="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6D6A2450">
            <w:pPr>
              <w:spacing w:line="340" w:lineRule="exact"/>
              <w:rPr>
                <w:rFonts w:hint="eastAsia" w:ascii="宋体" w:hAnsi="宋体" w:eastAsia="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3D68E203">
            <w:pPr>
              <w:spacing w:line="300" w:lineRule="exact"/>
              <w:rPr>
                <w:rFonts w:hint="eastAsia" w:ascii="宋体" w:hAnsi="宋体" w:eastAsia="宋体" w:cs="宋体"/>
                <w:color w:val="auto"/>
                <w:szCs w:val="21"/>
              </w:rPr>
            </w:pPr>
          </w:p>
        </w:tc>
      </w:tr>
    </w:tbl>
    <w:p w14:paraId="7FE0BBCB">
      <w:pPr>
        <w:spacing w:line="400" w:lineRule="exact"/>
        <w:contextualSpacing/>
        <w:rPr>
          <w:rFonts w:hint="eastAsia" w:ascii="宋体" w:hAnsi="宋体" w:eastAsia="宋体" w:cs="宋体"/>
          <w:color w:val="auto"/>
          <w:kern w:val="0"/>
          <w:sz w:val="24"/>
        </w:rPr>
      </w:pPr>
      <w:r>
        <w:rPr>
          <w:rFonts w:hint="eastAsia" w:ascii="宋体" w:hAnsi="宋体" w:eastAsia="宋体" w:cs="宋体"/>
          <w:color w:val="auto"/>
          <w:kern w:val="0"/>
          <w:sz w:val="24"/>
        </w:rPr>
        <w:t>注：</w:t>
      </w:r>
    </w:p>
    <w:p w14:paraId="50157219">
      <w:pPr>
        <w:spacing w:line="400" w:lineRule="exact"/>
        <w:contextualSpacing/>
        <w:rPr>
          <w:rFonts w:hint="eastAsia" w:ascii="宋体" w:hAnsi="宋体" w:eastAsia="宋体" w:cs="宋体"/>
          <w:color w:val="auto"/>
          <w:kern w:val="0"/>
          <w:sz w:val="24"/>
        </w:rPr>
      </w:pPr>
      <w:r>
        <w:rPr>
          <w:rFonts w:hint="eastAsia" w:ascii="宋体" w:hAnsi="宋体" w:eastAsia="宋体" w:cs="宋体"/>
          <w:color w:val="auto"/>
          <w:kern w:val="0"/>
          <w:sz w:val="24"/>
        </w:rPr>
        <w:t>1.说明：应对照磋商文件“第二章 采购需求”中的商务条款逐条作出明确响应，并作出偏离说明。</w:t>
      </w:r>
    </w:p>
    <w:p w14:paraId="0DA722D3">
      <w:pPr>
        <w:spacing w:line="400" w:lineRule="exact"/>
        <w:contextualSpacing/>
        <w:rPr>
          <w:rFonts w:hint="eastAsia" w:ascii="宋体" w:hAnsi="宋体" w:eastAsia="宋体" w:cs="宋体"/>
          <w:color w:val="auto"/>
          <w:kern w:val="0"/>
          <w:sz w:val="24"/>
        </w:rPr>
      </w:pPr>
      <w:r>
        <w:rPr>
          <w:rFonts w:hint="eastAsia" w:ascii="宋体" w:hAnsi="宋体" w:eastAsia="宋体" w:cs="宋体"/>
          <w:color w:val="auto"/>
          <w:kern w:val="0"/>
          <w:sz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AED5208">
      <w:pPr>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3.表格内容均需按要求填写，不得留空，否则按竞标无效处理。</w:t>
      </w:r>
    </w:p>
    <w:p w14:paraId="1114EBEA">
      <w:pPr>
        <w:spacing w:line="400" w:lineRule="exact"/>
        <w:contextualSpacing/>
        <w:rPr>
          <w:rFonts w:hint="eastAsia" w:ascii="宋体" w:hAnsi="宋体" w:eastAsia="宋体" w:cs="宋体"/>
          <w:color w:val="auto"/>
          <w:kern w:val="0"/>
          <w:sz w:val="24"/>
          <w:szCs w:val="21"/>
        </w:rPr>
      </w:pPr>
      <w:r>
        <w:rPr>
          <w:rFonts w:hint="eastAsia" w:ascii="宋体" w:hAnsi="宋体" w:eastAsia="宋体" w:cs="宋体"/>
          <w:color w:val="auto"/>
          <w:kern w:val="0"/>
          <w:sz w:val="24"/>
        </w:rPr>
        <w:t>4.如果采购需求为小于、小于等于、大于或大于等于某个数值标准时，响应文件承诺不得直接复制采购需求，响应文件承诺内容应当写明竞标货物具体参数或商务响应承诺的具体数值，否则按竞标无效处理。</w:t>
      </w:r>
    </w:p>
    <w:p w14:paraId="487854E8">
      <w:pPr>
        <w:spacing w:line="360" w:lineRule="auto"/>
        <w:ind w:firstLine="3840" w:firstLineChars="1600"/>
        <w:rPr>
          <w:rFonts w:hint="eastAsia" w:ascii="宋体" w:hAnsi="宋体" w:eastAsia="宋体" w:cs="宋体"/>
          <w:color w:val="auto"/>
          <w:kern w:val="0"/>
          <w:sz w:val="24"/>
        </w:rPr>
      </w:pPr>
    </w:p>
    <w:p w14:paraId="435D8ECE">
      <w:pPr>
        <w:spacing w:line="360" w:lineRule="auto"/>
        <w:ind w:firstLine="3840" w:firstLineChars="1600"/>
        <w:rPr>
          <w:rFonts w:hint="eastAsia" w:ascii="宋体" w:hAnsi="宋体" w:eastAsia="宋体" w:cs="宋体"/>
          <w:color w:val="auto"/>
          <w:kern w:val="0"/>
          <w:sz w:val="24"/>
        </w:rPr>
      </w:pPr>
    </w:p>
    <w:p w14:paraId="0224F930">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kern w:val="0"/>
          <w:sz w:val="24"/>
        </w:rPr>
        <w:t>供应商名称（电子签章）：</w:t>
      </w:r>
    </w:p>
    <w:p w14:paraId="2D023F76">
      <w:pPr>
        <w:spacing w:line="360" w:lineRule="auto"/>
        <w:contextualSpacing/>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日期：  年  月   日</w:t>
      </w:r>
    </w:p>
    <w:p w14:paraId="1D46A38F">
      <w:pPr>
        <w:spacing w:line="360" w:lineRule="auto"/>
        <w:contextualSpacing/>
        <w:jc w:val="center"/>
        <w:rPr>
          <w:rFonts w:hint="eastAsia" w:ascii="宋体" w:hAnsi="宋体" w:eastAsia="宋体" w:cs="宋体"/>
          <w:b/>
          <w:color w:val="auto"/>
          <w:sz w:val="24"/>
        </w:rPr>
      </w:pPr>
    </w:p>
    <w:p w14:paraId="0C2DD394">
      <w:pPr>
        <w:snapToGrid w:val="0"/>
        <w:spacing w:line="360" w:lineRule="auto"/>
        <w:ind w:firstLine="602" w:firstLineChars="200"/>
        <w:rPr>
          <w:rFonts w:hint="eastAsia" w:ascii="宋体" w:hAnsi="宋体" w:eastAsia="宋体" w:cs="宋体"/>
          <w:b/>
          <w:color w:val="auto"/>
          <w:sz w:val="30"/>
          <w:szCs w:val="30"/>
        </w:rPr>
        <w:sectPr>
          <w:pgSz w:w="11910" w:h="16840"/>
          <w:pgMar w:top="1340" w:right="1500" w:bottom="280" w:left="1680" w:header="720" w:footer="720" w:gutter="0"/>
          <w:cols w:space="720" w:num="1"/>
        </w:sectPr>
      </w:pPr>
    </w:p>
    <w:p w14:paraId="007EB092">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五、供应商情况介绍</w:t>
      </w:r>
    </w:p>
    <w:p w14:paraId="189B98C2">
      <w:pPr>
        <w:snapToGrid w:val="0"/>
        <w:spacing w:line="360" w:lineRule="auto"/>
        <w:ind w:firstLine="602" w:firstLineChars="200"/>
        <w:rPr>
          <w:rFonts w:hint="eastAsia" w:ascii="宋体" w:hAnsi="宋体" w:eastAsia="宋体" w:cs="宋体"/>
          <w:b/>
          <w:color w:val="auto"/>
          <w:sz w:val="30"/>
          <w:szCs w:val="30"/>
        </w:rPr>
      </w:pPr>
    </w:p>
    <w:p w14:paraId="25A15B78">
      <w:pPr>
        <w:pStyle w:val="12"/>
        <w:rPr>
          <w:rFonts w:hint="eastAsia" w:ascii="宋体" w:hAnsi="宋体" w:eastAsia="宋体" w:cs="宋体"/>
          <w:color w:val="auto"/>
        </w:rPr>
      </w:pPr>
    </w:p>
    <w:p w14:paraId="14DB2EEB">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701168EA">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13D4815F">
      <w:pPr>
        <w:snapToGrid w:val="0"/>
        <w:spacing w:before="120" w:beforeLines="50" w:after="50"/>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六、供应商认为需要提供的其他有关资料（如类似业绩的证明文件等）</w:t>
      </w:r>
    </w:p>
    <w:p w14:paraId="78B2450A">
      <w:pPr>
        <w:pStyle w:val="12"/>
        <w:rPr>
          <w:rFonts w:hint="eastAsia" w:ascii="宋体" w:hAnsi="宋体" w:eastAsia="宋体" w:cs="宋体"/>
          <w:color w:val="auto"/>
        </w:rPr>
      </w:pPr>
    </w:p>
    <w:p w14:paraId="256523E1">
      <w:pPr>
        <w:snapToGrid w:val="0"/>
        <w:ind w:left="480" w:hanging="480" w:hangingChars="200"/>
        <w:contextualSpacing/>
        <w:rPr>
          <w:rFonts w:hint="eastAsia" w:ascii="宋体" w:hAnsi="宋体" w:eastAsia="宋体" w:cs="宋体"/>
          <w:color w:val="auto"/>
          <w:sz w:val="24"/>
        </w:rPr>
      </w:pPr>
    </w:p>
    <w:tbl>
      <w:tblPr>
        <w:tblStyle w:val="18"/>
        <w:tblpPr w:leftFromText="180" w:rightFromText="180" w:vertAnchor="page" w:horzAnchor="margin" w:tblpXSpec="center" w:tblpY="478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6"/>
        <w:gridCol w:w="1782"/>
        <w:gridCol w:w="1462"/>
        <w:gridCol w:w="2363"/>
        <w:gridCol w:w="1553"/>
      </w:tblGrid>
      <w:tr w14:paraId="57841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3" w:hRule="atLeast"/>
        </w:trPr>
        <w:tc>
          <w:tcPr>
            <w:tcW w:w="1716" w:type="dxa"/>
            <w:tcBorders>
              <w:top w:val="single" w:color="auto" w:sz="4" w:space="0"/>
              <w:left w:val="single" w:color="auto" w:sz="4" w:space="0"/>
              <w:bottom w:val="single" w:color="auto" w:sz="4" w:space="0"/>
              <w:right w:val="single" w:color="auto" w:sz="4" w:space="0"/>
            </w:tcBorders>
            <w:vAlign w:val="center"/>
          </w:tcPr>
          <w:p w14:paraId="4F13096C">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采购人名称</w:t>
            </w:r>
          </w:p>
        </w:tc>
        <w:tc>
          <w:tcPr>
            <w:tcW w:w="1782" w:type="dxa"/>
            <w:tcBorders>
              <w:top w:val="single" w:color="auto" w:sz="4" w:space="0"/>
              <w:left w:val="single" w:color="auto" w:sz="4" w:space="0"/>
              <w:bottom w:val="single" w:color="auto" w:sz="4" w:space="0"/>
              <w:right w:val="single" w:color="auto" w:sz="4" w:space="0"/>
            </w:tcBorders>
            <w:vAlign w:val="center"/>
          </w:tcPr>
          <w:p w14:paraId="6984BAD6">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462" w:type="dxa"/>
            <w:tcBorders>
              <w:top w:val="single" w:color="auto" w:sz="4" w:space="0"/>
              <w:left w:val="single" w:color="auto" w:sz="4" w:space="0"/>
              <w:bottom w:val="single" w:color="auto" w:sz="4" w:space="0"/>
              <w:right w:val="single" w:color="auto" w:sz="4" w:space="0"/>
            </w:tcBorders>
            <w:vAlign w:val="center"/>
          </w:tcPr>
          <w:p w14:paraId="673B0A8F">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合同金额</w:t>
            </w:r>
          </w:p>
          <w:p w14:paraId="3595038E">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2363" w:type="dxa"/>
            <w:tcBorders>
              <w:top w:val="single" w:color="auto" w:sz="4" w:space="0"/>
              <w:left w:val="single" w:color="auto" w:sz="4" w:space="0"/>
              <w:bottom w:val="single" w:color="auto" w:sz="4" w:space="0"/>
              <w:right w:val="single" w:color="auto" w:sz="4" w:space="0"/>
            </w:tcBorders>
            <w:vAlign w:val="center"/>
          </w:tcPr>
          <w:p w14:paraId="621F3A25">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采购人联系人及联系电话</w:t>
            </w:r>
          </w:p>
        </w:tc>
        <w:tc>
          <w:tcPr>
            <w:tcW w:w="1553" w:type="dxa"/>
            <w:tcBorders>
              <w:top w:val="single" w:color="auto" w:sz="4" w:space="0"/>
              <w:left w:val="single" w:color="auto" w:sz="4" w:space="0"/>
              <w:bottom w:val="single" w:color="auto" w:sz="4" w:space="0"/>
              <w:right w:val="single" w:color="auto" w:sz="4" w:space="0"/>
            </w:tcBorders>
            <w:vAlign w:val="center"/>
          </w:tcPr>
          <w:p w14:paraId="27C79871">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r>
      <w:tr w14:paraId="1D795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16" w:type="dxa"/>
            <w:tcBorders>
              <w:top w:val="single" w:color="auto" w:sz="4" w:space="0"/>
              <w:left w:val="single" w:color="auto" w:sz="4" w:space="0"/>
              <w:bottom w:val="single" w:color="auto" w:sz="4" w:space="0"/>
              <w:right w:val="single" w:color="auto" w:sz="4" w:space="0"/>
            </w:tcBorders>
          </w:tcPr>
          <w:p w14:paraId="6E588CC9">
            <w:pPr>
              <w:snapToGrid w:val="0"/>
              <w:spacing w:line="240" w:lineRule="exact"/>
              <w:jc w:val="left"/>
              <w:rPr>
                <w:rFonts w:hint="eastAsia" w:ascii="宋体" w:hAnsi="宋体" w:eastAsia="宋体" w:cs="宋体"/>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04C85DED">
            <w:pPr>
              <w:snapToGrid w:val="0"/>
              <w:spacing w:line="240" w:lineRule="exact"/>
              <w:jc w:val="left"/>
              <w:rPr>
                <w:rFonts w:hint="eastAsia" w:ascii="宋体" w:hAnsi="宋体" w:eastAsia="宋体" w:cs="宋体"/>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39BB2651">
            <w:pPr>
              <w:snapToGrid w:val="0"/>
              <w:spacing w:line="240" w:lineRule="exact"/>
              <w:jc w:val="left"/>
              <w:rPr>
                <w:rFonts w:hint="eastAsia" w:ascii="宋体" w:hAnsi="宋体" w:eastAsia="宋体" w:cs="宋体"/>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3FE3C22D">
            <w:pPr>
              <w:snapToGrid w:val="0"/>
              <w:spacing w:line="240" w:lineRule="exact"/>
              <w:jc w:val="left"/>
              <w:rPr>
                <w:rFonts w:hint="eastAsia" w:ascii="宋体" w:hAnsi="宋体" w:eastAsia="宋体" w:cs="宋体"/>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4073AC1C">
            <w:pPr>
              <w:snapToGrid w:val="0"/>
              <w:spacing w:line="240" w:lineRule="exact"/>
              <w:jc w:val="left"/>
              <w:rPr>
                <w:rFonts w:hint="eastAsia" w:ascii="宋体" w:hAnsi="宋体" w:eastAsia="宋体" w:cs="宋体"/>
                <w:color w:val="auto"/>
                <w:sz w:val="24"/>
              </w:rPr>
            </w:pPr>
          </w:p>
        </w:tc>
      </w:tr>
      <w:tr w14:paraId="606BE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6" w:type="dxa"/>
            <w:tcBorders>
              <w:top w:val="single" w:color="auto" w:sz="4" w:space="0"/>
              <w:left w:val="single" w:color="auto" w:sz="4" w:space="0"/>
              <w:bottom w:val="single" w:color="auto" w:sz="4" w:space="0"/>
              <w:right w:val="single" w:color="auto" w:sz="4" w:space="0"/>
            </w:tcBorders>
          </w:tcPr>
          <w:p w14:paraId="255B404D">
            <w:pPr>
              <w:snapToGrid w:val="0"/>
              <w:spacing w:before="50" w:after="120" w:afterLines="50" w:line="400" w:lineRule="exact"/>
              <w:jc w:val="left"/>
              <w:rPr>
                <w:rFonts w:hint="eastAsia" w:ascii="宋体" w:hAnsi="宋体" w:eastAsia="宋体" w:cs="宋体"/>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6A5CCBD7">
            <w:pPr>
              <w:snapToGrid w:val="0"/>
              <w:spacing w:before="50" w:after="120" w:afterLines="50" w:line="400" w:lineRule="exact"/>
              <w:jc w:val="left"/>
              <w:rPr>
                <w:rFonts w:hint="eastAsia" w:ascii="宋体" w:hAnsi="宋体" w:eastAsia="宋体" w:cs="宋体"/>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560C635E">
            <w:pPr>
              <w:snapToGrid w:val="0"/>
              <w:spacing w:before="50" w:after="120" w:afterLines="50" w:line="400" w:lineRule="exact"/>
              <w:jc w:val="left"/>
              <w:rPr>
                <w:rFonts w:hint="eastAsia" w:ascii="宋体" w:hAnsi="宋体" w:eastAsia="宋体" w:cs="宋体"/>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7DDC22A0">
            <w:pPr>
              <w:snapToGrid w:val="0"/>
              <w:spacing w:before="50" w:after="120" w:afterLines="50" w:line="400" w:lineRule="exact"/>
              <w:jc w:val="left"/>
              <w:rPr>
                <w:rFonts w:hint="eastAsia" w:ascii="宋体" w:hAnsi="宋体" w:eastAsia="宋体" w:cs="宋体"/>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3478E3E3">
            <w:pPr>
              <w:snapToGrid w:val="0"/>
              <w:spacing w:before="50" w:after="120" w:afterLines="50" w:line="400" w:lineRule="exact"/>
              <w:jc w:val="left"/>
              <w:rPr>
                <w:rFonts w:hint="eastAsia" w:ascii="宋体" w:hAnsi="宋体" w:eastAsia="宋体" w:cs="宋体"/>
                <w:color w:val="auto"/>
                <w:sz w:val="24"/>
              </w:rPr>
            </w:pPr>
          </w:p>
        </w:tc>
      </w:tr>
      <w:tr w14:paraId="42E48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716" w:type="dxa"/>
            <w:tcBorders>
              <w:top w:val="single" w:color="auto" w:sz="4" w:space="0"/>
              <w:left w:val="single" w:color="auto" w:sz="4" w:space="0"/>
              <w:bottom w:val="single" w:color="auto" w:sz="4" w:space="0"/>
              <w:right w:val="single" w:color="auto" w:sz="4" w:space="0"/>
            </w:tcBorders>
          </w:tcPr>
          <w:p w14:paraId="521EE02F">
            <w:pPr>
              <w:snapToGrid w:val="0"/>
              <w:spacing w:before="50" w:after="120" w:afterLines="50" w:line="400" w:lineRule="exact"/>
              <w:jc w:val="left"/>
              <w:rPr>
                <w:rFonts w:hint="eastAsia" w:ascii="宋体" w:hAnsi="宋体" w:eastAsia="宋体" w:cs="宋体"/>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68D3CE27">
            <w:pPr>
              <w:snapToGrid w:val="0"/>
              <w:spacing w:before="50" w:after="120" w:afterLines="50" w:line="400" w:lineRule="exact"/>
              <w:jc w:val="left"/>
              <w:rPr>
                <w:rFonts w:hint="eastAsia" w:ascii="宋体" w:hAnsi="宋体" w:eastAsia="宋体" w:cs="宋体"/>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1FF03014">
            <w:pPr>
              <w:snapToGrid w:val="0"/>
              <w:spacing w:before="50" w:after="120" w:afterLines="50" w:line="400" w:lineRule="exact"/>
              <w:jc w:val="left"/>
              <w:rPr>
                <w:rFonts w:hint="eastAsia" w:ascii="宋体" w:hAnsi="宋体" w:eastAsia="宋体" w:cs="宋体"/>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0098D9E9">
            <w:pPr>
              <w:snapToGrid w:val="0"/>
              <w:spacing w:before="50" w:after="120" w:afterLines="50" w:line="400" w:lineRule="exact"/>
              <w:jc w:val="left"/>
              <w:rPr>
                <w:rFonts w:hint="eastAsia" w:ascii="宋体" w:hAnsi="宋体" w:eastAsia="宋体" w:cs="宋体"/>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58EA7266">
            <w:pPr>
              <w:snapToGrid w:val="0"/>
              <w:spacing w:before="50" w:after="120" w:afterLines="50" w:line="400" w:lineRule="exact"/>
              <w:jc w:val="left"/>
              <w:rPr>
                <w:rFonts w:hint="eastAsia" w:ascii="宋体" w:hAnsi="宋体" w:eastAsia="宋体" w:cs="宋体"/>
                <w:color w:val="auto"/>
                <w:sz w:val="24"/>
              </w:rPr>
            </w:pPr>
          </w:p>
        </w:tc>
      </w:tr>
      <w:tr w14:paraId="319F6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6" w:type="dxa"/>
            <w:tcBorders>
              <w:top w:val="single" w:color="auto" w:sz="4" w:space="0"/>
              <w:left w:val="single" w:color="auto" w:sz="4" w:space="0"/>
              <w:bottom w:val="single" w:color="auto" w:sz="4" w:space="0"/>
              <w:right w:val="single" w:color="auto" w:sz="4" w:space="0"/>
            </w:tcBorders>
          </w:tcPr>
          <w:p w14:paraId="0BB57EED">
            <w:pPr>
              <w:snapToGrid w:val="0"/>
              <w:spacing w:before="50" w:after="120" w:afterLines="50" w:line="400" w:lineRule="exact"/>
              <w:jc w:val="left"/>
              <w:rPr>
                <w:rFonts w:hint="eastAsia" w:ascii="宋体" w:hAnsi="宋体" w:eastAsia="宋体" w:cs="宋体"/>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22619D29">
            <w:pPr>
              <w:snapToGrid w:val="0"/>
              <w:spacing w:before="50" w:after="120" w:afterLines="50" w:line="400" w:lineRule="exact"/>
              <w:jc w:val="left"/>
              <w:rPr>
                <w:rFonts w:hint="eastAsia" w:ascii="宋体" w:hAnsi="宋体" w:eastAsia="宋体" w:cs="宋体"/>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3FC0F519">
            <w:pPr>
              <w:snapToGrid w:val="0"/>
              <w:spacing w:before="50" w:after="120" w:afterLines="50" w:line="400" w:lineRule="exact"/>
              <w:jc w:val="left"/>
              <w:rPr>
                <w:rFonts w:hint="eastAsia" w:ascii="宋体" w:hAnsi="宋体" w:eastAsia="宋体" w:cs="宋体"/>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66123B68">
            <w:pPr>
              <w:snapToGrid w:val="0"/>
              <w:spacing w:before="50" w:after="120" w:afterLines="50" w:line="400" w:lineRule="exact"/>
              <w:jc w:val="left"/>
              <w:rPr>
                <w:rFonts w:hint="eastAsia" w:ascii="宋体" w:hAnsi="宋体" w:eastAsia="宋体" w:cs="宋体"/>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53996ED2">
            <w:pPr>
              <w:snapToGrid w:val="0"/>
              <w:spacing w:before="50" w:after="120" w:afterLines="50" w:line="400" w:lineRule="exact"/>
              <w:jc w:val="left"/>
              <w:rPr>
                <w:rFonts w:hint="eastAsia" w:ascii="宋体" w:hAnsi="宋体" w:eastAsia="宋体" w:cs="宋体"/>
                <w:color w:val="auto"/>
                <w:sz w:val="24"/>
              </w:rPr>
            </w:pPr>
          </w:p>
        </w:tc>
      </w:tr>
      <w:tr w14:paraId="7E10A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6" w:type="dxa"/>
            <w:tcBorders>
              <w:top w:val="single" w:color="auto" w:sz="4" w:space="0"/>
              <w:left w:val="single" w:color="auto" w:sz="4" w:space="0"/>
              <w:bottom w:val="single" w:color="auto" w:sz="4" w:space="0"/>
              <w:right w:val="single" w:color="auto" w:sz="4" w:space="0"/>
            </w:tcBorders>
          </w:tcPr>
          <w:p w14:paraId="21D8D96F">
            <w:pPr>
              <w:snapToGrid w:val="0"/>
              <w:spacing w:before="50" w:after="120" w:afterLines="50" w:line="400" w:lineRule="exact"/>
              <w:jc w:val="left"/>
              <w:rPr>
                <w:rFonts w:hint="eastAsia" w:ascii="宋体" w:hAnsi="宋体" w:eastAsia="宋体" w:cs="宋体"/>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4173599F">
            <w:pPr>
              <w:snapToGrid w:val="0"/>
              <w:spacing w:before="50" w:after="120" w:afterLines="50" w:line="400" w:lineRule="exact"/>
              <w:jc w:val="left"/>
              <w:rPr>
                <w:rFonts w:hint="eastAsia" w:ascii="宋体" w:hAnsi="宋体" w:eastAsia="宋体" w:cs="宋体"/>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2E0BD9FF">
            <w:pPr>
              <w:snapToGrid w:val="0"/>
              <w:spacing w:before="50" w:after="120" w:afterLines="50" w:line="400" w:lineRule="exact"/>
              <w:jc w:val="left"/>
              <w:rPr>
                <w:rFonts w:hint="eastAsia" w:ascii="宋体" w:hAnsi="宋体" w:eastAsia="宋体" w:cs="宋体"/>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492554A7">
            <w:pPr>
              <w:snapToGrid w:val="0"/>
              <w:spacing w:before="50" w:after="120" w:afterLines="50" w:line="400" w:lineRule="exact"/>
              <w:jc w:val="left"/>
              <w:rPr>
                <w:rFonts w:hint="eastAsia" w:ascii="宋体" w:hAnsi="宋体" w:eastAsia="宋体" w:cs="宋体"/>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4031DC96">
            <w:pPr>
              <w:snapToGrid w:val="0"/>
              <w:spacing w:before="50" w:after="120" w:afterLines="50" w:line="400" w:lineRule="exact"/>
              <w:jc w:val="left"/>
              <w:rPr>
                <w:rFonts w:hint="eastAsia" w:ascii="宋体" w:hAnsi="宋体" w:eastAsia="宋体" w:cs="宋体"/>
                <w:color w:val="auto"/>
                <w:sz w:val="24"/>
              </w:rPr>
            </w:pPr>
          </w:p>
        </w:tc>
      </w:tr>
    </w:tbl>
    <w:p w14:paraId="5C6AE830">
      <w:pPr>
        <w:snapToGrid w:val="0"/>
        <w:ind w:left="480" w:hanging="480" w:hangingChars="200"/>
        <w:contextualSpacing/>
        <w:rPr>
          <w:rFonts w:hint="eastAsia" w:ascii="宋体" w:hAnsi="宋体" w:eastAsia="宋体" w:cs="宋体"/>
          <w:color w:val="auto"/>
          <w:sz w:val="24"/>
        </w:rPr>
      </w:pPr>
    </w:p>
    <w:p w14:paraId="6CCC11FC">
      <w:pPr>
        <w:snapToGrid w:val="0"/>
        <w:ind w:left="480" w:hanging="480" w:hangingChars="200"/>
        <w:contextualSpacing/>
        <w:rPr>
          <w:rFonts w:hint="eastAsia" w:ascii="宋体" w:hAnsi="宋体" w:eastAsia="宋体" w:cs="宋体"/>
          <w:color w:val="auto"/>
          <w:sz w:val="24"/>
        </w:rPr>
      </w:pPr>
    </w:p>
    <w:p w14:paraId="776BAACB">
      <w:pPr>
        <w:autoSpaceDE w:val="0"/>
        <w:autoSpaceDN w:val="0"/>
        <w:spacing w:line="360" w:lineRule="auto"/>
        <w:ind w:firstLine="120"/>
        <w:rPr>
          <w:rFonts w:hint="eastAsia" w:ascii="宋体" w:hAnsi="宋体" w:eastAsia="宋体" w:cs="宋体"/>
          <w:color w:val="auto"/>
          <w:sz w:val="24"/>
        </w:rPr>
      </w:pPr>
      <w:r>
        <w:rPr>
          <w:rFonts w:hint="eastAsia" w:ascii="宋体" w:hAnsi="宋体" w:eastAsia="宋体" w:cs="宋体"/>
          <w:b/>
          <w:color w:val="auto"/>
          <w:sz w:val="24"/>
        </w:rPr>
        <w:t>附：供应商同类项目合同复印件</w:t>
      </w:r>
    </w:p>
    <w:p w14:paraId="042680B1">
      <w:pPr>
        <w:snapToGrid w:val="0"/>
        <w:spacing w:line="360" w:lineRule="auto"/>
        <w:ind w:firstLine="4935" w:firstLineChars="2350"/>
        <w:rPr>
          <w:rFonts w:hint="eastAsia" w:ascii="宋体" w:hAnsi="宋体" w:eastAsia="宋体" w:cs="宋体"/>
          <w:color w:val="auto"/>
          <w:szCs w:val="21"/>
        </w:rPr>
      </w:pPr>
      <w:r>
        <w:rPr>
          <w:rFonts w:hint="eastAsia" w:ascii="宋体" w:hAnsi="宋体" w:eastAsia="宋体" w:cs="宋体"/>
          <w:color w:val="auto"/>
          <w:szCs w:val="21"/>
        </w:rPr>
        <w:t xml:space="preserve"> </w:t>
      </w:r>
    </w:p>
    <w:p w14:paraId="12EDFA42">
      <w:pPr>
        <w:snapToGrid w:val="0"/>
        <w:spacing w:line="360" w:lineRule="auto"/>
        <w:ind w:firstLine="4935" w:firstLineChars="2350"/>
        <w:rPr>
          <w:rFonts w:hint="eastAsia" w:ascii="宋体" w:hAnsi="宋体" w:eastAsia="宋体" w:cs="宋体"/>
          <w:color w:val="auto"/>
          <w:szCs w:val="21"/>
        </w:rPr>
      </w:pPr>
    </w:p>
    <w:p w14:paraId="43D27360">
      <w:pPr>
        <w:snapToGrid w:val="0"/>
        <w:spacing w:line="360" w:lineRule="auto"/>
        <w:ind w:left="4410" w:leftChars="2100" w:firstLine="5670" w:firstLineChars="270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供应商名称（电子签章)：</w:t>
      </w:r>
    </w:p>
    <w:p w14:paraId="2F1AC042">
      <w:pPr>
        <w:spacing w:line="500" w:lineRule="exact"/>
        <w:jc w:val="center"/>
        <w:rPr>
          <w:rFonts w:hint="eastAsia" w:ascii="宋体" w:hAnsi="宋体" w:eastAsia="宋体" w:cs="宋体"/>
          <w:color w:val="auto"/>
          <w:sz w:val="32"/>
          <w:szCs w:val="32"/>
        </w:rPr>
        <w:sectPr>
          <w:pgSz w:w="11910" w:h="16840"/>
          <w:pgMar w:top="1340" w:right="1500" w:bottom="280" w:left="1680" w:header="720" w:footer="720" w:gutter="0"/>
          <w:cols w:space="720" w:num="1"/>
        </w:sectPr>
      </w:pPr>
      <w:r>
        <w:rPr>
          <w:rFonts w:hint="eastAsia" w:ascii="宋体" w:hAnsi="宋体" w:eastAsia="宋体" w:cs="宋体"/>
          <w:color w:val="auto"/>
          <w:kern w:val="0"/>
          <w:sz w:val="24"/>
          <w:lang w:val="zh-CN"/>
        </w:rPr>
        <w:t xml:space="preserve">                                                     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68F86298">
      <w:pPr>
        <w:snapToGrid w:val="0"/>
        <w:spacing w:line="360" w:lineRule="auto"/>
        <w:ind w:firstLine="602" w:firstLineChars="200"/>
        <w:rPr>
          <w:rFonts w:hint="eastAsia" w:ascii="宋体" w:hAnsi="宋体" w:eastAsia="宋体" w:cs="宋体"/>
          <w:color w:val="auto"/>
          <w:sz w:val="32"/>
          <w:szCs w:val="32"/>
        </w:rPr>
      </w:pPr>
      <w:r>
        <w:rPr>
          <w:rFonts w:hint="eastAsia" w:ascii="宋体" w:hAnsi="宋体" w:eastAsia="宋体" w:cs="宋体"/>
          <w:b/>
          <w:color w:val="auto"/>
          <w:sz w:val="30"/>
          <w:szCs w:val="30"/>
        </w:rPr>
        <w:t>七、服务需求偏离表</w:t>
      </w:r>
    </w:p>
    <w:p w14:paraId="3E3B6711">
      <w:pPr>
        <w:spacing w:line="500" w:lineRule="exact"/>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服务需求偏离表</w:t>
      </w:r>
    </w:p>
    <w:p w14:paraId="316277F6">
      <w:pPr>
        <w:spacing w:line="360" w:lineRule="auto"/>
        <w:contextualSpacing/>
        <w:jc w:val="left"/>
        <w:rPr>
          <w:rFonts w:hint="eastAsia" w:ascii="宋体" w:hAnsi="宋体" w:eastAsia="宋体" w:cs="宋体"/>
          <w:color w:val="auto"/>
          <w:sz w:val="24"/>
        </w:rPr>
      </w:pPr>
    </w:p>
    <w:p w14:paraId="24BA2BF5">
      <w:pPr>
        <w:spacing w:line="360" w:lineRule="auto"/>
        <w:contextualSpacing/>
        <w:rPr>
          <w:rFonts w:hint="eastAsia" w:ascii="宋体" w:hAnsi="宋体" w:eastAsia="宋体" w:cs="宋体"/>
          <w:color w:val="auto"/>
          <w:kern w:val="0"/>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236"/>
        <w:gridCol w:w="2944"/>
        <w:gridCol w:w="1095"/>
      </w:tblGrid>
      <w:tr w14:paraId="775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5EA8A371">
            <w:pPr>
              <w:rPr>
                <w:rFonts w:hint="eastAsia" w:ascii="宋体" w:hAnsi="宋体" w:eastAsia="宋体" w:cs="宋体"/>
                <w:color w:val="auto"/>
                <w:szCs w:val="21"/>
              </w:rPr>
            </w:pPr>
            <w:r>
              <w:rPr>
                <w:rFonts w:hint="eastAsia" w:ascii="宋体" w:hAnsi="宋体" w:eastAsia="宋体" w:cs="宋体"/>
                <w:color w:val="auto"/>
                <w:szCs w:val="21"/>
              </w:rPr>
              <w:t>项号</w:t>
            </w:r>
          </w:p>
        </w:tc>
        <w:tc>
          <w:tcPr>
            <w:tcW w:w="3236" w:type="dxa"/>
            <w:tcBorders>
              <w:top w:val="single" w:color="auto" w:sz="4" w:space="0"/>
              <w:left w:val="single" w:color="auto" w:sz="4" w:space="0"/>
              <w:right w:val="single" w:color="auto" w:sz="4" w:space="0"/>
            </w:tcBorders>
            <w:vAlign w:val="center"/>
          </w:tcPr>
          <w:p w14:paraId="431C6E86">
            <w:pPr>
              <w:jc w:val="center"/>
              <w:rPr>
                <w:rFonts w:hint="eastAsia" w:ascii="宋体" w:hAnsi="宋体" w:eastAsia="宋体" w:cs="宋体"/>
                <w:color w:val="auto"/>
                <w:szCs w:val="21"/>
              </w:rPr>
            </w:pPr>
            <w:r>
              <w:rPr>
                <w:rFonts w:hint="eastAsia" w:ascii="宋体" w:hAnsi="宋体" w:eastAsia="宋体" w:cs="宋体"/>
                <w:color w:val="auto"/>
                <w:szCs w:val="21"/>
              </w:rPr>
              <w:t>竞争性磋商采购文件需求</w:t>
            </w:r>
          </w:p>
        </w:tc>
        <w:tc>
          <w:tcPr>
            <w:tcW w:w="2944" w:type="dxa"/>
            <w:tcBorders>
              <w:top w:val="single" w:color="auto" w:sz="4" w:space="0"/>
              <w:left w:val="single" w:color="auto" w:sz="4" w:space="0"/>
              <w:bottom w:val="single" w:color="auto" w:sz="4" w:space="0"/>
              <w:right w:val="single" w:color="auto" w:sz="4" w:space="0"/>
            </w:tcBorders>
            <w:vAlign w:val="center"/>
          </w:tcPr>
          <w:p w14:paraId="036078F4">
            <w:pPr>
              <w:jc w:val="center"/>
              <w:rPr>
                <w:rFonts w:hint="eastAsia" w:ascii="宋体" w:hAnsi="宋体" w:eastAsia="宋体" w:cs="宋体"/>
                <w:color w:val="auto"/>
                <w:szCs w:val="21"/>
              </w:rPr>
            </w:pPr>
            <w:r>
              <w:rPr>
                <w:rFonts w:hint="eastAsia" w:ascii="宋体" w:hAnsi="宋体" w:eastAsia="宋体" w:cs="宋体"/>
                <w:color w:val="auto"/>
                <w:szCs w:val="21"/>
              </w:rPr>
              <w:t>响应文件承诺</w:t>
            </w:r>
          </w:p>
        </w:tc>
        <w:tc>
          <w:tcPr>
            <w:tcW w:w="1095" w:type="dxa"/>
            <w:tcBorders>
              <w:top w:val="single" w:color="auto" w:sz="4" w:space="0"/>
              <w:left w:val="single" w:color="auto" w:sz="4" w:space="0"/>
              <w:bottom w:val="single" w:color="auto" w:sz="4" w:space="0"/>
              <w:right w:val="single" w:color="auto" w:sz="4" w:space="0"/>
            </w:tcBorders>
            <w:vAlign w:val="center"/>
          </w:tcPr>
          <w:p w14:paraId="14870319">
            <w:pP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58AC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67C191C">
            <w:pPr>
              <w:rPr>
                <w:rFonts w:hint="eastAsia" w:ascii="宋体" w:hAnsi="宋体" w:eastAsia="宋体" w:cs="宋体"/>
                <w:color w:val="auto"/>
                <w:szCs w:val="21"/>
              </w:rPr>
            </w:pPr>
            <w:r>
              <w:rPr>
                <w:rFonts w:hint="eastAsia" w:ascii="宋体" w:hAnsi="宋体" w:eastAsia="宋体" w:cs="宋体"/>
                <w:color w:val="auto"/>
                <w:szCs w:val="21"/>
              </w:rPr>
              <w:t>1</w:t>
            </w:r>
          </w:p>
        </w:tc>
        <w:tc>
          <w:tcPr>
            <w:tcW w:w="3236" w:type="dxa"/>
            <w:tcBorders>
              <w:top w:val="single" w:color="auto" w:sz="4" w:space="0"/>
              <w:left w:val="single" w:color="auto" w:sz="4" w:space="0"/>
              <w:bottom w:val="single" w:color="auto" w:sz="4" w:space="0"/>
              <w:right w:val="single" w:color="auto" w:sz="4" w:space="0"/>
            </w:tcBorders>
            <w:vAlign w:val="center"/>
          </w:tcPr>
          <w:p w14:paraId="3901272D">
            <w:pPr>
              <w:rPr>
                <w:rFonts w:hint="eastAsia" w:ascii="宋体" w:hAnsi="宋体" w:eastAsia="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79513638">
            <w:pPr>
              <w:rPr>
                <w:rFonts w:hint="eastAsia"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26C9ACF0">
            <w:pPr>
              <w:rPr>
                <w:rFonts w:hint="eastAsia" w:ascii="宋体" w:hAnsi="宋体" w:eastAsia="宋体" w:cs="宋体"/>
                <w:color w:val="auto"/>
                <w:szCs w:val="21"/>
              </w:rPr>
            </w:pPr>
          </w:p>
        </w:tc>
      </w:tr>
      <w:tr w14:paraId="3FF7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7959E8B">
            <w:pPr>
              <w:rPr>
                <w:rFonts w:hint="eastAsia" w:ascii="宋体" w:hAnsi="宋体" w:eastAsia="宋体" w:cs="宋体"/>
                <w:color w:val="auto"/>
                <w:szCs w:val="21"/>
              </w:rPr>
            </w:pPr>
            <w:r>
              <w:rPr>
                <w:rFonts w:hint="eastAsia" w:ascii="宋体" w:hAnsi="宋体" w:eastAsia="宋体" w:cs="宋体"/>
                <w:color w:val="auto"/>
                <w:szCs w:val="21"/>
              </w:rPr>
              <w:t>2</w:t>
            </w:r>
          </w:p>
        </w:tc>
        <w:tc>
          <w:tcPr>
            <w:tcW w:w="3236" w:type="dxa"/>
            <w:tcBorders>
              <w:top w:val="single" w:color="auto" w:sz="4" w:space="0"/>
              <w:left w:val="single" w:color="auto" w:sz="4" w:space="0"/>
              <w:bottom w:val="single" w:color="auto" w:sz="4" w:space="0"/>
              <w:right w:val="single" w:color="auto" w:sz="4" w:space="0"/>
            </w:tcBorders>
            <w:vAlign w:val="center"/>
          </w:tcPr>
          <w:p w14:paraId="0760B0A4">
            <w:pPr>
              <w:rPr>
                <w:rFonts w:hint="eastAsia" w:ascii="宋体" w:hAnsi="宋体" w:eastAsia="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04244E0D">
            <w:pPr>
              <w:rPr>
                <w:rFonts w:hint="eastAsia"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35EAD8A9">
            <w:pPr>
              <w:rPr>
                <w:rFonts w:hint="eastAsia" w:ascii="宋体" w:hAnsi="宋体" w:eastAsia="宋体" w:cs="宋体"/>
                <w:color w:val="auto"/>
                <w:szCs w:val="21"/>
              </w:rPr>
            </w:pPr>
          </w:p>
        </w:tc>
      </w:tr>
      <w:tr w14:paraId="2DFE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5A8D815">
            <w:pPr>
              <w:rPr>
                <w:rFonts w:hint="eastAsia" w:ascii="宋体" w:hAnsi="宋体" w:eastAsia="宋体" w:cs="宋体"/>
                <w:color w:val="auto"/>
                <w:szCs w:val="21"/>
              </w:rPr>
            </w:pPr>
            <w:r>
              <w:rPr>
                <w:rFonts w:hint="eastAsia" w:ascii="宋体" w:hAnsi="宋体" w:eastAsia="宋体" w:cs="宋体"/>
                <w:color w:val="auto"/>
                <w:szCs w:val="21"/>
              </w:rPr>
              <w:t>...</w:t>
            </w:r>
          </w:p>
        </w:tc>
        <w:tc>
          <w:tcPr>
            <w:tcW w:w="3236" w:type="dxa"/>
            <w:tcBorders>
              <w:top w:val="single" w:color="auto" w:sz="4" w:space="0"/>
              <w:left w:val="single" w:color="auto" w:sz="4" w:space="0"/>
              <w:bottom w:val="single" w:color="auto" w:sz="4" w:space="0"/>
              <w:right w:val="single" w:color="auto" w:sz="4" w:space="0"/>
            </w:tcBorders>
            <w:vAlign w:val="center"/>
          </w:tcPr>
          <w:p w14:paraId="50FE1D03">
            <w:pPr>
              <w:rPr>
                <w:rFonts w:hint="eastAsia" w:ascii="宋体" w:hAnsi="宋体" w:eastAsia="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6563A54E">
            <w:pPr>
              <w:rPr>
                <w:rFonts w:hint="eastAsia"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511E0C40">
            <w:pPr>
              <w:rPr>
                <w:rFonts w:hint="eastAsia" w:ascii="宋体" w:hAnsi="宋体" w:eastAsia="宋体" w:cs="宋体"/>
                <w:color w:val="auto"/>
                <w:szCs w:val="21"/>
              </w:rPr>
            </w:pPr>
          </w:p>
        </w:tc>
      </w:tr>
    </w:tbl>
    <w:p w14:paraId="17CA6694">
      <w:pPr>
        <w:spacing w:line="360" w:lineRule="auto"/>
        <w:contextualSpacing/>
        <w:rPr>
          <w:rFonts w:hint="eastAsia" w:ascii="宋体" w:hAnsi="宋体" w:eastAsia="宋体" w:cs="宋体"/>
          <w:color w:val="auto"/>
          <w:kern w:val="0"/>
          <w:sz w:val="24"/>
        </w:rPr>
      </w:pPr>
    </w:p>
    <w:p w14:paraId="372FAB3F">
      <w:pPr>
        <w:pStyle w:val="6"/>
        <w:rPr>
          <w:rFonts w:hint="eastAsia" w:ascii="宋体" w:hAnsi="宋体" w:eastAsia="宋体" w:cs="宋体"/>
          <w:color w:val="auto"/>
        </w:rPr>
      </w:pPr>
    </w:p>
    <w:p w14:paraId="40169372">
      <w:pPr>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注：</w:t>
      </w:r>
    </w:p>
    <w:p w14:paraId="0499A1C1">
      <w:pPr>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1.说明：应对照磋商文件“第二章”中“服务需求一览表”的采购清单及技术参数条款逐条作出明确响应，并作出偏离说明。</w:t>
      </w:r>
    </w:p>
    <w:p w14:paraId="1E872AFC">
      <w:pPr>
        <w:spacing w:line="400" w:lineRule="exact"/>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0ACB238">
      <w:pPr>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3.表格内容均需按要求填写并盖章，不得留空，否则按竞标无效处理。</w:t>
      </w:r>
    </w:p>
    <w:p w14:paraId="41C0C4E4">
      <w:pPr>
        <w:spacing w:line="400" w:lineRule="exact"/>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4.如果采购需求为小于、小于等于、大于或大于等于某个数值标准时，响应文件承诺不得直接复制采购需求，响应文件承诺内容应当写明竞标服务具体参数或商务响应承诺的具体数值，否则按竞标无效处理。</w:t>
      </w:r>
    </w:p>
    <w:p w14:paraId="4D5BEFAA">
      <w:pPr>
        <w:spacing w:line="400" w:lineRule="exact"/>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5. 如技术偏离表中的竞标响应与佐证材料不一致的，以佐证材料为准。</w:t>
      </w:r>
    </w:p>
    <w:p w14:paraId="3251D50A">
      <w:pPr>
        <w:snapToGrid w:val="0"/>
        <w:spacing w:line="360" w:lineRule="auto"/>
        <w:ind w:firstLine="602" w:firstLineChars="200"/>
        <w:rPr>
          <w:rFonts w:hint="eastAsia" w:ascii="宋体" w:hAnsi="宋体" w:eastAsia="宋体" w:cs="宋体"/>
          <w:b/>
          <w:color w:val="auto"/>
          <w:sz w:val="30"/>
          <w:szCs w:val="30"/>
        </w:rPr>
      </w:pPr>
    </w:p>
    <w:p w14:paraId="36124966">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4BB67D19">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6222FAA2">
      <w:pPr>
        <w:snapToGrid w:val="0"/>
        <w:spacing w:line="360" w:lineRule="auto"/>
        <w:ind w:firstLine="602" w:firstLineChars="200"/>
        <w:rPr>
          <w:rFonts w:hint="eastAsia" w:ascii="宋体" w:hAnsi="宋体" w:eastAsia="宋体" w:cs="宋体"/>
          <w:b/>
          <w:color w:val="auto"/>
          <w:sz w:val="30"/>
          <w:szCs w:val="30"/>
        </w:rPr>
        <w:sectPr>
          <w:pgSz w:w="11910" w:h="16840"/>
          <w:pgMar w:top="1340" w:right="1500" w:bottom="280" w:left="1680" w:header="720" w:footer="720" w:gutter="0"/>
          <w:cols w:space="720" w:num="1"/>
        </w:sectPr>
      </w:pPr>
    </w:p>
    <w:p w14:paraId="42D35E2B">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八、服务方案</w:t>
      </w:r>
    </w:p>
    <w:p w14:paraId="315EF501">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（由供应商根据采购需求及采购文件要求编制）</w:t>
      </w:r>
    </w:p>
    <w:p w14:paraId="35FE63DB">
      <w:pPr>
        <w:spacing w:line="500" w:lineRule="exact"/>
        <w:rPr>
          <w:rFonts w:hint="eastAsia" w:ascii="宋体" w:hAnsi="宋体" w:eastAsia="宋体" w:cs="宋体"/>
          <w:color w:val="auto"/>
          <w:sz w:val="32"/>
          <w:szCs w:val="32"/>
        </w:rPr>
      </w:pPr>
    </w:p>
    <w:p w14:paraId="251C2E56">
      <w:pPr>
        <w:snapToGrid w:val="0"/>
        <w:spacing w:line="360" w:lineRule="auto"/>
        <w:ind w:firstLine="602" w:firstLineChars="200"/>
        <w:rPr>
          <w:rFonts w:hint="eastAsia" w:ascii="宋体" w:hAnsi="宋体" w:eastAsia="宋体" w:cs="宋体"/>
          <w:b/>
          <w:color w:val="auto"/>
          <w:sz w:val="30"/>
          <w:szCs w:val="30"/>
        </w:rPr>
      </w:pPr>
    </w:p>
    <w:p w14:paraId="3962C7F6">
      <w:pPr>
        <w:pStyle w:val="6"/>
        <w:rPr>
          <w:rFonts w:hint="eastAsia" w:ascii="宋体" w:hAnsi="宋体" w:eastAsia="宋体" w:cs="宋体"/>
          <w:color w:val="auto"/>
        </w:rPr>
      </w:pPr>
    </w:p>
    <w:p w14:paraId="44689C20">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九、项目实施人员一览表</w:t>
      </w:r>
    </w:p>
    <w:p w14:paraId="4A9E6BE1">
      <w:pPr>
        <w:spacing w:line="360" w:lineRule="auto"/>
        <w:jc w:val="center"/>
        <w:rPr>
          <w:rFonts w:hint="eastAsia" w:ascii="宋体" w:hAnsi="宋体" w:eastAsia="宋体" w:cs="宋体"/>
          <w:b/>
          <w:bCs/>
          <w:color w:val="auto"/>
          <w:sz w:val="24"/>
        </w:rPr>
      </w:pPr>
      <w:r>
        <w:rPr>
          <w:rFonts w:hint="eastAsia" w:ascii="宋体" w:hAnsi="宋体" w:eastAsia="宋体" w:cs="宋体"/>
          <w:color w:val="auto"/>
          <w:sz w:val="24"/>
        </w:rPr>
        <w:t>（由供应商根据采购需求及采购文件要求编制，格式自拟）</w:t>
      </w:r>
    </w:p>
    <w:p w14:paraId="38A3880C">
      <w:pPr>
        <w:snapToGrid w:val="0"/>
        <w:spacing w:line="360" w:lineRule="auto"/>
        <w:ind w:firstLine="602" w:firstLineChars="200"/>
        <w:rPr>
          <w:rFonts w:hint="eastAsia" w:ascii="宋体" w:hAnsi="宋体" w:eastAsia="宋体" w:cs="宋体"/>
          <w:b/>
          <w:color w:val="auto"/>
          <w:sz w:val="30"/>
          <w:szCs w:val="30"/>
        </w:rPr>
      </w:pPr>
    </w:p>
    <w:p w14:paraId="48E09C87">
      <w:pPr>
        <w:autoSpaceDE w:val="0"/>
        <w:autoSpaceDN w:val="0"/>
        <w:spacing w:line="360" w:lineRule="auto"/>
        <w:ind w:firstLine="6505" w:firstLineChars="2700"/>
        <w:rPr>
          <w:rFonts w:hint="eastAsia" w:ascii="宋体" w:hAnsi="宋体" w:eastAsia="宋体" w:cs="宋体"/>
          <w:b/>
          <w:bCs/>
          <w:color w:val="auto"/>
          <w:sz w:val="24"/>
        </w:rPr>
      </w:pPr>
    </w:p>
    <w:p w14:paraId="79D10E9F">
      <w:pPr>
        <w:autoSpaceDE w:val="0"/>
        <w:autoSpaceDN w:val="0"/>
        <w:spacing w:line="360" w:lineRule="auto"/>
        <w:ind w:firstLine="6480" w:firstLineChars="2700"/>
        <w:rPr>
          <w:rFonts w:hint="eastAsia" w:ascii="宋体" w:hAnsi="宋体" w:eastAsia="宋体" w:cs="宋体"/>
          <w:color w:val="auto"/>
          <w:kern w:val="0"/>
          <w:sz w:val="24"/>
          <w:lang w:val="zh-CN"/>
        </w:rPr>
      </w:pPr>
    </w:p>
    <w:p w14:paraId="252A9033">
      <w:pPr>
        <w:autoSpaceDE w:val="0"/>
        <w:autoSpaceDN w:val="0"/>
        <w:spacing w:line="360" w:lineRule="auto"/>
        <w:ind w:firstLine="6480" w:firstLineChars="2700"/>
        <w:rPr>
          <w:rFonts w:hint="eastAsia" w:ascii="宋体" w:hAnsi="宋体" w:eastAsia="宋体" w:cs="宋体"/>
          <w:color w:val="auto"/>
          <w:kern w:val="0"/>
          <w:sz w:val="24"/>
          <w:lang w:val="zh-CN"/>
        </w:rPr>
      </w:pPr>
    </w:p>
    <w:p w14:paraId="08CB8525">
      <w:pPr>
        <w:tabs>
          <w:tab w:val="center" w:pos="4153"/>
          <w:tab w:val="right" w:pos="8306"/>
        </w:tabs>
        <w:snapToGrid w:val="0"/>
        <w:ind w:firstLine="5670"/>
        <w:jc w:val="left"/>
        <w:rPr>
          <w:rFonts w:hint="eastAsia" w:ascii="宋体" w:hAnsi="宋体" w:eastAsia="宋体" w:cs="宋体"/>
          <w:color w:val="auto"/>
          <w:sz w:val="18"/>
          <w:szCs w:val="18"/>
          <w:lang w:val="zh-CN"/>
        </w:rPr>
      </w:pPr>
    </w:p>
    <w:p w14:paraId="683A4147">
      <w:pPr>
        <w:numPr>
          <w:ilvl w:val="0"/>
          <w:numId w:val="2"/>
        </w:num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对应采购需求的服务需求、商务条款提供的其他文件资料</w:t>
      </w:r>
    </w:p>
    <w:p w14:paraId="01C3A9B6">
      <w:pPr>
        <w:pStyle w:val="21"/>
        <w:ind w:left="0"/>
        <w:rPr>
          <w:rFonts w:hint="eastAsia" w:ascii="宋体" w:hAnsi="宋体" w:eastAsia="宋体" w:cs="宋体"/>
          <w:color w:val="auto"/>
        </w:rPr>
      </w:pPr>
    </w:p>
    <w:p w14:paraId="6C51F459">
      <w:pPr>
        <w:pStyle w:val="22"/>
        <w:rPr>
          <w:rFonts w:hint="eastAsia" w:ascii="宋体" w:hAnsi="宋体" w:eastAsia="宋体" w:cs="宋体"/>
          <w:color w:val="auto"/>
        </w:rPr>
      </w:pPr>
    </w:p>
    <w:p w14:paraId="3F908369">
      <w:pPr>
        <w:rPr>
          <w:rFonts w:hint="eastAsia" w:ascii="宋体" w:hAnsi="宋体" w:eastAsia="宋体" w:cs="宋体"/>
          <w:color w:val="auto"/>
        </w:rPr>
      </w:pPr>
    </w:p>
    <w:p w14:paraId="13CD804C">
      <w:pPr>
        <w:numPr>
          <w:ilvl w:val="0"/>
          <w:numId w:val="2"/>
        </w:num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供应商认为需要提供的其他有关资料</w:t>
      </w:r>
    </w:p>
    <w:p w14:paraId="72A37EB9">
      <w:pPr>
        <w:pStyle w:val="21"/>
        <w:ind w:left="420" w:leftChars="200"/>
        <w:rPr>
          <w:rFonts w:hint="eastAsia" w:ascii="宋体" w:hAnsi="宋体" w:eastAsia="宋体" w:cs="宋体"/>
          <w:color w:val="auto"/>
        </w:rPr>
      </w:pPr>
    </w:p>
    <w:p w14:paraId="173042DF">
      <w:pPr>
        <w:pStyle w:val="22"/>
        <w:rPr>
          <w:rFonts w:hint="eastAsia" w:ascii="宋体" w:hAnsi="宋体" w:eastAsia="宋体" w:cs="宋体"/>
          <w:color w:val="auto"/>
        </w:rPr>
      </w:pPr>
    </w:p>
    <w:p w14:paraId="66B00DB6">
      <w:pPr>
        <w:rPr>
          <w:rFonts w:hint="eastAsia" w:ascii="宋体" w:hAnsi="宋体" w:eastAsia="宋体" w:cs="宋体"/>
          <w:color w:val="auto"/>
        </w:rPr>
      </w:pPr>
    </w:p>
    <w:p w14:paraId="38083165">
      <w:pPr>
        <w:autoSpaceDE w:val="0"/>
        <w:autoSpaceDN w:val="0"/>
        <w:spacing w:line="360" w:lineRule="auto"/>
        <w:ind w:firstLine="6505" w:firstLineChars="2700"/>
        <w:rPr>
          <w:rFonts w:hint="eastAsia" w:ascii="宋体" w:hAnsi="宋体" w:eastAsia="宋体" w:cs="宋体"/>
          <w:b/>
          <w:bCs/>
          <w:color w:val="auto"/>
          <w:sz w:val="24"/>
        </w:rPr>
        <w:sectPr>
          <w:pgSz w:w="11910" w:h="16840"/>
          <w:pgMar w:top="1340" w:right="1500" w:bottom="280" w:left="1680" w:header="720" w:footer="720" w:gutter="0"/>
          <w:cols w:space="720" w:num="1"/>
        </w:sectPr>
      </w:pPr>
    </w:p>
    <w:p w14:paraId="7516523D">
      <w:pPr>
        <w:autoSpaceDE w:val="0"/>
        <w:autoSpaceDN w:val="0"/>
        <w:spacing w:line="360" w:lineRule="auto"/>
        <w:ind w:firstLine="6505" w:firstLineChars="2700"/>
        <w:rPr>
          <w:rFonts w:hint="eastAsia" w:ascii="宋体" w:hAnsi="宋体" w:eastAsia="宋体" w:cs="宋体"/>
          <w:b/>
          <w:bCs/>
          <w:color w:val="auto"/>
          <w:sz w:val="24"/>
        </w:rPr>
      </w:pPr>
    </w:p>
    <w:p w14:paraId="70BC5EB0">
      <w:pPr>
        <w:keepNext/>
        <w:keepLines/>
        <w:spacing w:before="260" w:after="260" w:line="416" w:lineRule="auto"/>
        <w:jc w:val="center"/>
        <w:outlineLvl w:val="1"/>
        <w:rPr>
          <w:rFonts w:hint="eastAsia" w:ascii="宋体" w:hAnsi="宋体" w:eastAsia="宋体" w:cs="宋体"/>
          <w:bCs/>
          <w:color w:val="auto"/>
          <w:sz w:val="32"/>
          <w:szCs w:val="32"/>
        </w:rPr>
      </w:pPr>
      <w:bookmarkStart w:id="94" w:name="_Toc80205941"/>
      <w:bookmarkStart w:id="95" w:name="_Toc87345244"/>
      <w:bookmarkStart w:id="96" w:name="_Toc4865"/>
      <w:bookmarkStart w:id="97" w:name="_Toc17730"/>
      <w:bookmarkStart w:id="98" w:name="_Toc8057"/>
      <w:r>
        <w:rPr>
          <w:rFonts w:hint="eastAsia" w:ascii="宋体" w:hAnsi="宋体" w:eastAsia="宋体" w:cs="宋体"/>
          <w:bCs/>
          <w:color w:val="auto"/>
          <w:sz w:val="32"/>
          <w:szCs w:val="32"/>
        </w:rPr>
        <w:t>第三节 报价文件格式</w:t>
      </w:r>
      <w:bookmarkEnd w:id="94"/>
      <w:bookmarkEnd w:id="95"/>
      <w:bookmarkEnd w:id="96"/>
      <w:bookmarkEnd w:id="97"/>
      <w:bookmarkEnd w:id="98"/>
    </w:p>
    <w:p w14:paraId="1E5EDD13">
      <w:pPr>
        <w:snapToGrid w:val="0"/>
        <w:spacing w:before="120"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全流程电子文件</w:t>
      </w:r>
    </w:p>
    <w:p w14:paraId="1E5F3FA4">
      <w:pPr>
        <w:snapToGrid w:val="0"/>
        <w:spacing w:before="120" w:beforeLines="50" w:after="50"/>
        <w:rPr>
          <w:rFonts w:hint="eastAsia" w:ascii="宋体" w:hAnsi="宋体" w:eastAsia="宋体" w:cs="宋体"/>
          <w:color w:val="auto"/>
          <w:sz w:val="24"/>
          <w:szCs w:val="20"/>
        </w:rPr>
      </w:pPr>
    </w:p>
    <w:p w14:paraId="6FEC5B8C">
      <w:pPr>
        <w:snapToGrid w:val="0"/>
        <w:spacing w:before="120" w:beforeLines="50" w:after="50"/>
        <w:rPr>
          <w:rFonts w:hint="eastAsia" w:ascii="宋体" w:hAnsi="宋体" w:eastAsia="宋体" w:cs="宋体"/>
          <w:color w:val="auto"/>
          <w:sz w:val="24"/>
          <w:szCs w:val="20"/>
        </w:rPr>
      </w:pPr>
    </w:p>
    <w:p w14:paraId="25EC0C16">
      <w:pPr>
        <w:snapToGrid w:val="0"/>
        <w:spacing w:before="120" w:beforeLines="50" w:after="50"/>
        <w:rPr>
          <w:rFonts w:hint="eastAsia" w:ascii="宋体" w:hAnsi="宋体" w:eastAsia="宋体" w:cs="宋体"/>
          <w:color w:val="auto"/>
          <w:sz w:val="24"/>
          <w:szCs w:val="20"/>
        </w:rPr>
      </w:pPr>
    </w:p>
    <w:p w14:paraId="15ADC16D">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报  价  文  件（封面）</w:t>
      </w:r>
    </w:p>
    <w:p w14:paraId="36719A81">
      <w:pPr>
        <w:snapToGrid w:val="0"/>
        <w:spacing w:before="120" w:beforeLines="50" w:after="50"/>
        <w:rPr>
          <w:rFonts w:hint="eastAsia" w:ascii="宋体" w:hAnsi="宋体" w:eastAsia="宋体" w:cs="宋体"/>
          <w:bCs/>
          <w:color w:val="auto"/>
          <w:sz w:val="24"/>
          <w:szCs w:val="20"/>
        </w:rPr>
      </w:pPr>
    </w:p>
    <w:p w14:paraId="2973EF53">
      <w:pPr>
        <w:snapToGrid w:val="0"/>
        <w:spacing w:before="120" w:beforeLines="50" w:after="50"/>
        <w:rPr>
          <w:rFonts w:hint="eastAsia" w:ascii="宋体" w:hAnsi="宋体" w:eastAsia="宋体" w:cs="宋体"/>
          <w:bCs/>
          <w:color w:val="auto"/>
          <w:sz w:val="24"/>
          <w:szCs w:val="20"/>
        </w:rPr>
      </w:pPr>
    </w:p>
    <w:p w14:paraId="705F333D">
      <w:pPr>
        <w:snapToGrid w:val="0"/>
        <w:spacing w:before="120" w:beforeLines="50" w:after="50"/>
        <w:rPr>
          <w:rFonts w:hint="eastAsia" w:ascii="宋体" w:hAnsi="宋体" w:eastAsia="宋体" w:cs="宋体"/>
          <w:bCs/>
          <w:color w:val="auto"/>
          <w:sz w:val="24"/>
          <w:szCs w:val="20"/>
        </w:rPr>
      </w:pPr>
    </w:p>
    <w:p w14:paraId="5ABFBF1D">
      <w:pPr>
        <w:snapToGrid w:val="0"/>
        <w:spacing w:before="120" w:beforeLines="50" w:after="50"/>
        <w:rPr>
          <w:rFonts w:hint="eastAsia" w:ascii="宋体" w:hAnsi="宋体" w:eastAsia="宋体" w:cs="宋体"/>
          <w:bCs/>
          <w:color w:val="auto"/>
          <w:sz w:val="24"/>
          <w:szCs w:val="20"/>
        </w:rPr>
      </w:pPr>
    </w:p>
    <w:p w14:paraId="6EC716FC">
      <w:pPr>
        <w:snapToGrid w:val="0"/>
        <w:spacing w:before="120" w:beforeLines="50" w:after="50"/>
        <w:rPr>
          <w:rFonts w:hint="eastAsia" w:ascii="宋体" w:hAnsi="宋体" w:eastAsia="宋体" w:cs="宋体"/>
          <w:bCs/>
          <w:color w:val="auto"/>
          <w:sz w:val="24"/>
          <w:szCs w:val="20"/>
        </w:rPr>
      </w:pPr>
    </w:p>
    <w:p w14:paraId="78641E7B">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777A4828">
      <w:pPr>
        <w:snapToGrid w:val="0"/>
        <w:spacing w:before="120" w:beforeLines="50" w:after="50"/>
        <w:ind w:firstLine="720" w:firstLineChars="225"/>
        <w:rPr>
          <w:rFonts w:hint="eastAsia" w:ascii="宋体" w:hAnsi="宋体" w:eastAsia="宋体" w:cs="宋体"/>
          <w:bCs/>
          <w:color w:val="auto"/>
          <w:sz w:val="32"/>
          <w:szCs w:val="32"/>
        </w:rPr>
      </w:pPr>
    </w:p>
    <w:p w14:paraId="137CD240">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项目编号：</w:t>
      </w:r>
    </w:p>
    <w:p w14:paraId="2E66EA8F">
      <w:pPr>
        <w:snapToGrid w:val="0"/>
        <w:spacing w:before="120" w:beforeLines="50" w:after="50"/>
        <w:ind w:firstLine="720" w:firstLineChars="225"/>
        <w:rPr>
          <w:rFonts w:hint="eastAsia" w:ascii="宋体" w:hAnsi="宋体" w:eastAsia="宋体" w:cs="宋体"/>
          <w:bCs/>
          <w:color w:val="auto"/>
          <w:sz w:val="32"/>
          <w:szCs w:val="32"/>
        </w:rPr>
      </w:pPr>
    </w:p>
    <w:p w14:paraId="00ACBDBA">
      <w:pPr>
        <w:snapToGrid w:val="0"/>
        <w:spacing w:before="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107400C6">
      <w:pPr>
        <w:snapToGrid w:val="0"/>
        <w:spacing w:before="50" w:after="50"/>
        <w:ind w:firstLine="720" w:firstLineChars="225"/>
        <w:rPr>
          <w:rFonts w:hint="eastAsia" w:ascii="宋体" w:hAnsi="宋体" w:eastAsia="宋体" w:cs="宋体"/>
          <w:bCs/>
          <w:color w:val="auto"/>
          <w:sz w:val="32"/>
          <w:szCs w:val="32"/>
        </w:rPr>
      </w:pPr>
    </w:p>
    <w:p w14:paraId="33C76362">
      <w:pPr>
        <w:snapToGrid w:val="0"/>
        <w:spacing w:before="50" w:after="50"/>
        <w:ind w:firstLine="720" w:firstLineChars="225"/>
        <w:rPr>
          <w:rFonts w:hint="eastAsia" w:ascii="宋体" w:hAnsi="宋体" w:eastAsia="宋体" w:cs="宋体"/>
          <w:bCs/>
          <w:color w:val="auto"/>
          <w:sz w:val="32"/>
          <w:szCs w:val="32"/>
        </w:rPr>
      </w:pPr>
    </w:p>
    <w:p w14:paraId="57E820A0">
      <w:pPr>
        <w:snapToGrid w:val="0"/>
        <w:spacing w:before="50" w:after="50"/>
        <w:ind w:firstLine="1280" w:firstLineChars="400"/>
        <w:rPr>
          <w:rFonts w:hint="eastAsia" w:ascii="宋体" w:hAnsi="宋体" w:eastAsia="宋体" w:cs="宋体"/>
          <w:bCs/>
          <w:color w:val="auto"/>
          <w:sz w:val="32"/>
          <w:szCs w:val="32"/>
        </w:rPr>
      </w:pPr>
    </w:p>
    <w:p w14:paraId="0B7FC0D1">
      <w:pPr>
        <w:snapToGrid w:val="0"/>
        <w:spacing w:before="120" w:beforeLines="50" w:after="50"/>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072568F6">
      <w:pPr>
        <w:snapToGrid w:val="0"/>
        <w:spacing w:before="120" w:beforeLines="50" w:after="50" w:line="400" w:lineRule="exact"/>
        <w:jc w:val="center"/>
        <w:rPr>
          <w:rFonts w:hint="eastAsia" w:ascii="宋体" w:hAnsi="宋体" w:eastAsia="宋体" w:cs="宋体"/>
          <w:b/>
          <w:bCs/>
          <w:color w:val="auto"/>
          <w:sz w:val="32"/>
          <w:szCs w:val="32"/>
        </w:rPr>
      </w:pPr>
      <w:r>
        <w:rPr>
          <w:rFonts w:hint="eastAsia" w:ascii="宋体" w:hAnsi="宋体" w:eastAsia="宋体" w:cs="宋体"/>
          <w:color w:val="auto"/>
          <w:sz w:val="24"/>
        </w:rPr>
        <w:br w:type="page"/>
      </w:r>
      <w:r>
        <w:rPr>
          <w:rFonts w:hint="eastAsia" w:ascii="宋体" w:hAnsi="宋体" w:eastAsia="宋体" w:cs="宋体"/>
          <w:b/>
          <w:bCs/>
          <w:color w:val="auto"/>
          <w:sz w:val="32"/>
          <w:szCs w:val="32"/>
        </w:rPr>
        <w:t>报价文件目录</w:t>
      </w:r>
    </w:p>
    <w:p w14:paraId="6002D9F4">
      <w:pPr>
        <w:rPr>
          <w:rFonts w:hint="eastAsia" w:ascii="宋体" w:hAnsi="宋体" w:eastAsia="宋体" w:cs="宋体"/>
          <w:color w:val="auto"/>
        </w:rPr>
      </w:pPr>
    </w:p>
    <w:p w14:paraId="3813CF80">
      <w:pPr>
        <w:rPr>
          <w:rFonts w:hint="eastAsia" w:ascii="宋体" w:hAnsi="宋体" w:eastAsia="宋体" w:cs="宋体"/>
          <w:color w:val="auto"/>
          <w:kern w:val="0"/>
          <w:sz w:val="24"/>
        </w:rPr>
      </w:pPr>
      <w:r>
        <w:rPr>
          <w:rFonts w:hint="eastAsia" w:ascii="宋体" w:hAnsi="宋体" w:eastAsia="宋体" w:cs="宋体"/>
          <w:color w:val="auto"/>
          <w:kern w:val="0"/>
          <w:sz w:val="24"/>
        </w:rPr>
        <w:t>一、响应函………………………………………………………（页码）</w:t>
      </w:r>
    </w:p>
    <w:p w14:paraId="2E4F8B3B">
      <w:pPr>
        <w:snapToGrid w:val="0"/>
        <w:spacing w:before="120" w:beforeLines="50" w:after="50" w:line="360" w:lineRule="auto"/>
        <w:jc w:val="left"/>
        <w:rPr>
          <w:rFonts w:hint="eastAsia" w:ascii="宋体" w:hAnsi="宋体" w:eastAsia="宋体" w:cs="宋体"/>
          <w:color w:val="auto"/>
          <w:kern w:val="0"/>
          <w:sz w:val="24"/>
        </w:rPr>
        <w:sectPr>
          <w:footerReference r:id="rId17" w:type="default"/>
          <w:pgSz w:w="11910" w:h="16840"/>
          <w:pgMar w:top="1340" w:right="1500" w:bottom="280" w:left="1680" w:header="720" w:footer="720" w:gutter="0"/>
          <w:cols w:space="720" w:num="1"/>
        </w:sectPr>
      </w:pPr>
      <w:r>
        <w:rPr>
          <w:rFonts w:hint="eastAsia" w:ascii="宋体" w:hAnsi="宋体" w:eastAsia="宋体" w:cs="宋体"/>
          <w:color w:val="auto"/>
          <w:sz w:val="24"/>
        </w:rPr>
        <w:t>二、响应报价表</w:t>
      </w:r>
      <w:r>
        <w:rPr>
          <w:rFonts w:hint="eastAsia" w:ascii="宋体" w:hAnsi="宋体" w:eastAsia="宋体" w:cs="宋体"/>
          <w:color w:val="auto"/>
          <w:kern w:val="0"/>
          <w:sz w:val="24"/>
        </w:rPr>
        <w:t>…………………………………………………（页码）</w:t>
      </w:r>
    </w:p>
    <w:p w14:paraId="7D77E5C5">
      <w:pPr>
        <w:spacing w:line="520" w:lineRule="exact"/>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rPr>
        <w:t>二、响应报价表</w:t>
      </w:r>
    </w:p>
    <w:tbl>
      <w:tblPr>
        <w:tblStyle w:val="1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4329"/>
        <w:gridCol w:w="1079"/>
        <w:gridCol w:w="1519"/>
        <w:gridCol w:w="1926"/>
      </w:tblGrid>
      <w:tr w14:paraId="0ED8B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53DFA2F">
            <w:pPr>
              <w:snapToGrid w:val="0"/>
              <w:spacing w:before="50" w:after="50" w:line="40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4329" w:type="dxa"/>
            <w:tcBorders>
              <w:top w:val="single" w:color="auto" w:sz="4" w:space="0"/>
              <w:left w:val="single" w:color="auto" w:sz="4" w:space="0"/>
              <w:bottom w:val="single" w:color="auto" w:sz="4" w:space="0"/>
              <w:right w:val="single" w:color="auto" w:sz="4" w:space="0"/>
            </w:tcBorders>
            <w:vAlign w:val="center"/>
          </w:tcPr>
          <w:p w14:paraId="1ECD85F8">
            <w:pPr>
              <w:snapToGrid w:val="0"/>
              <w:spacing w:before="50" w:after="50" w:line="400" w:lineRule="exact"/>
              <w:jc w:val="center"/>
              <w:rPr>
                <w:rFonts w:hint="eastAsia" w:ascii="宋体" w:hAnsi="宋体" w:eastAsia="宋体" w:cs="宋体"/>
                <w:color w:val="auto"/>
                <w:sz w:val="24"/>
              </w:rPr>
            </w:pPr>
            <w:r>
              <w:rPr>
                <w:rFonts w:hint="eastAsia" w:ascii="宋体" w:hAnsi="宋体" w:eastAsia="宋体" w:cs="宋体"/>
                <w:color w:val="auto"/>
                <w:sz w:val="24"/>
              </w:rPr>
              <w:t>服务内容</w:t>
            </w:r>
          </w:p>
        </w:tc>
        <w:tc>
          <w:tcPr>
            <w:tcW w:w="1079" w:type="dxa"/>
            <w:tcBorders>
              <w:top w:val="single" w:color="auto" w:sz="4" w:space="0"/>
              <w:left w:val="single" w:color="auto" w:sz="4" w:space="0"/>
              <w:bottom w:val="single" w:color="auto" w:sz="4" w:space="0"/>
              <w:right w:val="single" w:color="auto" w:sz="4" w:space="0"/>
            </w:tcBorders>
            <w:vAlign w:val="center"/>
          </w:tcPr>
          <w:p w14:paraId="55B91681">
            <w:pPr>
              <w:jc w:val="center"/>
              <w:rPr>
                <w:rFonts w:hint="eastAsia" w:ascii="宋体" w:hAnsi="宋体" w:eastAsia="宋体" w:cs="宋体"/>
                <w:b/>
                <w:bCs/>
                <w:color w:val="auto"/>
                <w:sz w:val="24"/>
              </w:rPr>
            </w:pPr>
            <w:r>
              <w:rPr>
                <w:rFonts w:hint="eastAsia" w:ascii="宋体" w:hAnsi="宋体" w:eastAsia="宋体" w:cs="宋体"/>
                <w:color w:val="auto"/>
                <w:szCs w:val="21"/>
              </w:rPr>
              <w:t>数量</w:t>
            </w:r>
          </w:p>
        </w:tc>
        <w:tc>
          <w:tcPr>
            <w:tcW w:w="1519" w:type="dxa"/>
            <w:tcBorders>
              <w:top w:val="single" w:color="auto" w:sz="4" w:space="0"/>
              <w:left w:val="single" w:color="auto" w:sz="4" w:space="0"/>
              <w:bottom w:val="single" w:color="auto" w:sz="4" w:space="0"/>
              <w:right w:val="single" w:color="auto" w:sz="4" w:space="0"/>
            </w:tcBorders>
            <w:vAlign w:val="center"/>
          </w:tcPr>
          <w:p w14:paraId="7803AC3A">
            <w:pPr>
              <w:jc w:val="center"/>
              <w:rPr>
                <w:rFonts w:hint="eastAsia" w:ascii="宋体" w:hAnsi="宋体" w:eastAsia="宋体" w:cs="宋体"/>
                <w:b/>
                <w:bCs/>
                <w:color w:val="auto"/>
                <w:sz w:val="24"/>
              </w:rPr>
            </w:pPr>
            <w:r>
              <w:rPr>
                <w:rFonts w:hint="eastAsia" w:ascii="宋体" w:hAnsi="宋体" w:eastAsia="宋体" w:cs="宋体"/>
                <w:color w:val="auto"/>
                <w:szCs w:val="21"/>
              </w:rPr>
              <w:t>单价（元)</w:t>
            </w:r>
          </w:p>
        </w:tc>
        <w:tc>
          <w:tcPr>
            <w:tcW w:w="1926" w:type="dxa"/>
            <w:tcBorders>
              <w:top w:val="single" w:color="auto" w:sz="4" w:space="0"/>
              <w:left w:val="single" w:color="auto" w:sz="4" w:space="0"/>
              <w:bottom w:val="single" w:color="auto" w:sz="4" w:space="0"/>
              <w:right w:val="single" w:color="auto" w:sz="4" w:space="0"/>
            </w:tcBorders>
            <w:vAlign w:val="center"/>
          </w:tcPr>
          <w:p w14:paraId="6C0E5CC7">
            <w:pPr>
              <w:jc w:val="center"/>
              <w:rPr>
                <w:rFonts w:hint="eastAsia" w:ascii="宋体" w:hAnsi="宋体" w:eastAsia="宋体" w:cs="宋体"/>
                <w:b/>
                <w:bCs/>
                <w:color w:val="auto"/>
                <w:sz w:val="24"/>
              </w:rPr>
            </w:pPr>
            <w:r>
              <w:rPr>
                <w:rFonts w:hint="eastAsia" w:ascii="宋体" w:hAnsi="宋体" w:eastAsia="宋体" w:cs="宋体"/>
                <w:color w:val="auto"/>
                <w:szCs w:val="21"/>
              </w:rPr>
              <w:t>合价（元）</w:t>
            </w:r>
          </w:p>
        </w:tc>
      </w:tr>
      <w:tr w14:paraId="48F5F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2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A5DF1EA">
            <w:pPr>
              <w:snapToGrid w:val="0"/>
              <w:spacing w:before="50" w:after="50" w:line="40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4329" w:type="dxa"/>
            <w:tcBorders>
              <w:top w:val="single" w:color="auto" w:sz="4" w:space="0"/>
              <w:left w:val="single" w:color="auto" w:sz="4" w:space="0"/>
              <w:bottom w:val="single" w:color="auto" w:sz="4" w:space="0"/>
              <w:right w:val="single" w:color="auto" w:sz="4" w:space="0"/>
            </w:tcBorders>
            <w:vAlign w:val="center"/>
          </w:tcPr>
          <w:p w14:paraId="793D033D">
            <w:pPr>
              <w:snapToGrid w:val="0"/>
              <w:spacing w:before="50" w:after="50" w:line="400" w:lineRule="exact"/>
              <w:jc w:val="center"/>
              <w:rPr>
                <w:rFonts w:hint="eastAsia" w:ascii="宋体" w:hAnsi="宋体" w:eastAsia="宋体" w:cs="宋体"/>
                <w:color w:val="auto"/>
                <w:sz w:val="24"/>
              </w:rPr>
            </w:pPr>
          </w:p>
        </w:tc>
        <w:tc>
          <w:tcPr>
            <w:tcW w:w="1079" w:type="dxa"/>
            <w:tcBorders>
              <w:top w:val="single" w:color="auto" w:sz="4" w:space="0"/>
              <w:left w:val="single" w:color="auto" w:sz="4" w:space="0"/>
              <w:bottom w:val="single" w:color="auto" w:sz="4" w:space="0"/>
              <w:right w:val="single" w:color="auto" w:sz="4" w:space="0"/>
            </w:tcBorders>
            <w:vAlign w:val="center"/>
          </w:tcPr>
          <w:p w14:paraId="267455D3">
            <w:pPr>
              <w:snapToGrid w:val="0"/>
              <w:spacing w:before="50" w:after="50" w:line="400" w:lineRule="exact"/>
              <w:jc w:val="center"/>
              <w:rPr>
                <w:rFonts w:hint="eastAsia" w:ascii="宋体" w:hAnsi="宋体" w:eastAsia="宋体" w:cs="宋体"/>
                <w:color w:val="auto"/>
                <w:sz w:val="24"/>
              </w:rPr>
            </w:pPr>
            <w:r>
              <w:rPr>
                <w:rFonts w:hint="eastAsia" w:ascii="宋体" w:hAnsi="宋体" w:eastAsia="宋体" w:cs="宋体"/>
                <w:color w:val="auto"/>
                <w:sz w:val="24"/>
              </w:rPr>
              <w:t>1项</w:t>
            </w:r>
          </w:p>
        </w:tc>
        <w:tc>
          <w:tcPr>
            <w:tcW w:w="1519" w:type="dxa"/>
            <w:tcBorders>
              <w:top w:val="single" w:color="auto" w:sz="4" w:space="0"/>
              <w:left w:val="single" w:color="auto" w:sz="4" w:space="0"/>
              <w:bottom w:val="single" w:color="auto" w:sz="4" w:space="0"/>
              <w:right w:val="single" w:color="auto" w:sz="4" w:space="0"/>
            </w:tcBorders>
            <w:vAlign w:val="center"/>
          </w:tcPr>
          <w:p w14:paraId="5C52BAA6">
            <w:pPr>
              <w:snapToGrid w:val="0"/>
              <w:spacing w:before="50" w:after="50" w:line="400" w:lineRule="exact"/>
              <w:jc w:val="center"/>
              <w:rPr>
                <w:rFonts w:hint="eastAsia" w:ascii="宋体" w:hAnsi="宋体" w:eastAsia="宋体" w:cs="宋体"/>
                <w:color w:val="auto"/>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7700E51">
            <w:pPr>
              <w:snapToGrid w:val="0"/>
              <w:spacing w:before="50" w:after="50" w:line="400" w:lineRule="exact"/>
              <w:jc w:val="center"/>
              <w:rPr>
                <w:rFonts w:hint="eastAsia" w:ascii="宋体" w:hAnsi="宋体" w:eastAsia="宋体" w:cs="宋体"/>
                <w:color w:val="auto"/>
                <w:sz w:val="24"/>
              </w:rPr>
            </w:pPr>
          </w:p>
        </w:tc>
      </w:tr>
      <w:tr w14:paraId="6F303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791F156">
            <w:pPr>
              <w:snapToGrid w:val="0"/>
              <w:spacing w:before="50" w:after="50" w:line="400" w:lineRule="exact"/>
              <w:rPr>
                <w:rFonts w:hint="eastAsia" w:ascii="宋体" w:hAnsi="宋体" w:eastAsia="宋体" w:cs="宋体"/>
                <w:color w:val="auto"/>
                <w:sz w:val="24"/>
                <w:u w:val="single"/>
              </w:rPr>
            </w:pPr>
            <w:r>
              <w:rPr>
                <w:rFonts w:hint="eastAsia" w:ascii="宋体" w:hAnsi="宋体" w:eastAsia="宋体" w:cs="宋体"/>
                <w:b/>
                <w:color w:val="auto"/>
                <w:sz w:val="24"/>
              </w:rPr>
              <w:t>总报价</w:t>
            </w:r>
            <w:r>
              <w:rPr>
                <w:rFonts w:hint="eastAsia" w:ascii="宋体" w:hAnsi="宋体" w:eastAsia="宋体" w:cs="宋体"/>
                <w:color w:val="auto"/>
                <w:sz w:val="24"/>
              </w:rPr>
              <w:t>（人民币大写）</w:t>
            </w:r>
            <w:r>
              <w:rPr>
                <w:rFonts w:hint="eastAsia" w:ascii="宋体" w:hAnsi="宋体" w:eastAsia="宋体" w:cs="宋体"/>
                <w:color w:val="auto"/>
                <w:sz w:val="24"/>
                <w:u w:val="single"/>
              </w:rPr>
              <w:t>：                     （</w:t>
            </w:r>
            <w:r>
              <w:rPr>
                <w:rFonts w:hint="eastAsia" w:ascii="宋体" w:hAnsi="宋体" w:eastAsia="宋体" w:cs="宋体"/>
                <w:color w:val="auto"/>
                <w:sz w:val="24"/>
              </w:rPr>
              <w:t>¥</w:t>
            </w:r>
            <w:r>
              <w:rPr>
                <w:rFonts w:hint="eastAsia" w:ascii="宋体" w:hAnsi="宋体" w:eastAsia="宋体" w:cs="宋体"/>
                <w:color w:val="auto"/>
                <w:sz w:val="24"/>
                <w:u w:val="single"/>
              </w:rPr>
              <w:t xml:space="preserve">                ） </w:t>
            </w:r>
          </w:p>
        </w:tc>
      </w:tr>
      <w:tr w14:paraId="79C67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5E12C8A">
            <w:pPr>
              <w:snapToGrid w:val="0"/>
              <w:spacing w:before="50" w:after="50" w:line="400" w:lineRule="exact"/>
              <w:rPr>
                <w:rFonts w:hint="eastAsia" w:ascii="宋体" w:hAnsi="宋体" w:eastAsia="宋体" w:cs="宋体"/>
                <w:b/>
                <w:color w:val="auto"/>
                <w:sz w:val="24"/>
              </w:rPr>
            </w:pPr>
            <w:r>
              <w:rPr>
                <w:rFonts w:hint="eastAsia" w:ascii="宋体" w:hAnsi="宋体" w:eastAsia="宋体" w:cs="宋体"/>
                <w:b/>
                <w:color w:val="auto"/>
                <w:sz w:val="24"/>
              </w:rPr>
              <w:t>服务期限：</w:t>
            </w:r>
          </w:p>
        </w:tc>
      </w:tr>
    </w:tbl>
    <w:p w14:paraId="2A7043EF">
      <w:pPr>
        <w:snapToGrid w:val="0"/>
        <w:spacing w:before="50" w:after="50"/>
        <w:rPr>
          <w:rFonts w:hint="eastAsia" w:ascii="宋体" w:hAnsi="宋体" w:eastAsia="宋体" w:cs="宋体"/>
          <w:color w:val="auto"/>
          <w:u w:val="single"/>
        </w:rPr>
      </w:pPr>
    </w:p>
    <w:p w14:paraId="6ABF0B96">
      <w:pPr>
        <w:snapToGrid w:val="0"/>
        <w:spacing w:before="50" w:after="50" w:line="360" w:lineRule="auto"/>
        <w:ind w:firstLine="105" w:firstLineChars="50"/>
        <w:jc w:val="left"/>
        <w:rPr>
          <w:rFonts w:hint="eastAsia" w:ascii="宋体" w:hAnsi="宋体" w:eastAsia="宋体" w:cs="宋体"/>
          <w:color w:val="auto"/>
          <w:szCs w:val="21"/>
        </w:rPr>
      </w:pPr>
      <w:r>
        <w:rPr>
          <w:rFonts w:hint="eastAsia" w:ascii="宋体" w:hAnsi="宋体" w:eastAsia="宋体" w:cs="宋体"/>
          <w:color w:val="auto"/>
          <w:szCs w:val="21"/>
        </w:rPr>
        <w:t>注： 1、报价一经涂改，应在涂改处加盖供应商单位公章或者由供应商法定代表人或授权委托人签字，否则其响应文件作响应无效处理。</w:t>
      </w:r>
    </w:p>
    <w:p w14:paraId="098F234C">
      <w:pPr>
        <w:snapToGrid w:val="0"/>
        <w:spacing w:before="50" w:after="50" w:line="360" w:lineRule="auto"/>
        <w:ind w:firstLine="105" w:firstLineChars="50"/>
        <w:jc w:val="left"/>
        <w:rPr>
          <w:rFonts w:hint="eastAsia" w:ascii="宋体" w:hAnsi="宋体" w:eastAsia="宋体" w:cs="宋体"/>
          <w:color w:val="auto"/>
          <w:szCs w:val="21"/>
          <w:lang w:val="zh-CN"/>
        </w:rPr>
      </w:pPr>
      <w:r>
        <w:rPr>
          <w:rFonts w:hint="eastAsia" w:ascii="宋体" w:hAnsi="宋体" w:eastAsia="宋体" w:cs="宋体"/>
          <w:color w:val="auto"/>
          <w:szCs w:val="21"/>
        </w:rPr>
        <w:t>2、报价费用包含完成本项目所需的人力成本（含人员工资、福利、各种保险）、交通、设备费、场地使用费、材料费、验收费、利润、税金等一切可能发生的费用，不再另做结算。对于本磋商采购文件中未列明，而供应商认为必需的费用也需列入报价。在合同实施时，采购人将不予支付成交供应商没有列入的项目费用，并认为此项目的费用已包括在报价中。</w:t>
      </w:r>
    </w:p>
    <w:p w14:paraId="1029383E">
      <w:pPr>
        <w:autoSpaceDE w:val="0"/>
        <w:autoSpaceDN w:val="0"/>
        <w:spacing w:line="360" w:lineRule="auto"/>
        <w:ind w:left="4335" w:leftChars="1950" w:hanging="240" w:hangingChars="100"/>
        <w:rPr>
          <w:rFonts w:hint="eastAsia" w:ascii="宋体" w:hAnsi="宋体" w:eastAsia="宋体" w:cs="宋体"/>
          <w:color w:val="auto"/>
          <w:kern w:val="0"/>
          <w:sz w:val="24"/>
        </w:rPr>
      </w:pPr>
    </w:p>
    <w:p w14:paraId="3EE6690E">
      <w:pPr>
        <w:autoSpaceDE w:val="0"/>
        <w:autoSpaceDN w:val="0"/>
        <w:spacing w:line="360" w:lineRule="auto"/>
        <w:ind w:left="4335" w:leftChars="1950" w:hanging="240" w:hangingChars="100"/>
        <w:rPr>
          <w:rFonts w:hint="eastAsia" w:ascii="宋体" w:hAnsi="宋体" w:eastAsia="宋体" w:cs="宋体"/>
          <w:color w:val="auto"/>
          <w:kern w:val="0"/>
          <w:sz w:val="24"/>
        </w:rPr>
      </w:pPr>
    </w:p>
    <w:p w14:paraId="446BC38F">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3B3227FE">
      <w:pPr>
        <w:snapToGrid w:val="0"/>
        <w:spacing w:before="120" w:beforeLines="50" w:after="50" w:line="360" w:lineRule="auto"/>
        <w:ind w:firstLine="5280" w:firstLineChars="2200"/>
        <w:jc w:val="left"/>
        <w:rPr>
          <w:rFonts w:hint="eastAsia" w:ascii="宋体" w:hAnsi="宋体" w:eastAsia="宋体" w:cs="宋体"/>
          <w:color w:val="auto"/>
          <w:sz w:val="24"/>
        </w:rPr>
      </w:pPr>
      <w:r>
        <w:rPr>
          <w:rFonts w:hint="eastAsia" w:ascii="宋体" w:hAnsi="宋体" w:eastAsia="宋体" w:cs="宋体"/>
          <w:color w:val="auto"/>
          <w:kern w:val="0"/>
          <w:sz w:val="24"/>
          <w:szCs w:val="21"/>
          <w:lang w:val="zh-CN"/>
        </w:rPr>
        <w:t>日期：  年  月   日</w:t>
      </w:r>
      <w:r>
        <w:rPr>
          <w:rFonts w:hint="eastAsia" w:ascii="宋体" w:hAnsi="宋体" w:eastAsia="宋体" w:cs="宋体"/>
          <w:color w:val="auto"/>
          <w:sz w:val="24"/>
        </w:rPr>
        <w:br w:type="page"/>
      </w:r>
      <w:r>
        <w:rPr>
          <w:rFonts w:hint="eastAsia" w:ascii="宋体" w:hAnsi="宋体" w:eastAsia="宋体" w:cs="宋体"/>
          <w:b/>
          <w:bCs/>
          <w:color w:val="auto"/>
          <w:sz w:val="32"/>
          <w:szCs w:val="32"/>
        </w:rPr>
        <w:t>一、响应函</w:t>
      </w:r>
    </w:p>
    <w:p w14:paraId="260FDCB8">
      <w:pPr>
        <w:spacing w:line="500" w:lineRule="exact"/>
        <w:jc w:val="center"/>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响应函</w:t>
      </w:r>
    </w:p>
    <w:p w14:paraId="6FDC6F2C">
      <w:pPr>
        <w:spacing w:line="500" w:lineRule="exact"/>
        <w:rPr>
          <w:rFonts w:hint="eastAsia" w:ascii="宋体" w:hAnsi="宋体" w:eastAsia="宋体" w:cs="宋体"/>
          <w:color w:val="auto"/>
          <w:kern w:val="0"/>
          <w:sz w:val="32"/>
          <w:szCs w:val="21"/>
        </w:rPr>
      </w:pPr>
    </w:p>
    <w:p w14:paraId="793B885A">
      <w:pPr>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（采购代理机构名称）</w:t>
      </w:r>
    </w:p>
    <w:p w14:paraId="685D3536">
      <w:pPr>
        <w:spacing w:line="400" w:lineRule="exact"/>
        <w:ind w:firstLine="420" w:firstLineChars="200"/>
        <w:rPr>
          <w:rFonts w:hint="eastAsia" w:ascii="宋体" w:hAnsi="宋体" w:eastAsia="宋体" w:cs="宋体"/>
          <w:color w:val="auto"/>
          <w:kern w:val="0"/>
          <w:szCs w:val="21"/>
        </w:rPr>
      </w:pPr>
    </w:p>
    <w:p w14:paraId="1E30D3D9">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我方已仔细阅读了贵方组织的</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项目（项目编号：</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）的竞争性磋商采购文件的全部内容，现正式递交下述文件参加贵方组织的本次政府采购活动： </w:t>
      </w:r>
    </w:p>
    <w:p w14:paraId="525A2022">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一、首次报价文件电子版</w:t>
      </w:r>
      <w:r>
        <w:rPr>
          <w:rFonts w:hint="eastAsia" w:ascii="宋体" w:hAnsi="宋体" w:eastAsia="宋体" w:cs="宋体"/>
          <w:color w:val="auto"/>
          <w:kern w:val="0"/>
          <w:szCs w:val="21"/>
          <w:u w:val="single"/>
        </w:rPr>
        <w:t xml:space="preserve">  1 </w:t>
      </w:r>
      <w:r>
        <w:rPr>
          <w:rFonts w:hint="eastAsia" w:ascii="宋体" w:hAnsi="宋体" w:eastAsia="宋体" w:cs="宋体"/>
          <w:color w:val="auto"/>
          <w:kern w:val="0"/>
          <w:szCs w:val="21"/>
        </w:rPr>
        <w:t>份（包含按“第三章 供应商须知”提交的全部文件）；</w:t>
      </w:r>
    </w:p>
    <w:p w14:paraId="5E33B7C4">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二、商务技术文件电子版</w:t>
      </w:r>
      <w:r>
        <w:rPr>
          <w:rFonts w:hint="eastAsia" w:ascii="宋体" w:hAnsi="宋体" w:eastAsia="宋体" w:cs="宋体"/>
          <w:color w:val="auto"/>
          <w:kern w:val="0"/>
          <w:szCs w:val="21"/>
          <w:u w:val="single"/>
        </w:rPr>
        <w:t xml:space="preserve">  1 </w:t>
      </w:r>
      <w:r>
        <w:rPr>
          <w:rFonts w:hint="eastAsia" w:ascii="宋体" w:hAnsi="宋体" w:eastAsia="宋体" w:cs="宋体"/>
          <w:color w:val="auto"/>
          <w:kern w:val="0"/>
          <w:szCs w:val="21"/>
        </w:rPr>
        <w:t>份（包含按“第三章 供应商须知”提交的全部文件）；</w:t>
      </w:r>
    </w:p>
    <w:p w14:paraId="385FDC6C">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据此函，签字人兹宣布：</w:t>
      </w:r>
    </w:p>
    <w:p w14:paraId="36F488A1">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1、我方愿意提供服务期：</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，提供本项目竞争性磋商采购文件第二章“服务需求一览表”中相应的采购内容。</w:t>
      </w:r>
    </w:p>
    <w:p w14:paraId="2D306F09">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2、我方同意自本项目竞争性磋商采购文件采购公告规定的递交响应文件截止时间起遵循本响应函，并承诺在“第三章 供应商须知”规定的响应有效期内不修改、撤销响应文件。</w:t>
      </w:r>
    </w:p>
    <w:p w14:paraId="79E42755">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3、我方在此声明，所递交的响应文件及有关资料内容完整、真实和准确。</w:t>
      </w:r>
    </w:p>
    <w:p w14:paraId="7D40E830">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4、如本项目采购内容涉及须符合国家强制规定的，我方承诺我方本次竞标均符合国家有关强制规定。</w:t>
      </w:r>
    </w:p>
    <w:p w14:paraId="3FDA7087">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5、我方承诺未被列入失信被执行人、重大税收违法案件当事人名单、政府采购严重违法失信行为记录名单，并已经具备《中华人民共和国政府采购法》中规定的参加政府采购活动的供应商应当具备的条件：</w:t>
      </w:r>
    </w:p>
    <w:p w14:paraId="7AF928EF">
      <w:pPr>
        <w:numPr>
          <w:ilvl w:val="0"/>
          <w:numId w:val="3"/>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具有独立承担民事责任的能力；</w:t>
      </w:r>
    </w:p>
    <w:p w14:paraId="267D8B6E">
      <w:pPr>
        <w:numPr>
          <w:ilvl w:val="0"/>
          <w:numId w:val="3"/>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具有良好的商业信誉和健全的财务会计制度；</w:t>
      </w:r>
    </w:p>
    <w:p w14:paraId="5804A50F">
      <w:pPr>
        <w:numPr>
          <w:ilvl w:val="0"/>
          <w:numId w:val="3"/>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具有履行合同所必需的设备和专业技术能力；</w:t>
      </w:r>
    </w:p>
    <w:p w14:paraId="4EF088C2">
      <w:pPr>
        <w:numPr>
          <w:ilvl w:val="0"/>
          <w:numId w:val="3"/>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有依法缴纳税收和社会保障资金的良好记录；</w:t>
      </w:r>
    </w:p>
    <w:p w14:paraId="069309FC">
      <w:pPr>
        <w:numPr>
          <w:ilvl w:val="0"/>
          <w:numId w:val="3"/>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参加政府采购活动前三年内，在经营活动中没有重大违法记录；</w:t>
      </w:r>
    </w:p>
    <w:p w14:paraId="6AE1A1AD">
      <w:pPr>
        <w:numPr>
          <w:ilvl w:val="0"/>
          <w:numId w:val="3"/>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法律、行政法规规定的其他条件。</w:t>
      </w:r>
    </w:p>
    <w:p w14:paraId="4ED9DFD4">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112FF58">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7.我方已详细审核竞争性磋商采购文件，我方知道必须放弃提出含糊不清或误解问题的权利。</w:t>
      </w:r>
    </w:p>
    <w:p w14:paraId="074070E3">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8.我方承诺满足竞争性磋商采购文件第六章“合同文本”的条款，承担完成合同的责任和义务。</w:t>
      </w:r>
    </w:p>
    <w:p w14:paraId="71B7F132">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9.我方同意应贵方要求提供与本竞标有关的任何数据或资料。若贵方需要，我方愿意提供我方作出的一切承诺的证明材料。</w:t>
      </w:r>
    </w:p>
    <w:p w14:paraId="750F31B6">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10.我方完全理解贵方不一定接受响应报价最低的竞标人为成交供应商的行为。</w:t>
      </w:r>
    </w:p>
    <w:p w14:paraId="159BFAD7">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7152288">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提供虚假材料谋取中标、成交的；</w:t>
      </w:r>
    </w:p>
    <w:p w14:paraId="7B89C111">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采取不正当手段诋毁、排挤其他供应商的；</w:t>
      </w:r>
    </w:p>
    <w:p w14:paraId="551DA9A3">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与采购人、其他供应商或者采购代理机构恶意串通的；</w:t>
      </w:r>
    </w:p>
    <w:p w14:paraId="44415915">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向采购人、采购代理机构行贿或者提供其他不正当利益的；</w:t>
      </w:r>
    </w:p>
    <w:p w14:paraId="76B23A20">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在采购过程中与采购人进行协商谈判的；</w:t>
      </w:r>
    </w:p>
    <w:p w14:paraId="6A0A7314">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拒绝有关部门监督检查或提供虚假情况的。</w:t>
      </w:r>
    </w:p>
    <w:p w14:paraId="3ED95810">
      <w:pPr>
        <w:spacing w:line="400" w:lineRule="exac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12.与本磋商有关的一切正式往来信函请寄：</w:t>
      </w:r>
    </w:p>
    <w:p w14:paraId="7C324F31">
      <w:pPr>
        <w:spacing w:line="400" w:lineRule="exac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地址：</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w:t>
      </w:r>
    </w:p>
    <w:p w14:paraId="042D8450">
      <w:pPr>
        <w:spacing w:line="400" w:lineRule="exact"/>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电话：</w:t>
      </w:r>
      <w:r>
        <w:rPr>
          <w:rFonts w:hint="eastAsia" w:ascii="宋体" w:hAnsi="宋体" w:eastAsia="宋体" w:cs="宋体"/>
          <w:color w:val="auto"/>
          <w:kern w:val="0"/>
          <w:szCs w:val="21"/>
          <w:u w:val="single"/>
        </w:rPr>
        <w:t xml:space="preserve">                                      　　　　　　　　　</w:t>
      </w:r>
    </w:p>
    <w:p w14:paraId="24CE9FA6">
      <w:pPr>
        <w:spacing w:line="400" w:lineRule="exac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传真：</w:t>
      </w:r>
      <w:r>
        <w:rPr>
          <w:rFonts w:hint="eastAsia" w:ascii="宋体" w:hAnsi="宋体" w:eastAsia="宋体" w:cs="宋体"/>
          <w:color w:val="auto"/>
          <w:kern w:val="0"/>
          <w:szCs w:val="21"/>
          <w:u w:val="single"/>
        </w:rPr>
        <w:t>　　　　　　　　　　　　　　　　　　　　　　　　　　　　</w:t>
      </w:r>
    </w:p>
    <w:p w14:paraId="2CA159C8">
      <w:pPr>
        <w:spacing w:line="400" w:lineRule="exact"/>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邮政编码：</w:t>
      </w:r>
      <w:r>
        <w:rPr>
          <w:rFonts w:hint="eastAsia" w:ascii="宋体" w:hAnsi="宋体" w:eastAsia="宋体" w:cs="宋体"/>
          <w:color w:val="auto"/>
          <w:kern w:val="0"/>
          <w:szCs w:val="21"/>
          <w:u w:val="single"/>
        </w:rPr>
        <w:t xml:space="preserve">                                                    </w:t>
      </w:r>
    </w:p>
    <w:p w14:paraId="22098623">
      <w:pPr>
        <w:spacing w:line="400" w:lineRule="exact"/>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开户名称：</w:t>
      </w:r>
      <w:r>
        <w:rPr>
          <w:rFonts w:hint="eastAsia" w:ascii="宋体" w:hAnsi="宋体" w:eastAsia="宋体" w:cs="宋体"/>
          <w:color w:val="auto"/>
          <w:kern w:val="0"/>
          <w:szCs w:val="21"/>
          <w:u w:val="single"/>
        </w:rPr>
        <w:t xml:space="preserve">                                                    </w:t>
      </w:r>
    </w:p>
    <w:p w14:paraId="342A7D16">
      <w:pPr>
        <w:spacing w:line="400" w:lineRule="exact"/>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开户银行：</w:t>
      </w:r>
      <w:r>
        <w:rPr>
          <w:rFonts w:hint="eastAsia" w:ascii="宋体" w:hAnsi="宋体" w:eastAsia="宋体" w:cs="宋体"/>
          <w:color w:val="auto"/>
          <w:kern w:val="0"/>
          <w:szCs w:val="21"/>
          <w:u w:val="single"/>
        </w:rPr>
        <w:t xml:space="preserve">                                                    </w:t>
      </w:r>
    </w:p>
    <w:p w14:paraId="25072EAB">
      <w:pPr>
        <w:spacing w:line="400" w:lineRule="exact"/>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银行账号：</w:t>
      </w:r>
      <w:r>
        <w:rPr>
          <w:rFonts w:hint="eastAsia" w:ascii="宋体" w:hAnsi="宋体" w:eastAsia="宋体" w:cs="宋体"/>
          <w:color w:val="auto"/>
          <w:kern w:val="0"/>
          <w:szCs w:val="21"/>
          <w:u w:val="single"/>
        </w:rPr>
        <w:t xml:space="preserve">                                                    </w:t>
      </w:r>
    </w:p>
    <w:p w14:paraId="0E61A6EF">
      <w:pPr>
        <w:tabs>
          <w:tab w:val="left" w:pos="939"/>
        </w:tabs>
        <w:spacing w:line="400" w:lineRule="exact"/>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特此承诺。</w:t>
      </w:r>
    </w:p>
    <w:p w14:paraId="456CADE2">
      <w:pPr>
        <w:spacing w:line="360" w:lineRule="auto"/>
        <w:contextualSpacing/>
        <w:jc w:val="left"/>
        <w:rPr>
          <w:rFonts w:hint="eastAsia" w:ascii="宋体" w:hAnsi="宋体" w:eastAsia="宋体" w:cs="宋体"/>
          <w:color w:val="auto"/>
          <w:szCs w:val="21"/>
        </w:rPr>
      </w:pPr>
    </w:p>
    <w:p w14:paraId="43185B63">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55A10270">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2B4E9FA7">
      <w:pPr>
        <w:autoSpaceDE w:val="0"/>
        <w:autoSpaceDN w:val="0"/>
        <w:spacing w:line="360" w:lineRule="auto"/>
        <w:ind w:firstLine="6480" w:firstLineChars="2700"/>
        <w:rPr>
          <w:rFonts w:hint="eastAsia" w:ascii="宋体" w:hAnsi="宋体" w:eastAsia="宋体" w:cs="宋体"/>
          <w:color w:val="auto"/>
          <w:kern w:val="0"/>
          <w:sz w:val="24"/>
          <w:lang w:val="zh-CN"/>
        </w:rPr>
      </w:pPr>
    </w:p>
    <w:p w14:paraId="3F75A2C7">
      <w:pPr>
        <w:autoSpaceDE w:val="0"/>
        <w:autoSpaceDN w:val="0"/>
        <w:spacing w:line="360" w:lineRule="auto"/>
        <w:ind w:firstLine="6480" w:firstLineChars="2700"/>
        <w:rPr>
          <w:rFonts w:hint="eastAsia" w:ascii="宋体" w:hAnsi="宋体" w:eastAsia="宋体" w:cs="宋体"/>
          <w:color w:val="auto"/>
          <w:kern w:val="0"/>
          <w:sz w:val="24"/>
          <w:lang w:val="zh-CN"/>
        </w:rPr>
      </w:pPr>
    </w:p>
    <w:p w14:paraId="153180BF">
      <w:pPr>
        <w:adjustRightInd w:val="0"/>
        <w:snapToGrid w:val="0"/>
        <w:spacing w:line="520" w:lineRule="exact"/>
        <w:ind w:right="480"/>
        <w:rPr>
          <w:rFonts w:hint="eastAsia" w:ascii="宋体" w:hAnsi="宋体" w:eastAsia="宋体" w:cs="宋体"/>
          <w:b/>
          <w:bCs/>
          <w:color w:val="auto"/>
          <w:kern w:val="44"/>
          <w:sz w:val="44"/>
          <w:szCs w:val="44"/>
        </w:rPr>
        <w:sectPr>
          <w:pgSz w:w="11910" w:h="16840"/>
          <w:pgMar w:top="1340" w:right="1500" w:bottom="280" w:left="1680" w:header="720" w:footer="720" w:gutter="0"/>
          <w:cols w:space="720" w:num="1"/>
        </w:sectPr>
      </w:pPr>
      <w:bookmarkStart w:id="99" w:name="_Toc80886947"/>
    </w:p>
    <w:bookmarkEnd w:id="99"/>
    <w:p w14:paraId="1E354759">
      <w:pPr>
        <w:pStyle w:val="2"/>
        <w:numPr>
          <w:ilvl w:val="0"/>
          <w:numId w:val="5"/>
        </w:numPr>
        <w:spacing w:line="360" w:lineRule="auto"/>
        <w:jc w:val="center"/>
        <w:rPr>
          <w:rFonts w:hint="eastAsia" w:ascii="宋体" w:hAnsi="宋体" w:eastAsia="宋体" w:cs="宋体"/>
          <w:color w:val="auto"/>
        </w:rPr>
      </w:pPr>
      <w:bookmarkStart w:id="100" w:name="_Toc24020"/>
      <w:r>
        <w:rPr>
          <w:rFonts w:hint="eastAsia" w:ascii="宋体" w:hAnsi="宋体" w:eastAsia="宋体" w:cs="宋体"/>
          <w:color w:val="auto"/>
        </w:rPr>
        <w:t xml:space="preserve">  合同文本</w:t>
      </w:r>
      <w:bookmarkEnd w:id="100"/>
    </w:p>
    <w:p w14:paraId="2BFC24D4">
      <w:pPr>
        <w:keepNext w:val="0"/>
        <w:keepLines w:val="0"/>
        <w:pageBreakBefore w:val="0"/>
        <w:wordWrap/>
        <w:overflowPunct/>
        <w:topLinePunct w:val="0"/>
        <w:bidi w:val="0"/>
        <w:spacing w:line="360" w:lineRule="auto"/>
        <w:jc w:val="center"/>
        <w:rPr>
          <w:rFonts w:hint="eastAsia" w:ascii="宋体" w:hAnsi="宋体" w:eastAsia="宋体" w:cs="宋体"/>
          <w:b/>
          <w:bCs/>
          <w:color w:val="auto"/>
          <w:sz w:val="32"/>
          <w:szCs w:val="40"/>
        </w:rPr>
      </w:pPr>
      <w:r>
        <w:rPr>
          <w:rFonts w:hint="eastAsia" w:ascii="宋体" w:hAnsi="宋体" w:eastAsia="宋体" w:cs="宋体"/>
          <w:b/>
          <w:bCs/>
          <w:color w:val="auto"/>
          <w:sz w:val="32"/>
          <w:szCs w:val="40"/>
        </w:rPr>
        <w:t>柳州市政府采购合同</w:t>
      </w:r>
    </w:p>
    <w:p w14:paraId="22190AFC">
      <w:pPr>
        <w:keepNext w:val="0"/>
        <w:keepLines w:val="0"/>
        <w:pageBreakBefore w:val="0"/>
        <w:wordWrap/>
        <w:overflowPunct/>
        <w:topLinePunct w:val="0"/>
        <w:bidi w:val="0"/>
        <w:snapToGrid w:val="0"/>
        <w:spacing w:line="360" w:lineRule="auto"/>
        <w:ind w:right="480" w:firstLine="7200" w:firstLineChars="30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合同编号：</w:t>
      </w:r>
    </w:p>
    <w:p w14:paraId="3EDD5CBB">
      <w:pPr>
        <w:keepNext w:val="0"/>
        <w:keepLines w:val="0"/>
        <w:pageBreakBefore w:val="0"/>
        <w:wordWrap/>
        <w:overflowPunct/>
        <w:topLinePunct w:val="0"/>
        <w:bidi w:val="0"/>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采购单位（甲方）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pacing w:val="-20"/>
          <w:sz w:val="24"/>
          <w:szCs w:val="24"/>
        </w:rPr>
        <w:t>采 购 计 划 号</w:t>
      </w:r>
      <w:r>
        <w:rPr>
          <w:rFonts w:hint="eastAsia" w:ascii="宋体" w:hAnsi="宋体" w:eastAsia="宋体" w:cs="宋体"/>
          <w:color w:val="auto"/>
          <w:sz w:val="24"/>
          <w:szCs w:val="24"/>
          <w:u w:val="single"/>
        </w:rPr>
        <w:t xml:space="preserve">                        </w:t>
      </w:r>
    </w:p>
    <w:p w14:paraId="6EAEA676">
      <w:pPr>
        <w:keepNext w:val="0"/>
        <w:keepLines w:val="0"/>
        <w:pageBreakBefore w:val="0"/>
        <w:wordWrap/>
        <w:overflowPunct/>
        <w:topLinePunct w:val="0"/>
        <w:bidi w:val="0"/>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 应 商（乙方）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项目名称</w:t>
      </w:r>
      <w:r>
        <w:rPr>
          <w:rFonts w:hint="eastAsia" w:ascii="宋体" w:hAnsi="宋体" w:eastAsia="宋体" w:cs="宋体"/>
          <w:color w:val="auto"/>
          <w:spacing w:val="-20"/>
          <w:sz w:val="24"/>
          <w:szCs w:val="24"/>
        </w:rPr>
        <w:t>编号</w:t>
      </w:r>
      <w:r>
        <w:rPr>
          <w:rFonts w:hint="eastAsia" w:ascii="宋体" w:hAnsi="宋体" w:eastAsia="宋体" w:cs="宋体"/>
          <w:color w:val="auto"/>
          <w:sz w:val="24"/>
          <w:szCs w:val="24"/>
          <w:u w:val="single"/>
        </w:rPr>
        <w:t xml:space="preserve">                       </w:t>
      </w:r>
    </w:p>
    <w:p w14:paraId="38ACE186">
      <w:pPr>
        <w:keepNext w:val="0"/>
        <w:keepLines w:val="0"/>
        <w:pageBreakBefore w:val="0"/>
        <w:wordWrap/>
        <w:overflowPunct/>
        <w:topLinePunct w:val="0"/>
        <w:bidi w:val="0"/>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签  订  地  点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签 订 时 间</w:t>
      </w:r>
      <w:r>
        <w:rPr>
          <w:rFonts w:hint="eastAsia" w:ascii="宋体" w:hAnsi="宋体" w:eastAsia="宋体" w:cs="宋体"/>
          <w:color w:val="auto"/>
          <w:sz w:val="24"/>
          <w:szCs w:val="24"/>
          <w:u w:val="single"/>
        </w:rPr>
        <w:t xml:space="preserve">                       </w:t>
      </w:r>
    </w:p>
    <w:p w14:paraId="644B49E2">
      <w:pPr>
        <w:keepNext w:val="0"/>
        <w:keepLines w:val="0"/>
        <w:pageBreakBefore w:val="0"/>
        <w:wordWrap/>
        <w:overflowPunct/>
        <w:topLinePunct w:val="0"/>
        <w:bidi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本合同为中小企业预留合同：是</w:t>
      </w:r>
    </w:p>
    <w:p w14:paraId="30B800F2">
      <w:pPr>
        <w:pStyle w:val="5"/>
        <w:keepNext w:val="0"/>
        <w:keepLines w:val="0"/>
        <w:pageBreakBefore w:val="0"/>
        <w:numPr>
          <w:ilvl w:val="0"/>
          <w:numId w:val="0"/>
        </w:numPr>
        <w:tabs>
          <w:tab w:val="left" w:pos="454"/>
          <w:tab w:val="left" w:pos="720"/>
          <w:tab w:val="left" w:pos="840"/>
          <w:tab w:val="clear" w:pos="360"/>
        </w:tabs>
        <w:wordWrap/>
        <w:overflowPunct/>
        <w:topLinePunct w:val="0"/>
        <w:bidi w:val="0"/>
        <w:spacing w:after="120" w:line="360" w:lineRule="auto"/>
        <w:rPr>
          <w:rFonts w:hint="eastAsia" w:ascii="宋体" w:hAnsi="宋体" w:eastAsia="宋体" w:cs="宋体"/>
          <w:color w:val="auto"/>
        </w:rPr>
      </w:pPr>
    </w:p>
    <w:p w14:paraId="7A676DE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根据《中华人民共和国政府采购法》、《中华人民共和国民法典》等法律、法规规定按照磋商文件规定条款和乙方响应文件及其承诺，甲乙双方签订本合同。</w:t>
      </w:r>
    </w:p>
    <w:p w14:paraId="330190B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第一条 合同标的</w:t>
      </w:r>
    </w:p>
    <w:p w14:paraId="68F513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1、项目一览表</w:t>
      </w:r>
    </w:p>
    <w:tbl>
      <w:tblPr>
        <w:tblStyle w:val="25"/>
        <w:tblW w:w="8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8"/>
        <w:gridCol w:w="1200"/>
        <w:gridCol w:w="2703"/>
        <w:gridCol w:w="869"/>
        <w:gridCol w:w="778"/>
        <w:gridCol w:w="1009"/>
        <w:gridCol w:w="1343"/>
      </w:tblGrid>
      <w:tr w14:paraId="200B4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18" w:type="dxa"/>
            <w:noWrap w:val="0"/>
            <w:vAlign w:val="center"/>
          </w:tcPr>
          <w:p w14:paraId="2CBDB24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序 号</w:t>
            </w:r>
          </w:p>
        </w:tc>
        <w:tc>
          <w:tcPr>
            <w:tcW w:w="1200" w:type="dxa"/>
            <w:noWrap w:val="0"/>
            <w:vAlign w:val="center"/>
          </w:tcPr>
          <w:p w14:paraId="366CC0C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2703" w:type="dxa"/>
            <w:noWrap w:val="0"/>
            <w:vAlign w:val="center"/>
          </w:tcPr>
          <w:p w14:paraId="09E63EFC">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tc>
        <w:tc>
          <w:tcPr>
            <w:tcW w:w="869" w:type="dxa"/>
            <w:noWrap w:val="0"/>
            <w:vAlign w:val="center"/>
          </w:tcPr>
          <w:p w14:paraId="49789EC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78" w:type="dxa"/>
            <w:noWrap w:val="0"/>
            <w:vAlign w:val="center"/>
          </w:tcPr>
          <w:p w14:paraId="6CBA90F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单 位</w:t>
            </w:r>
          </w:p>
        </w:tc>
        <w:tc>
          <w:tcPr>
            <w:tcW w:w="1009" w:type="dxa"/>
            <w:noWrap w:val="0"/>
            <w:vAlign w:val="center"/>
          </w:tcPr>
          <w:p w14:paraId="75276985">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1343" w:type="dxa"/>
            <w:noWrap w:val="0"/>
            <w:vAlign w:val="center"/>
          </w:tcPr>
          <w:p w14:paraId="5485CF1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总价(元)</w:t>
            </w:r>
          </w:p>
        </w:tc>
      </w:tr>
      <w:tr w14:paraId="3A16C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718" w:type="dxa"/>
            <w:noWrap w:val="0"/>
            <w:vAlign w:val="center"/>
          </w:tcPr>
          <w:p w14:paraId="78201ED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00" w:type="dxa"/>
            <w:noWrap w:val="0"/>
            <w:vAlign w:val="center"/>
          </w:tcPr>
          <w:p w14:paraId="4090B20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color w:val="auto"/>
                <w:sz w:val="24"/>
                <w:szCs w:val="24"/>
              </w:rPr>
            </w:pPr>
          </w:p>
        </w:tc>
        <w:tc>
          <w:tcPr>
            <w:tcW w:w="2703" w:type="dxa"/>
            <w:noWrap w:val="0"/>
            <w:vAlign w:val="center"/>
          </w:tcPr>
          <w:p w14:paraId="52BCA84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color w:val="auto"/>
                <w:sz w:val="24"/>
                <w:szCs w:val="24"/>
              </w:rPr>
            </w:pPr>
          </w:p>
        </w:tc>
        <w:tc>
          <w:tcPr>
            <w:tcW w:w="869" w:type="dxa"/>
            <w:noWrap w:val="0"/>
            <w:vAlign w:val="center"/>
          </w:tcPr>
          <w:p w14:paraId="4111B42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color w:val="auto"/>
                <w:sz w:val="24"/>
                <w:szCs w:val="24"/>
              </w:rPr>
            </w:pPr>
          </w:p>
        </w:tc>
        <w:tc>
          <w:tcPr>
            <w:tcW w:w="778" w:type="dxa"/>
            <w:noWrap w:val="0"/>
            <w:vAlign w:val="center"/>
          </w:tcPr>
          <w:p w14:paraId="69D280F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color w:val="auto"/>
                <w:sz w:val="24"/>
                <w:szCs w:val="24"/>
              </w:rPr>
            </w:pPr>
          </w:p>
        </w:tc>
        <w:tc>
          <w:tcPr>
            <w:tcW w:w="1009" w:type="dxa"/>
            <w:noWrap w:val="0"/>
            <w:vAlign w:val="center"/>
          </w:tcPr>
          <w:p w14:paraId="027F093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color w:val="auto"/>
                <w:sz w:val="24"/>
                <w:szCs w:val="24"/>
              </w:rPr>
            </w:pPr>
          </w:p>
        </w:tc>
        <w:tc>
          <w:tcPr>
            <w:tcW w:w="1343" w:type="dxa"/>
            <w:noWrap w:val="0"/>
            <w:vAlign w:val="center"/>
          </w:tcPr>
          <w:p w14:paraId="032BFDE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color w:val="auto"/>
                <w:sz w:val="24"/>
                <w:szCs w:val="24"/>
              </w:rPr>
            </w:pPr>
          </w:p>
        </w:tc>
      </w:tr>
      <w:tr w14:paraId="6681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8620" w:type="dxa"/>
            <w:gridSpan w:val="7"/>
            <w:noWrap w:val="0"/>
            <w:vAlign w:val="center"/>
          </w:tcPr>
          <w:p w14:paraId="6B1D557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成交金额(大写)</w:t>
            </w:r>
            <w:r>
              <w:rPr>
                <w:rFonts w:hint="eastAsia" w:ascii="宋体" w:hAnsi="宋体" w:eastAsia="宋体" w:cs="宋体"/>
                <w:color w:val="auto"/>
                <w:sz w:val="24"/>
                <w:szCs w:val="24"/>
                <w:lang w:eastAsia="zh-CN"/>
              </w:rPr>
              <w:t>：</w:t>
            </w:r>
          </w:p>
        </w:tc>
      </w:tr>
    </w:tbl>
    <w:p w14:paraId="118C2D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合同合计金额包括但不限于满足本次竞标全部采购需求所应提供的服务以及伴随的货物和工程(如有)的价格；包含竟标服务、货物、工程的成本、运输(含保险)、安装(如有)、调试、检验、技术服务、培训、税费等所有费用。</w:t>
      </w:r>
    </w:p>
    <w:p w14:paraId="115350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如磋商文件对其另有规定的，从其规定。</w:t>
      </w:r>
    </w:p>
    <w:p w14:paraId="3B7D7B70">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质量保证</w:t>
      </w:r>
    </w:p>
    <w:p w14:paraId="113C81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乙方所提供的服务及服务内容必须与响应文件承诺相一致，有国家相关标准、行业标准、地方标准或者其他标准、规范的，应执行相应的标准、规范。如具体采购需求与标准、规范不一致的，高于标准、规范的按具体采购需求执行，低于标准、规范的按标准、规范执行。</w:t>
      </w:r>
    </w:p>
    <w:p w14:paraId="7A57044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  权利保证</w:t>
      </w:r>
    </w:p>
    <w:p w14:paraId="09FDF1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1、乙方应保证所提供服务在使用时不会侵犯任何第三方的专利权、商标权、工业设计权等知识产权及其他合法权利，且所有权、处分权等没有受到任何限制。</w:t>
      </w:r>
    </w:p>
    <w:p w14:paraId="214FC5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2、没有甲方事先书面同意，乙方不得将由甲方提供的有关合同或者任何合 同条文、规格、计划、图纸、样品或者资料提供给与履行本合同无关的任何其他 人。即使向履行本合同有关的人员提供，也应注意保密并限于履行合同的必需范围。乙方的保密义务持续有效，不因为本合同履行终止、解除或者无效而解除。</w:t>
      </w:r>
    </w:p>
    <w:p w14:paraId="1DFC06F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第四条  交付和验收</w:t>
      </w:r>
    </w:p>
    <w:p w14:paraId="3FE1DC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1、服务期限：     起 至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 之 前，服务</w:t>
      </w:r>
      <w:r>
        <w:rPr>
          <w:rFonts w:hint="eastAsia" w:ascii="宋体" w:hAnsi="宋体" w:eastAsia="宋体" w:cs="宋体"/>
          <w:color w:val="auto"/>
          <w:sz w:val="24"/>
          <w:szCs w:val="24"/>
          <w:lang w:val="en-US" w:eastAsia="zh-CN"/>
        </w:rPr>
        <w:t>具体时间、</w:t>
      </w:r>
      <w:r>
        <w:rPr>
          <w:rFonts w:hint="eastAsia" w:ascii="宋体" w:hAnsi="宋体" w:eastAsia="宋体" w:cs="宋体"/>
          <w:color w:val="auto"/>
          <w:sz w:val="24"/>
          <w:szCs w:val="24"/>
        </w:rPr>
        <w:t>地点：城中区内(详见采购需求)</w:t>
      </w:r>
    </w:p>
    <w:p w14:paraId="68FB99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2、乙方应按响应文件的承诺向甲方提供相应的服务，并提供所服务内容的相关技术资料。</w:t>
      </w:r>
    </w:p>
    <w:p w14:paraId="071F048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3、乙方提供不符合响应文件和本合同规定的服务成果，甲方有权拒绝接受。</w:t>
      </w:r>
    </w:p>
    <w:p w14:paraId="7FD8F9F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1D14A9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5、甲乙双方应按照《广西壮族自治区政府采购项目履约验收管理办法》、双方合同、响应文件验收。</w:t>
      </w:r>
    </w:p>
    <w:p w14:paraId="13A550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6、甲方在初步验收或者最终验收过程中如发现乙方提供的服务成果不满足响应文件及本合同规定的，可暂缓向乙方付款，直到乙方及时完善并提交相应的服务成果且经甲方验收合格后，方可办理付款。</w:t>
      </w:r>
    </w:p>
    <w:p w14:paraId="2B1B0E0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7、甲方验收时以书面形式提出异议的，乙方应自收到甲方书面异议后五个工作日内及时予以解决，否则甲方有权不出具服务验收合格单。</w:t>
      </w:r>
    </w:p>
    <w:p w14:paraId="7F5413D4">
      <w:pPr>
        <w:pStyle w:val="11"/>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8、乙方须确保其服务人员具备相关资质，使用的药品、器具等符合国家相关标准和要求。乙方对其派出服务人员的人身财产安全负责，若造成甲方或第三方人的人身财产损失，由乙方负责赔偿。</w:t>
      </w:r>
    </w:p>
    <w:p w14:paraId="429A2FA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第五条 售后服务及培训</w:t>
      </w:r>
    </w:p>
    <w:p w14:paraId="24EA65C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1、乙方应按照国家有关法律法规和本合同所附的《售后服务承诺》要求为甲方提供相应的售后服务。</w:t>
      </w:r>
    </w:p>
    <w:p w14:paraId="3BB75AA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甲方应提供必要测试条件(如场地、电源、水源等)。</w:t>
      </w:r>
    </w:p>
    <w:p w14:paraId="2E1114C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3、乙方负责甲方有关人员的培训。培训时间、地点：</w:t>
      </w:r>
      <w:r>
        <w:rPr>
          <w:rFonts w:hint="eastAsia" w:ascii="宋体" w:hAnsi="宋体" w:eastAsia="宋体" w:cs="宋体"/>
          <w:color w:val="auto"/>
          <w:sz w:val="24"/>
          <w:szCs w:val="24"/>
          <w:u w:val="single"/>
        </w:rPr>
        <w:t>甲方指定地点</w:t>
      </w:r>
      <w:r>
        <w:rPr>
          <w:rFonts w:hint="eastAsia" w:ascii="宋体" w:hAnsi="宋体" w:eastAsia="宋体" w:cs="宋体"/>
          <w:color w:val="auto"/>
          <w:sz w:val="24"/>
          <w:szCs w:val="24"/>
        </w:rPr>
        <w:t>。</w:t>
      </w:r>
    </w:p>
    <w:p w14:paraId="276A2D3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第六条 付款方式</w:t>
      </w:r>
    </w:p>
    <w:p w14:paraId="110DE5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本项目合同签订</w:t>
      </w:r>
      <w:r>
        <w:rPr>
          <w:rFonts w:hint="eastAsia" w:ascii="宋体" w:hAnsi="宋体" w:eastAsia="宋体" w:cs="宋体"/>
          <w:color w:val="auto"/>
          <w:sz w:val="24"/>
          <w:szCs w:val="24"/>
          <w:lang w:val="en-US" w:eastAsia="zh-CN"/>
        </w:rPr>
        <w:t>后十五个工作日内预</w:t>
      </w:r>
      <w:r>
        <w:rPr>
          <w:rFonts w:hint="eastAsia" w:ascii="宋体" w:hAnsi="宋体" w:eastAsia="宋体" w:cs="宋体"/>
          <w:color w:val="auto"/>
          <w:sz w:val="24"/>
          <w:szCs w:val="24"/>
        </w:rPr>
        <w:t>付合同总价</w:t>
      </w:r>
      <w:r>
        <w:rPr>
          <w:rFonts w:hint="eastAsia" w:ascii="宋体" w:hAnsi="宋体" w:eastAsia="宋体" w:cs="宋体"/>
          <w:color w:val="auto"/>
          <w:sz w:val="24"/>
          <w:szCs w:val="24"/>
          <w:lang w:val="en-US" w:eastAsia="zh-CN"/>
        </w:rPr>
        <w:t>的30%</w:t>
      </w:r>
      <w:r>
        <w:rPr>
          <w:rFonts w:hint="eastAsia" w:ascii="宋体" w:hAnsi="宋体" w:eastAsia="宋体" w:cs="宋体"/>
          <w:color w:val="auto"/>
          <w:sz w:val="24"/>
          <w:szCs w:val="24"/>
        </w:rPr>
        <w:t>，在第一、二阶段消杀工作验收合格后支付合同总价的</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%，在第</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阶段消杀工作验收合格</w:t>
      </w:r>
      <w:r>
        <w:rPr>
          <w:rFonts w:hint="eastAsia" w:ascii="宋体" w:hAnsi="宋体" w:eastAsia="宋体" w:cs="宋体"/>
          <w:color w:val="auto"/>
          <w:sz w:val="24"/>
          <w:szCs w:val="24"/>
          <w:lang w:val="en-US" w:eastAsia="zh-CN"/>
        </w:rPr>
        <w:t>后支付总价的25%，</w:t>
      </w:r>
      <w:r>
        <w:rPr>
          <w:rFonts w:hint="eastAsia" w:ascii="宋体" w:hAnsi="宋体" w:eastAsia="宋体" w:cs="宋体"/>
          <w:color w:val="auto"/>
          <w:sz w:val="24"/>
          <w:szCs w:val="24"/>
        </w:rPr>
        <w:t>在第四阶段消杀工作验收合格同时通过相关部门的综合评审合格后，且消杀效果保持到202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月份，再按照合同金额支付尾款。（不计利息）。</w:t>
      </w:r>
    </w:p>
    <w:p w14:paraId="7769FD50">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第七条 履约保证金</w:t>
      </w:r>
    </w:p>
    <w:p w14:paraId="6EE220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5C7120CC">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第八条 税费</w:t>
      </w:r>
    </w:p>
    <w:p w14:paraId="5DF4D7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本合同执行中相关的一切税费均由乙方负担，合同另有约定的除外。</w:t>
      </w:r>
    </w:p>
    <w:p w14:paraId="2EDB406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第九条 违约责任</w:t>
      </w:r>
    </w:p>
    <w:p w14:paraId="283729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除不可抗力原因外，乙方没有按照合同规定的时间提供服务的，造成数据提交延误的，按违约处理，甲方可要求乙方支付违约金。金额为合同价款20%的违约金，违约记录由技术服务采购单位通报给政府采购部门。</w:t>
      </w:r>
    </w:p>
    <w:p w14:paraId="3257B04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2、乙方提供的服务如侵犯了第三方合法权益而引发的任何纠纷或者诉讼，均由乙方负责交涉并承担全部责任。</w:t>
      </w:r>
    </w:p>
    <w:p w14:paraId="7715D510">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第十条 不可抗力事件处理</w:t>
      </w:r>
    </w:p>
    <w:p w14:paraId="073869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1、在合同有效期内，任何一方因不可抗力事件导致不能履行合同，则合同履行期可延长，其延长期与不可抗力影响期相同。</w:t>
      </w:r>
    </w:p>
    <w:p w14:paraId="68AA88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2、不可抗力事件发生后，应立即通知对方，并寄送有关权威机构出具的证明。</w:t>
      </w:r>
    </w:p>
    <w:p w14:paraId="462581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3、不可抗力事件延续一百二十天以上，双方应通过友好协商，确定是否继续履行合同。</w:t>
      </w:r>
    </w:p>
    <w:p w14:paraId="657BFFF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第十一条 合同争议解决</w:t>
      </w:r>
    </w:p>
    <w:p w14:paraId="4DCC24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1、因服务质量问题发生争议的，应邀请国家认可的质量检测机构进行鉴定。服务符合标准的，鉴定费由甲方承担；服务不符合标准的，鉴定费由乙方承担。</w:t>
      </w:r>
    </w:p>
    <w:p w14:paraId="385420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2、因履行本合同引起的或者与本合同有关的争议，甲乙双方应首先通过友好协商解决，如果协商不能解决，可向甲方所在地有管辖权的人民法院起诉。</w:t>
      </w:r>
    </w:p>
    <w:p w14:paraId="35C137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3、起诉期间，本合同继续履行。</w:t>
      </w:r>
    </w:p>
    <w:p w14:paraId="7EC4923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第十二条  合同生效及其它</w:t>
      </w:r>
    </w:p>
    <w:p w14:paraId="6EB590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1、合同经双方法定代表人或者授权代表签字并加盖单位公章后生效(委托代理人签字的需后附法定代表人授权委托书，格式自拟)。</w:t>
      </w:r>
    </w:p>
    <w:p w14:paraId="0E52D8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2、合同执行中涉及采购资金和采购内容修改或者补充的，须经财政部门审批，并签书面补充协议报财政部门备案，方可作为主合同不可分割的一部分。</w:t>
      </w:r>
      <w:r>
        <w:rPr>
          <w:rFonts w:hint="eastAsia" w:ascii="宋体" w:hAnsi="宋体" w:eastAsia="宋体" w:cs="宋体"/>
          <w:color w:val="auto"/>
          <w:sz w:val="24"/>
          <w:szCs w:val="24"/>
        </w:rPr>
        <mc:AlternateContent>
          <mc:Choice Requires="wps">
            <w:drawing>
              <wp:anchor distT="0" distB="0" distL="114300" distR="114300" simplePos="0" relativeHeight="251660288" behindDoc="0" locked="0" layoutInCell="0" allowOverlap="1">
                <wp:simplePos x="0" y="0"/>
                <wp:positionH relativeFrom="page">
                  <wp:posOffset>4009390</wp:posOffset>
                </wp:positionH>
                <wp:positionV relativeFrom="page">
                  <wp:posOffset>9267190</wp:posOffset>
                </wp:positionV>
                <wp:extent cx="3067050" cy="482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067050" cy="482600"/>
                        </a:xfrm>
                        <a:prstGeom prst="rect">
                          <a:avLst/>
                        </a:prstGeom>
                        <a:noFill/>
                        <a:ln>
                          <a:noFill/>
                        </a:ln>
                        <a:effectLst/>
                      </wps:spPr>
                      <wps:txbx>
                        <w:txbxContent>
                          <w:p w14:paraId="726B5FA7">
                            <w:pPr>
                              <w:spacing w:line="20" w:lineRule="exact"/>
                            </w:pPr>
                          </w:p>
                          <w:p w14:paraId="252ADBC8">
                            <w:pPr>
                              <w:pStyle w:val="10"/>
                            </w:pPr>
                          </w:p>
                        </w:txbxContent>
                      </wps:txbx>
                      <wps:bodyPr lIns="0" tIns="0" rIns="0" bIns="0" upright="1"/>
                    </wps:wsp>
                  </a:graphicData>
                </a:graphic>
              </wp:anchor>
            </w:drawing>
          </mc:Choice>
          <mc:Fallback>
            <w:pict>
              <v:shape id="_x0000_s1026" o:spid="_x0000_s1026" o:spt="202" type="#_x0000_t202" style="position:absolute;left:0pt;margin-left:315.7pt;margin-top:729.7pt;height:38pt;width:241.5pt;mso-position-horizontal-relative:page;mso-position-vertical-relative:page;z-index:251660288;mso-width-relative:page;mso-height-relative:page;" filled="f" stroked="f" coordsize="21600,21600" o:allowincell="f" o:gfxdata="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BhllNoAAAAOAQAADwAAAAAAAAABACAAAAAiAAAAZHJzL2Rvd25yZXYu&#10;eG1sUEsBAhQAFAAAAAgAh07iQJUgWdTAAQAAgAMAAA4AAAAAAAAAAQAgAAAAKQEAAGRycy9lMm9E&#10;b2MueG1sUEsFBgAAAAAGAAYAWQEAAFsFAAAAAA==&#10;">
                <v:fill on="f" focussize="0,0"/>
                <v:stroke on="f"/>
                <v:imagedata o:title=""/>
                <o:lock v:ext="edit" aspectratio="f"/>
                <v:textbox inset="0mm,0mm,0mm,0mm">
                  <w:txbxContent>
                    <w:p w14:paraId="726B5FA7">
                      <w:pPr>
                        <w:spacing w:line="20" w:lineRule="exact"/>
                      </w:pPr>
                    </w:p>
                    <w:p w14:paraId="252ADBC8">
                      <w:pPr>
                        <w:pStyle w:val="10"/>
                      </w:pPr>
                    </w:p>
                  </w:txbxContent>
                </v:textbox>
              </v:shape>
            </w:pict>
          </mc:Fallback>
        </mc:AlternateContent>
      </w:r>
    </w:p>
    <w:p w14:paraId="3F1E85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3、本合同未尽事宜，遵照《中华人民共和国民法典》有关条文执行。</w:t>
      </w:r>
    </w:p>
    <w:p w14:paraId="30D63379">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第十三条 合同的变更、终止与转让</w:t>
      </w:r>
    </w:p>
    <w:p w14:paraId="696B341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1、除《中华人民共和国政府采购法》第五十条规定的情形外，本合同一经签订，甲乙双方不得擅自变更、中止或者终止。</w:t>
      </w:r>
    </w:p>
    <w:p w14:paraId="7D0AC3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2、乙方不得擅自转让其应履行的合同义务。</w:t>
      </w:r>
    </w:p>
    <w:p w14:paraId="5CB4C8A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第十四条 签订本合同依据</w:t>
      </w:r>
    </w:p>
    <w:p w14:paraId="7C4FD55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1、成交通知书；</w:t>
      </w:r>
    </w:p>
    <w:p w14:paraId="0443370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2、竞标报价表；</w:t>
      </w:r>
    </w:p>
    <w:p w14:paraId="7406054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3、商务条款偏离表和技术需求偏离表；</w:t>
      </w:r>
    </w:p>
    <w:p w14:paraId="71917B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4、服务方案；</w:t>
      </w:r>
    </w:p>
    <w:p w14:paraId="4A5E62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5、响应文件中的其他相关文件。</w:t>
      </w:r>
    </w:p>
    <w:p w14:paraId="3F0A1C1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6、上述合同文件互相补充和解释。如果合同文件之间存在矛盾或者不一致之处，以上述文件的排列顺序在先者为准。</w:t>
      </w:r>
    </w:p>
    <w:p w14:paraId="1E13E3D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第十五条</w:t>
      </w:r>
      <w:r>
        <w:rPr>
          <w:rFonts w:hint="eastAsia" w:ascii="宋体" w:hAnsi="宋体" w:eastAsia="宋体" w:cs="宋体"/>
          <w:color w:val="auto"/>
          <w:sz w:val="24"/>
          <w:szCs w:val="24"/>
        </w:rPr>
        <w:t xml:space="preserve"> 本合同一式陆份，具有同等法律效力，财政部门(政府采购监管部门)、采购代理机构各一份，甲乙双方各两份(可根据需要另增加)。</w:t>
      </w:r>
    </w:p>
    <w:p w14:paraId="63C91C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本合同甲乙双方签字盖章后生效，自签订之日起七个工作日内，甲方应当将合同副本报同级财政部门备案。</w:t>
      </w:r>
    </w:p>
    <w:p w14:paraId="0CEF5015">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32"/>
          <w:szCs w:val="32"/>
          <w:lang w:eastAsia="zh-CN"/>
        </w:rPr>
      </w:pPr>
      <w:r>
        <w:rPr>
          <w:rFonts w:hint="eastAsia" w:ascii="宋体" w:hAnsi="宋体" w:eastAsia="宋体" w:cs="宋体"/>
          <w:color w:val="auto"/>
          <w:sz w:val="24"/>
          <w:szCs w:val="24"/>
        </w:rPr>
        <w:t>本合同自签订之日起2个工作日内，甲方应当将采购合同在广西壮族自治区财政厅指定的媒体上公告</w:t>
      </w:r>
      <w:r>
        <w:rPr>
          <w:rFonts w:hint="eastAsia" w:ascii="宋体" w:hAnsi="宋体" w:eastAsia="宋体" w:cs="宋体"/>
          <w:color w:val="auto"/>
          <w:sz w:val="24"/>
          <w:szCs w:val="24"/>
          <w:lang w:eastAsia="zh-CN"/>
        </w:rPr>
        <w:t>。</w:t>
      </w:r>
    </w:p>
    <w:p w14:paraId="05A96ED6">
      <w:pPr>
        <w:snapToGrid w:val="0"/>
        <w:spacing w:line="360" w:lineRule="exact"/>
        <w:ind w:firstLine="420" w:firstLineChars="200"/>
        <w:rPr>
          <w:rFonts w:hint="eastAsia" w:ascii="宋体" w:hAnsi="宋体" w:eastAsia="宋体" w:cs="宋体"/>
          <w:color w:val="auto"/>
          <w:szCs w:val="21"/>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5529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768BD1A5">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 xml:space="preserve">甲方（章）           </w:t>
            </w:r>
          </w:p>
          <w:p w14:paraId="388D845B">
            <w:pPr>
              <w:snapToGrid w:val="0"/>
              <w:spacing w:line="360" w:lineRule="exact"/>
              <w:rPr>
                <w:rFonts w:hint="eastAsia" w:ascii="宋体" w:hAnsi="宋体" w:eastAsia="宋体" w:cs="宋体"/>
                <w:color w:val="auto"/>
                <w:szCs w:val="21"/>
              </w:rPr>
            </w:pPr>
          </w:p>
          <w:p w14:paraId="6EB06115">
            <w:pPr>
              <w:snapToGrid w:val="0"/>
              <w:spacing w:line="360" w:lineRule="exact"/>
              <w:ind w:firstLine="945" w:firstLineChars="450"/>
              <w:jc w:val="right"/>
              <w:rPr>
                <w:rFonts w:hint="eastAsia" w:ascii="宋体" w:hAnsi="宋体" w:eastAsia="宋体" w:cs="宋体"/>
                <w:color w:val="auto"/>
                <w:szCs w:val="21"/>
              </w:rPr>
            </w:pPr>
            <w:r>
              <w:rPr>
                <w:rFonts w:hint="eastAsia" w:ascii="宋体" w:hAnsi="宋体" w:eastAsia="宋体" w:cs="宋体"/>
                <w:color w:val="auto"/>
                <w:szCs w:val="21"/>
              </w:rPr>
              <w:t>年   月   日</w:t>
            </w:r>
          </w:p>
        </w:tc>
        <w:tc>
          <w:tcPr>
            <w:tcW w:w="4688" w:type="dxa"/>
            <w:vAlign w:val="center"/>
          </w:tcPr>
          <w:p w14:paraId="30B49838">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 xml:space="preserve">乙方（章）              </w:t>
            </w:r>
          </w:p>
          <w:p w14:paraId="4D98066A">
            <w:pPr>
              <w:snapToGrid w:val="0"/>
              <w:spacing w:line="360" w:lineRule="exact"/>
              <w:rPr>
                <w:rFonts w:hint="eastAsia" w:ascii="宋体" w:hAnsi="宋体" w:eastAsia="宋体" w:cs="宋体"/>
                <w:color w:val="auto"/>
                <w:szCs w:val="21"/>
              </w:rPr>
            </w:pPr>
          </w:p>
          <w:p w14:paraId="0E54163F">
            <w:pPr>
              <w:snapToGrid w:val="0"/>
              <w:spacing w:line="360" w:lineRule="exact"/>
              <w:jc w:val="right"/>
              <w:rPr>
                <w:rFonts w:hint="eastAsia" w:ascii="宋体" w:hAnsi="宋体" w:eastAsia="宋体" w:cs="宋体"/>
                <w:color w:val="auto"/>
                <w:szCs w:val="21"/>
              </w:rPr>
            </w:pPr>
            <w:r>
              <w:rPr>
                <w:rFonts w:hint="eastAsia" w:ascii="宋体" w:hAnsi="宋体" w:eastAsia="宋体" w:cs="宋体"/>
                <w:color w:val="auto"/>
                <w:szCs w:val="21"/>
              </w:rPr>
              <w:t xml:space="preserve"> 年   月   日</w:t>
            </w:r>
          </w:p>
        </w:tc>
      </w:tr>
      <w:tr w14:paraId="032F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437" w:type="dxa"/>
            <w:vAlign w:val="center"/>
          </w:tcPr>
          <w:p w14:paraId="2CCA6F3F">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单位地址：</w:t>
            </w:r>
          </w:p>
        </w:tc>
        <w:tc>
          <w:tcPr>
            <w:tcW w:w="4688" w:type="dxa"/>
            <w:vAlign w:val="center"/>
          </w:tcPr>
          <w:p w14:paraId="3A0DC27E">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单位地址：</w:t>
            </w:r>
          </w:p>
        </w:tc>
      </w:tr>
      <w:tr w14:paraId="4D79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0BB2A499">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法定代表人：</w:t>
            </w:r>
          </w:p>
        </w:tc>
        <w:tc>
          <w:tcPr>
            <w:tcW w:w="4688" w:type="dxa"/>
            <w:vAlign w:val="center"/>
          </w:tcPr>
          <w:p w14:paraId="72B60CDF">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法定代表人：</w:t>
            </w:r>
          </w:p>
        </w:tc>
      </w:tr>
      <w:tr w14:paraId="11B5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364AA1F6">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4688" w:type="dxa"/>
            <w:vAlign w:val="center"/>
          </w:tcPr>
          <w:p w14:paraId="1D8D472F">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委托代理人</w:t>
            </w:r>
          </w:p>
        </w:tc>
      </w:tr>
      <w:tr w14:paraId="4238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437" w:type="dxa"/>
            <w:vAlign w:val="center"/>
          </w:tcPr>
          <w:p w14:paraId="403E467C">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电话：</w:t>
            </w:r>
          </w:p>
        </w:tc>
        <w:tc>
          <w:tcPr>
            <w:tcW w:w="4688" w:type="dxa"/>
            <w:vAlign w:val="center"/>
          </w:tcPr>
          <w:p w14:paraId="4A8F8A5A">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电话：</w:t>
            </w:r>
          </w:p>
        </w:tc>
      </w:tr>
      <w:tr w14:paraId="421F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4437" w:type="dxa"/>
            <w:vAlign w:val="center"/>
          </w:tcPr>
          <w:p w14:paraId="4036F1EA">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电子邮箱：</w:t>
            </w:r>
          </w:p>
        </w:tc>
        <w:tc>
          <w:tcPr>
            <w:tcW w:w="4688" w:type="dxa"/>
            <w:vAlign w:val="center"/>
          </w:tcPr>
          <w:p w14:paraId="5E276091">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电子邮箱：</w:t>
            </w:r>
          </w:p>
        </w:tc>
      </w:tr>
      <w:tr w14:paraId="0B07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269B2868">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开户银行：</w:t>
            </w:r>
          </w:p>
        </w:tc>
        <w:tc>
          <w:tcPr>
            <w:tcW w:w="4688" w:type="dxa"/>
            <w:vAlign w:val="center"/>
          </w:tcPr>
          <w:p w14:paraId="3CD7AA1C">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开户银行：</w:t>
            </w:r>
          </w:p>
        </w:tc>
      </w:tr>
      <w:tr w14:paraId="7C18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437" w:type="dxa"/>
            <w:vAlign w:val="center"/>
          </w:tcPr>
          <w:p w14:paraId="711B91AA">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账号：</w:t>
            </w:r>
          </w:p>
        </w:tc>
        <w:tc>
          <w:tcPr>
            <w:tcW w:w="4688" w:type="dxa"/>
            <w:vAlign w:val="center"/>
          </w:tcPr>
          <w:p w14:paraId="55D2D6FF">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账号：</w:t>
            </w:r>
          </w:p>
        </w:tc>
      </w:tr>
      <w:tr w14:paraId="3796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4437" w:type="dxa"/>
            <w:vAlign w:val="center"/>
          </w:tcPr>
          <w:p w14:paraId="00FD6E9E">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邮政编码：</w:t>
            </w:r>
          </w:p>
        </w:tc>
        <w:tc>
          <w:tcPr>
            <w:tcW w:w="4688" w:type="dxa"/>
            <w:vAlign w:val="center"/>
          </w:tcPr>
          <w:p w14:paraId="06011357">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邮政编码：</w:t>
            </w:r>
          </w:p>
        </w:tc>
      </w:tr>
      <w:tr w14:paraId="176C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9125" w:type="dxa"/>
            <w:gridSpan w:val="2"/>
          </w:tcPr>
          <w:p w14:paraId="644C418D">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经办人：</w:t>
            </w:r>
          </w:p>
          <w:p w14:paraId="77346F02">
            <w:pPr>
              <w:snapToGrid w:val="0"/>
              <w:spacing w:line="360" w:lineRule="exact"/>
              <w:rPr>
                <w:rFonts w:hint="eastAsia" w:ascii="宋体" w:hAnsi="宋体" w:eastAsia="宋体" w:cs="宋体"/>
                <w:color w:val="auto"/>
                <w:szCs w:val="21"/>
              </w:rPr>
            </w:pPr>
          </w:p>
          <w:p w14:paraId="3C2002BA">
            <w:pPr>
              <w:snapToGrid w:val="0"/>
              <w:spacing w:line="360" w:lineRule="exact"/>
              <w:ind w:firstLine="630" w:firstLineChars="300"/>
              <w:jc w:val="right"/>
              <w:rPr>
                <w:rFonts w:hint="eastAsia" w:ascii="宋体" w:hAnsi="宋体" w:eastAsia="宋体" w:cs="宋体"/>
                <w:color w:val="auto"/>
                <w:szCs w:val="21"/>
              </w:rPr>
            </w:pPr>
            <w:r>
              <w:rPr>
                <w:rFonts w:hint="eastAsia" w:ascii="宋体" w:hAnsi="宋体" w:eastAsia="宋体" w:cs="宋体"/>
                <w:color w:val="auto"/>
                <w:szCs w:val="21"/>
              </w:rPr>
              <w:t>年    月    日</w:t>
            </w:r>
          </w:p>
        </w:tc>
      </w:tr>
    </w:tbl>
    <w:p w14:paraId="1E50A369">
      <w:pPr>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br w:type="page"/>
      </w:r>
    </w:p>
    <w:p w14:paraId="42E9CE6F">
      <w:pPr>
        <w:snapToGrid w:val="0"/>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合 同 附 件</w:t>
      </w:r>
    </w:p>
    <w:p w14:paraId="7BA79FD4">
      <w:pPr>
        <w:snapToGrid w:val="0"/>
        <w:rPr>
          <w:rFonts w:hint="eastAsia" w:ascii="宋体" w:hAnsi="宋体" w:eastAsia="宋体" w:cs="宋体"/>
          <w:color w:val="auto"/>
          <w:kern w:val="0"/>
          <w:szCs w:val="21"/>
        </w:rPr>
      </w:pPr>
    </w:p>
    <w:tbl>
      <w:tblPr>
        <w:tblStyle w:val="18"/>
        <w:tblW w:w="0" w:type="auto"/>
        <w:jc w:val="center"/>
        <w:tblLayout w:type="fixed"/>
        <w:tblCellMar>
          <w:top w:w="0" w:type="dxa"/>
          <w:left w:w="108" w:type="dxa"/>
          <w:bottom w:w="0" w:type="dxa"/>
          <w:right w:w="108" w:type="dxa"/>
        </w:tblCellMar>
      </w:tblPr>
      <w:tblGrid>
        <w:gridCol w:w="4627"/>
        <w:gridCol w:w="4659"/>
      </w:tblGrid>
      <w:tr w14:paraId="2EFBFCF9">
        <w:tblPrEx>
          <w:tblCellMar>
            <w:top w:w="0" w:type="dxa"/>
            <w:left w:w="108" w:type="dxa"/>
            <w:bottom w:w="0" w:type="dxa"/>
            <w:right w:w="108" w:type="dxa"/>
          </w:tblCellMar>
        </w:tblPrEx>
        <w:trPr>
          <w:trHeight w:val="2072" w:hRule="exact"/>
          <w:jc w:val="center"/>
        </w:trPr>
        <w:tc>
          <w:tcPr>
            <w:tcW w:w="9286" w:type="dxa"/>
            <w:gridSpan w:val="2"/>
            <w:tcBorders>
              <w:top w:val="single" w:color="auto" w:sz="4" w:space="0"/>
              <w:left w:val="single" w:color="auto" w:sz="4" w:space="0"/>
              <w:right w:val="single" w:color="auto" w:sz="4" w:space="0"/>
            </w:tcBorders>
          </w:tcPr>
          <w:p w14:paraId="34AA1E84">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1.供应商承诺具体事项：</w:t>
            </w:r>
          </w:p>
          <w:p w14:paraId="70086AA7">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tc>
      </w:tr>
      <w:tr w14:paraId="0801DC85">
        <w:tblPrEx>
          <w:tblCellMar>
            <w:top w:w="0" w:type="dxa"/>
            <w:left w:w="108" w:type="dxa"/>
            <w:bottom w:w="0" w:type="dxa"/>
            <w:right w:w="108" w:type="dxa"/>
          </w:tblCellMar>
        </w:tblPrEx>
        <w:trPr>
          <w:trHeight w:val="2257" w:hRule="exact"/>
          <w:jc w:val="center"/>
        </w:trPr>
        <w:tc>
          <w:tcPr>
            <w:tcW w:w="9286" w:type="dxa"/>
            <w:gridSpan w:val="2"/>
            <w:tcBorders>
              <w:top w:val="single" w:color="auto" w:sz="4" w:space="0"/>
              <w:left w:val="single" w:color="auto" w:sz="4" w:space="0"/>
              <w:right w:val="single" w:color="auto" w:sz="4" w:space="0"/>
            </w:tcBorders>
          </w:tcPr>
          <w:p w14:paraId="49858F66">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2.售后服务具体事项：</w:t>
            </w:r>
          </w:p>
          <w:p w14:paraId="74D9016D">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tc>
      </w:tr>
      <w:tr w14:paraId="7E55576C">
        <w:tblPrEx>
          <w:tblCellMar>
            <w:top w:w="0" w:type="dxa"/>
            <w:left w:w="108" w:type="dxa"/>
            <w:bottom w:w="0" w:type="dxa"/>
            <w:right w:w="108" w:type="dxa"/>
          </w:tblCellMar>
        </w:tblPrEx>
        <w:trPr>
          <w:trHeight w:val="2133" w:hRule="exact"/>
          <w:jc w:val="center"/>
        </w:trPr>
        <w:tc>
          <w:tcPr>
            <w:tcW w:w="9286" w:type="dxa"/>
            <w:gridSpan w:val="2"/>
            <w:tcBorders>
              <w:top w:val="single" w:color="auto" w:sz="4" w:space="0"/>
              <w:left w:val="single" w:color="auto" w:sz="4" w:space="0"/>
              <w:right w:val="single" w:color="auto" w:sz="4" w:space="0"/>
            </w:tcBorders>
          </w:tcPr>
          <w:p w14:paraId="49A18082">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3.质量保证期责任：</w:t>
            </w:r>
          </w:p>
          <w:p w14:paraId="0CC953E2">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tc>
      </w:tr>
      <w:tr w14:paraId="3A063BE7">
        <w:tblPrEx>
          <w:tblCellMar>
            <w:top w:w="0" w:type="dxa"/>
            <w:left w:w="108" w:type="dxa"/>
            <w:bottom w:w="0" w:type="dxa"/>
            <w:right w:w="108" w:type="dxa"/>
          </w:tblCellMar>
        </w:tblPrEx>
        <w:trPr>
          <w:trHeight w:val="2702" w:hRule="exact"/>
          <w:jc w:val="center"/>
        </w:trPr>
        <w:tc>
          <w:tcPr>
            <w:tcW w:w="9286" w:type="dxa"/>
            <w:gridSpan w:val="2"/>
            <w:tcBorders>
              <w:top w:val="single" w:color="auto" w:sz="4" w:space="0"/>
              <w:left w:val="single" w:color="auto" w:sz="4" w:space="0"/>
              <w:right w:val="single" w:color="auto" w:sz="4" w:space="0"/>
            </w:tcBorders>
          </w:tcPr>
          <w:p w14:paraId="1ADD1461">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4.其他具体事项：</w:t>
            </w:r>
          </w:p>
          <w:p w14:paraId="7D78CA03">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tc>
      </w:tr>
      <w:tr w14:paraId="33E0C3A1">
        <w:tblPrEx>
          <w:tblCellMar>
            <w:top w:w="0" w:type="dxa"/>
            <w:left w:w="108" w:type="dxa"/>
            <w:bottom w:w="0" w:type="dxa"/>
            <w:right w:w="108" w:type="dxa"/>
          </w:tblCellMar>
        </w:tblPrEx>
        <w:trPr>
          <w:trHeight w:val="2577" w:hRule="atLeast"/>
          <w:jc w:val="center"/>
        </w:trPr>
        <w:tc>
          <w:tcPr>
            <w:tcW w:w="4627" w:type="dxa"/>
            <w:tcBorders>
              <w:top w:val="single" w:color="auto" w:sz="4" w:space="0"/>
              <w:left w:val="single" w:color="auto" w:sz="4" w:space="0"/>
              <w:bottom w:val="single" w:color="auto" w:sz="4" w:space="0"/>
              <w:right w:val="single" w:color="auto" w:sz="4" w:space="0"/>
            </w:tcBorders>
            <w:vAlign w:val="center"/>
          </w:tcPr>
          <w:p w14:paraId="754CBFEC">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甲方（章）</w:t>
            </w:r>
          </w:p>
          <w:p w14:paraId="0011A140">
            <w:pPr>
              <w:snapToGrid w:val="0"/>
              <w:ind w:firstLine="420" w:firstLineChars="200"/>
              <w:rPr>
                <w:rFonts w:hint="eastAsia" w:ascii="宋体" w:hAnsi="宋体" w:eastAsia="宋体" w:cs="宋体"/>
                <w:color w:val="auto"/>
                <w:kern w:val="0"/>
                <w:szCs w:val="21"/>
              </w:rPr>
            </w:pPr>
          </w:p>
          <w:p w14:paraId="45208BEF">
            <w:pPr>
              <w:snapToGrid w:val="0"/>
              <w:ind w:firstLine="420" w:firstLineChars="200"/>
              <w:rPr>
                <w:rFonts w:hint="eastAsia" w:ascii="宋体" w:hAnsi="宋体" w:eastAsia="宋体" w:cs="宋体"/>
                <w:color w:val="auto"/>
                <w:kern w:val="0"/>
                <w:szCs w:val="21"/>
              </w:rPr>
            </w:pPr>
          </w:p>
          <w:p w14:paraId="37B340A9">
            <w:pPr>
              <w:snapToGrid w:val="0"/>
              <w:ind w:firstLine="420" w:firstLineChars="200"/>
              <w:rPr>
                <w:rFonts w:hint="eastAsia" w:ascii="宋体" w:hAnsi="宋体" w:eastAsia="宋体" w:cs="宋体"/>
                <w:color w:val="auto"/>
                <w:kern w:val="0"/>
                <w:szCs w:val="21"/>
              </w:rPr>
            </w:pPr>
          </w:p>
          <w:p w14:paraId="43B75866">
            <w:pPr>
              <w:snapToGrid w:val="0"/>
              <w:ind w:firstLine="420" w:firstLineChars="200"/>
              <w:rPr>
                <w:rFonts w:hint="eastAsia" w:ascii="宋体" w:hAnsi="宋体" w:eastAsia="宋体" w:cs="宋体"/>
                <w:color w:val="auto"/>
                <w:kern w:val="0"/>
                <w:szCs w:val="21"/>
              </w:rPr>
            </w:pPr>
          </w:p>
          <w:p w14:paraId="7A2DEB45">
            <w:pPr>
              <w:snapToGrid w:val="0"/>
              <w:ind w:firstLine="420" w:firstLineChars="200"/>
              <w:rPr>
                <w:rFonts w:hint="eastAsia" w:ascii="宋体" w:hAnsi="宋体" w:eastAsia="宋体" w:cs="宋体"/>
                <w:color w:val="auto"/>
                <w:kern w:val="0"/>
                <w:szCs w:val="21"/>
              </w:rPr>
            </w:pPr>
          </w:p>
          <w:p w14:paraId="3D8AA7AA">
            <w:pPr>
              <w:snapToGrid w:val="0"/>
              <w:ind w:firstLine="420" w:firstLineChars="200"/>
              <w:rPr>
                <w:rFonts w:hint="eastAsia" w:ascii="宋体" w:hAnsi="宋体" w:eastAsia="宋体" w:cs="宋体"/>
                <w:color w:val="auto"/>
                <w:kern w:val="0"/>
                <w:szCs w:val="21"/>
              </w:rPr>
            </w:pPr>
          </w:p>
          <w:p w14:paraId="45EC2638">
            <w:pPr>
              <w:snapToGrid w:val="0"/>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年   月   日 </w:t>
            </w:r>
          </w:p>
        </w:tc>
        <w:tc>
          <w:tcPr>
            <w:tcW w:w="4659" w:type="dxa"/>
            <w:tcBorders>
              <w:top w:val="single" w:color="auto" w:sz="4" w:space="0"/>
              <w:left w:val="single" w:color="auto" w:sz="4" w:space="0"/>
              <w:bottom w:val="single" w:color="auto" w:sz="4" w:space="0"/>
              <w:right w:val="single" w:color="auto" w:sz="4" w:space="0"/>
            </w:tcBorders>
            <w:vAlign w:val="center"/>
          </w:tcPr>
          <w:p w14:paraId="6D0F49CC">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乙方（章）</w:t>
            </w:r>
          </w:p>
          <w:p w14:paraId="2F891BCC">
            <w:pPr>
              <w:snapToGrid w:val="0"/>
              <w:ind w:firstLine="420" w:firstLineChars="200"/>
              <w:rPr>
                <w:rFonts w:hint="eastAsia" w:ascii="宋体" w:hAnsi="宋体" w:eastAsia="宋体" w:cs="宋体"/>
                <w:color w:val="auto"/>
                <w:kern w:val="0"/>
                <w:szCs w:val="21"/>
              </w:rPr>
            </w:pPr>
          </w:p>
          <w:p w14:paraId="617FEA6B">
            <w:pPr>
              <w:snapToGrid w:val="0"/>
              <w:ind w:firstLine="420" w:firstLineChars="200"/>
              <w:rPr>
                <w:rFonts w:hint="eastAsia" w:ascii="宋体" w:hAnsi="宋体" w:eastAsia="宋体" w:cs="宋体"/>
                <w:color w:val="auto"/>
                <w:kern w:val="0"/>
                <w:szCs w:val="21"/>
              </w:rPr>
            </w:pPr>
          </w:p>
          <w:p w14:paraId="73C1790D">
            <w:pPr>
              <w:snapToGrid w:val="0"/>
              <w:ind w:firstLine="420" w:firstLineChars="200"/>
              <w:rPr>
                <w:rFonts w:hint="eastAsia" w:ascii="宋体" w:hAnsi="宋体" w:eastAsia="宋体" w:cs="宋体"/>
                <w:color w:val="auto"/>
                <w:kern w:val="0"/>
                <w:szCs w:val="21"/>
              </w:rPr>
            </w:pPr>
          </w:p>
          <w:p w14:paraId="3DC92D4C">
            <w:pPr>
              <w:snapToGrid w:val="0"/>
              <w:ind w:firstLine="420" w:firstLineChars="200"/>
              <w:rPr>
                <w:rFonts w:hint="eastAsia" w:ascii="宋体" w:hAnsi="宋体" w:eastAsia="宋体" w:cs="宋体"/>
                <w:color w:val="auto"/>
                <w:kern w:val="0"/>
                <w:szCs w:val="21"/>
              </w:rPr>
            </w:pPr>
          </w:p>
          <w:p w14:paraId="543B24D8">
            <w:pPr>
              <w:snapToGrid w:val="0"/>
              <w:ind w:firstLine="420" w:firstLineChars="200"/>
              <w:rPr>
                <w:rFonts w:hint="eastAsia" w:ascii="宋体" w:hAnsi="宋体" w:eastAsia="宋体" w:cs="宋体"/>
                <w:color w:val="auto"/>
                <w:kern w:val="0"/>
                <w:szCs w:val="21"/>
              </w:rPr>
            </w:pPr>
          </w:p>
          <w:p w14:paraId="7E538EA2">
            <w:pPr>
              <w:snapToGrid w:val="0"/>
              <w:ind w:firstLine="420" w:firstLineChars="200"/>
              <w:rPr>
                <w:rFonts w:hint="eastAsia" w:ascii="宋体" w:hAnsi="宋体" w:eastAsia="宋体" w:cs="宋体"/>
                <w:color w:val="auto"/>
                <w:kern w:val="0"/>
                <w:szCs w:val="21"/>
              </w:rPr>
            </w:pPr>
          </w:p>
          <w:p w14:paraId="4EC00EB4">
            <w:pPr>
              <w:snapToGrid w:val="0"/>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年   月   日</w:t>
            </w:r>
          </w:p>
        </w:tc>
      </w:tr>
    </w:tbl>
    <w:p w14:paraId="3ECFDDA5">
      <w:pPr>
        <w:snapToGrid w:val="0"/>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注：售后服务事项填不下时可另加附页</w:t>
      </w:r>
    </w:p>
    <w:p w14:paraId="7626A558">
      <w:pPr>
        <w:adjustRightInd w:val="0"/>
        <w:snapToGrid w:val="0"/>
        <w:spacing w:line="520" w:lineRule="exact"/>
        <w:rPr>
          <w:rFonts w:hint="eastAsia" w:ascii="宋体" w:hAnsi="宋体" w:eastAsia="宋体" w:cs="宋体"/>
          <w:color w:val="auto"/>
        </w:rPr>
      </w:pPr>
    </w:p>
    <w:p w14:paraId="43A229DD">
      <w:pPr>
        <w:rPr>
          <w:rFonts w:hint="eastAsia" w:ascii="宋体" w:hAnsi="宋体" w:eastAsia="宋体" w:cs="宋体"/>
          <w:color w:val="auto"/>
        </w:rPr>
      </w:pPr>
    </w:p>
    <w:p w14:paraId="660DF2DC">
      <w:pPr>
        <w:rPr>
          <w:rFonts w:hint="eastAsia" w:ascii="宋体" w:hAnsi="宋体" w:eastAsia="宋体" w:cs="宋体"/>
          <w:color w:val="auto"/>
        </w:rPr>
      </w:pPr>
    </w:p>
    <w:sectPr>
      <w:footerReference r:id="rId18"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4DF29">
    <w:pPr>
      <w:pStyle w:val="13"/>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4F305">
    <w:pPr>
      <w:pStyle w:val="13"/>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5865285">
                          <w:pPr>
                            <w:pStyle w:val="13"/>
                          </w:pPr>
                          <w:r>
                            <w:fldChar w:fldCharType="begin"/>
                          </w:r>
                          <w:r>
                            <w:instrText xml:space="preserve"> PAGE  \* MERGEFORMAT </w:instrText>
                          </w:r>
                          <w:r>
                            <w:fldChar w:fldCharType="separate"/>
                          </w:r>
                          <w:r>
                            <w:t>57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25865285">
                    <w:pPr>
                      <w:pStyle w:val="13"/>
                    </w:pPr>
                    <w:r>
                      <w:fldChar w:fldCharType="begin"/>
                    </w:r>
                    <w:r>
                      <w:instrText xml:space="preserve"> PAGE  \* MERGEFORMAT </w:instrText>
                    </w:r>
                    <w:r>
                      <w:fldChar w:fldCharType="separate"/>
                    </w:r>
                    <w:r>
                      <w:t>57</w:t>
                    </w:r>
                    <w:r>
                      <w:fldChar w:fldCharType="end"/>
                    </w:r>
                  </w:p>
                </w:txbxContent>
              </v:textbox>
            </v:shape>
          </w:pict>
        </mc:Fallback>
      </mc:AlternateContent>
    </w:r>
  </w:p>
  <w:p w14:paraId="2220DE54">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965EE">
    <w:pPr>
      <w:pStyle w:val="13"/>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E832794">
                          <w:pPr>
                            <w:pStyle w:val="13"/>
                          </w:pPr>
                          <w:r>
                            <w:fldChar w:fldCharType="begin"/>
                          </w:r>
                          <w:r>
                            <w:instrText xml:space="preserve"> PAGE  \* MERGEFORMAT </w:instrText>
                          </w:r>
                          <w:r>
                            <w:fldChar w:fldCharType="separate"/>
                          </w:r>
                          <w:r>
                            <w:t>64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Iek9jLAQAAm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E1GKh/c7SGihdxZQh2hpmKYWOY2bVdaiX/vOevxj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HpPYywEAAJkDAAAOAAAAAAAAAAEAIAAAACIBAABkcnMv&#10;ZTJvRG9jLnhtbFBLBQYAAAAABgAGAFkBAABfBQAAAAA=&#10;">
              <v:fill on="f" focussize="0,0"/>
              <v:stroke on="f" weight="1.25pt"/>
              <v:imagedata o:title=""/>
              <o:lock v:ext="edit" aspectratio="f"/>
              <v:textbox inset="0mm,0mm,0mm,0mm" style="mso-fit-shape-to-text:t;">
                <w:txbxContent>
                  <w:p w14:paraId="5E832794">
                    <w:pPr>
                      <w:pStyle w:val="13"/>
                    </w:pPr>
                    <w:r>
                      <w:fldChar w:fldCharType="begin"/>
                    </w:r>
                    <w:r>
                      <w:instrText xml:space="preserve"> PAGE  \* MERGEFORMAT </w:instrText>
                    </w:r>
                    <w:r>
                      <w:fldChar w:fldCharType="separate"/>
                    </w:r>
                    <w:r>
                      <w:t>64</w:t>
                    </w:r>
                    <w:r>
                      <w:fldChar w:fldCharType="end"/>
                    </w:r>
                  </w:p>
                </w:txbxContent>
              </v:textbox>
            </v:shape>
          </w:pict>
        </mc:Fallback>
      </mc:AlternateContent>
    </w:r>
  </w:p>
  <w:p w14:paraId="62BAA49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7E362">
    <w:pPr>
      <w:pStyle w:val="13"/>
      <w:framePr w:wrap="around" w:vAnchor="text" w:hAnchor="margin" w:xAlign="center" w:y="1"/>
      <w:rPr>
        <w:rStyle w:val="20"/>
        <w:sz w:val="21"/>
      </w:rPr>
    </w:pPr>
    <w:r>
      <w:rPr>
        <w:sz w:val="21"/>
      </w:rPr>
      <w:fldChar w:fldCharType="begin"/>
    </w:r>
    <w:r>
      <w:rPr>
        <w:rStyle w:val="20"/>
        <w:sz w:val="21"/>
      </w:rPr>
      <w:instrText xml:space="preserve">PAGE  </w:instrText>
    </w:r>
    <w:r>
      <w:rPr>
        <w:sz w:val="21"/>
      </w:rPr>
      <w:fldChar w:fldCharType="separate"/>
    </w:r>
    <w:r>
      <w:rPr>
        <w:rStyle w:val="20"/>
        <w:sz w:val="21"/>
      </w:rPr>
      <w:t>0</w:t>
    </w:r>
    <w:r>
      <w:rPr>
        <w:sz w:val="21"/>
      </w:rPr>
      <w:fldChar w:fldCharType="end"/>
    </w:r>
  </w:p>
  <w:p w14:paraId="43D8E0C1">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AA5F">
    <w:pPr>
      <w:pStyle w:val="13"/>
      <w:tabs>
        <w:tab w:val="center" w:pos="4439"/>
        <w:tab w:val="clear" w:pos="4153"/>
      </w:tabs>
      <w:jc w:val="both"/>
    </w:pPr>
  </w:p>
  <w:p w14:paraId="21C2F839">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A672F">
    <w:pPr>
      <w:pStyle w:val="13"/>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8AD181"/>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798AD181"/>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DC39">
    <w:pPr>
      <w:pStyle w:val="13"/>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DA22014">
                          <w:pPr>
                            <w:pStyle w:val="13"/>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2OMsrLAQAAl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E1GKg/+/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tjjLKywEAAJcDAAAOAAAAAAAAAAEAIAAAACIBAABkcnMv&#10;ZTJvRG9jLnhtbFBLBQYAAAAABgAGAFkBAABfBQAAAAA=&#10;">
              <v:fill on="f" focussize="0,0"/>
              <v:stroke on="f" weight="1.25pt"/>
              <v:imagedata o:title=""/>
              <o:lock v:ext="edit" aspectratio="f"/>
              <v:textbox inset="0mm,0mm,0mm,0mm" style="mso-fit-shape-to-text:t;">
                <w:txbxContent>
                  <w:p w14:paraId="4DA22014">
                    <w:pPr>
                      <w:pStyle w:val="13"/>
                    </w:pPr>
                    <w:r>
                      <w:fldChar w:fldCharType="begin"/>
                    </w:r>
                    <w:r>
                      <w:instrText xml:space="preserve"> PAGE  \* MERGEFORMAT </w:instrText>
                    </w:r>
                    <w:r>
                      <w:fldChar w:fldCharType="separate"/>
                    </w:r>
                    <w:r>
                      <w:t>4</w:t>
                    </w:r>
                    <w:r>
                      <w:fldChar w:fldCharType="end"/>
                    </w:r>
                  </w:p>
                </w:txbxContent>
              </v:textbox>
            </v:shape>
          </w:pict>
        </mc:Fallback>
      </mc:AlternateContent>
    </w:r>
  </w:p>
  <w:p w14:paraId="1B6AB737">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4886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60ECC89">
                          <w:pPr>
                            <w:pStyle w:val="13"/>
                          </w:pPr>
                          <w:r>
                            <w:fldChar w:fldCharType="begin"/>
                          </w:r>
                          <w:r>
                            <w:instrText xml:space="preserve"> PAGE  \* MERGEFORMAT </w:instrText>
                          </w:r>
                          <w:r>
                            <w:fldChar w:fldCharType="separate"/>
                          </w:r>
                          <w:r>
                            <w:t>36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14:paraId="560ECC89">
                    <w:pPr>
                      <w:pStyle w:val="13"/>
                    </w:pPr>
                    <w:r>
                      <w:fldChar w:fldCharType="begin"/>
                    </w:r>
                    <w:r>
                      <w:instrText xml:space="preserve"> PAGE  \* MERGEFORMAT </w:instrText>
                    </w:r>
                    <w:r>
                      <w:fldChar w:fldCharType="separate"/>
                    </w:r>
                    <w:r>
                      <w:t>36</w:t>
                    </w:r>
                    <w:r>
                      <w:fldChar w:fldCharType="end"/>
                    </w:r>
                  </w:p>
                </w:txbxContent>
              </v:textbox>
            </v:shape>
          </w:pict>
        </mc:Fallback>
      </mc:AlternateContent>
    </w:r>
  </w:p>
  <w:p w14:paraId="45EE0F14">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85ED8">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2440D9">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72440D9">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8896B">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D2ABC73">
                          <w:pPr>
                            <w:pStyle w:val="13"/>
                          </w:pPr>
                          <w:r>
                            <w:fldChar w:fldCharType="begin"/>
                          </w:r>
                          <w:r>
                            <w:instrText xml:space="preserve"> PAGE  \* MERGEFORMAT </w:instrText>
                          </w:r>
                          <w:r>
                            <w:fldChar w:fldCharType="separate"/>
                          </w:r>
                          <w:r>
                            <w:t>41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14:paraId="4D2ABC73">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417AE">
    <w:pPr>
      <w:pStyle w:val="1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43D9C5">
                          <w:pPr>
                            <w:pStyle w:val="13"/>
                          </w:pPr>
                          <w:r>
                            <w:fldChar w:fldCharType="begin"/>
                          </w:r>
                          <w:r>
                            <w:instrText xml:space="preserve"> PAGE  \* MERGEFORMAT </w:instrText>
                          </w:r>
                          <w:r>
                            <w:fldChar w:fldCharType="separate"/>
                          </w:r>
                          <w:r>
                            <w:t>43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14:paraId="1343D9C5">
                    <w:pPr>
                      <w:pStyle w:val="13"/>
                    </w:pPr>
                    <w:r>
                      <w:fldChar w:fldCharType="begin"/>
                    </w:r>
                    <w:r>
                      <w:instrText xml:space="preserve"> PAGE  \* MERGEFORMAT </w:instrText>
                    </w:r>
                    <w:r>
                      <w:fldChar w:fldCharType="separate"/>
                    </w:r>
                    <w:r>
                      <w:t>43</w:t>
                    </w:r>
                    <w:r>
                      <w:fldChar w:fldCharType="end"/>
                    </w:r>
                  </w:p>
                </w:txbxContent>
              </v:textbox>
            </v:shape>
          </w:pict>
        </mc:Fallback>
      </mc:AlternateContent>
    </w:r>
  </w:p>
  <w:p w14:paraId="44E9DA6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0FA7">
    <w:pPr>
      <w:pStyle w:val="14"/>
      <w:pBdr>
        <w:bottom w:val="none" w:color="auto" w:sz="0" w:space="1"/>
      </w:pBdr>
      <w:tabs>
        <w:tab w:val="center" w:pos="0"/>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77D3F">
    <w:pPr>
      <w:pStyle w:val="14"/>
      <w:pBdr>
        <w:bottom w:val="none" w:color="auto" w:sz="0" w:space="1"/>
      </w:pBdr>
      <w:tabs>
        <w:tab w:val="center" w:pos="0"/>
        <w:tab w:val="clear" w:pos="4153"/>
      </w:tabs>
      <w:jc w:val="right"/>
    </w:pPr>
    <w:r>
      <w:rPr>
        <w:vanish/>
        <w:highlight w:val="yellow"/>
      </w:rPr>
      <w:t>&gt;</w:t>
    </w:r>
  </w:p>
  <w:p w14:paraId="1D02E679">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05A8">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0CF84">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F82D">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07A90B0"/>
    <w:multiLevelType w:val="singleLevel"/>
    <w:tmpl w:val="107A90B0"/>
    <w:lvl w:ilvl="0" w:tentative="0">
      <w:start w:val="10"/>
      <w:numFmt w:val="chineseCounting"/>
      <w:suff w:val="nothing"/>
      <w:lvlText w:val="%1、"/>
      <w:lvlJc w:val="left"/>
      <w:rPr>
        <w:rFonts w:hint="eastAsia"/>
      </w:rPr>
    </w:lvl>
  </w:abstractNum>
  <w:abstractNum w:abstractNumId="3">
    <w:nsid w:val="2D34B8C2"/>
    <w:multiLevelType w:val="singleLevel"/>
    <w:tmpl w:val="2D34B8C2"/>
    <w:lvl w:ilvl="0" w:tentative="0">
      <w:start w:val="6"/>
      <w:numFmt w:val="chineseCounting"/>
      <w:suff w:val="space"/>
      <w:lvlText w:val="第%1章"/>
      <w:lvlJc w:val="left"/>
      <w:rPr>
        <w:rFonts w:hint="eastAsia"/>
      </w:rPr>
    </w:lvl>
  </w:abstractNum>
  <w:abstractNum w:abstractNumId="4">
    <w:nsid w:val="4919C588"/>
    <w:multiLevelType w:val="singleLevel"/>
    <w:tmpl w:val="4919C588"/>
    <w:lvl w:ilvl="0" w:tentative="0">
      <w:start w:val="1"/>
      <w:numFmt w:val="decimal"/>
      <w:pStyle w:val="5"/>
      <w:lvlText w:val="%1."/>
      <w:lvlJc w:val="left"/>
      <w:pPr>
        <w:tabs>
          <w:tab w:val="left" w:pos="360"/>
        </w:tabs>
        <w:ind w:left="360" w:hanging="360"/>
      </w:pPr>
    </w:lvl>
  </w:abstractNum>
  <w:num w:numId="1">
    <w:abstractNumId w:val="4"/>
  </w:num>
  <w:num w:numId="2">
    <w:abstractNumId w:val="2"/>
  </w:num>
  <w:num w:numId="3">
    <w:abstractNumId w:val="0"/>
    <w:lvlOverride w:ilvl="0">
      <w:startOverride w:val="1"/>
    </w:lvlOverride>
  </w:num>
  <w:num w:numId="4">
    <w:abstractNumId w:val="1"/>
    <w:lvlOverride w:ilvl="0">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dit="forms" w:enforcement="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206CA"/>
    <w:rsid w:val="002410F1"/>
    <w:rsid w:val="00247343"/>
    <w:rsid w:val="00281083"/>
    <w:rsid w:val="003752C8"/>
    <w:rsid w:val="007A51B4"/>
    <w:rsid w:val="012B4701"/>
    <w:rsid w:val="017442FA"/>
    <w:rsid w:val="01787946"/>
    <w:rsid w:val="01FD42EF"/>
    <w:rsid w:val="0216715F"/>
    <w:rsid w:val="02994018"/>
    <w:rsid w:val="029F7154"/>
    <w:rsid w:val="02D74B40"/>
    <w:rsid w:val="030671D3"/>
    <w:rsid w:val="037E6D6A"/>
    <w:rsid w:val="03962305"/>
    <w:rsid w:val="04074FB1"/>
    <w:rsid w:val="04CE1334"/>
    <w:rsid w:val="04F05A45"/>
    <w:rsid w:val="052851DF"/>
    <w:rsid w:val="05926AFC"/>
    <w:rsid w:val="05AC4062"/>
    <w:rsid w:val="06023C82"/>
    <w:rsid w:val="0607573C"/>
    <w:rsid w:val="06BA155D"/>
    <w:rsid w:val="06D27AF8"/>
    <w:rsid w:val="06D575E9"/>
    <w:rsid w:val="06F21F49"/>
    <w:rsid w:val="06F2533E"/>
    <w:rsid w:val="07153E89"/>
    <w:rsid w:val="076935CA"/>
    <w:rsid w:val="07940642"/>
    <w:rsid w:val="080C703A"/>
    <w:rsid w:val="082C148A"/>
    <w:rsid w:val="0837398B"/>
    <w:rsid w:val="08801666"/>
    <w:rsid w:val="08915791"/>
    <w:rsid w:val="08C07E24"/>
    <w:rsid w:val="08F5187C"/>
    <w:rsid w:val="090E293E"/>
    <w:rsid w:val="09420839"/>
    <w:rsid w:val="09AD65FB"/>
    <w:rsid w:val="09D83C22"/>
    <w:rsid w:val="09D861CB"/>
    <w:rsid w:val="0A8B6D9E"/>
    <w:rsid w:val="0AC0235E"/>
    <w:rsid w:val="0AEA2F37"/>
    <w:rsid w:val="0B065FC2"/>
    <w:rsid w:val="0B35729E"/>
    <w:rsid w:val="0B3B6F24"/>
    <w:rsid w:val="0B61144B"/>
    <w:rsid w:val="0BD240F7"/>
    <w:rsid w:val="0BD47E6F"/>
    <w:rsid w:val="0C087B18"/>
    <w:rsid w:val="0C257B25"/>
    <w:rsid w:val="0C6E18F2"/>
    <w:rsid w:val="0D447EB9"/>
    <w:rsid w:val="0D4B4161"/>
    <w:rsid w:val="0D7336B7"/>
    <w:rsid w:val="0D870F11"/>
    <w:rsid w:val="0DC108C7"/>
    <w:rsid w:val="0DCD3575"/>
    <w:rsid w:val="0E0013EF"/>
    <w:rsid w:val="0E2D7D0A"/>
    <w:rsid w:val="0E455054"/>
    <w:rsid w:val="0E5D49E4"/>
    <w:rsid w:val="0E794CFD"/>
    <w:rsid w:val="0EF645A0"/>
    <w:rsid w:val="0F091CC9"/>
    <w:rsid w:val="0F3B0205"/>
    <w:rsid w:val="0F503CB0"/>
    <w:rsid w:val="0F6C4862"/>
    <w:rsid w:val="0FA61B22"/>
    <w:rsid w:val="10A87B1C"/>
    <w:rsid w:val="10B77D5F"/>
    <w:rsid w:val="10D91A83"/>
    <w:rsid w:val="11140D0D"/>
    <w:rsid w:val="1122167C"/>
    <w:rsid w:val="11904838"/>
    <w:rsid w:val="119229CC"/>
    <w:rsid w:val="11943BFC"/>
    <w:rsid w:val="11AB78C4"/>
    <w:rsid w:val="120D5E88"/>
    <w:rsid w:val="120E39AF"/>
    <w:rsid w:val="1211524D"/>
    <w:rsid w:val="121E62E8"/>
    <w:rsid w:val="12503FC7"/>
    <w:rsid w:val="127E6D86"/>
    <w:rsid w:val="12A54313"/>
    <w:rsid w:val="12D76496"/>
    <w:rsid w:val="12E82452"/>
    <w:rsid w:val="1347361C"/>
    <w:rsid w:val="13C05BC9"/>
    <w:rsid w:val="13CC58CF"/>
    <w:rsid w:val="14E1184E"/>
    <w:rsid w:val="151206CA"/>
    <w:rsid w:val="155344FA"/>
    <w:rsid w:val="157D3325"/>
    <w:rsid w:val="159D7523"/>
    <w:rsid w:val="16104199"/>
    <w:rsid w:val="16374DA1"/>
    <w:rsid w:val="16A918E4"/>
    <w:rsid w:val="16B03286"/>
    <w:rsid w:val="16BA2357"/>
    <w:rsid w:val="16BA4105"/>
    <w:rsid w:val="16CD3E38"/>
    <w:rsid w:val="16F77107"/>
    <w:rsid w:val="172779EC"/>
    <w:rsid w:val="18003D99"/>
    <w:rsid w:val="18A575F7"/>
    <w:rsid w:val="18DB72CC"/>
    <w:rsid w:val="194B54E8"/>
    <w:rsid w:val="198033E4"/>
    <w:rsid w:val="199930AE"/>
    <w:rsid w:val="19EC0A79"/>
    <w:rsid w:val="1A206975"/>
    <w:rsid w:val="1A4E703E"/>
    <w:rsid w:val="1A772A39"/>
    <w:rsid w:val="1A98475D"/>
    <w:rsid w:val="1A9D6217"/>
    <w:rsid w:val="1AB00D30"/>
    <w:rsid w:val="1ADA4D76"/>
    <w:rsid w:val="1AE6371B"/>
    <w:rsid w:val="1AE94FB9"/>
    <w:rsid w:val="1B2026F6"/>
    <w:rsid w:val="1B811695"/>
    <w:rsid w:val="1BCF2401"/>
    <w:rsid w:val="1BF956CF"/>
    <w:rsid w:val="1BFA7D20"/>
    <w:rsid w:val="1C167A09"/>
    <w:rsid w:val="1C236AE5"/>
    <w:rsid w:val="1C872CDB"/>
    <w:rsid w:val="1CCC4B92"/>
    <w:rsid w:val="1D726146"/>
    <w:rsid w:val="1DBE10C0"/>
    <w:rsid w:val="1DD106B2"/>
    <w:rsid w:val="1DDC0E05"/>
    <w:rsid w:val="1E905351"/>
    <w:rsid w:val="1EB1558D"/>
    <w:rsid w:val="1F6D7F66"/>
    <w:rsid w:val="1FAB4F33"/>
    <w:rsid w:val="1FB65DB1"/>
    <w:rsid w:val="1FB75686"/>
    <w:rsid w:val="1FD47FE6"/>
    <w:rsid w:val="1FF561AE"/>
    <w:rsid w:val="204131A1"/>
    <w:rsid w:val="20621A95"/>
    <w:rsid w:val="20971013"/>
    <w:rsid w:val="20E76E10"/>
    <w:rsid w:val="21354AB4"/>
    <w:rsid w:val="21513FDC"/>
    <w:rsid w:val="21625939"/>
    <w:rsid w:val="217001E2"/>
    <w:rsid w:val="2173382E"/>
    <w:rsid w:val="218E2416"/>
    <w:rsid w:val="21BE0F4D"/>
    <w:rsid w:val="21DA1AFF"/>
    <w:rsid w:val="22AB277C"/>
    <w:rsid w:val="22BE6D2B"/>
    <w:rsid w:val="22F4099F"/>
    <w:rsid w:val="233F1C1A"/>
    <w:rsid w:val="23645B24"/>
    <w:rsid w:val="23837E03"/>
    <w:rsid w:val="23B95E70"/>
    <w:rsid w:val="23DC390D"/>
    <w:rsid w:val="242552B4"/>
    <w:rsid w:val="24FB4266"/>
    <w:rsid w:val="256911D0"/>
    <w:rsid w:val="25706A02"/>
    <w:rsid w:val="25714529"/>
    <w:rsid w:val="2613738E"/>
    <w:rsid w:val="26B50445"/>
    <w:rsid w:val="26BE379D"/>
    <w:rsid w:val="26CA2142"/>
    <w:rsid w:val="275D6B12"/>
    <w:rsid w:val="275F6D2E"/>
    <w:rsid w:val="27673E35"/>
    <w:rsid w:val="27802801"/>
    <w:rsid w:val="278C564A"/>
    <w:rsid w:val="27FA25B3"/>
    <w:rsid w:val="28096C9A"/>
    <w:rsid w:val="284E28FF"/>
    <w:rsid w:val="28706D19"/>
    <w:rsid w:val="28795BCE"/>
    <w:rsid w:val="289A3A18"/>
    <w:rsid w:val="28B5472C"/>
    <w:rsid w:val="28BC6C49"/>
    <w:rsid w:val="28C80903"/>
    <w:rsid w:val="293143F3"/>
    <w:rsid w:val="29CE5AA6"/>
    <w:rsid w:val="29F47AC1"/>
    <w:rsid w:val="2A4D1354"/>
    <w:rsid w:val="2A6D3510"/>
    <w:rsid w:val="2A810D6A"/>
    <w:rsid w:val="2AA66A22"/>
    <w:rsid w:val="2AB73BFF"/>
    <w:rsid w:val="2AFC2AE6"/>
    <w:rsid w:val="2B7408CF"/>
    <w:rsid w:val="2C0E1A71"/>
    <w:rsid w:val="2C4A0E65"/>
    <w:rsid w:val="2C701096"/>
    <w:rsid w:val="2C9F3729"/>
    <w:rsid w:val="2CBE44F7"/>
    <w:rsid w:val="2CD930DF"/>
    <w:rsid w:val="2D216834"/>
    <w:rsid w:val="2D873CF1"/>
    <w:rsid w:val="2D8838DB"/>
    <w:rsid w:val="2DE0224B"/>
    <w:rsid w:val="2DF81343"/>
    <w:rsid w:val="2E5073D1"/>
    <w:rsid w:val="2E976DAE"/>
    <w:rsid w:val="2E982B26"/>
    <w:rsid w:val="2EEB0EA8"/>
    <w:rsid w:val="2FA13217"/>
    <w:rsid w:val="2FBB6ACC"/>
    <w:rsid w:val="30073ABF"/>
    <w:rsid w:val="30662EDC"/>
    <w:rsid w:val="30AE6631"/>
    <w:rsid w:val="30FA3F50"/>
    <w:rsid w:val="315076E8"/>
    <w:rsid w:val="31722022"/>
    <w:rsid w:val="31737FFF"/>
    <w:rsid w:val="319121DA"/>
    <w:rsid w:val="31D16A7B"/>
    <w:rsid w:val="31DB16A7"/>
    <w:rsid w:val="32BD2B5B"/>
    <w:rsid w:val="32C90B4E"/>
    <w:rsid w:val="32D305D1"/>
    <w:rsid w:val="335039CF"/>
    <w:rsid w:val="336631F3"/>
    <w:rsid w:val="336D27D3"/>
    <w:rsid w:val="339A6A30"/>
    <w:rsid w:val="33B026C0"/>
    <w:rsid w:val="348F1317"/>
    <w:rsid w:val="34FC3E0F"/>
    <w:rsid w:val="354D2850"/>
    <w:rsid w:val="35935DF5"/>
    <w:rsid w:val="35E2246F"/>
    <w:rsid w:val="36145188"/>
    <w:rsid w:val="362F5B1E"/>
    <w:rsid w:val="367B5207"/>
    <w:rsid w:val="3680281D"/>
    <w:rsid w:val="373D070E"/>
    <w:rsid w:val="3757357E"/>
    <w:rsid w:val="376E6016"/>
    <w:rsid w:val="37895702"/>
    <w:rsid w:val="379320DC"/>
    <w:rsid w:val="384358B1"/>
    <w:rsid w:val="387719FE"/>
    <w:rsid w:val="394C4C39"/>
    <w:rsid w:val="39810D86"/>
    <w:rsid w:val="39E84962"/>
    <w:rsid w:val="39EC3D26"/>
    <w:rsid w:val="39F2758E"/>
    <w:rsid w:val="39F33306"/>
    <w:rsid w:val="3A03179B"/>
    <w:rsid w:val="3A0329B6"/>
    <w:rsid w:val="3A4A73CA"/>
    <w:rsid w:val="3A8A5A19"/>
    <w:rsid w:val="3AAD7959"/>
    <w:rsid w:val="3B194FEF"/>
    <w:rsid w:val="3B626996"/>
    <w:rsid w:val="3C6726DB"/>
    <w:rsid w:val="3CA54D8C"/>
    <w:rsid w:val="3CD63197"/>
    <w:rsid w:val="3D566086"/>
    <w:rsid w:val="3D942549"/>
    <w:rsid w:val="3DB86D41"/>
    <w:rsid w:val="3E1B56EB"/>
    <w:rsid w:val="3E74229C"/>
    <w:rsid w:val="3E8D3D29"/>
    <w:rsid w:val="3F9D61EE"/>
    <w:rsid w:val="40512B35"/>
    <w:rsid w:val="409A44DC"/>
    <w:rsid w:val="40F260C6"/>
    <w:rsid w:val="4202286C"/>
    <w:rsid w:val="423A7D24"/>
    <w:rsid w:val="42440BA3"/>
    <w:rsid w:val="42876CE2"/>
    <w:rsid w:val="439873F8"/>
    <w:rsid w:val="43B33EFC"/>
    <w:rsid w:val="43DE0531"/>
    <w:rsid w:val="440A4075"/>
    <w:rsid w:val="44663053"/>
    <w:rsid w:val="451A3E3D"/>
    <w:rsid w:val="451F1453"/>
    <w:rsid w:val="452C6BD0"/>
    <w:rsid w:val="46081EE8"/>
    <w:rsid w:val="462753A7"/>
    <w:rsid w:val="46542C1A"/>
    <w:rsid w:val="46601D24"/>
    <w:rsid w:val="46D06EA9"/>
    <w:rsid w:val="46DD45D8"/>
    <w:rsid w:val="47541888"/>
    <w:rsid w:val="47A85730"/>
    <w:rsid w:val="47E04ECA"/>
    <w:rsid w:val="47FE0118"/>
    <w:rsid w:val="48814D1C"/>
    <w:rsid w:val="4953791E"/>
    <w:rsid w:val="49956188"/>
    <w:rsid w:val="49FC7FB5"/>
    <w:rsid w:val="4A58168F"/>
    <w:rsid w:val="4A600667"/>
    <w:rsid w:val="4A655B5A"/>
    <w:rsid w:val="4A77518F"/>
    <w:rsid w:val="4A993A56"/>
    <w:rsid w:val="4ABC33A7"/>
    <w:rsid w:val="4AC959ED"/>
    <w:rsid w:val="4BA34B8C"/>
    <w:rsid w:val="4C6A56AA"/>
    <w:rsid w:val="4C983FC5"/>
    <w:rsid w:val="4CB66B41"/>
    <w:rsid w:val="4D043409"/>
    <w:rsid w:val="4D21045F"/>
    <w:rsid w:val="4D3A507C"/>
    <w:rsid w:val="4D3A57A5"/>
    <w:rsid w:val="4D7C38E7"/>
    <w:rsid w:val="4DAD1CF2"/>
    <w:rsid w:val="4DDE00FE"/>
    <w:rsid w:val="4DE17BEE"/>
    <w:rsid w:val="4E157897"/>
    <w:rsid w:val="4E1C6E78"/>
    <w:rsid w:val="4E235B10"/>
    <w:rsid w:val="4E6C395B"/>
    <w:rsid w:val="4E9B2306"/>
    <w:rsid w:val="4F2935FA"/>
    <w:rsid w:val="4F5148FF"/>
    <w:rsid w:val="4F8545A9"/>
    <w:rsid w:val="4F8B6063"/>
    <w:rsid w:val="4F8E77B9"/>
    <w:rsid w:val="4F9B5F70"/>
    <w:rsid w:val="4FC103E0"/>
    <w:rsid w:val="4FFF4C90"/>
    <w:rsid w:val="500B0F52"/>
    <w:rsid w:val="50545FFA"/>
    <w:rsid w:val="50C04F20"/>
    <w:rsid w:val="517D7C2E"/>
    <w:rsid w:val="51C21AE4"/>
    <w:rsid w:val="526A6404"/>
    <w:rsid w:val="53163E96"/>
    <w:rsid w:val="534722A1"/>
    <w:rsid w:val="53542C10"/>
    <w:rsid w:val="53605111"/>
    <w:rsid w:val="53CA4C80"/>
    <w:rsid w:val="53F266B1"/>
    <w:rsid w:val="53F341D7"/>
    <w:rsid w:val="542743E8"/>
    <w:rsid w:val="542D76E9"/>
    <w:rsid w:val="54751090"/>
    <w:rsid w:val="5486504B"/>
    <w:rsid w:val="54AD6A7C"/>
    <w:rsid w:val="54D264E2"/>
    <w:rsid w:val="550A7A2A"/>
    <w:rsid w:val="552D3719"/>
    <w:rsid w:val="558F6181"/>
    <w:rsid w:val="55B856D8"/>
    <w:rsid w:val="55F15BC0"/>
    <w:rsid w:val="55FF3307"/>
    <w:rsid w:val="55FF6E63"/>
    <w:rsid w:val="56570A4D"/>
    <w:rsid w:val="566273F2"/>
    <w:rsid w:val="569C0B56"/>
    <w:rsid w:val="56F02C50"/>
    <w:rsid w:val="570F1328"/>
    <w:rsid w:val="573A3ECB"/>
    <w:rsid w:val="57AC4DC9"/>
    <w:rsid w:val="57CC546B"/>
    <w:rsid w:val="580E15DF"/>
    <w:rsid w:val="586B6A32"/>
    <w:rsid w:val="587D49B7"/>
    <w:rsid w:val="58A837E2"/>
    <w:rsid w:val="58E442E2"/>
    <w:rsid w:val="58F17AA6"/>
    <w:rsid w:val="58FA6008"/>
    <w:rsid w:val="592F305F"/>
    <w:rsid w:val="596040BD"/>
    <w:rsid w:val="596B3E9E"/>
    <w:rsid w:val="59725B9E"/>
    <w:rsid w:val="59A223AB"/>
    <w:rsid w:val="59A85A64"/>
    <w:rsid w:val="59AD307A"/>
    <w:rsid w:val="59BE7035"/>
    <w:rsid w:val="5A2A6479"/>
    <w:rsid w:val="5A851901"/>
    <w:rsid w:val="5AEB5C08"/>
    <w:rsid w:val="5B353327"/>
    <w:rsid w:val="5B4A5ED4"/>
    <w:rsid w:val="5B764368"/>
    <w:rsid w:val="5B835E40"/>
    <w:rsid w:val="5B9C33A6"/>
    <w:rsid w:val="5BAC183B"/>
    <w:rsid w:val="5BF136F2"/>
    <w:rsid w:val="5BF14800"/>
    <w:rsid w:val="5C7E7626"/>
    <w:rsid w:val="5D072AA1"/>
    <w:rsid w:val="5D245401"/>
    <w:rsid w:val="5D5D0C48"/>
    <w:rsid w:val="5D6B74D4"/>
    <w:rsid w:val="5D971C5A"/>
    <w:rsid w:val="5D9E3405"/>
    <w:rsid w:val="5DA10786"/>
    <w:rsid w:val="5DA622BA"/>
    <w:rsid w:val="5E766130"/>
    <w:rsid w:val="5E806DB9"/>
    <w:rsid w:val="5E9C7CF0"/>
    <w:rsid w:val="5EE17A4E"/>
    <w:rsid w:val="5F3538F6"/>
    <w:rsid w:val="5F7408C2"/>
    <w:rsid w:val="5FAB005C"/>
    <w:rsid w:val="600D6620"/>
    <w:rsid w:val="60B00806"/>
    <w:rsid w:val="60F670B5"/>
    <w:rsid w:val="61181721"/>
    <w:rsid w:val="613227E3"/>
    <w:rsid w:val="61BA27D8"/>
    <w:rsid w:val="622E333A"/>
    <w:rsid w:val="622F041C"/>
    <w:rsid w:val="629F51E1"/>
    <w:rsid w:val="62B86D17"/>
    <w:rsid w:val="62C236F2"/>
    <w:rsid w:val="631877B6"/>
    <w:rsid w:val="63715118"/>
    <w:rsid w:val="63E86F40"/>
    <w:rsid w:val="64063AB3"/>
    <w:rsid w:val="64405216"/>
    <w:rsid w:val="645C7B76"/>
    <w:rsid w:val="648C1B70"/>
    <w:rsid w:val="64B31587"/>
    <w:rsid w:val="64B96D77"/>
    <w:rsid w:val="64D140C0"/>
    <w:rsid w:val="64F56A29"/>
    <w:rsid w:val="650D2C1F"/>
    <w:rsid w:val="652E1513"/>
    <w:rsid w:val="65733C50"/>
    <w:rsid w:val="65900638"/>
    <w:rsid w:val="65A43583"/>
    <w:rsid w:val="65A74E21"/>
    <w:rsid w:val="6612342D"/>
    <w:rsid w:val="66195D1F"/>
    <w:rsid w:val="661E3335"/>
    <w:rsid w:val="66540B05"/>
    <w:rsid w:val="66763171"/>
    <w:rsid w:val="66EC3434"/>
    <w:rsid w:val="672506F4"/>
    <w:rsid w:val="67513297"/>
    <w:rsid w:val="67642FCA"/>
    <w:rsid w:val="676B3D84"/>
    <w:rsid w:val="67801FF6"/>
    <w:rsid w:val="678D62A5"/>
    <w:rsid w:val="67980EC5"/>
    <w:rsid w:val="67EE0AE5"/>
    <w:rsid w:val="67EE6D37"/>
    <w:rsid w:val="680508F1"/>
    <w:rsid w:val="681F15E7"/>
    <w:rsid w:val="68324E76"/>
    <w:rsid w:val="684305CC"/>
    <w:rsid w:val="68757459"/>
    <w:rsid w:val="68BE495C"/>
    <w:rsid w:val="68E41E04"/>
    <w:rsid w:val="68E72104"/>
    <w:rsid w:val="68EC771B"/>
    <w:rsid w:val="68F55EA4"/>
    <w:rsid w:val="69097331"/>
    <w:rsid w:val="699F478D"/>
    <w:rsid w:val="6A4E1D0F"/>
    <w:rsid w:val="6A7C687C"/>
    <w:rsid w:val="6ACF2E50"/>
    <w:rsid w:val="6B250CC2"/>
    <w:rsid w:val="6B76151E"/>
    <w:rsid w:val="6BCC7390"/>
    <w:rsid w:val="6C5C0714"/>
    <w:rsid w:val="6CA83959"/>
    <w:rsid w:val="6CAE2F39"/>
    <w:rsid w:val="6CC87B57"/>
    <w:rsid w:val="6D527D69"/>
    <w:rsid w:val="6D89482E"/>
    <w:rsid w:val="6DA06D26"/>
    <w:rsid w:val="6DF36E56"/>
    <w:rsid w:val="6E443B55"/>
    <w:rsid w:val="6EBC5389"/>
    <w:rsid w:val="6ED053E9"/>
    <w:rsid w:val="6EE36ECA"/>
    <w:rsid w:val="6EF03395"/>
    <w:rsid w:val="6EF56BFD"/>
    <w:rsid w:val="6F173018"/>
    <w:rsid w:val="6FF3138F"/>
    <w:rsid w:val="6FF46EB5"/>
    <w:rsid w:val="701632CF"/>
    <w:rsid w:val="7104581E"/>
    <w:rsid w:val="71233EF6"/>
    <w:rsid w:val="71325EE7"/>
    <w:rsid w:val="71755DD4"/>
    <w:rsid w:val="720C2BDC"/>
    <w:rsid w:val="723F6B0D"/>
    <w:rsid w:val="72BB1F0C"/>
    <w:rsid w:val="73903399"/>
    <w:rsid w:val="73A40BF2"/>
    <w:rsid w:val="73FE6554"/>
    <w:rsid w:val="741F7825"/>
    <w:rsid w:val="743401C8"/>
    <w:rsid w:val="74730CF0"/>
    <w:rsid w:val="748C0004"/>
    <w:rsid w:val="74FF2584"/>
    <w:rsid w:val="750202C6"/>
    <w:rsid w:val="753F6E24"/>
    <w:rsid w:val="75AE241F"/>
    <w:rsid w:val="75DC28C5"/>
    <w:rsid w:val="76257DC8"/>
    <w:rsid w:val="764F3097"/>
    <w:rsid w:val="76E00193"/>
    <w:rsid w:val="76F123A0"/>
    <w:rsid w:val="770E4D00"/>
    <w:rsid w:val="77356731"/>
    <w:rsid w:val="77BA09E4"/>
    <w:rsid w:val="77F7404C"/>
    <w:rsid w:val="7803238B"/>
    <w:rsid w:val="785030F6"/>
    <w:rsid w:val="78941235"/>
    <w:rsid w:val="78A54023"/>
    <w:rsid w:val="7904460D"/>
    <w:rsid w:val="79A100AE"/>
    <w:rsid w:val="79A84102"/>
    <w:rsid w:val="79B221C4"/>
    <w:rsid w:val="7A1A1C0E"/>
    <w:rsid w:val="7A884DCA"/>
    <w:rsid w:val="7A8D23E0"/>
    <w:rsid w:val="7B4E1B6F"/>
    <w:rsid w:val="7B933A26"/>
    <w:rsid w:val="7BF5648F"/>
    <w:rsid w:val="7BFD3595"/>
    <w:rsid w:val="7C10780F"/>
    <w:rsid w:val="7CAB6CF8"/>
    <w:rsid w:val="7CFE75C5"/>
    <w:rsid w:val="7D0270B5"/>
    <w:rsid w:val="7D1D5C9D"/>
    <w:rsid w:val="7D1F786B"/>
    <w:rsid w:val="7DBA7990"/>
    <w:rsid w:val="7E152E18"/>
    <w:rsid w:val="7E3037AE"/>
    <w:rsid w:val="7EB443DF"/>
    <w:rsid w:val="7F280929"/>
    <w:rsid w:val="7F3D43D5"/>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hAnsi="Times New Roman" w:eastAsia="黑体" w:cs="Times New Roman"/>
      <w:kern w:val="0"/>
      <w:sz w:val="28"/>
      <w:szCs w:val="20"/>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Normal Indent"/>
    <w:basedOn w:val="1"/>
    <w:next w:val="7"/>
    <w:qFormat/>
    <w:uiPriority w:val="0"/>
    <w:pPr>
      <w:ind w:firstLine="420"/>
    </w:pPr>
    <w:rPr>
      <w:szCs w:val="20"/>
    </w:rPr>
  </w:style>
  <w:style w:type="paragraph" w:customStyle="1" w:styleId="7">
    <w:name w:val="_Style 50"/>
    <w:basedOn w:val="1"/>
    <w:next w:val="8"/>
    <w:qFormat/>
    <w:uiPriority w:val="0"/>
    <w:pPr>
      <w:widowControl/>
      <w:spacing w:before="100" w:beforeAutospacing="1" w:after="100" w:afterAutospacing="1"/>
    </w:pPr>
    <w:rPr>
      <w:rFonts w:ascii="宋体" w:hAnsi="宋体"/>
      <w:sz w:val="24"/>
    </w:rPr>
  </w:style>
  <w:style w:type="paragraph" w:styleId="8">
    <w:name w:val="Normal (Web)"/>
    <w:basedOn w:val="1"/>
    <w:next w:val="1"/>
    <w:unhideWhenUsed/>
    <w:qFormat/>
    <w:uiPriority w:val="99"/>
    <w:rPr>
      <w:rFonts w:ascii="Calibri" w:hAnsi="Calibri"/>
      <w:kern w:val="0"/>
      <w:sz w:val="24"/>
    </w:rPr>
  </w:style>
  <w:style w:type="paragraph" w:styleId="9">
    <w:name w:val="annotation text"/>
    <w:basedOn w:val="1"/>
    <w:qFormat/>
    <w:uiPriority w:val="0"/>
    <w:pPr>
      <w:jc w:val="left"/>
    </w:pPr>
  </w:style>
  <w:style w:type="paragraph" w:styleId="10">
    <w:name w:val="Body Text"/>
    <w:basedOn w:val="1"/>
    <w:semiHidden/>
    <w:qFormat/>
    <w:uiPriority w:val="0"/>
    <w:rPr>
      <w:rFonts w:ascii="Arial" w:hAnsi="Arial" w:eastAsia="Arial" w:cs="Arial"/>
      <w:sz w:val="21"/>
      <w:szCs w:val="21"/>
      <w:lang w:val="en-US" w:eastAsia="en-US" w:bidi="ar-SA"/>
    </w:rPr>
  </w:style>
  <w:style w:type="paragraph" w:styleId="11">
    <w:name w:val="toc 3"/>
    <w:basedOn w:val="1"/>
    <w:next w:val="1"/>
    <w:qFormat/>
    <w:uiPriority w:val="39"/>
    <w:pPr>
      <w:tabs>
        <w:tab w:val="left" w:pos="1260"/>
        <w:tab w:val="right" w:leader="dot" w:pos="8296"/>
      </w:tabs>
      <w:ind w:left="840" w:leftChars="400"/>
      <w:jc w:val="left"/>
    </w:pPr>
  </w:style>
  <w:style w:type="paragraph" w:styleId="12">
    <w:name w:val="Plain Text"/>
    <w:basedOn w:val="1"/>
    <w:next w:val="4"/>
    <w:qFormat/>
    <w:uiPriority w:val="0"/>
    <w:rPr>
      <w:rFonts w:ascii="宋体" w:hAnsi="Courier New"/>
      <w:kern w:val="0"/>
      <w:sz w:val="20"/>
      <w:szCs w:val="21"/>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Body Text Indent 3"/>
    <w:basedOn w:val="1"/>
    <w:qFormat/>
    <w:uiPriority w:val="0"/>
    <w:pPr>
      <w:spacing w:after="120"/>
      <w:ind w:left="420" w:leftChars="200"/>
    </w:pPr>
    <w:rPr>
      <w:sz w:val="16"/>
      <w:szCs w:val="16"/>
    </w:rPr>
  </w:style>
  <w:style w:type="paragraph" w:styleId="17">
    <w:name w:val="toc 2"/>
    <w:basedOn w:val="1"/>
    <w:next w:val="1"/>
    <w:unhideWhenUsed/>
    <w:qFormat/>
    <w:uiPriority w:val="39"/>
    <w:pPr>
      <w:tabs>
        <w:tab w:val="right" w:leader="dot" w:pos="8296"/>
      </w:tabs>
      <w:ind w:left="420" w:leftChars="200"/>
    </w:pPr>
  </w:style>
  <w:style w:type="character" w:styleId="20">
    <w:name w:val="page number"/>
    <w:qFormat/>
    <w:uiPriority w:val="0"/>
  </w:style>
  <w:style w:type="paragraph" w:customStyle="1" w:styleId="21">
    <w:name w:val="BodyText"/>
    <w:next w:val="22"/>
    <w:qFormat/>
    <w:uiPriority w:val="0"/>
    <w:pPr>
      <w:ind w:left="102"/>
      <w:jc w:val="both"/>
      <w:textAlignment w:val="baseline"/>
    </w:pPr>
    <w:rPr>
      <w:rFonts w:ascii="宋体" w:hAnsi="宋体" w:eastAsia="宋体" w:cs="Times New Roman"/>
      <w:kern w:val="2"/>
      <w:sz w:val="29"/>
      <w:szCs w:val="24"/>
      <w:lang w:val="en-US" w:eastAsia="zh-CN" w:bidi="ar-SA"/>
    </w:rPr>
  </w:style>
  <w:style w:type="paragraph" w:customStyle="1" w:styleId="22">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customStyle="1" w:styleId="23">
    <w:name w:val="正文2"/>
    <w:basedOn w:val="1"/>
    <w:qFormat/>
    <w:uiPriority w:val="0"/>
    <w:pPr>
      <w:adjustRightInd w:val="0"/>
      <w:spacing w:before="156" w:line="360" w:lineRule="auto"/>
      <w:ind w:firstLine="510" w:firstLineChars="200"/>
    </w:pPr>
    <w:rPr>
      <w:kern w:val="0"/>
      <w:sz w:val="24"/>
      <w:szCs w:val="20"/>
    </w:rPr>
  </w:style>
  <w:style w:type="paragraph" w:customStyle="1" w:styleId="24">
    <w:name w:val="Table Text"/>
    <w:basedOn w:val="1"/>
    <w:semiHidden/>
    <w:qFormat/>
    <w:uiPriority w:val="0"/>
    <w:rPr>
      <w:rFonts w:ascii="宋体" w:hAnsi="宋体" w:eastAsia="宋体" w:cs="宋体"/>
      <w:sz w:val="29"/>
      <w:szCs w:val="29"/>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font31"/>
    <w:basedOn w:val="19"/>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13793</Words>
  <Characters>14755</Characters>
  <Lines>0</Lines>
  <Paragraphs>0</Paragraphs>
  <TotalTime>46</TotalTime>
  <ScaleCrop>false</ScaleCrop>
  <LinksUpToDate>false</LinksUpToDate>
  <CharactersWithSpaces>15276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2026-04-24T06:32:00Z</dcterms:created>
  <dc:creator>Administrator</dc:creator>
  <cp:lastModifiedBy>Administrator</cp:lastModifiedBy>
  <cp:lastPrinted>2026-06-03T08:14:00Z</cp:lastPrinted>
  <dcterms:modified xsi:type="dcterms:W3CDTF">2026-06-15T07:24:59Z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CDFCC5D470EB4EDF97A6D1697EBBEEBA_13</vt:lpwstr>
  </property>
  <property fmtid="{D5CDD505-2E9C-101B-9397-08002B2CF9AE}" pid="4" name="KSOTemplateDocerSaveRecord">
    <vt:lpwstr>eyJoZGlkIjoiYWU2ZTc1NjAyYzUzNTdjY2NkNWY5YzdjMDlkMjk5MjkiLCJ1c2VySWQiOiIyMTAxMjYzNDEifQ==</vt:lpwstr>
  </property>
</Properties>
</file>