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3"/>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天等县上映乡上美村街三队甘蔗配套工程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CZZC2026-C2-250049-GXYR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天等县上映乡上美村街三队甘蔗配套工程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天等县上映乡上美村街三队甘蔗配套工程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89"/>
      <w:bookmarkStart w:id="4" w:name="_Toc44229878"/>
      <w:bookmarkStart w:id="5" w:name="_Toc35393629"/>
      <w:bookmarkStart w:id="6" w:name="_Toc28359012"/>
      <w:bookmarkStart w:id="7" w:name="_Toc28359081"/>
      <w:bookmarkStart w:id="8" w:name="_Toc28359004"/>
      <w:bookmarkStart w:id="9" w:name="_Toc35393792"/>
      <w:bookmarkStart w:id="10" w:name="_Toc35393623"/>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CZZC2026-C2-250049-GXYR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天等县上映乡上美村街三队甘蔗配套工程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640959.39</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天等县上映乡上美村街三队甘蔗配套工程</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：640959.39</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路线总长1.196公里，其中果枝道路长0.115公里;上美街六队道路1长0.427公里，道路2长0.379公里，上美街三队道路长0.275公里。本项目为新建项目路基宽度3/3.5米，路面宽2.5/3米，项目路面结构采用18cm厚水泥混凝土面层+10cm级配碎石基层。</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640959.39</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90"/>
      <w:bookmarkStart w:id="13" w:name="_Toc3539363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119" w:name="_GoBack"/>
      <w:r>
        <w:rPr>
          <w:rFonts w:hint="eastAsia" w:ascii="宋体" w:hAnsi="宋体" w:cs="宋体"/>
          <w:color w:val="auto"/>
          <w:szCs w:val="21"/>
          <w:highlight w:val="none"/>
          <w:lang w:eastAsia="zh-CN"/>
        </w:rPr>
        <w:t>专门面向中小微企业采购的项目（供应商应为中小微企业、监狱企业、残疾人福利性单位）</w:t>
      </w:r>
    </w:p>
    <w:bookmarkEnd w:id="119"/>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26 </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2.采购意向公开链接：https://zfcg.gxzf.gov.cn/site/detail?categoryCode=ZcyAnnouncement&amp;parentId=66485&amp;articleId=nKfgynam77kEltZCZj+1dA==</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15</w:t>
      </w:r>
      <w:r>
        <w:rPr>
          <w:rFonts w:hint="eastAsia" w:ascii="宋体" w:hAnsi="宋体" w:eastAsia="宋体" w:cs="宋体"/>
          <w:color w:val="auto"/>
          <w:szCs w:val="21"/>
          <w:highlight w:val="none"/>
          <w:u w:val="none"/>
          <w:lang w:val="en-US" w:eastAsia="zh-CN"/>
        </w:rPr>
        <w:t>日</w:t>
      </w:r>
    </w:p>
    <w:p w14:paraId="3766DE94">
      <w:pPr>
        <w:pStyle w:val="2"/>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天等县上映乡上美村街三队甘蔗配套工程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道路路线总长1.196公里，其中果枝道路长0.115公里;上美街六队道路1长0.427公里，道路2长0.379公里，上美街三队道路长0.275公里。本项目为新建项目路基宽度3/3.5米，路面宽2.5/3米，项目路面结构采用18cm厚水泥混凝土面层+10cm级配碎石基层。</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640959.39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天等县上映乡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w:t>
            </w:r>
            <w:r>
              <w:rPr>
                <w:rFonts w:hint="eastAsia"/>
                <w:b/>
                <w:bCs/>
                <w:color w:val="auto"/>
                <w:highlight w:val="none"/>
                <w:lang w:eastAsia="zh-CN"/>
              </w:rPr>
              <w:t xml:space="preserve">. </w:t>
            </w:r>
            <w:r>
              <w:rPr>
                <w:rFonts w:hint="eastAsia"/>
                <w:b/>
                <w:bCs/>
                <w:color w:val="auto"/>
                <w:highlight w:val="none"/>
              </w:rPr>
              <w:t>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p w14:paraId="2EC146E4">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rPr>
              <w:t>最后报价环节出现以下情形之一的，其最后报价无效，视同放弃报价权利退出采购活动：</w:t>
            </w:r>
          </w:p>
          <w:p w14:paraId="49FDB28E">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未上传已标价工程量清单的；</w:t>
            </w:r>
          </w:p>
          <w:p w14:paraId="4124F989">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已上传的已标价工程量清单不完整的（如缺项、漏项、数据缺失等）；</w:t>
            </w:r>
          </w:p>
          <w:p w14:paraId="4407179F">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已上传的已标价工程量清单格式不符合要求的；</w:t>
            </w:r>
          </w:p>
          <w:p w14:paraId="58BF1BBA">
            <w:pPr>
              <w:spacing w:line="360" w:lineRule="auto"/>
              <w:rPr>
                <w:rFonts w:hint="eastAsia"/>
              </w:rPr>
            </w:pPr>
            <w:r>
              <w:rPr>
                <w:rFonts w:hint="eastAsia" w:ascii="Times New Roman" w:hAnsi="Times New Roman" w:eastAsia="宋体" w:cs="Times New Roman"/>
                <w:b/>
                <w:bCs/>
                <w:color w:val="auto"/>
                <w:highlight w:val="none"/>
              </w:rPr>
              <w:t>已上传的已标价工程量清单签章不齐全的。</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.有效的资质证书复印件及有效的安全生产许可证副本复印件；（</w:t>
            </w:r>
            <w:r>
              <w:rPr>
                <w:rFonts w:hint="eastAsia" w:ascii="宋体" w:hAnsi="宋体" w:eastAsia="宋体" w:cs="宋体"/>
                <w:b/>
                <w:color w:val="auto"/>
                <w:szCs w:val="21"/>
                <w:highlight w:val="none"/>
              </w:rPr>
              <w:t>必须提供，否则响应文件按无效响应处理）</w:t>
            </w:r>
          </w:p>
          <w:p w14:paraId="2FF46A64">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拟派项目经理的身份证复印件、注册建造师证和安全生产考核合格证书</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B类)复印件；（</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lang w:val="en-US" w:eastAsia="zh-CN"/>
              </w:rPr>
              <w:t>.</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.项目经理无在建项目证明或承诺书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7348FC0C">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w:t>
            </w:r>
            <w:r>
              <w:rPr>
                <w:rFonts w:hint="eastAsia" w:ascii="宋体" w:hAnsi="宋体" w:eastAsia="宋体" w:cs="宋体"/>
                <w:b/>
                <w:bCs/>
                <w:color w:val="auto"/>
                <w:kern w:val="0"/>
                <w:szCs w:val="21"/>
                <w:highlight w:val="none"/>
                <w:lang w:val="en-US" w:eastAsia="zh-CN"/>
              </w:rPr>
              <w:t>在建项目指已开工项目、竣工但未验收项目、已经获得中标通知书但尚未开工的项目</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包括但不限于以下方案：</w:t>
            </w:r>
            <w:r>
              <w:rPr>
                <w:rFonts w:hint="eastAsia" w:ascii="宋体" w:hAnsi="宋体" w:eastAsia="宋体" w:cs="宋体"/>
                <w:color w:val="auto"/>
                <w:szCs w:val="21"/>
                <w:highlight w:val="none"/>
                <w:lang w:val="en-US" w:eastAsia="zh-CN"/>
              </w:rPr>
              <w:t>主要施工办法、</w:t>
            </w:r>
            <w:r>
              <w:rPr>
                <w:rFonts w:hint="eastAsia" w:ascii="宋体" w:hAnsi="宋体" w:eastAsia="宋体" w:cs="宋体"/>
                <w:color w:val="auto"/>
                <w:szCs w:val="21"/>
                <w:highlight w:val="none"/>
                <w:lang w:eastAsia="zh-CN"/>
              </w:rPr>
              <w:t>拟投入的主要物资计划、劳动力安排计划、确保工程质量的技术组织措施、确保安全生产的技术组织措施、确保工期的技术组织措施、确保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2026年2月至响应文件提交截止时间止任意一个月社保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人力资源和社会保障部门</w:t>
            </w:r>
            <w:r>
              <w:rPr>
                <w:rFonts w:hint="eastAsia" w:ascii="宋体" w:hAnsi="宋体" w:eastAsia="宋体" w:cs="宋体"/>
                <w:b w:val="0"/>
                <w:bCs w:val="0"/>
                <w:color w:val="auto"/>
                <w:sz w:val="21"/>
                <w:highlight w:val="none"/>
                <w:lang w:val="en-US" w:eastAsia="zh-CN"/>
              </w:rPr>
              <w:t>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534"/>
      <w:bookmarkStart w:id="50" w:name="_Toc254970675"/>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人力资源和社会保障部门</w:t>
      </w:r>
      <w:r>
        <w:rPr>
          <w:rFonts w:hint="eastAsia" w:ascii="宋体" w:hAnsi="宋体" w:eastAsia="宋体" w:cs="宋体"/>
          <w:color w:val="auto"/>
          <w:kern w:val="2"/>
          <w:sz w:val="21"/>
          <w:highlight w:val="none"/>
          <w:lang w:val="en-US" w:eastAsia="zh-CN"/>
        </w:rPr>
        <w:t>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42556189"/>
        </w:rPr>
        <w:t>崇左市财政局文</w:t>
      </w:r>
      <w:r>
        <w:rPr>
          <w:rFonts w:hint="eastAsia" w:ascii="宋体" w:hAnsi="宋体" w:eastAsia="宋体" w:cs="宋体"/>
          <w:b/>
          <w:color w:val="auto"/>
          <w:spacing w:val="0"/>
          <w:kern w:val="0"/>
          <w:sz w:val="84"/>
          <w:szCs w:val="84"/>
          <w:highlight w:val="none"/>
          <w:fitText w:val="8009" w:id="142556189"/>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6"/>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6"/>
        <w:rPr>
          <w:rFonts w:hint="eastAsia"/>
          <w:color w:val="auto"/>
          <w:highlight w:val="none"/>
        </w:rPr>
      </w:pPr>
    </w:p>
    <w:p w14:paraId="25073F7D">
      <w:pPr>
        <w:pStyle w:val="26"/>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6"/>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6"/>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6"/>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6"/>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6"/>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1180297"/>
      <w:bookmarkStart w:id="67" w:name="_Toc498082646"/>
      <w:bookmarkStart w:id="68" w:name="_Toc20845"/>
      <w:bookmarkStart w:id="69" w:name="_Toc18546"/>
      <w:bookmarkStart w:id="70" w:name="_Toc346617322"/>
      <w:bookmarkStart w:id="71" w:name="_Toc5854"/>
      <w:bookmarkStart w:id="72" w:name="_Toc183264294"/>
      <w:bookmarkStart w:id="73" w:name="_Toc8850"/>
      <w:bookmarkStart w:id="74" w:name="_Toc24807"/>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42CA3F07">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（3）以进入比较与评价环节的最低的评审价为基准价，基准价得分为</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E89757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5E66A9D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w:t>
            </w:r>
            <w:r>
              <w:rPr>
                <w:rFonts w:hint="eastAsia" w:ascii="宋体" w:hAnsi="宋体" w:cs="宋体"/>
                <w:b/>
                <w:bCs w:val="0"/>
                <w:color w:val="auto"/>
                <w:szCs w:val="21"/>
                <w:highlight w:val="none"/>
                <w:vertAlign w:val="baseline"/>
                <w:lang w:val="en-US" w:eastAsia="zh-CN"/>
              </w:rPr>
              <w:t>1</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不满足施工需要，管理人员配备不齐全。</w:t>
            </w:r>
          </w:p>
          <w:p w14:paraId="644F0D2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55C266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w:t>
            </w:r>
            <w:r>
              <w:rPr>
                <w:rFonts w:hint="eastAsia" w:ascii="宋体" w:hAnsi="宋体" w:cs="宋体"/>
                <w:b/>
                <w:bCs w:val="0"/>
                <w:color w:val="auto"/>
                <w:kern w:val="2"/>
                <w:sz w:val="21"/>
                <w:szCs w:val="21"/>
                <w:highlight w:val="none"/>
                <w:vertAlign w:val="baseline"/>
                <w:lang w:val="en-US" w:eastAsia="zh-CN" w:bidi="ar-SA"/>
              </w:rPr>
              <w:t>10</w:t>
            </w:r>
            <w:r>
              <w:rPr>
                <w:rFonts w:hint="eastAsia" w:ascii="宋体" w:hAnsi="宋体" w:eastAsia="宋体" w:cs="宋体"/>
                <w:b/>
                <w:bCs w:val="0"/>
                <w:color w:val="auto"/>
                <w:kern w:val="2"/>
                <w:sz w:val="21"/>
                <w:szCs w:val="21"/>
                <w:highlight w:val="none"/>
                <w:vertAlign w:val="baseline"/>
                <w:lang w:val="en-US" w:eastAsia="zh-CN" w:bidi="ar-SA"/>
              </w:rPr>
              <w:t>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1C7315B">
            <w:pPr>
              <w:spacing w:line="360" w:lineRule="auto"/>
              <w:rPr>
                <w:rFonts w:hint="default" w:ascii="宋体" w:hAnsi="宋体" w:cs="宋体"/>
                <w:bCs/>
                <w:color w:val="auto"/>
                <w:szCs w:val="21"/>
                <w:highlight w:val="none"/>
                <w:vertAlign w:val="baseline"/>
                <w:lang w:val="en-US" w:eastAsia="zh-CN"/>
              </w:rPr>
            </w:pPr>
            <w:r>
              <w:rPr>
                <w:rFonts w:hint="eastAsia" w:ascii="宋体" w:hAnsi="宋体" w:cs="宋体"/>
                <w:bCs/>
                <w:color w:val="auto"/>
                <w:szCs w:val="21"/>
                <w:highlight w:val="none"/>
                <w:vertAlign w:val="baseline"/>
                <w:lang w:val="en-US" w:eastAsia="zh-CN"/>
              </w:rPr>
              <w:t>评审内容：</w:t>
            </w:r>
            <w:r>
              <w:rPr>
                <w:rFonts w:hint="eastAsia" w:ascii="宋体" w:hAnsi="宋体" w:eastAsia="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路基开挖、整形与压实；</w:t>
            </w:r>
            <w:r>
              <w:rPr>
                <w:rFonts w:hint="eastAsia" w:ascii="宋体" w:hAnsi="宋体" w:eastAsia="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路面基层铺设；</w:t>
            </w:r>
            <w:r>
              <w:rPr>
                <w:rFonts w:hint="eastAsia" w:ascii="宋体" w:hAnsi="宋体" w:eastAsia="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路面面层施工；</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路肩及边坡防护；</w:t>
            </w:r>
            <w:r>
              <w:rPr>
                <w:rFonts w:hint="eastAsia" w:ascii="宋体" w:hAnsi="宋体" w:eastAsia="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道路排水设施施工</w:t>
            </w:r>
          </w:p>
          <w:p w14:paraId="07BD4B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优(8分)</w:t>
            </w:r>
          </w:p>
          <w:p w14:paraId="3B015D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对</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项核心工序均明确施工工艺及关键质量控制要点，且全部与本工程工程量清单、结构尺寸、材料要求及地形条件紧密结合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可精准指导施工：</w:t>
            </w:r>
          </w:p>
          <w:p w14:paraId="6EB31830">
            <w:pPr>
              <w:numPr>
                <w:ilvl w:val="0"/>
                <w:numId w:val="2"/>
              </w:numPr>
              <w:spacing w:line="360" w:lineRule="auto"/>
              <w:rPr>
                <w:rFonts w:hint="eastAsia" w:ascii="宋体" w:hAnsi="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路基开挖、整形与压实</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Ⅲ类土开挖</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基底夯实</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路基压实</w:t>
            </w:r>
            <w:r>
              <w:rPr>
                <w:rFonts w:hint="eastAsia" w:ascii="宋体" w:hAnsi="宋体" w:cs="宋体"/>
                <w:bCs/>
                <w:color w:val="auto"/>
                <w:szCs w:val="21"/>
                <w:highlight w:val="none"/>
                <w:vertAlign w:val="baseline"/>
                <w:lang w:eastAsia="zh-CN"/>
              </w:rPr>
              <w:t>）</w:t>
            </w:r>
          </w:p>
          <w:p w14:paraId="10BDC3CB">
            <w:pPr>
              <w:numPr>
                <w:ilvl w:val="0"/>
                <w:numId w:val="2"/>
              </w:num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路面基层铺设</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10cm厚碎石公路基层明确碎石级配、摊铺、整平、碾压工艺，压实后表面平整度。</w:t>
            </w:r>
            <w:r>
              <w:rPr>
                <w:rFonts w:hint="eastAsia" w:ascii="宋体" w:hAnsi="宋体" w:cs="宋体"/>
                <w:bCs/>
                <w:color w:val="auto"/>
                <w:szCs w:val="21"/>
                <w:highlight w:val="none"/>
                <w:vertAlign w:val="baseline"/>
                <w:lang w:eastAsia="zh-CN"/>
              </w:rPr>
              <w:t>）</w:t>
            </w:r>
          </w:p>
          <w:p w14:paraId="6FCF2FE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路面面层施工</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18cm厚C30水泥混凝土路面模板安装、C30配合比</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拌合、运输、振捣、切缝、湿养</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抗折强度</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平整度。</w:t>
            </w:r>
            <w:r>
              <w:rPr>
                <w:rFonts w:hint="eastAsia" w:ascii="宋体" w:hAnsi="宋体" w:cs="宋体"/>
                <w:bCs/>
                <w:color w:val="auto"/>
                <w:szCs w:val="21"/>
                <w:highlight w:val="none"/>
                <w:vertAlign w:val="baseline"/>
                <w:lang w:eastAsia="zh-CN"/>
              </w:rPr>
              <w:t>）</w:t>
            </w:r>
          </w:p>
          <w:p w14:paraId="5079246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路肩及边坡防护</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培土路肩</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浆砌片石挡土墙</w:t>
            </w:r>
            <w:r>
              <w:rPr>
                <w:rFonts w:hint="eastAsia" w:ascii="宋体" w:hAnsi="宋体" w:cs="宋体"/>
                <w:bCs/>
                <w:color w:val="auto"/>
                <w:szCs w:val="21"/>
                <w:highlight w:val="none"/>
                <w:vertAlign w:val="baseline"/>
                <w:lang w:eastAsia="zh-CN"/>
              </w:rPr>
              <w:t>）</w:t>
            </w:r>
          </w:p>
          <w:p w14:paraId="4DFEE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道路排水设施施工</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混凝土排水沟</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圆管涵</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浆砌片石端墙及跌水井，回填机械夯填。</w:t>
            </w:r>
            <w:r>
              <w:rPr>
                <w:rFonts w:hint="eastAsia" w:ascii="宋体" w:hAnsi="宋体" w:cs="宋体"/>
                <w:bCs/>
                <w:color w:val="auto"/>
                <w:szCs w:val="21"/>
                <w:highlight w:val="none"/>
                <w:vertAlign w:val="baseline"/>
                <w:lang w:eastAsia="zh-CN"/>
              </w:rPr>
              <w:t>）</w:t>
            </w:r>
          </w:p>
          <w:p w14:paraId="005E2BE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良（6分）</w:t>
            </w:r>
          </w:p>
          <w:p w14:paraId="1082FE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对上述5项核心工序中至少4项有完整施工方法描述，能结合本项目甘蔗产业路地形（丘陵区、排水要求高）、Ⅲ类土、浆砌片石挡土墙、C30混凝土路面等关键内容，并在以下关键环节提出明确技术保障措施：</w:t>
            </w:r>
          </w:p>
          <w:p w14:paraId="790EF3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路基压实采用机械夯填，明确分层厚度及压实机具。</w:t>
            </w:r>
          </w:p>
          <w:p w14:paraId="70F29F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路面基层及面层明确摊铺、碾压、养护工艺（如碎石基层压实度、混凝土路面切缝时间）。</w:t>
            </w:r>
          </w:p>
          <w:p w14:paraId="00BAFF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排水沟及涵管施工明确垫层、基础浇筑、接口处理。</w:t>
            </w:r>
          </w:p>
          <w:p w14:paraId="6E125A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挡土墙明确砂浆强度（M7.5）、伸缩缝设置、泄水孔布置。</w:t>
            </w:r>
          </w:p>
          <w:p w14:paraId="6E8DC92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无缺项，内容完整，能有效指导本项目施工。</w:t>
            </w:r>
          </w:p>
          <w:p w14:paraId="1DCD9A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中（4分）</w:t>
            </w:r>
          </w:p>
          <w:p w14:paraId="6F78A0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施工方法基本符合要求，提供了各工序施工方案，但内容较笼统，缺乏以下关键细节：</w:t>
            </w:r>
          </w:p>
          <w:p w14:paraId="01DCEED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未明确路基压实度具体标准值（如≥93%或94%）。</w:t>
            </w:r>
          </w:p>
          <w:p w14:paraId="417AFD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未说明C30混凝土路面配合比、水灰比或抗折强度要求。</w:t>
            </w:r>
          </w:p>
          <w:p w14:paraId="07C34C6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排水沟未给出伸缩缝间距及沥青砂浆具体配比（1:2）。</w:t>
            </w:r>
          </w:p>
          <w:p w14:paraId="343960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挡土墙未提及泄水孔设置或砂浆强度等级。</w:t>
            </w:r>
          </w:p>
          <w:p w14:paraId="2CF78C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未区分不同管径涵管的基础及垫层厚度差异。</w:t>
            </w:r>
          </w:p>
          <w:p w14:paraId="2E8493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可基本指导施工，但针对性不强，存在技术盲区。</w:t>
            </w:r>
          </w:p>
          <w:p w14:paraId="3098FD6A">
            <w:pPr>
              <w:spacing w:line="360" w:lineRule="auto"/>
              <w:rPr>
                <w:rFonts w:hint="eastAsia" w:ascii="宋体" w:hAnsi="宋体" w:eastAsia="宋体" w:cs="宋体"/>
                <w:bCs/>
                <w:color w:val="auto"/>
                <w:szCs w:val="21"/>
                <w:highlight w:val="none"/>
                <w:vertAlign w:val="baseline"/>
                <w:lang w:eastAsia="zh-CN"/>
              </w:rPr>
            </w:pPr>
          </w:p>
          <w:p w14:paraId="6A42B66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w:t>
            </w:r>
          </w:p>
          <w:p w14:paraId="612CA8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施工方法与乡村甘蔗产业路工程实际需求严重脱节，存在以下问题之一：</w:t>
            </w:r>
          </w:p>
          <w:p w14:paraId="035551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未提及Ⅲ类土开挖、机械夯填、水泥混凝土路面厚度（18cm）或碎石基层厚度（10cm）。</w:t>
            </w:r>
          </w:p>
          <w:p w14:paraId="13CCDDA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对排水沟、圆管涵、浆砌片石挡土墙等关键分项描述缺失或不准确。</w:t>
            </w:r>
          </w:p>
          <w:p w14:paraId="06B11F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未结合本工程材料（C20/C30混凝土、M7.5砂浆、砂砾垫层、沥青砂浆等）。</w:t>
            </w:r>
          </w:p>
          <w:p w14:paraId="6781DE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缺乏压实度、平整度、养护等质量控制要求。</w:t>
            </w:r>
          </w:p>
          <w:p w14:paraId="61706C4D">
            <w:pPr>
              <w:spacing w:line="360" w:lineRule="auto"/>
              <w:rPr>
                <w:rFonts w:hint="eastAsia"/>
                <w:lang w:eastAsia="zh-CN"/>
              </w:rPr>
            </w:pPr>
            <w:r>
              <w:rPr>
                <w:rFonts w:hint="eastAsia" w:ascii="宋体" w:hAnsi="宋体" w:eastAsia="宋体" w:cs="宋体"/>
                <w:bCs/>
                <w:color w:val="auto"/>
                <w:szCs w:val="21"/>
                <w:highlight w:val="none"/>
                <w:vertAlign w:val="baseline"/>
                <w:lang w:eastAsia="zh-CN"/>
              </w:rPr>
              <w:t>无法有效指导施工，存在质量与安全风险。</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E26CA59">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评审内容：针对本项目所需水泥(P.O42.5)、碎石、中砂、片石、Φ0.6m/Φ0.5m圆管涵、砂砾垫层、沥青、木柴等物资，评审采购、进场、验收、保管计划的完整性及乡村场地适应性。</w:t>
            </w:r>
          </w:p>
          <w:p w14:paraId="6D7E4AB1">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优（6分）：提供分品类计划表，明确规格、总量（如水泥290t、碎石1110m³、涵管18m+35m）、首批进场时间及与施工节点对应；核心物资明确进场验收标准；有水泥防潮、砂石防雨、沥青保温等保管措施。</w:t>
            </w:r>
          </w:p>
          <w:p w14:paraId="7C1F434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良（4分）：覆盖全部核心品类，有采购渠道及质量保障说明；进场时间与进度合理对应；有验收流程及不合格品退场机制；基本保管要求齐全。</w:t>
            </w:r>
          </w:p>
          <w:p w14:paraId="77B7E7E1">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中（2分）：核心品类无缺失，但缺乏对涵管接口、沥青砂浆配比等专项验收细节；进场时间与进度基本呼应，保管要求笼统。</w:t>
            </w:r>
          </w:p>
          <w:p w14:paraId="46005DC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差（1分）：缺片石、涵管、沥青等核心材料，或数量明显不符；无验收及保管措施。</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2F7F6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评审内容：针对路基、路面、排水沟、挡土墙、涵管等施工内容，评审各阶段劳动力配置合理性及工种匹配度，包括挖掘机/压路机操作工、混凝土工、砌筑工、模板工、测量工、普工等，及农忙时段保障。</w:t>
            </w:r>
          </w:p>
          <w:p w14:paraId="1CDF4C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按阶段（路基→基层→路面→排水沟/涵管→挡土墙）提供劳动力计划表，明确各工种人数（如混凝土工≥6人）；特殊工种持证上岗承诺；投入曲线与进度高度契合；农忙有具体稳定措施（储备临时工、错峰）。</w:t>
            </w:r>
          </w:p>
          <w:p w14:paraId="7BB7A7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良（4分）：按阶段分别列明劳动力，核心工种齐全、数量合理；明确持证要求及类似项目经验；与进度良好呼应，高峰期有基本保障。</w:t>
            </w:r>
          </w:p>
          <w:p w14:paraId="06942ED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中（2分）：计划基本完整但未区分压路机/人工摊铺工种，或未分阶段配置；持证要求未明确，高峰期措施笼统。</w:t>
            </w:r>
          </w:p>
          <w:p w14:paraId="4096ADC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差（1分）：缺混凝土工、砌筑工、测量工等核心工种；未提持证上岗及农忙保障。</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7CB3B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评审内容：评审质量保证体系及针对本工程路基压实（机械夯填土石97+59+157.92m³，压实度≥94%）、10cm碎石基层、18cm C30路面（抗折≥4.0MPa，平整度≤5mm）、C20排水沟、圆管涵（砂砾垫层+管基+抹带接口）、M7.5浆砌片石挡土墙（伸缩缝+泄水孔）等关键工序的控制措施。</w:t>
            </w:r>
          </w:p>
          <w:p w14:paraId="19A567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优（6分）：体系健全，有专职质检员及“三检制”；关键工序设置控制点并明确内控标准、检测方法、责任人；对路基沉降、路面裂缝有具体防治方案；明确验收合格标准。</w:t>
            </w:r>
          </w:p>
          <w:p w14:paraId="100F36A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良（4分）：组织机构健全，职责明确；6项关键环节均有详细质量控制措施，可有效预防质量通病；制度完善，可操作性强。</w:t>
            </w:r>
          </w:p>
          <w:p w14:paraId="1A157A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中（2分）：有基本要求但内容笼统，未针对压实度、平整度、涵管接口等提出专门防治措施；仅满足基本施工要求。</w:t>
            </w:r>
          </w:p>
          <w:p w14:paraId="3D3964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差（1分）：措施不可行或脱离实际，未针对路基沉降、路面裂缝、排水不畅等设置防控措施，未提验收要求。</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C88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评审内容：评审安全管理体系及针对本工程特有安全风险</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Ⅲ类土开挖边坡防护、机械作业（挖掘机/压路机/自卸车）、临时用电、乡村道路施工交通疏导（村民通行防护）、施工人员作业防护。</w:t>
            </w:r>
          </w:p>
          <w:p w14:paraId="28F8D8D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优（6分）：体系健全，配置专职安全员；对机械作业、边坡、用电、交通疏导等制定量化专项措施；有应急组织、物资、演练计划；明确现场警示、防护用品及村民安全告知。</w:t>
            </w:r>
          </w:p>
          <w:p w14:paraId="5A94E3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良（4分）：组织机构健全，责任制明确；6项安全风险均有明确技术措施；应急预案覆盖机械伤害、触电、边坡坍塌等，有安全检查及教育计划。</w:t>
            </w:r>
          </w:p>
          <w:p w14:paraId="17F2EE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中（2分）：有基本制度，但未针对边坡、乡村交通疏导等提出专项措施；应急预案笼统，未明确机械伤害处置流程。</w:t>
            </w:r>
          </w:p>
          <w:p w14:paraId="32E07CE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差（1分）：未针对机械作业、用电、边坡、交通疏导等制定专项措施，无针对性预案，未明确安全作业基本要求。</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F04BB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评审工期保证体系及进度保障措施，重点包括横道图/网络图识别关键线路（路基压实、路面施工、排水沟/涵管衔接），针对软土路基、阴雨天气、材料延迟、路面返工等风险制定预案，及滞后纠偏、养护周期规划（总工期120日历天）。</w:t>
            </w:r>
          </w:p>
          <w:p w14:paraId="76D9F65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优（6分）：提供横道图/网络图，合理识别关键线路及各环节衔接时间；对软土、阴雨、材料延迟、返工等有详细可操作预案（如备选厂家、软土快速处理）；明确不同滞后天数的纠偏措施；养护周期合理。</w:t>
            </w:r>
          </w:p>
          <w:p w14:paraId="740E446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良（4分）：进度计划科学，识别关键线路及衔接；对阴雨、材料、软土等主要风险有应对预案；有明确纠偏措施，能保障工期目标。</w:t>
            </w:r>
          </w:p>
          <w:p w14:paraId="6200A3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中（2分）：有基本计划但未识别关键线路及衔接；风险预案仅针对通用风险，未覆盖路面施工、软土处理等核心风险；纠偏不明确。</w:t>
            </w:r>
          </w:p>
          <w:p w14:paraId="5AE9C5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差（1分）：进度计划严重不合理，未区分施工顺序，未识别关键线路；无阴雨、路面施工、软土处理等风险应对措施，无纠偏措施。</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0E2513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评审内容：评审文明施工与环保措施，结合本工程乡村特点</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施工现场围挡与警示标识、扬尘噪音控制（洒水降尘、避开村民休息时段）、物料管理、废料弃土处理、农田/植被保护、竣工清场及乡村道路恢复。</w:t>
            </w:r>
          </w:p>
          <w:p w14:paraId="3A4BEA3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设临时围挡及安全警示，出入口有乡村道路防护；明确洒水频次、裸土覆盖、噪音避开休息时段；废料专车运至指定场地，可回收分类；对农田植被有具体防护及村民通行疏导方案；竣工有详细清场及道路修复标准。</w:t>
            </w:r>
          </w:p>
          <w:p w14:paraId="007B52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良（4分）：文明施工组织机构健全；对扬尘噪音、物料管理、环保、竣工清场等均有具体措施，符合乡村施工要求；有明确责任人。</w:t>
            </w:r>
          </w:p>
          <w:p w14:paraId="621229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中（2分）：有基本要求但笼统，缺乏针对扬尘控制、农田保护等具体措施；废料处理、竣工清场未明确。</w:t>
            </w:r>
          </w:p>
          <w:p w14:paraId="18C65C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差（1分）：未制定扬尘、噪音、弃土等专项措施，无农田、道路、植被保护措施，未提竣工清场及恢复要求。</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CE7C5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针对本工程识别重点难点并提出可行保证措施，包括：①Ⅲ类土及局部软土路基处理；②路基压实度控制（≥94%）；③阴雨天气下路基/路面施工质量保障；④乡村狭窄场地机械作业协调；⑤排水沟、涵管与原有排水系统衔接。</w:t>
            </w:r>
          </w:p>
          <w:p w14:paraId="180C750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优（6分）：准确识别至少4项核心重难点；每项有具体可操作保证措施（如软土换填分层压实、雨天覆盖防雨、机械分时段作业、涵管接口与原有沟渠平顺衔接），适配乡村施工条件。</w:t>
            </w:r>
          </w:p>
          <w:p w14:paraId="19E088B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良（4分）：较全面识别至少3项核心重难点；每项有科学合理的保证措施，针对性强、可操作。</w:t>
            </w:r>
          </w:p>
          <w:p w14:paraId="0D0EF7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中（2分）：识别至少2项但未覆盖软土处理、压实度控制等核心内容；保证措施基本可行但缺乏细节（如只说“处理软土”未提方式及标准）。</w:t>
            </w:r>
          </w:p>
          <w:p w14:paraId="33F3AAE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差（1分）：未准确识别核心重难点（不足2项）或识别的为通用土建内容；保证措施简单笼统不可行。</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105C423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审内容：评审施工总平面布置图的合理性，结合本工程线性施工及乡村场地特点：临时便道与乡村道路衔接；材料存放区（水泥、砂石、片石、涵管）；机械停放区；临时设施（办公、住宿、工具房）；废料/弃土堆放区；道路分段作业区。</w:t>
            </w:r>
          </w:p>
          <w:p w14:paraId="1E78DFE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优（5分）：图纸比例恰当，图例清晰，各功能分区标注明确；临时便道衔接合理，物流顺畅；明确临时用电/用水线路、扬尘防护、弃土防护；分段作业区独立设置，适配乡村场地。</w:t>
            </w:r>
          </w:p>
          <w:p w14:paraId="54384CD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良（3分）：平面布置详细规范，主要功能分区合理、标注清晰；用电/用水线路基本合理，弃土点明确；有围挡及交通疏导标识，无重大不合理。</w:t>
            </w:r>
          </w:p>
          <w:p w14:paraId="4E31D9A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中（2分）：有基本平面图，但分区不够精细，存在交叉施工问题；未体现分阶段调整，未标注扬尘防护及乡村道路临时防护。</w:t>
            </w:r>
          </w:p>
          <w:p w14:paraId="1E279CA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差（1分）：平面图严重缺失或过于简单，功能分区混乱，无专用材料存放区、弃土区等关键布置，与实际场地严重不符。</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2023年6月1日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施工业绩的，每个得</w:t>
            </w:r>
            <w:r>
              <w:rPr>
                <w:rFonts w:hint="eastAsia" w:ascii="宋体" w:hAnsi="宋体" w:cs="宋体"/>
                <w:b w:val="0"/>
                <w:bCs/>
                <w:color w:val="auto"/>
                <w:szCs w:val="21"/>
                <w:highlight w:val="none"/>
                <w:vertAlign w:val="baseline"/>
                <w:lang w:val="en-US" w:eastAsia="zh-CN"/>
              </w:rPr>
              <w:t>2.5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r>
              <w:rPr>
                <w:rFonts w:hint="eastAsia" w:ascii="宋体" w:hAnsi="宋体" w:cs="宋体"/>
                <w:b w:val="0"/>
                <w:bCs/>
                <w:color w:val="auto"/>
                <w:szCs w:val="21"/>
                <w:highlight w:val="none"/>
                <w:vertAlign w:val="baseline"/>
                <w:lang w:val="en-US" w:eastAsia="zh-CN"/>
              </w:rPr>
              <w:t>。日期以</w:t>
            </w:r>
            <w:r>
              <w:rPr>
                <w:rFonts w:hint="eastAsia" w:ascii="宋体" w:hAnsi="宋体" w:eastAsia="宋体" w:cs="宋体"/>
                <w:b w:val="0"/>
                <w:bCs/>
                <w:color w:val="auto"/>
                <w:szCs w:val="21"/>
                <w:highlight w:val="none"/>
                <w:vertAlign w:val="baseline"/>
                <w:lang w:val="en-US" w:eastAsia="zh-CN"/>
              </w:rPr>
              <w:t>中标（成交）通知书或合同协议书</w:t>
            </w:r>
            <w:r>
              <w:rPr>
                <w:rFonts w:hint="eastAsia" w:ascii="宋体" w:hAnsi="宋体" w:cs="宋体"/>
                <w:b w:val="0"/>
                <w:bCs/>
                <w:color w:val="auto"/>
                <w:szCs w:val="21"/>
                <w:highlight w:val="none"/>
                <w:vertAlign w:val="baseline"/>
                <w:lang w:val="en-US" w:eastAsia="zh-CN"/>
              </w:rPr>
              <w:t>落款日期为准</w:t>
            </w:r>
            <w:r>
              <w:rPr>
                <w:rFonts w:hint="eastAsia" w:ascii="宋体" w:hAnsi="宋体" w:eastAsia="宋体" w:cs="宋体"/>
                <w:b w:val="0"/>
                <w:bCs/>
                <w:color w:val="auto"/>
                <w:szCs w:val="21"/>
                <w:highlight w:val="none"/>
                <w:vertAlign w:val="baseline"/>
                <w:lang w:val="en-US" w:eastAsia="zh-CN"/>
              </w:rPr>
              <w:t>）</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r w14:paraId="151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F83D7B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注：本项目启用异常低价审核流程。政府采购评审中出现下列情形之一的，</w:t>
            </w:r>
            <w:r>
              <w:rPr>
                <w:rFonts w:hint="eastAsia" w:ascii="宋体" w:hAnsi="宋体" w:cs="宋体"/>
                <w:bCs/>
                <w:color w:val="auto"/>
                <w:highlight w:val="none"/>
                <w:lang w:val="en-US" w:eastAsia="zh-CN"/>
              </w:rPr>
              <w:t>磋商小组</w:t>
            </w:r>
            <w:r>
              <w:rPr>
                <w:rFonts w:hint="eastAsia" w:ascii="宋体" w:hAnsi="宋体" w:eastAsia="宋体" w:cs="宋体"/>
                <w:bCs/>
                <w:color w:val="auto"/>
                <w:highlight w:val="none"/>
              </w:rPr>
              <w:t>应当启动异常低价投标（响应) 审查程序：</w:t>
            </w:r>
          </w:p>
          <w:p w14:paraId="6520CA1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情形1：投标(响应)报价 低于 全部通过符合性审查供应商投标(响应)报价「平均值」65%；</w:t>
            </w:r>
          </w:p>
          <w:p w14:paraId="58F175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情形2：投标(响应)报价 低于 采购项目「最高限价」65%；</w:t>
            </w:r>
          </w:p>
          <w:p w14:paraId="3A9415D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情形3：评审委员会基于专业判断，认为供应商报价过低，有可能影响产品质量或者不能诚信履约的其他情形。</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3615D451">
      <w:pPr>
        <w:pStyle w:val="3"/>
        <w:spacing w:before="0" w:after="0" w:line="360" w:lineRule="auto"/>
        <w:ind w:firstLine="640" w:firstLineChars="200"/>
        <w:jc w:val="center"/>
        <w:rPr>
          <w:rFonts w:hint="eastAsia" w:ascii="宋体" w:hAnsi="宋体" w:eastAsia="宋体" w:cs="宋体"/>
          <w:b w:val="0"/>
          <w:color w:val="auto"/>
          <w:highlight w:val="none"/>
        </w:rPr>
      </w:pPr>
      <w:bookmarkStart w:id="81" w:name="_Toc14457"/>
      <w:bookmarkStart w:id="82" w:name="_Toc17019"/>
      <w:bookmarkStart w:id="83" w:name="_Toc80205935"/>
    </w:p>
    <w:p w14:paraId="20248594">
      <w:pPr>
        <w:pStyle w:val="3"/>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spacing w:before="0" w:after="0" w:line="360" w:lineRule="auto"/>
        <w:ind w:firstLine="640" w:firstLineChars="200"/>
        <w:jc w:val="center"/>
        <w:rPr>
          <w:rFonts w:hint="eastAsia" w:ascii="宋体" w:hAnsi="宋体" w:eastAsia="宋体" w:cs="宋体"/>
          <w:b w:val="0"/>
          <w:color w:val="auto"/>
          <w:highlight w:val="none"/>
        </w:rPr>
      </w:pPr>
      <w:bookmarkStart w:id="84" w:name="_Toc32744"/>
      <w:bookmarkStart w:id="85" w:name="_Toc80205936"/>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4"/>
        <w:rPr>
          <w:rFonts w:hint="eastAsia" w:ascii="宋体" w:hAnsi="宋体" w:eastAsia="宋体" w:cs="宋体"/>
          <w:color w:val="auto"/>
          <w:highlight w:val="none"/>
        </w:rPr>
      </w:pPr>
    </w:p>
    <w:p w14:paraId="0F59EEB7">
      <w:pPr>
        <w:pStyle w:val="14"/>
        <w:rPr>
          <w:rFonts w:hint="eastAsia" w:ascii="宋体" w:hAnsi="宋体" w:eastAsia="宋体" w:cs="宋体"/>
          <w:color w:val="auto"/>
          <w:highlight w:val="none"/>
        </w:rPr>
      </w:pPr>
    </w:p>
    <w:p w14:paraId="187A026B">
      <w:pPr>
        <w:pStyle w:val="14"/>
        <w:rPr>
          <w:rFonts w:hint="eastAsia" w:ascii="宋体" w:hAnsi="宋体" w:eastAsia="宋体" w:cs="宋体"/>
          <w:color w:val="auto"/>
          <w:highlight w:val="none"/>
        </w:rPr>
      </w:pPr>
    </w:p>
    <w:p w14:paraId="1B2813D3">
      <w:pPr>
        <w:pStyle w:val="14"/>
        <w:rPr>
          <w:rFonts w:hint="eastAsia" w:ascii="宋体" w:hAnsi="宋体" w:eastAsia="宋体" w:cs="宋体"/>
          <w:color w:val="auto"/>
          <w:highlight w:val="none"/>
        </w:rPr>
      </w:pPr>
    </w:p>
    <w:p w14:paraId="16741031">
      <w:pPr>
        <w:pStyle w:val="14"/>
        <w:rPr>
          <w:rFonts w:hint="eastAsia" w:ascii="宋体" w:hAnsi="宋体" w:eastAsia="宋体" w:cs="宋体"/>
          <w:color w:val="auto"/>
          <w:highlight w:val="none"/>
        </w:rPr>
      </w:pPr>
    </w:p>
    <w:p w14:paraId="6BEC80FF">
      <w:pPr>
        <w:pStyle w:val="14"/>
        <w:rPr>
          <w:rFonts w:hint="eastAsia" w:ascii="宋体" w:hAnsi="宋体" w:eastAsia="宋体" w:cs="宋体"/>
          <w:color w:val="auto"/>
          <w:highlight w:val="none"/>
        </w:rPr>
      </w:pPr>
    </w:p>
    <w:p w14:paraId="0E55AD9F">
      <w:pPr>
        <w:pStyle w:val="14"/>
        <w:rPr>
          <w:rFonts w:hint="eastAsia" w:ascii="宋体" w:hAnsi="宋体" w:eastAsia="宋体" w:cs="宋体"/>
          <w:color w:val="auto"/>
          <w:highlight w:val="none"/>
        </w:rPr>
      </w:pPr>
    </w:p>
    <w:p w14:paraId="4724F44F">
      <w:pPr>
        <w:pStyle w:val="14"/>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、有效的资质证书复印件及有效的安全生产许可证副本复印件……………（页码）</w:t>
      </w:r>
    </w:p>
    <w:p w14:paraId="13317C34">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拟派项目经理的身份证复印件、注册建造师证和安全生产考核合格证书(B类)复印件</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六</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lang w:val="en-US" w:eastAsia="zh-CN"/>
        </w:rPr>
        <w:t>、中小企业声明函或监狱企业由省级以上监狱管理局、戒毒管理局（含新疆生产建设兵团）出具的属于监狱企业的证明文件或残疾人福利性单位声明函……（页码）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lang w:val="en-US" w:eastAsia="zh-CN"/>
        </w:rPr>
        <w:t xml:space="preserve">.项目经理无在建项目证明或承诺书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A77B07">
      <w:pPr>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、有效的资质证书复印件及有效的安全生产许可证副本复印件</w:t>
      </w:r>
    </w:p>
    <w:p w14:paraId="4C77E15C">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拟派项目经理的身份证复印件、注册建造师证和安全生产考核合格证书(B类)复印件</w:t>
      </w: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cs="宋体"/>
          <w:color w:val="auto"/>
          <w:kern w:val="0"/>
          <w:sz w:val="24"/>
          <w:highlight w:val="none"/>
          <w:lang w:val="en-US" w:eastAsia="zh-CN"/>
        </w:rPr>
        <w:t>六</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en-US" w:eastAsia="zh-CN" w:bidi="ar-SA"/>
        </w:rPr>
        <w:t>、中小企业声明函或监狱企业由省级以上监狱管理局、戒毒管理局（含新疆生产建设兵团）出具的属于监狱企业的证明文件或残疾人福利性单位声明函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3"/>
        <w:rPr>
          <w:rFonts w:hint="eastAsia" w:ascii="宋体" w:hAnsi="宋体" w:eastAsia="宋体" w:cs="宋体"/>
          <w:color w:val="auto"/>
          <w:sz w:val="24"/>
          <w:highlight w:val="none"/>
        </w:rPr>
      </w:pPr>
    </w:p>
    <w:p w14:paraId="0E7282A7">
      <w:pPr>
        <w:pStyle w:val="9"/>
        <w:rPr>
          <w:rFonts w:hint="eastAsia" w:ascii="宋体" w:hAnsi="宋体" w:eastAsia="宋体" w:cs="宋体"/>
          <w:color w:val="auto"/>
          <w:sz w:val="24"/>
          <w:highlight w:val="none"/>
        </w:rPr>
      </w:pPr>
    </w:p>
    <w:p w14:paraId="090244BC">
      <w:pPr>
        <w:pStyle w:val="9"/>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.项目经理无在建项目证明或承诺书</w:t>
      </w:r>
    </w:p>
    <w:p w14:paraId="4F346AED">
      <w:pPr>
        <w:pStyle w:val="7"/>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2CE9BD7D">
      <w:pPr>
        <w:pStyle w:val="7"/>
        <w:overflowPunct w:val="0"/>
        <w:spacing w:line="520" w:lineRule="exact"/>
        <w:ind w:firstLine="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注：在建项目指已开工项目、竣工但未验收项目、已经获得中标通知书但尚未开工的项目</w:t>
      </w:r>
    </w:p>
    <w:p w14:paraId="7E468E0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九</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29"/>
        <w:spacing w:line="360" w:lineRule="auto"/>
        <w:rPr>
          <w:rFonts w:hint="eastAsia" w:ascii="宋体" w:hAnsi="宋体" w:eastAsia="宋体" w:cs="宋体"/>
          <w:color w:val="auto"/>
          <w:highlight w:val="none"/>
        </w:rPr>
      </w:pPr>
      <w:bookmarkStart w:id="100" w:name="OLE_LINK5"/>
      <w:bookmarkStart w:id="101" w:name="OLE_LINK7"/>
      <w:bookmarkStart w:id="102"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3"/>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w:t>
      </w:r>
      <w:r>
        <w:rPr>
          <w:rFonts w:hint="eastAsia" w:ascii="宋体" w:hAnsi="宋体" w:eastAsia="宋体" w:cs="宋体"/>
          <w:b/>
          <w:color w:val="auto"/>
          <w:sz w:val="30"/>
          <w:szCs w:val="30"/>
          <w:highlight w:val="none"/>
          <w:lang w:val="en-US" w:eastAsia="zh-CN"/>
        </w:rPr>
        <w:t>主要施工办法、</w:t>
      </w:r>
      <w:r>
        <w:rPr>
          <w:rFonts w:hint="eastAsia" w:ascii="宋体" w:hAnsi="宋体" w:eastAsia="宋体" w:cs="宋体"/>
          <w:b/>
          <w:color w:val="auto"/>
          <w:sz w:val="30"/>
          <w:szCs w:val="30"/>
          <w:highlight w:val="none"/>
          <w:lang w:eastAsia="zh-CN"/>
        </w:rPr>
        <w:t>拟投入的主要物资计划、劳动力安排计划、确保工程质量的技术组织措施、确保安全生产的技术组织措施、确保工期的技术组织措施、确保文明施工的技术组织措施、工程施工的重点和难点及保证措施、施工总平面布置图</w:t>
      </w:r>
      <w:r>
        <w:rPr>
          <w:rFonts w:hint="eastAsia" w:ascii="宋体" w:hAnsi="宋体" w:eastAsia="宋体" w:cs="宋体"/>
          <w:b/>
          <w:color w:val="auto"/>
          <w:sz w:val="30"/>
          <w:szCs w:val="30"/>
          <w:highlight w:val="none"/>
        </w:rPr>
        <w:t>）（格式自拟）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29"/>
        <w:spacing w:line="360" w:lineRule="auto"/>
        <w:ind w:left="420" w:leftChars="200" w:firstLine="0" w:firstLineChars="0"/>
        <w:rPr>
          <w:rFonts w:hint="eastAsia" w:ascii="宋体" w:hAnsi="宋体" w:eastAsia="宋体" w:cs="宋体"/>
          <w:color w:val="auto"/>
          <w:highlight w:val="none"/>
        </w:rPr>
      </w:pPr>
    </w:p>
    <w:p w14:paraId="1D2BD99F">
      <w:pPr>
        <w:pStyle w:val="29"/>
        <w:spacing w:line="360" w:lineRule="auto"/>
        <w:ind w:left="420" w:leftChars="200" w:firstLine="0" w:firstLineChars="0"/>
        <w:rPr>
          <w:rFonts w:hint="eastAsia" w:ascii="宋体" w:hAnsi="宋体" w:eastAsia="宋体" w:cs="宋体"/>
          <w:color w:val="auto"/>
          <w:highlight w:val="none"/>
        </w:rPr>
      </w:pPr>
    </w:p>
    <w:p w14:paraId="459D0C47">
      <w:pPr>
        <w:pStyle w:val="29"/>
        <w:spacing w:line="360" w:lineRule="auto"/>
        <w:ind w:left="420" w:leftChars="200" w:firstLine="0" w:firstLineChars="0"/>
        <w:rPr>
          <w:rFonts w:hint="eastAsia" w:ascii="宋体" w:hAnsi="宋体" w:eastAsia="宋体" w:cs="宋体"/>
          <w:color w:val="auto"/>
          <w:highlight w:val="none"/>
        </w:rPr>
      </w:pPr>
    </w:p>
    <w:p w14:paraId="569D985E">
      <w:pPr>
        <w:pStyle w:val="29"/>
        <w:spacing w:line="360" w:lineRule="auto"/>
        <w:ind w:left="420" w:leftChars="200" w:firstLine="0" w:firstLineChars="0"/>
        <w:rPr>
          <w:rFonts w:hint="eastAsia" w:ascii="宋体" w:hAnsi="宋体" w:eastAsia="宋体" w:cs="宋体"/>
          <w:color w:val="auto"/>
          <w:highlight w:val="none"/>
        </w:rPr>
      </w:pPr>
    </w:p>
    <w:p w14:paraId="1A155B29">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供应商为其缴纳近1个月（2026年2月至响应文件提交截止时间止任意一个月社保）社会保险的证明材料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0"/>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29"/>
        <w:spacing w:line="360" w:lineRule="auto"/>
        <w:ind w:left="420" w:leftChars="200" w:firstLine="0" w:firstLineChars="0"/>
        <w:rPr>
          <w:rFonts w:hint="eastAsia" w:ascii="宋体" w:hAnsi="宋体" w:eastAsia="宋体" w:cs="宋体"/>
          <w:color w:val="auto"/>
          <w:highlight w:val="none"/>
        </w:rPr>
      </w:pPr>
    </w:p>
    <w:p w14:paraId="1E29BFC6">
      <w:pPr>
        <w:pStyle w:val="29"/>
        <w:spacing w:line="360" w:lineRule="auto"/>
        <w:ind w:left="420" w:leftChars="200" w:firstLine="0" w:firstLineChars="0"/>
        <w:rPr>
          <w:rFonts w:hint="eastAsia" w:ascii="宋体" w:hAnsi="宋体" w:eastAsia="宋体" w:cs="宋体"/>
          <w:color w:val="auto"/>
          <w:highlight w:val="none"/>
        </w:rPr>
      </w:pPr>
    </w:p>
    <w:p w14:paraId="6265A909">
      <w:pPr>
        <w:pStyle w:val="29"/>
        <w:spacing w:line="360" w:lineRule="auto"/>
        <w:ind w:left="420" w:leftChars="200" w:firstLine="0" w:firstLineChars="0"/>
        <w:rPr>
          <w:rFonts w:hint="eastAsia" w:ascii="宋体" w:hAnsi="宋体" w:eastAsia="宋体" w:cs="宋体"/>
          <w:color w:val="auto"/>
          <w:highlight w:val="none"/>
        </w:rPr>
      </w:pPr>
    </w:p>
    <w:p w14:paraId="585B3D37">
      <w:pPr>
        <w:pStyle w:val="29"/>
        <w:spacing w:line="360" w:lineRule="auto"/>
        <w:ind w:left="420" w:leftChars="200" w:firstLine="0" w:firstLineChars="0"/>
        <w:rPr>
          <w:rFonts w:hint="eastAsia" w:ascii="宋体" w:hAnsi="宋体" w:eastAsia="宋体" w:cs="宋体"/>
          <w:color w:val="auto"/>
          <w:highlight w:val="none"/>
        </w:rPr>
      </w:pPr>
    </w:p>
    <w:p w14:paraId="17F85835">
      <w:pPr>
        <w:pStyle w:val="29"/>
        <w:spacing w:line="360" w:lineRule="auto"/>
        <w:ind w:left="420" w:leftChars="200" w:firstLine="0" w:firstLineChars="0"/>
        <w:rPr>
          <w:rFonts w:hint="eastAsia" w:ascii="宋体" w:hAnsi="宋体" w:eastAsia="宋体" w:cs="宋体"/>
          <w:color w:val="auto"/>
          <w:highlight w:val="none"/>
        </w:rPr>
      </w:pPr>
    </w:p>
    <w:p w14:paraId="74420A09">
      <w:pPr>
        <w:pStyle w:val="29"/>
        <w:spacing w:line="360" w:lineRule="auto"/>
        <w:ind w:left="420" w:leftChars="200" w:firstLine="0" w:firstLineChars="0"/>
        <w:rPr>
          <w:rFonts w:hint="eastAsia" w:ascii="宋体" w:hAnsi="宋体" w:eastAsia="宋体" w:cs="宋体"/>
          <w:color w:val="auto"/>
          <w:highlight w:val="none"/>
        </w:rPr>
      </w:pPr>
    </w:p>
    <w:p w14:paraId="545314BE">
      <w:pPr>
        <w:pStyle w:val="29"/>
        <w:spacing w:line="360" w:lineRule="auto"/>
        <w:ind w:left="420" w:leftChars="200" w:firstLine="0" w:firstLineChars="0"/>
        <w:rPr>
          <w:rFonts w:hint="eastAsia" w:ascii="宋体" w:hAnsi="宋体" w:eastAsia="宋体" w:cs="宋体"/>
          <w:color w:val="auto"/>
          <w:highlight w:val="none"/>
        </w:rPr>
      </w:pPr>
    </w:p>
    <w:p w14:paraId="69A919FA">
      <w:pPr>
        <w:pStyle w:val="29"/>
        <w:spacing w:line="360" w:lineRule="auto"/>
        <w:ind w:left="420" w:leftChars="200" w:firstLine="0" w:firstLineChars="0"/>
        <w:rPr>
          <w:rFonts w:hint="eastAsia" w:ascii="宋体" w:hAnsi="宋体" w:eastAsia="宋体" w:cs="宋体"/>
          <w:color w:val="auto"/>
          <w:highlight w:val="none"/>
        </w:rPr>
      </w:pPr>
    </w:p>
    <w:p w14:paraId="176E66C1">
      <w:pPr>
        <w:pStyle w:val="29"/>
        <w:spacing w:line="360" w:lineRule="auto"/>
        <w:ind w:left="420" w:leftChars="200" w:firstLine="0" w:firstLineChars="0"/>
        <w:rPr>
          <w:rFonts w:hint="eastAsia" w:ascii="宋体" w:hAnsi="宋体" w:eastAsia="宋体" w:cs="宋体"/>
          <w:color w:val="auto"/>
          <w:highlight w:val="none"/>
        </w:rPr>
      </w:pPr>
    </w:p>
    <w:p w14:paraId="3ECCE384">
      <w:pPr>
        <w:pStyle w:val="29"/>
        <w:spacing w:line="360" w:lineRule="auto"/>
        <w:ind w:left="420" w:leftChars="200" w:firstLine="0" w:firstLineChars="0"/>
        <w:rPr>
          <w:rFonts w:hint="eastAsia" w:ascii="宋体" w:hAnsi="宋体" w:eastAsia="宋体" w:cs="宋体"/>
          <w:color w:val="auto"/>
          <w:highlight w:val="none"/>
        </w:rPr>
      </w:pPr>
    </w:p>
    <w:p w14:paraId="130F3E1D">
      <w:pPr>
        <w:pStyle w:val="29"/>
        <w:spacing w:line="360" w:lineRule="auto"/>
        <w:ind w:left="420" w:leftChars="200" w:firstLine="0" w:firstLineChars="0"/>
        <w:rPr>
          <w:rFonts w:hint="eastAsia" w:ascii="宋体" w:hAnsi="宋体" w:eastAsia="宋体" w:cs="宋体"/>
          <w:color w:val="auto"/>
          <w:highlight w:val="none"/>
        </w:rPr>
      </w:pPr>
    </w:p>
    <w:p w14:paraId="0452997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7327"/>
      <w:bookmarkStart w:id="112" w:name="_Toc15522"/>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w:t>
      </w:r>
      <w:r>
        <w:rPr>
          <w:rFonts w:hint="eastAsia" w:ascii="宋体" w:hAnsi="宋体" w:cs="宋体"/>
          <w:color w:val="auto"/>
          <w:kern w:val="0"/>
          <w:sz w:val="24"/>
          <w:highlight w:val="none"/>
          <w:lang w:val="zh-CN"/>
        </w:rPr>
        <w:t>，将</w:t>
      </w:r>
      <w:r>
        <w:rPr>
          <w:rFonts w:hint="eastAsia" w:ascii="宋体" w:hAnsi="宋体" w:eastAsia="宋体" w:cs="宋体"/>
          <w:color w:val="auto"/>
          <w:kern w:val="0"/>
          <w:sz w:val="24"/>
          <w:highlight w:val="none"/>
          <w:lang w:val="zh-CN"/>
        </w:rPr>
        <w:t>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3"/>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1"/>
              <w:spacing w:before="1"/>
              <w:ind w:left="160" w:right="149"/>
              <w:jc w:val="center"/>
              <w:rPr>
                <w:rFonts w:hint="eastAsia" w:ascii="仿宋" w:hAnsi="仿宋" w:eastAsia="仿宋" w:cs="仿宋"/>
                <w:color w:val="auto"/>
                <w:sz w:val="24"/>
                <w:highlight w:val="none"/>
              </w:rPr>
            </w:pPr>
          </w:p>
          <w:p w14:paraId="22DAEDB3">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1"/>
              <w:spacing w:before="1"/>
              <w:ind w:left="105"/>
              <w:rPr>
                <w:rFonts w:hint="eastAsia" w:ascii="仿宋" w:hAnsi="仿宋" w:eastAsia="仿宋" w:cs="仿宋"/>
                <w:color w:val="auto"/>
                <w:sz w:val="24"/>
                <w:highlight w:val="none"/>
              </w:rPr>
            </w:pPr>
          </w:p>
          <w:p w14:paraId="66E83209">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1"/>
              <w:spacing w:before="1"/>
              <w:ind w:left="105"/>
              <w:rPr>
                <w:rFonts w:hint="eastAsia" w:ascii="仿宋" w:hAnsi="仿宋" w:eastAsia="仿宋" w:cs="仿宋"/>
                <w:color w:val="auto"/>
                <w:sz w:val="24"/>
                <w:highlight w:val="none"/>
              </w:rPr>
            </w:pPr>
          </w:p>
          <w:p w14:paraId="678A9C5A">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1"/>
              <w:spacing w:before="1"/>
              <w:ind w:left="105"/>
              <w:rPr>
                <w:rFonts w:hint="eastAsia" w:ascii="仿宋" w:hAnsi="仿宋" w:eastAsia="仿宋" w:cs="仿宋"/>
                <w:color w:val="auto"/>
                <w:sz w:val="24"/>
                <w:highlight w:val="none"/>
              </w:rPr>
            </w:pPr>
          </w:p>
          <w:p w14:paraId="44993B60">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1"/>
              <w:spacing w:before="1"/>
              <w:ind w:left="105"/>
              <w:rPr>
                <w:rFonts w:hint="eastAsia" w:ascii="仿宋" w:hAnsi="仿宋" w:eastAsia="仿宋" w:cs="仿宋"/>
                <w:color w:val="auto"/>
                <w:sz w:val="24"/>
                <w:highlight w:val="none"/>
              </w:rPr>
            </w:pPr>
          </w:p>
          <w:p w14:paraId="3E96CDA1">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1"/>
              <w:spacing w:before="1"/>
              <w:ind w:left="105"/>
              <w:rPr>
                <w:rFonts w:hint="eastAsia" w:ascii="仿宋" w:hAnsi="仿宋" w:eastAsia="仿宋" w:cs="仿宋"/>
                <w:color w:val="auto"/>
                <w:sz w:val="24"/>
                <w:highlight w:val="none"/>
              </w:rPr>
            </w:pPr>
          </w:p>
          <w:p w14:paraId="3FD1F73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1"/>
              <w:spacing w:before="1"/>
              <w:ind w:left="105"/>
              <w:rPr>
                <w:rFonts w:hint="eastAsia" w:ascii="仿宋" w:hAnsi="仿宋" w:eastAsia="仿宋" w:cs="仿宋"/>
                <w:color w:val="auto"/>
                <w:sz w:val="24"/>
                <w:highlight w:val="none"/>
              </w:rPr>
            </w:pPr>
          </w:p>
          <w:p w14:paraId="1F0FD09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1"/>
              <w:spacing w:before="1"/>
              <w:ind w:left="105"/>
              <w:rPr>
                <w:rFonts w:hint="eastAsia" w:ascii="仿宋" w:hAnsi="仿宋" w:eastAsia="仿宋" w:cs="仿宋"/>
                <w:color w:val="auto"/>
                <w:sz w:val="24"/>
                <w:highlight w:val="none"/>
              </w:rPr>
            </w:pPr>
          </w:p>
          <w:p w14:paraId="5C541DF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1"/>
              <w:spacing w:before="1"/>
              <w:ind w:left="105"/>
              <w:rPr>
                <w:rFonts w:hint="eastAsia" w:ascii="仿宋" w:hAnsi="仿宋" w:eastAsia="仿宋" w:cs="仿宋"/>
                <w:color w:val="auto"/>
                <w:sz w:val="24"/>
                <w:highlight w:val="none"/>
              </w:rPr>
            </w:pPr>
          </w:p>
          <w:p w14:paraId="0D8CB35F">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1"/>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3"/>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3"/>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w:t>
      </w:r>
      <w:r>
        <w:rPr>
          <w:rFonts w:hint="eastAsia" w:ascii="宋体" w:hAnsi="宋体" w:cs="宋体"/>
          <w:color w:val="auto"/>
          <w:w w:val="90"/>
          <w:sz w:val="28"/>
          <w:szCs w:val="28"/>
          <w:highlight w:val="none"/>
          <w:lang w:val="en-US" w:eastAsia="zh-CN"/>
        </w:rPr>
        <w:t>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2D178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23AC8BD2">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3"/>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ECBE632">
      <w:pPr>
        <w:pStyle w:val="11"/>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909EA32">
      <w:pPr>
        <w:rPr>
          <w:color w:val="auto"/>
          <w:highlight w:val="none"/>
        </w:rPr>
      </w:pPr>
    </w:p>
    <w:p w14:paraId="2C46A4FD">
      <w:pPr>
        <w:rPr>
          <w:color w:val="auto"/>
          <w:highlight w:val="none"/>
        </w:rPr>
      </w:pPr>
    </w:p>
    <w:p w14:paraId="6E0C9FB1"/>
    <w:p w14:paraId="4F6A14F3"/>
    <w:p w14:paraId="0DCBCD3D"/>
    <w:p w14:paraId="55135EC4"/>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8A080B6B"/>
    <w:multiLevelType w:val="singleLevel"/>
    <w:tmpl w:val="8A080B6B"/>
    <w:lvl w:ilvl="0" w:tentative="0">
      <w:start w:val="1"/>
      <w:numFmt w:val="decimal"/>
      <w:pStyle w:val="6"/>
      <w:lvlText w:val="%1."/>
      <w:lvlJc w:val="left"/>
      <w:pPr>
        <w:tabs>
          <w:tab w:val="left" w:pos="360"/>
        </w:tabs>
        <w:ind w:left="360" w:hanging="360"/>
      </w:pPr>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ED298C43"/>
    <w:multiLevelType w:val="singleLevel"/>
    <w:tmpl w:val="ED298C43"/>
    <w:lvl w:ilvl="0" w:tentative="0">
      <w:start w:val="1"/>
      <w:numFmt w:val="decimal"/>
      <w:lvlText w:val="%1."/>
      <w:lvlJc w:val="left"/>
      <w:pPr>
        <w:tabs>
          <w:tab w:val="left" w:pos="312"/>
        </w:tabs>
      </w:pPr>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4"/>
  </w:num>
  <w:num w:numId="3">
    <w:abstractNumId w:val="6"/>
    <w:lvlOverride w:ilvl="0">
      <w:startOverride w:val="1"/>
    </w:lvlOverride>
  </w:num>
  <w:num w:numId="4">
    <w:abstractNumId w:val="5"/>
    <w:lvlOverride w:ilvl="0">
      <w:startOverride w:val="1"/>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D34BA"/>
    <w:rsid w:val="303D34BA"/>
    <w:rsid w:val="496322F6"/>
    <w:rsid w:val="5BD4669C"/>
    <w:rsid w:val="5F03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2"/>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30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2026-05-15T12:57:00Z</dcterms:created>
  <dc:creator>Administrator</dc:creator>
  <cp:lastModifiedBy>Administrator</cp:lastModifiedBy>
  <dcterms:modified xsi:type="dcterms:W3CDTF">2026-05-15T14:03:16Z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478E58A512F24DABBD56C3C63EFE1062_11</vt:lpwstr>
  </property>
  <property fmtid="{D5CDD505-2E9C-101B-9397-08002B2CF9AE}" pid="4" name="KSOTemplateDocerSaveRecord">
    <vt:lpwstr>eyJoZGlkIjoiMDQ0YTg0MTgwZGNkMGIyZjU3NWM0MmNiN2ZhYzFmYmIiLCJ1c2VySWQiOiI1MjE2ODA1MjUifQ==</vt:lpwstr>
  </property>
</Properties>
</file>